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footer31.xml" ContentType="application/vnd.openxmlformats-officedocument.wordprocessingml.footer+xml"/>
  <Override PartName="/word/footer23.xml" ContentType="application/vnd.openxmlformats-officedocument.wordprocessingml.footer+xml"/>
  <Override PartName="/word/header11.xml" ContentType="application/vnd.openxmlformats-officedocument.wordprocessingml.header+xml"/>
  <Override PartName="/word/footer13.xml" ContentType="application/vnd.openxmlformats-officedocument.wordprocessingml.footer+xml"/>
  <Override PartName="/word/header21.xml" ContentType="application/vnd.openxmlformats-officedocument.wordprocessingml.header+xml"/>
  <Override PartName="/word/header12.xml" ContentType="application/vnd.openxmlformats-officedocument.wordprocessingml.header+xml"/>
  <Override PartName="/word/header22.xml" ContentType="application/vnd.openxmlformats-officedocument.wordprocessingml.header+xml"/>
  <Override PartName="/word/footer12.xml" ContentType="application/vnd.openxmlformats-officedocument.wordprocessingml.footer+xml"/>
  <Override PartName="/word/header10.xml" ContentType="application/vnd.openxmlformats-officedocument.wordprocessingml.header+xml"/>
  <Override PartName="/word/footer25.xml" ContentType="application/vnd.openxmlformats-officedocument.wordprocessingml.footer+xml"/>
  <Override PartName="/word/header23.xml" ContentType="application/vnd.openxmlformats-officedocument.wordprocessingml.header+xml"/>
  <Override PartName="/word/header9.xml" ContentType="application/vnd.openxmlformats-officedocument.wordprocessingml.header+xml"/>
  <Override PartName="/word/footer11.xml" ContentType="application/vnd.openxmlformats-officedocument.wordprocessingml.footer+xml"/>
  <Override PartName="/word/footer24.xml" ContentType="application/vnd.openxmlformats-officedocument.wordprocessingml.footer+xml"/>
  <Override PartName="/word/footer14.xml" ContentType="application/vnd.openxmlformats-officedocument.wordprocessingml.footer+xml"/>
  <Override PartName="/word/footer22.xml" ContentType="application/vnd.openxmlformats-officedocument.wordprocessingml.footer+xml"/>
  <Override PartName="/word/header20.xml" ContentType="application/vnd.openxmlformats-officedocument.wordprocessingml.header+xml"/>
  <Override PartName="/word/footer17.xml" ContentType="application/vnd.openxmlformats-officedocument.wordprocessingml.footer+xml"/>
  <Override PartName="/word/header16.xml" ContentType="application/vnd.openxmlformats-officedocument.wordprocessingml.header+xml"/>
  <Override PartName="/word/footer18.xml" ContentType="application/vnd.openxmlformats-officedocument.wordprocessingml.footer+xml"/>
  <Override PartName="/word/header17.xml" ContentType="application/vnd.openxmlformats-officedocument.wordprocessingml.header+xml"/>
  <Override PartName="/word/footer19.xml" ContentType="application/vnd.openxmlformats-officedocument.wordprocessingml.footer+xml"/>
  <Override PartName="/word/header15.xml" ContentType="application/vnd.openxmlformats-officedocument.wordprocessingml.header+xml"/>
  <Override PartName="/word/footer20.xml" ContentType="application/vnd.openxmlformats-officedocument.wordprocessingml.footer+xml"/>
  <Override PartName="/word/header19.xml" ContentType="application/vnd.openxmlformats-officedocument.wordprocessingml.header+xml"/>
  <Override PartName="/word/header13.xml" ContentType="application/vnd.openxmlformats-officedocument.wordprocessingml.header+xml"/>
  <Override PartName="/word/footer15.xml" ContentType="application/vnd.openxmlformats-officedocument.wordprocessingml.footer+xml"/>
  <Override PartName="/word/footer21.xml" ContentType="application/vnd.openxmlformats-officedocument.wordprocessingml.footer+xml"/>
  <Override PartName="/word/header14.xml" ContentType="application/vnd.openxmlformats-officedocument.wordprocessingml.header+xml"/>
  <Override PartName="/word/footer16.xml" ContentType="application/vnd.openxmlformats-officedocument.wordprocessingml.footer+xml"/>
  <Override PartName="/word/footer10.xml" ContentType="application/vnd.openxmlformats-officedocument.wordprocessingml.footer+xml"/>
  <Override PartName="/word/header8.xml" ContentType="application/vnd.openxmlformats-officedocument.wordprocessingml.header+xml"/>
  <Override PartName="/word/header2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footer29.xml" ContentType="application/vnd.openxmlformats-officedocument.wordprocessingml.footer+xml"/>
  <Override PartName="/word/header29.xml" ContentType="application/vnd.openxmlformats-officedocument.wordprocessingml.header+xml"/>
  <Override PartName="/word/footer30.xml" ContentType="application/vnd.openxmlformats-officedocument.wordprocessingml.footer+xml"/>
  <Override PartName="/word/header28.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5.xml" ContentType="application/vnd.openxmlformats-officedocument.wordprocessingml.footer+xml"/>
  <Override PartName="/word/header27.xml" ContentType="application/vnd.openxmlformats-officedocument.wordprocessingml.header+xml"/>
  <Override PartName="/word/footer28.xml" ContentType="application/vnd.openxmlformats-officedocument.wordprocessingml.footer+xml"/>
  <Override PartName="/word/footer8.xml" ContentType="application/vnd.openxmlformats-officedocument.wordprocessingml.footer+xml"/>
  <Override PartName="/word/header25.xml" ContentType="application/vnd.openxmlformats-officedocument.wordprocessingml.header+xml"/>
  <Override PartName="/word/footer26.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6.xml" ContentType="application/vnd.openxmlformats-officedocument.wordprocessingml.header+xml"/>
  <Override PartName="/word/footer27.xml" ContentType="application/vnd.openxmlformats-officedocument.wordprocessingml.footer+xml"/>
  <Override PartName="/word/footer7.xml" ContentType="application/vnd.openxmlformats-officedocument.wordprocessingml.footer+xml"/>
  <Override PartName="/word/header26.xml" ContentType="application/vnd.openxmlformats-officedocument.wordprocessingml.head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header18.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1E18" w:rsidRDefault="00B70177" w:rsidP="002A21D1">
      <w:bookmarkStart w:id="0" w:name="_GoBack"/>
      <w:bookmarkEnd w:id="0"/>
      <w:r>
        <w:rPr>
          <w:noProof/>
          <w:lang w:eastAsia="en-AU"/>
        </w:rPr>
        <w:drawing>
          <wp:anchor distT="0" distB="0" distL="114300" distR="114300" simplePos="0" relativeHeight="251658240" behindDoc="0" locked="0" layoutInCell="1" allowOverlap="1">
            <wp:simplePos x="0" y="0"/>
            <wp:positionH relativeFrom="column">
              <wp:posOffset>635</wp:posOffset>
            </wp:positionH>
            <wp:positionV relativeFrom="paragraph">
              <wp:posOffset>-635</wp:posOffset>
            </wp:positionV>
            <wp:extent cx="7684905" cy="10782000"/>
            <wp:effectExtent l="0" t="0" r="0" b="635"/>
            <wp:wrapSquare wrapText="bothSides"/>
            <wp:docPr id="1" name="Picture 1" descr="Cost Benefit Anlaysis re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0915335-cover_Cost Benefit_25072013.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684905" cy="10782000"/>
                    </a:xfrm>
                    <a:prstGeom prst="rect">
                      <a:avLst/>
                    </a:prstGeom>
                  </pic:spPr>
                </pic:pic>
              </a:graphicData>
            </a:graphic>
            <wp14:sizeRelH relativeFrom="page">
              <wp14:pctWidth>0</wp14:pctWidth>
            </wp14:sizeRelH>
            <wp14:sizeRelV relativeFrom="page">
              <wp14:pctHeight>0</wp14:pctHeight>
            </wp14:sizeRelV>
          </wp:anchor>
        </w:drawing>
      </w:r>
      <w:r w:rsidR="006E49C0">
        <w:t xml:space="preserve"> </w:t>
      </w:r>
    </w:p>
    <w:p w:rsidR="00CA25CE" w:rsidRDefault="00CA25CE">
      <w:pPr>
        <w:pStyle w:val="Contents"/>
        <w:sectPr w:rsidR="00CA25CE" w:rsidSect="005F6E51">
          <w:footerReference w:type="default" r:id="rId10"/>
          <w:pgSz w:w="11906" w:h="16838" w:code="9"/>
          <w:pgMar w:top="2495" w:right="907" w:bottom="1418" w:left="2694" w:header="709" w:footer="709" w:gutter="0"/>
          <w:pgNumType w:fmt="lowerRoman" w:start="1"/>
          <w:cols w:space="720"/>
        </w:sectPr>
      </w:pPr>
      <w:bookmarkStart w:id="1" w:name="insertpoint"/>
      <w:bookmarkEnd w:id="1"/>
    </w:p>
    <w:p w:rsidR="004E02F3" w:rsidRDefault="004E02F3" w:rsidP="002D0791">
      <w:pPr>
        <w:pStyle w:val="Contents"/>
        <w:tabs>
          <w:tab w:val="left" w:pos="7371"/>
        </w:tabs>
      </w:pPr>
      <w:r>
        <w:lastRenderedPageBreak/>
        <w:t>Contents</w:t>
      </w:r>
    </w:p>
    <w:p w:rsidR="00C465C0" w:rsidRPr="00C465C0" w:rsidRDefault="00CD38ED" w:rsidP="00C465C0">
      <w:pPr>
        <w:pStyle w:val="TOC1"/>
        <w:rPr>
          <w:rFonts w:asciiTheme="minorHAnsi" w:eastAsiaTheme="minorEastAsia" w:hAnsiTheme="minorHAnsi" w:cstheme="minorBidi"/>
          <w:b w:val="0"/>
          <w:caps w:val="0"/>
          <w:szCs w:val="24"/>
          <w:lang w:eastAsia="en-AU"/>
        </w:rPr>
      </w:pPr>
      <w:r>
        <w:rPr>
          <w:b w:val="0"/>
        </w:rPr>
        <w:fldChar w:fldCharType="begin"/>
      </w:r>
      <w:r w:rsidR="00DE21DB">
        <w:rPr>
          <w:b w:val="0"/>
        </w:rPr>
        <w:instrText xml:space="preserve"> TOC \o "1-3" \h \z \u </w:instrText>
      </w:r>
      <w:r>
        <w:rPr>
          <w:b w:val="0"/>
        </w:rPr>
        <w:fldChar w:fldCharType="separate"/>
      </w:r>
      <w:hyperlink w:anchor="_Toc362274254" w:history="1">
        <w:r w:rsidR="00C465C0" w:rsidRPr="00C465C0">
          <w:rPr>
            <w:rStyle w:val="Hyperlink"/>
            <w:szCs w:val="24"/>
          </w:rPr>
          <w:t>EXECUTIVE SUMMARY</w:t>
        </w:r>
        <w:r w:rsidR="00C465C0" w:rsidRPr="00C465C0">
          <w:rPr>
            <w:webHidden/>
            <w:szCs w:val="24"/>
          </w:rPr>
          <w:tab/>
        </w:r>
        <w:r w:rsidR="00C465C0" w:rsidRPr="00C465C0">
          <w:rPr>
            <w:webHidden/>
            <w:szCs w:val="24"/>
          </w:rPr>
          <w:fldChar w:fldCharType="begin"/>
        </w:r>
        <w:r w:rsidR="00C465C0" w:rsidRPr="00C465C0">
          <w:rPr>
            <w:webHidden/>
            <w:szCs w:val="24"/>
          </w:rPr>
          <w:instrText xml:space="preserve"> PAGEREF _Toc362274254 \h </w:instrText>
        </w:r>
        <w:r w:rsidR="00C465C0" w:rsidRPr="00C465C0">
          <w:rPr>
            <w:webHidden/>
            <w:szCs w:val="24"/>
          </w:rPr>
        </w:r>
        <w:r w:rsidR="00C465C0" w:rsidRPr="00C465C0">
          <w:rPr>
            <w:webHidden/>
            <w:szCs w:val="24"/>
          </w:rPr>
          <w:fldChar w:fldCharType="separate"/>
        </w:r>
        <w:r w:rsidR="00DB625B">
          <w:rPr>
            <w:webHidden/>
            <w:szCs w:val="24"/>
          </w:rPr>
          <w:t>vii</w:t>
        </w:r>
        <w:r w:rsidR="00C465C0" w:rsidRPr="00C465C0">
          <w:rPr>
            <w:webHidden/>
            <w:szCs w:val="24"/>
          </w:rPr>
          <w:fldChar w:fldCharType="end"/>
        </w:r>
      </w:hyperlink>
    </w:p>
    <w:p w:rsidR="00C465C0" w:rsidRPr="00C465C0" w:rsidRDefault="00B85B36" w:rsidP="00C465C0">
      <w:pPr>
        <w:pStyle w:val="TOC1"/>
        <w:rPr>
          <w:rFonts w:asciiTheme="minorHAnsi" w:eastAsiaTheme="minorEastAsia" w:hAnsiTheme="minorHAnsi" w:cstheme="minorBidi"/>
          <w:b w:val="0"/>
          <w:caps w:val="0"/>
          <w:szCs w:val="24"/>
          <w:lang w:eastAsia="en-AU"/>
        </w:rPr>
      </w:pPr>
      <w:hyperlink w:anchor="_Toc362274255" w:history="1">
        <w:r w:rsidR="00C465C0" w:rsidRPr="00C465C0">
          <w:rPr>
            <w:rStyle w:val="Hyperlink"/>
            <w:szCs w:val="24"/>
          </w:rPr>
          <w:t>ACKNOWLEDGEMENTS</w:t>
        </w:r>
        <w:r w:rsidR="00C465C0" w:rsidRPr="00C465C0">
          <w:rPr>
            <w:webHidden/>
            <w:szCs w:val="24"/>
          </w:rPr>
          <w:tab/>
        </w:r>
        <w:r w:rsidR="00C465C0" w:rsidRPr="00C465C0">
          <w:rPr>
            <w:webHidden/>
            <w:szCs w:val="24"/>
          </w:rPr>
          <w:fldChar w:fldCharType="begin"/>
        </w:r>
        <w:r w:rsidR="00C465C0" w:rsidRPr="00C465C0">
          <w:rPr>
            <w:webHidden/>
            <w:szCs w:val="24"/>
          </w:rPr>
          <w:instrText xml:space="preserve"> PAGEREF _Toc362274255 \h </w:instrText>
        </w:r>
        <w:r w:rsidR="00C465C0" w:rsidRPr="00C465C0">
          <w:rPr>
            <w:webHidden/>
            <w:szCs w:val="24"/>
          </w:rPr>
        </w:r>
        <w:r w:rsidR="00C465C0" w:rsidRPr="00C465C0">
          <w:rPr>
            <w:webHidden/>
            <w:szCs w:val="24"/>
          </w:rPr>
          <w:fldChar w:fldCharType="separate"/>
        </w:r>
        <w:r w:rsidR="00DB625B">
          <w:rPr>
            <w:webHidden/>
            <w:szCs w:val="24"/>
          </w:rPr>
          <w:t>xiv</w:t>
        </w:r>
        <w:r w:rsidR="00C465C0" w:rsidRPr="00C465C0">
          <w:rPr>
            <w:webHidden/>
            <w:szCs w:val="24"/>
          </w:rPr>
          <w:fldChar w:fldCharType="end"/>
        </w:r>
      </w:hyperlink>
    </w:p>
    <w:p w:rsidR="00C465C0" w:rsidRPr="00C465C0" w:rsidRDefault="00B85B36" w:rsidP="00C465C0">
      <w:pPr>
        <w:pStyle w:val="TOC1"/>
        <w:rPr>
          <w:rFonts w:asciiTheme="minorHAnsi" w:eastAsiaTheme="minorEastAsia" w:hAnsiTheme="minorHAnsi" w:cstheme="minorBidi"/>
          <w:b w:val="0"/>
          <w:caps w:val="0"/>
          <w:szCs w:val="24"/>
          <w:lang w:eastAsia="en-AU"/>
        </w:rPr>
      </w:pPr>
      <w:hyperlink w:anchor="_Toc362274256" w:history="1">
        <w:r w:rsidR="00C465C0" w:rsidRPr="00C465C0">
          <w:rPr>
            <w:rStyle w:val="Hyperlink"/>
            <w:szCs w:val="24"/>
          </w:rPr>
          <w:t>ACRONYMS/GLOSSARY</w:t>
        </w:r>
        <w:r w:rsidR="00C465C0" w:rsidRPr="00C465C0">
          <w:rPr>
            <w:webHidden/>
            <w:szCs w:val="24"/>
          </w:rPr>
          <w:tab/>
        </w:r>
        <w:r w:rsidR="00C465C0" w:rsidRPr="00C465C0">
          <w:rPr>
            <w:webHidden/>
            <w:szCs w:val="24"/>
          </w:rPr>
          <w:fldChar w:fldCharType="begin"/>
        </w:r>
        <w:r w:rsidR="00C465C0" w:rsidRPr="00C465C0">
          <w:rPr>
            <w:webHidden/>
            <w:szCs w:val="24"/>
          </w:rPr>
          <w:instrText xml:space="preserve"> PAGEREF _Toc362274256 \h </w:instrText>
        </w:r>
        <w:r w:rsidR="00C465C0" w:rsidRPr="00C465C0">
          <w:rPr>
            <w:webHidden/>
            <w:szCs w:val="24"/>
          </w:rPr>
        </w:r>
        <w:r w:rsidR="00C465C0" w:rsidRPr="00C465C0">
          <w:rPr>
            <w:webHidden/>
            <w:szCs w:val="24"/>
          </w:rPr>
          <w:fldChar w:fldCharType="separate"/>
        </w:r>
        <w:r w:rsidR="00DB625B">
          <w:rPr>
            <w:webHidden/>
            <w:szCs w:val="24"/>
          </w:rPr>
          <w:t>xv</w:t>
        </w:r>
        <w:r w:rsidR="00C465C0" w:rsidRPr="00C465C0">
          <w:rPr>
            <w:webHidden/>
            <w:szCs w:val="24"/>
          </w:rPr>
          <w:fldChar w:fldCharType="end"/>
        </w:r>
      </w:hyperlink>
    </w:p>
    <w:p w:rsidR="00C465C0" w:rsidRPr="00C465C0" w:rsidRDefault="00B85B36" w:rsidP="00C465C0">
      <w:pPr>
        <w:pStyle w:val="TOC1"/>
        <w:rPr>
          <w:rFonts w:asciiTheme="minorHAnsi" w:eastAsiaTheme="minorEastAsia" w:hAnsiTheme="minorHAnsi" w:cstheme="minorBidi"/>
          <w:b w:val="0"/>
          <w:caps w:val="0"/>
          <w:szCs w:val="24"/>
          <w:lang w:eastAsia="en-AU"/>
        </w:rPr>
      </w:pPr>
      <w:hyperlink w:anchor="_Toc362274257" w:history="1">
        <w:r w:rsidR="00C465C0" w:rsidRPr="00C465C0">
          <w:rPr>
            <w:rStyle w:val="Hyperlink"/>
            <w:szCs w:val="24"/>
          </w:rPr>
          <w:t>1.</w:t>
        </w:r>
        <w:r w:rsidR="00C465C0" w:rsidRPr="00C465C0">
          <w:rPr>
            <w:rFonts w:asciiTheme="minorHAnsi" w:eastAsiaTheme="minorEastAsia" w:hAnsiTheme="minorHAnsi" w:cstheme="minorBidi"/>
            <w:b w:val="0"/>
            <w:caps w:val="0"/>
            <w:szCs w:val="24"/>
            <w:lang w:eastAsia="en-AU"/>
          </w:rPr>
          <w:tab/>
        </w:r>
        <w:r w:rsidR="00C465C0" w:rsidRPr="00C465C0">
          <w:rPr>
            <w:rStyle w:val="Hyperlink"/>
            <w:szCs w:val="24"/>
          </w:rPr>
          <w:t>INTRODUCTION</w:t>
        </w:r>
        <w:r w:rsidR="00C465C0" w:rsidRPr="00C465C0">
          <w:rPr>
            <w:webHidden/>
            <w:szCs w:val="24"/>
          </w:rPr>
          <w:tab/>
        </w:r>
        <w:r w:rsidR="00C465C0" w:rsidRPr="00C465C0">
          <w:rPr>
            <w:webHidden/>
            <w:szCs w:val="24"/>
          </w:rPr>
          <w:fldChar w:fldCharType="begin"/>
        </w:r>
        <w:r w:rsidR="00C465C0" w:rsidRPr="00C465C0">
          <w:rPr>
            <w:webHidden/>
            <w:szCs w:val="24"/>
          </w:rPr>
          <w:instrText xml:space="preserve"> PAGEREF _Toc362274257 \h </w:instrText>
        </w:r>
        <w:r w:rsidR="00C465C0" w:rsidRPr="00C465C0">
          <w:rPr>
            <w:webHidden/>
            <w:szCs w:val="24"/>
          </w:rPr>
        </w:r>
        <w:r w:rsidR="00C465C0" w:rsidRPr="00C465C0">
          <w:rPr>
            <w:webHidden/>
            <w:szCs w:val="24"/>
          </w:rPr>
          <w:fldChar w:fldCharType="separate"/>
        </w:r>
        <w:r w:rsidR="00DB625B">
          <w:rPr>
            <w:webHidden/>
            <w:szCs w:val="24"/>
          </w:rPr>
          <w:t>1</w:t>
        </w:r>
        <w:r w:rsidR="00C465C0" w:rsidRPr="00C465C0">
          <w:rPr>
            <w:webHidden/>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258" w:history="1">
        <w:r w:rsidR="00C465C0" w:rsidRPr="00C465C0">
          <w:rPr>
            <w:rStyle w:val="Hyperlink"/>
            <w:sz w:val="24"/>
            <w:szCs w:val="24"/>
          </w:rPr>
          <w:t>1.1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Relationship of this project to the comprehensive Strategic Assessment</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_Toc362274258 \h </w:instrText>
        </w:r>
        <w:r w:rsidR="00C465C0" w:rsidRPr="00C465C0">
          <w:rPr>
            <w:webHidden/>
            <w:sz w:val="24"/>
            <w:szCs w:val="24"/>
          </w:rPr>
        </w:r>
        <w:r w:rsidR="00C465C0" w:rsidRPr="00C465C0">
          <w:rPr>
            <w:webHidden/>
            <w:sz w:val="24"/>
            <w:szCs w:val="24"/>
          </w:rPr>
          <w:fldChar w:fldCharType="separate"/>
        </w:r>
        <w:r w:rsidR="00DB625B">
          <w:rPr>
            <w:webHidden/>
            <w:sz w:val="24"/>
            <w:szCs w:val="24"/>
          </w:rPr>
          <w:t>1</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259" w:history="1">
        <w:r w:rsidR="00C465C0" w:rsidRPr="00C465C0">
          <w:rPr>
            <w:rStyle w:val="Hyperlink"/>
            <w:sz w:val="24"/>
            <w:szCs w:val="24"/>
          </w:rPr>
          <w:t>1.2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Background to this project</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_Toc362274259 \h </w:instrText>
        </w:r>
        <w:r w:rsidR="00C465C0" w:rsidRPr="00C465C0">
          <w:rPr>
            <w:webHidden/>
            <w:sz w:val="24"/>
            <w:szCs w:val="24"/>
          </w:rPr>
        </w:r>
        <w:r w:rsidR="00C465C0" w:rsidRPr="00C465C0">
          <w:rPr>
            <w:webHidden/>
            <w:sz w:val="24"/>
            <w:szCs w:val="24"/>
          </w:rPr>
          <w:fldChar w:fldCharType="separate"/>
        </w:r>
        <w:r w:rsidR="00DB625B">
          <w:rPr>
            <w:webHidden/>
            <w:sz w:val="24"/>
            <w:szCs w:val="24"/>
          </w:rPr>
          <w:t>1</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260" w:history="1">
        <w:r w:rsidR="00C465C0" w:rsidRPr="00C465C0">
          <w:rPr>
            <w:rStyle w:val="Hyperlink"/>
            <w:sz w:val="24"/>
            <w:szCs w:val="24"/>
          </w:rPr>
          <w:t>1.3</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This project</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_Toc362274260 \h </w:instrText>
        </w:r>
        <w:r w:rsidR="00C465C0" w:rsidRPr="00C465C0">
          <w:rPr>
            <w:webHidden/>
            <w:sz w:val="24"/>
            <w:szCs w:val="24"/>
          </w:rPr>
        </w:r>
        <w:r w:rsidR="00C465C0" w:rsidRPr="00C465C0">
          <w:rPr>
            <w:webHidden/>
            <w:sz w:val="24"/>
            <w:szCs w:val="24"/>
          </w:rPr>
          <w:fldChar w:fldCharType="separate"/>
        </w:r>
        <w:r w:rsidR="00DB625B">
          <w:rPr>
            <w:webHidden/>
            <w:sz w:val="24"/>
            <w:szCs w:val="24"/>
          </w:rPr>
          <w:t>2</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261" w:history="1">
        <w:r w:rsidR="00C465C0" w:rsidRPr="00C465C0">
          <w:rPr>
            <w:rStyle w:val="Hyperlink"/>
            <w:sz w:val="24"/>
            <w:szCs w:val="24"/>
          </w:rPr>
          <w:t>1.4</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Study area</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_Toc362274261 \h </w:instrText>
        </w:r>
        <w:r w:rsidR="00C465C0" w:rsidRPr="00C465C0">
          <w:rPr>
            <w:webHidden/>
            <w:sz w:val="24"/>
            <w:szCs w:val="24"/>
          </w:rPr>
        </w:r>
        <w:r w:rsidR="00C465C0" w:rsidRPr="00C465C0">
          <w:rPr>
            <w:webHidden/>
            <w:sz w:val="24"/>
            <w:szCs w:val="24"/>
          </w:rPr>
          <w:fldChar w:fldCharType="separate"/>
        </w:r>
        <w:r w:rsidR="00DB625B">
          <w:rPr>
            <w:webHidden/>
            <w:sz w:val="24"/>
            <w:szCs w:val="24"/>
          </w:rPr>
          <w:t>4</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262" w:history="1">
        <w:r w:rsidR="00C465C0" w:rsidRPr="00C465C0">
          <w:rPr>
            <w:rStyle w:val="Hyperlink"/>
            <w:sz w:val="24"/>
            <w:szCs w:val="24"/>
          </w:rPr>
          <w:t>1.5</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The structure of this report</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_Toc362274262 \h </w:instrText>
        </w:r>
        <w:r w:rsidR="00C465C0" w:rsidRPr="00C465C0">
          <w:rPr>
            <w:webHidden/>
            <w:sz w:val="24"/>
            <w:szCs w:val="24"/>
          </w:rPr>
        </w:r>
        <w:r w:rsidR="00C465C0" w:rsidRPr="00C465C0">
          <w:rPr>
            <w:webHidden/>
            <w:sz w:val="24"/>
            <w:szCs w:val="24"/>
          </w:rPr>
          <w:fldChar w:fldCharType="separate"/>
        </w:r>
        <w:r w:rsidR="00DB625B">
          <w:rPr>
            <w:webHidden/>
            <w:sz w:val="24"/>
            <w:szCs w:val="24"/>
          </w:rPr>
          <w:t>7</w:t>
        </w:r>
        <w:r w:rsidR="00C465C0" w:rsidRPr="00C465C0">
          <w:rPr>
            <w:webHidden/>
            <w:sz w:val="24"/>
            <w:szCs w:val="24"/>
          </w:rPr>
          <w:fldChar w:fldCharType="end"/>
        </w:r>
      </w:hyperlink>
    </w:p>
    <w:p w:rsidR="00C465C0" w:rsidRPr="00C465C0" w:rsidRDefault="00B85B36" w:rsidP="00C465C0">
      <w:pPr>
        <w:pStyle w:val="TOC1"/>
        <w:rPr>
          <w:rFonts w:asciiTheme="minorHAnsi" w:eastAsiaTheme="minorEastAsia" w:hAnsiTheme="minorHAnsi" w:cstheme="minorBidi"/>
          <w:b w:val="0"/>
          <w:caps w:val="0"/>
          <w:szCs w:val="24"/>
          <w:lang w:eastAsia="en-AU"/>
        </w:rPr>
      </w:pPr>
      <w:hyperlink w:anchor="_Toc362274263" w:history="1">
        <w:r w:rsidR="00C465C0" w:rsidRPr="00C465C0">
          <w:rPr>
            <w:rStyle w:val="Hyperlink"/>
            <w:szCs w:val="24"/>
          </w:rPr>
          <w:t>2.</w:t>
        </w:r>
        <w:r w:rsidR="00C465C0" w:rsidRPr="00C465C0">
          <w:rPr>
            <w:rFonts w:asciiTheme="minorHAnsi" w:eastAsiaTheme="minorEastAsia" w:hAnsiTheme="minorHAnsi" w:cstheme="minorBidi"/>
            <w:b w:val="0"/>
            <w:caps w:val="0"/>
            <w:szCs w:val="24"/>
            <w:lang w:eastAsia="en-AU"/>
          </w:rPr>
          <w:tab/>
        </w:r>
        <w:r w:rsidR="00C465C0" w:rsidRPr="00C465C0">
          <w:rPr>
            <w:rStyle w:val="Hyperlink"/>
            <w:szCs w:val="24"/>
          </w:rPr>
          <w:t>methodology</w:t>
        </w:r>
        <w:r w:rsidR="00C465C0" w:rsidRPr="00C465C0">
          <w:rPr>
            <w:webHidden/>
            <w:szCs w:val="24"/>
          </w:rPr>
          <w:tab/>
        </w:r>
        <w:r w:rsidR="00C465C0" w:rsidRPr="00C465C0">
          <w:rPr>
            <w:webHidden/>
            <w:szCs w:val="24"/>
          </w:rPr>
          <w:fldChar w:fldCharType="begin"/>
        </w:r>
        <w:r w:rsidR="00C465C0" w:rsidRPr="00C465C0">
          <w:rPr>
            <w:webHidden/>
            <w:szCs w:val="24"/>
          </w:rPr>
          <w:instrText xml:space="preserve"> PAGEREF _Toc362274263 \h </w:instrText>
        </w:r>
        <w:r w:rsidR="00C465C0" w:rsidRPr="00C465C0">
          <w:rPr>
            <w:webHidden/>
            <w:szCs w:val="24"/>
          </w:rPr>
        </w:r>
        <w:r w:rsidR="00C465C0" w:rsidRPr="00C465C0">
          <w:rPr>
            <w:webHidden/>
            <w:szCs w:val="24"/>
          </w:rPr>
          <w:fldChar w:fldCharType="separate"/>
        </w:r>
        <w:r w:rsidR="00DB625B">
          <w:rPr>
            <w:webHidden/>
            <w:szCs w:val="24"/>
          </w:rPr>
          <w:t>8</w:t>
        </w:r>
        <w:r w:rsidR="00C465C0" w:rsidRPr="00C465C0">
          <w:rPr>
            <w:webHidden/>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264" w:history="1">
        <w:r w:rsidR="00C465C0" w:rsidRPr="00C465C0">
          <w:rPr>
            <w:rStyle w:val="Hyperlink"/>
            <w:sz w:val="24"/>
            <w:szCs w:val="24"/>
          </w:rPr>
          <w:t>2.1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Social Economic Appraisal using a Triple-bottom-line approach</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_Toc362274264 \h </w:instrText>
        </w:r>
        <w:r w:rsidR="00C465C0" w:rsidRPr="00C465C0">
          <w:rPr>
            <w:webHidden/>
            <w:sz w:val="24"/>
            <w:szCs w:val="24"/>
          </w:rPr>
        </w:r>
        <w:r w:rsidR="00C465C0" w:rsidRPr="00C465C0">
          <w:rPr>
            <w:webHidden/>
            <w:sz w:val="24"/>
            <w:szCs w:val="24"/>
          </w:rPr>
          <w:fldChar w:fldCharType="separate"/>
        </w:r>
        <w:r w:rsidR="00DB625B">
          <w:rPr>
            <w:webHidden/>
            <w:sz w:val="24"/>
            <w:szCs w:val="24"/>
          </w:rPr>
          <w:t>8</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265" w:history="1">
        <w:r w:rsidR="00C465C0" w:rsidRPr="00C465C0">
          <w:rPr>
            <w:rStyle w:val="Hyperlink"/>
            <w:sz w:val="24"/>
            <w:szCs w:val="24"/>
          </w:rPr>
          <w:t>2.1.1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Cost Benefit Analysis framework</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_Toc362274265 \h </w:instrText>
        </w:r>
        <w:r w:rsidR="00C465C0" w:rsidRPr="00C465C0">
          <w:rPr>
            <w:webHidden/>
            <w:sz w:val="24"/>
            <w:szCs w:val="24"/>
          </w:rPr>
        </w:r>
        <w:r w:rsidR="00C465C0" w:rsidRPr="00C465C0">
          <w:rPr>
            <w:webHidden/>
            <w:sz w:val="24"/>
            <w:szCs w:val="24"/>
          </w:rPr>
          <w:fldChar w:fldCharType="separate"/>
        </w:r>
        <w:r w:rsidR="00DB625B">
          <w:rPr>
            <w:webHidden/>
            <w:sz w:val="24"/>
            <w:szCs w:val="24"/>
          </w:rPr>
          <w:t>8</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266" w:history="1">
        <w:r w:rsidR="00C465C0" w:rsidRPr="00C465C0">
          <w:rPr>
            <w:rStyle w:val="Hyperlink"/>
            <w:sz w:val="24"/>
            <w:szCs w:val="24"/>
          </w:rPr>
          <w:t>2.1.2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Economic Appraisal assumptions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_Toc362274266 \h </w:instrText>
        </w:r>
        <w:r w:rsidR="00C465C0" w:rsidRPr="00C465C0">
          <w:rPr>
            <w:webHidden/>
            <w:sz w:val="24"/>
            <w:szCs w:val="24"/>
          </w:rPr>
        </w:r>
        <w:r w:rsidR="00C465C0" w:rsidRPr="00C465C0">
          <w:rPr>
            <w:webHidden/>
            <w:sz w:val="24"/>
            <w:szCs w:val="24"/>
          </w:rPr>
          <w:fldChar w:fldCharType="separate"/>
        </w:r>
        <w:r w:rsidR="00DB625B">
          <w:rPr>
            <w:webHidden/>
            <w:sz w:val="24"/>
            <w:szCs w:val="24"/>
          </w:rPr>
          <w:t>9</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267" w:history="1">
        <w:r w:rsidR="00C465C0" w:rsidRPr="00C465C0">
          <w:rPr>
            <w:rStyle w:val="Hyperlink"/>
            <w:sz w:val="24"/>
            <w:szCs w:val="24"/>
          </w:rPr>
          <w:t>2.2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Stakeholder engagement</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_Toc362274267 \h </w:instrText>
        </w:r>
        <w:r w:rsidR="00C465C0" w:rsidRPr="00C465C0">
          <w:rPr>
            <w:webHidden/>
            <w:sz w:val="24"/>
            <w:szCs w:val="24"/>
          </w:rPr>
        </w:r>
        <w:r w:rsidR="00C465C0" w:rsidRPr="00C465C0">
          <w:rPr>
            <w:webHidden/>
            <w:sz w:val="24"/>
            <w:szCs w:val="24"/>
          </w:rPr>
          <w:fldChar w:fldCharType="separate"/>
        </w:r>
        <w:r w:rsidR="00DB625B">
          <w:rPr>
            <w:webHidden/>
            <w:sz w:val="24"/>
            <w:szCs w:val="24"/>
          </w:rPr>
          <w:t>10</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268" w:history="1">
        <w:r w:rsidR="00C465C0" w:rsidRPr="00C465C0">
          <w:rPr>
            <w:rStyle w:val="Hyperlink"/>
            <w:sz w:val="24"/>
            <w:szCs w:val="24"/>
          </w:rPr>
          <w:t>2.2.1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Background</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_Toc362274268 \h </w:instrText>
        </w:r>
        <w:r w:rsidR="00C465C0" w:rsidRPr="00C465C0">
          <w:rPr>
            <w:webHidden/>
            <w:sz w:val="24"/>
            <w:szCs w:val="24"/>
          </w:rPr>
        </w:r>
        <w:r w:rsidR="00C465C0" w:rsidRPr="00C465C0">
          <w:rPr>
            <w:webHidden/>
            <w:sz w:val="24"/>
            <w:szCs w:val="24"/>
          </w:rPr>
          <w:fldChar w:fldCharType="separate"/>
        </w:r>
        <w:r w:rsidR="00DB625B">
          <w:rPr>
            <w:webHidden/>
            <w:sz w:val="24"/>
            <w:szCs w:val="24"/>
          </w:rPr>
          <w:t>10</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269" w:history="1">
        <w:r w:rsidR="00C465C0" w:rsidRPr="00C465C0">
          <w:rPr>
            <w:rStyle w:val="Hyperlink"/>
            <w:sz w:val="24"/>
            <w:szCs w:val="24"/>
          </w:rPr>
          <w:t>2.2.2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One-on-one interviews with relevant stakeholders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_Toc362274269 \h </w:instrText>
        </w:r>
        <w:r w:rsidR="00C465C0" w:rsidRPr="00C465C0">
          <w:rPr>
            <w:webHidden/>
            <w:sz w:val="24"/>
            <w:szCs w:val="24"/>
          </w:rPr>
        </w:r>
        <w:r w:rsidR="00C465C0" w:rsidRPr="00C465C0">
          <w:rPr>
            <w:webHidden/>
            <w:sz w:val="24"/>
            <w:szCs w:val="24"/>
          </w:rPr>
          <w:fldChar w:fldCharType="separate"/>
        </w:r>
        <w:r w:rsidR="00DB625B">
          <w:rPr>
            <w:webHidden/>
            <w:sz w:val="24"/>
            <w:szCs w:val="24"/>
          </w:rPr>
          <w:t>12</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270" w:history="1">
        <w:r w:rsidR="00C465C0" w:rsidRPr="00C465C0">
          <w:rPr>
            <w:rStyle w:val="Hyperlink"/>
            <w:sz w:val="24"/>
            <w:szCs w:val="24"/>
          </w:rPr>
          <w:t>2.2.3</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Workshop with relevant stakeholders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_Toc362274270 \h </w:instrText>
        </w:r>
        <w:r w:rsidR="00C465C0" w:rsidRPr="00C465C0">
          <w:rPr>
            <w:webHidden/>
            <w:sz w:val="24"/>
            <w:szCs w:val="24"/>
          </w:rPr>
        </w:r>
        <w:r w:rsidR="00C465C0" w:rsidRPr="00C465C0">
          <w:rPr>
            <w:webHidden/>
            <w:sz w:val="24"/>
            <w:szCs w:val="24"/>
          </w:rPr>
          <w:fldChar w:fldCharType="separate"/>
        </w:r>
        <w:r w:rsidR="00DB625B">
          <w:rPr>
            <w:webHidden/>
            <w:sz w:val="24"/>
            <w:szCs w:val="24"/>
          </w:rPr>
          <w:t>12</w:t>
        </w:r>
        <w:r w:rsidR="00C465C0" w:rsidRPr="00C465C0">
          <w:rPr>
            <w:webHidden/>
            <w:sz w:val="24"/>
            <w:szCs w:val="24"/>
          </w:rPr>
          <w:fldChar w:fldCharType="end"/>
        </w:r>
      </w:hyperlink>
    </w:p>
    <w:p w:rsidR="00C465C0" w:rsidRPr="00C465C0" w:rsidRDefault="00B85B36" w:rsidP="00C465C0">
      <w:pPr>
        <w:pStyle w:val="TOC1"/>
        <w:rPr>
          <w:rFonts w:asciiTheme="minorHAnsi" w:eastAsiaTheme="minorEastAsia" w:hAnsiTheme="minorHAnsi" w:cstheme="minorBidi"/>
          <w:b w:val="0"/>
          <w:caps w:val="0"/>
          <w:szCs w:val="24"/>
          <w:lang w:eastAsia="en-AU"/>
        </w:rPr>
      </w:pPr>
      <w:hyperlink w:anchor="_Toc362274271" w:history="1">
        <w:r w:rsidR="00C465C0" w:rsidRPr="00C465C0">
          <w:rPr>
            <w:rStyle w:val="Hyperlink"/>
            <w:szCs w:val="24"/>
          </w:rPr>
          <w:t>3.</w:t>
        </w:r>
        <w:r w:rsidR="00C465C0" w:rsidRPr="00C465C0">
          <w:rPr>
            <w:rFonts w:asciiTheme="minorHAnsi" w:eastAsiaTheme="minorEastAsia" w:hAnsiTheme="minorHAnsi" w:cstheme="minorBidi"/>
            <w:b w:val="0"/>
            <w:caps w:val="0"/>
            <w:szCs w:val="24"/>
            <w:lang w:eastAsia="en-AU"/>
          </w:rPr>
          <w:tab/>
        </w:r>
        <w:r w:rsidR="00C465C0" w:rsidRPr="00C465C0">
          <w:rPr>
            <w:rStyle w:val="Hyperlink"/>
            <w:szCs w:val="24"/>
          </w:rPr>
          <w:t>stakeholder consultations</w:t>
        </w:r>
        <w:r w:rsidR="00C465C0" w:rsidRPr="00C465C0">
          <w:rPr>
            <w:webHidden/>
            <w:szCs w:val="24"/>
          </w:rPr>
          <w:tab/>
        </w:r>
        <w:r w:rsidR="00C465C0" w:rsidRPr="00C465C0">
          <w:rPr>
            <w:webHidden/>
            <w:szCs w:val="24"/>
          </w:rPr>
          <w:fldChar w:fldCharType="begin"/>
        </w:r>
        <w:r w:rsidR="00C465C0" w:rsidRPr="00C465C0">
          <w:rPr>
            <w:webHidden/>
            <w:szCs w:val="24"/>
          </w:rPr>
          <w:instrText xml:space="preserve"> PAGEREF _Toc362274271 \h </w:instrText>
        </w:r>
        <w:r w:rsidR="00C465C0" w:rsidRPr="00C465C0">
          <w:rPr>
            <w:webHidden/>
            <w:szCs w:val="24"/>
          </w:rPr>
        </w:r>
        <w:r w:rsidR="00C465C0" w:rsidRPr="00C465C0">
          <w:rPr>
            <w:webHidden/>
            <w:szCs w:val="24"/>
          </w:rPr>
          <w:fldChar w:fldCharType="separate"/>
        </w:r>
        <w:r w:rsidR="00DB625B">
          <w:rPr>
            <w:webHidden/>
            <w:szCs w:val="24"/>
          </w:rPr>
          <w:t>14</w:t>
        </w:r>
        <w:r w:rsidR="00C465C0" w:rsidRPr="00C465C0">
          <w:rPr>
            <w:webHidden/>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272" w:history="1">
        <w:r w:rsidR="00C465C0" w:rsidRPr="00C465C0">
          <w:rPr>
            <w:rStyle w:val="Hyperlink"/>
            <w:sz w:val="24"/>
            <w:szCs w:val="24"/>
          </w:rPr>
          <w:t>3.1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Background</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_Toc362274272 \h </w:instrText>
        </w:r>
        <w:r w:rsidR="00C465C0" w:rsidRPr="00C465C0">
          <w:rPr>
            <w:webHidden/>
            <w:sz w:val="24"/>
            <w:szCs w:val="24"/>
          </w:rPr>
        </w:r>
        <w:r w:rsidR="00C465C0" w:rsidRPr="00C465C0">
          <w:rPr>
            <w:webHidden/>
            <w:sz w:val="24"/>
            <w:szCs w:val="24"/>
          </w:rPr>
          <w:fldChar w:fldCharType="separate"/>
        </w:r>
        <w:r w:rsidR="00DB625B">
          <w:rPr>
            <w:webHidden/>
            <w:sz w:val="24"/>
            <w:szCs w:val="24"/>
          </w:rPr>
          <w:t>14</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273" w:history="1">
        <w:r w:rsidR="00C465C0" w:rsidRPr="00C465C0">
          <w:rPr>
            <w:rStyle w:val="Hyperlink"/>
            <w:sz w:val="24"/>
            <w:szCs w:val="24"/>
          </w:rPr>
          <w:t>3.1.1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Data sources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_Toc362274273 \h </w:instrText>
        </w:r>
        <w:r w:rsidR="00C465C0" w:rsidRPr="00C465C0">
          <w:rPr>
            <w:webHidden/>
            <w:sz w:val="24"/>
            <w:szCs w:val="24"/>
          </w:rPr>
        </w:r>
        <w:r w:rsidR="00C465C0" w:rsidRPr="00C465C0">
          <w:rPr>
            <w:webHidden/>
            <w:sz w:val="24"/>
            <w:szCs w:val="24"/>
          </w:rPr>
          <w:fldChar w:fldCharType="separate"/>
        </w:r>
        <w:r w:rsidR="00DB625B">
          <w:rPr>
            <w:webHidden/>
            <w:sz w:val="24"/>
            <w:szCs w:val="24"/>
          </w:rPr>
          <w:t>14</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274" w:history="1">
        <w:r w:rsidR="00C465C0" w:rsidRPr="00C465C0">
          <w:rPr>
            <w:rStyle w:val="Hyperlink"/>
            <w:sz w:val="24"/>
            <w:szCs w:val="24"/>
          </w:rPr>
          <w:t>3.2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General findings on social issues associated with ship anchorages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_Toc362274274 \h </w:instrText>
        </w:r>
        <w:r w:rsidR="00C465C0" w:rsidRPr="00C465C0">
          <w:rPr>
            <w:webHidden/>
            <w:sz w:val="24"/>
            <w:szCs w:val="24"/>
          </w:rPr>
        </w:r>
        <w:r w:rsidR="00C465C0" w:rsidRPr="00C465C0">
          <w:rPr>
            <w:webHidden/>
            <w:sz w:val="24"/>
            <w:szCs w:val="24"/>
          </w:rPr>
          <w:fldChar w:fldCharType="separate"/>
        </w:r>
        <w:r w:rsidR="00DB625B">
          <w:rPr>
            <w:webHidden/>
            <w:sz w:val="24"/>
            <w:szCs w:val="24"/>
          </w:rPr>
          <w:t>14</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275" w:history="1">
        <w:r w:rsidR="00C465C0" w:rsidRPr="00C465C0">
          <w:rPr>
            <w:rStyle w:val="Hyperlink"/>
            <w:sz w:val="24"/>
            <w:szCs w:val="24"/>
          </w:rPr>
          <w:t>3.2.1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Altered aesthetic value</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_Toc362274275 \h </w:instrText>
        </w:r>
        <w:r w:rsidR="00C465C0" w:rsidRPr="00C465C0">
          <w:rPr>
            <w:webHidden/>
            <w:sz w:val="24"/>
            <w:szCs w:val="24"/>
          </w:rPr>
        </w:r>
        <w:r w:rsidR="00C465C0" w:rsidRPr="00C465C0">
          <w:rPr>
            <w:webHidden/>
            <w:sz w:val="24"/>
            <w:szCs w:val="24"/>
          </w:rPr>
          <w:fldChar w:fldCharType="separate"/>
        </w:r>
        <w:r w:rsidR="00DB625B">
          <w:rPr>
            <w:webHidden/>
            <w:sz w:val="24"/>
            <w:szCs w:val="24"/>
          </w:rPr>
          <w:t>15</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276" w:history="1">
        <w:r w:rsidR="00C465C0" w:rsidRPr="00C465C0">
          <w:rPr>
            <w:rStyle w:val="Hyperlink"/>
            <w:sz w:val="24"/>
            <w:szCs w:val="24"/>
          </w:rPr>
          <w:t>3.2.2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Interference with access to resources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_Toc362274276 \h </w:instrText>
        </w:r>
        <w:r w:rsidR="00C465C0" w:rsidRPr="00C465C0">
          <w:rPr>
            <w:webHidden/>
            <w:sz w:val="24"/>
            <w:szCs w:val="24"/>
          </w:rPr>
        </w:r>
        <w:r w:rsidR="00C465C0" w:rsidRPr="00C465C0">
          <w:rPr>
            <w:webHidden/>
            <w:sz w:val="24"/>
            <w:szCs w:val="24"/>
          </w:rPr>
          <w:fldChar w:fldCharType="separate"/>
        </w:r>
        <w:r w:rsidR="00DB625B">
          <w:rPr>
            <w:webHidden/>
            <w:sz w:val="24"/>
            <w:szCs w:val="24"/>
          </w:rPr>
          <w:t>15</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277" w:history="1">
        <w:r w:rsidR="00C465C0" w:rsidRPr="00C465C0">
          <w:rPr>
            <w:rStyle w:val="Hyperlink"/>
            <w:sz w:val="24"/>
            <w:szCs w:val="24"/>
          </w:rPr>
          <w:t>3.3</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Port specific social issues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_Toc362274277 \h </w:instrText>
        </w:r>
        <w:r w:rsidR="00C465C0" w:rsidRPr="00C465C0">
          <w:rPr>
            <w:webHidden/>
            <w:sz w:val="24"/>
            <w:szCs w:val="24"/>
          </w:rPr>
        </w:r>
        <w:r w:rsidR="00C465C0" w:rsidRPr="00C465C0">
          <w:rPr>
            <w:webHidden/>
            <w:sz w:val="24"/>
            <w:szCs w:val="24"/>
          </w:rPr>
          <w:fldChar w:fldCharType="separate"/>
        </w:r>
        <w:r w:rsidR="00DB625B">
          <w:rPr>
            <w:webHidden/>
            <w:sz w:val="24"/>
            <w:szCs w:val="24"/>
          </w:rPr>
          <w:t>16</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278" w:history="1">
        <w:r w:rsidR="00C465C0" w:rsidRPr="00C465C0">
          <w:rPr>
            <w:rStyle w:val="Hyperlink"/>
            <w:sz w:val="24"/>
            <w:szCs w:val="24"/>
          </w:rPr>
          <w:t>3.3.1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Social issues for the Port of Cairns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_Toc362274278 \h </w:instrText>
        </w:r>
        <w:r w:rsidR="00C465C0" w:rsidRPr="00C465C0">
          <w:rPr>
            <w:webHidden/>
            <w:sz w:val="24"/>
            <w:szCs w:val="24"/>
          </w:rPr>
        </w:r>
        <w:r w:rsidR="00C465C0" w:rsidRPr="00C465C0">
          <w:rPr>
            <w:webHidden/>
            <w:sz w:val="24"/>
            <w:szCs w:val="24"/>
          </w:rPr>
          <w:fldChar w:fldCharType="separate"/>
        </w:r>
        <w:r w:rsidR="00DB625B">
          <w:rPr>
            <w:webHidden/>
            <w:sz w:val="24"/>
            <w:szCs w:val="24"/>
          </w:rPr>
          <w:t>17</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279" w:history="1">
        <w:r w:rsidR="00C465C0" w:rsidRPr="00C465C0">
          <w:rPr>
            <w:rStyle w:val="Hyperlink"/>
            <w:sz w:val="24"/>
            <w:szCs w:val="24"/>
          </w:rPr>
          <w:t>3.3.2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Social issues for the Port of Townsville</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_Toc362274279 \h </w:instrText>
        </w:r>
        <w:r w:rsidR="00C465C0" w:rsidRPr="00C465C0">
          <w:rPr>
            <w:webHidden/>
            <w:sz w:val="24"/>
            <w:szCs w:val="24"/>
          </w:rPr>
        </w:r>
        <w:r w:rsidR="00C465C0" w:rsidRPr="00C465C0">
          <w:rPr>
            <w:webHidden/>
            <w:sz w:val="24"/>
            <w:szCs w:val="24"/>
          </w:rPr>
          <w:fldChar w:fldCharType="separate"/>
        </w:r>
        <w:r w:rsidR="00DB625B">
          <w:rPr>
            <w:webHidden/>
            <w:sz w:val="24"/>
            <w:szCs w:val="24"/>
          </w:rPr>
          <w:t>18</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280" w:history="1">
        <w:r w:rsidR="00C465C0" w:rsidRPr="00C465C0">
          <w:rPr>
            <w:rStyle w:val="Hyperlink"/>
            <w:sz w:val="24"/>
            <w:szCs w:val="24"/>
          </w:rPr>
          <w:t>3.3.3</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Social issues for the Port of Abbot Point</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_Toc362274280 \h </w:instrText>
        </w:r>
        <w:r w:rsidR="00C465C0" w:rsidRPr="00C465C0">
          <w:rPr>
            <w:webHidden/>
            <w:sz w:val="24"/>
            <w:szCs w:val="24"/>
          </w:rPr>
        </w:r>
        <w:r w:rsidR="00C465C0" w:rsidRPr="00C465C0">
          <w:rPr>
            <w:webHidden/>
            <w:sz w:val="24"/>
            <w:szCs w:val="24"/>
          </w:rPr>
          <w:fldChar w:fldCharType="separate"/>
        </w:r>
        <w:r w:rsidR="00DB625B">
          <w:rPr>
            <w:webHidden/>
            <w:sz w:val="24"/>
            <w:szCs w:val="24"/>
          </w:rPr>
          <w:t>20</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281" w:history="1">
        <w:r w:rsidR="00C465C0" w:rsidRPr="00C465C0">
          <w:rPr>
            <w:rStyle w:val="Hyperlink"/>
            <w:sz w:val="24"/>
            <w:szCs w:val="24"/>
          </w:rPr>
          <w:t>3.3.4</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Social issues for the Port of Hay Point</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_Toc362274281 \h </w:instrText>
        </w:r>
        <w:r w:rsidR="00C465C0" w:rsidRPr="00C465C0">
          <w:rPr>
            <w:webHidden/>
            <w:sz w:val="24"/>
            <w:szCs w:val="24"/>
          </w:rPr>
        </w:r>
        <w:r w:rsidR="00C465C0" w:rsidRPr="00C465C0">
          <w:rPr>
            <w:webHidden/>
            <w:sz w:val="24"/>
            <w:szCs w:val="24"/>
          </w:rPr>
          <w:fldChar w:fldCharType="separate"/>
        </w:r>
        <w:r w:rsidR="00DB625B">
          <w:rPr>
            <w:webHidden/>
            <w:sz w:val="24"/>
            <w:szCs w:val="24"/>
          </w:rPr>
          <w:t>21</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282" w:history="1">
        <w:r w:rsidR="00C465C0" w:rsidRPr="00C465C0">
          <w:rPr>
            <w:rStyle w:val="Hyperlink"/>
            <w:sz w:val="24"/>
            <w:szCs w:val="24"/>
          </w:rPr>
          <w:t>3.3.5</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Social issues for the Port of Gladstone</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_Toc362274282 \h </w:instrText>
        </w:r>
        <w:r w:rsidR="00C465C0" w:rsidRPr="00C465C0">
          <w:rPr>
            <w:webHidden/>
            <w:sz w:val="24"/>
            <w:szCs w:val="24"/>
          </w:rPr>
        </w:r>
        <w:r w:rsidR="00C465C0" w:rsidRPr="00C465C0">
          <w:rPr>
            <w:webHidden/>
            <w:sz w:val="24"/>
            <w:szCs w:val="24"/>
          </w:rPr>
          <w:fldChar w:fldCharType="separate"/>
        </w:r>
        <w:r w:rsidR="00DB625B">
          <w:rPr>
            <w:webHidden/>
            <w:sz w:val="24"/>
            <w:szCs w:val="24"/>
          </w:rPr>
          <w:t>22</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283" w:history="1">
        <w:r w:rsidR="00C465C0" w:rsidRPr="00C465C0">
          <w:rPr>
            <w:rStyle w:val="Hyperlink"/>
            <w:sz w:val="24"/>
            <w:szCs w:val="24"/>
          </w:rPr>
          <w:t>3.4</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Overall conclusions on social aspects of ship anchorages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_Toc362274283 \h </w:instrText>
        </w:r>
        <w:r w:rsidR="00C465C0" w:rsidRPr="00C465C0">
          <w:rPr>
            <w:webHidden/>
            <w:sz w:val="24"/>
            <w:szCs w:val="24"/>
          </w:rPr>
        </w:r>
        <w:r w:rsidR="00C465C0" w:rsidRPr="00C465C0">
          <w:rPr>
            <w:webHidden/>
            <w:sz w:val="24"/>
            <w:szCs w:val="24"/>
          </w:rPr>
          <w:fldChar w:fldCharType="separate"/>
        </w:r>
        <w:r w:rsidR="00DB625B">
          <w:rPr>
            <w:webHidden/>
            <w:sz w:val="24"/>
            <w:szCs w:val="24"/>
          </w:rPr>
          <w:t>24</w:t>
        </w:r>
        <w:r w:rsidR="00C465C0" w:rsidRPr="00C465C0">
          <w:rPr>
            <w:webHidden/>
            <w:sz w:val="24"/>
            <w:szCs w:val="24"/>
          </w:rPr>
          <w:fldChar w:fldCharType="end"/>
        </w:r>
      </w:hyperlink>
    </w:p>
    <w:p w:rsidR="00C465C0" w:rsidRPr="00C465C0" w:rsidRDefault="00B85B36" w:rsidP="00C465C0">
      <w:pPr>
        <w:pStyle w:val="TOC1"/>
        <w:rPr>
          <w:rFonts w:asciiTheme="minorHAnsi" w:eastAsiaTheme="minorEastAsia" w:hAnsiTheme="minorHAnsi" w:cstheme="minorBidi"/>
          <w:b w:val="0"/>
          <w:caps w:val="0"/>
          <w:szCs w:val="24"/>
          <w:lang w:eastAsia="en-AU"/>
        </w:rPr>
      </w:pPr>
      <w:hyperlink w:anchor="_Toc362274284" w:history="1">
        <w:r w:rsidR="00C465C0" w:rsidRPr="00C465C0">
          <w:rPr>
            <w:rStyle w:val="Hyperlink"/>
            <w:szCs w:val="24"/>
          </w:rPr>
          <w:t>4.</w:t>
        </w:r>
        <w:r w:rsidR="00C465C0" w:rsidRPr="00C465C0">
          <w:rPr>
            <w:rFonts w:asciiTheme="minorHAnsi" w:eastAsiaTheme="minorEastAsia" w:hAnsiTheme="minorHAnsi" w:cstheme="minorBidi"/>
            <w:b w:val="0"/>
            <w:caps w:val="0"/>
            <w:szCs w:val="24"/>
            <w:lang w:eastAsia="en-AU"/>
          </w:rPr>
          <w:tab/>
        </w:r>
        <w:r w:rsidR="00C465C0" w:rsidRPr="00C465C0">
          <w:rPr>
            <w:rStyle w:val="Hyperlink"/>
            <w:szCs w:val="24"/>
          </w:rPr>
          <w:t>demand for SHIP ANCHORAGEs AND THEIR OPERATION</w:t>
        </w:r>
        <w:r w:rsidR="00C465C0" w:rsidRPr="00C465C0">
          <w:rPr>
            <w:webHidden/>
            <w:szCs w:val="24"/>
          </w:rPr>
          <w:tab/>
        </w:r>
        <w:r w:rsidR="00C465C0" w:rsidRPr="00C465C0">
          <w:rPr>
            <w:webHidden/>
            <w:szCs w:val="24"/>
          </w:rPr>
          <w:fldChar w:fldCharType="begin"/>
        </w:r>
        <w:r w:rsidR="00C465C0" w:rsidRPr="00C465C0">
          <w:rPr>
            <w:webHidden/>
            <w:szCs w:val="24"/>
          </w:rPr>
          <w:instrText xml:space="preserve"> PAGEREF _Toc362274284 \h </w:instrText>
        </w:r>
        <w:r w:rsidR="00C465C0" w:rsidRPr="00C465C0">
          <w:rPr>
            <w:webHidden/>
            <w:szCs w:val="24"/>
          </w:rPr>
        </w:r>
        <w:r w:rsidR="00C465C0" w:rsidRPr="00C465C0">
          <w:rPr>
            <w:webHidden/>
            <w:szCs w:val="24"/>
          </w:rPr>
          <w:fldChar w:fldCharType="separate"/>
        </w:r>
        <w:r w:rsidR="00DB625B">
          <w:rPr>
            <w:webHidden/>
            <w:szCs w:val="24"/>
          </w:rPr>
          <w:t>27</w:t>
        </w:r>
        <w:r w:rsidR="00C465C0" w:rsidRPr="00C465C0">
          <w:rPr>
            <w:webHidden/>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285" w:history="1">
        <w:r w:rsidR="00C465C0" w:rsidRPr="00C465C0">
          <w:rPr>
            <w:rStyle w:val="Hyperlink"/>
            <w:sz w:val="24"/>
            <w:szCs w:val="24"/>
          </w:rPr>
          <w:t>4.1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Background</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_Toc362274285 \h </w:instrText>
        </w:r>
        <w:r w:rsidR="00C465C0" w:rsidRPr="00C465C0">
          <w:rPr>
            <w:webHidden/>
            <w:sz w:val="24"/>
            <w:szCs w:val="24"/>
          </w:rPr>
        </w:r>
        <w:r w:rsidR="00C465C0" w:rsidRPr="00C465C0">
          <w:rPr>
            <w:webHidden/>
            <w:sz w:val="24"/>
            <w:szCs w:val="24"/>
          </w:rPr>
          <w:fldChar w:fldCharType="separate"/>
        </w:r>
        <w:r w:rsidR="00DB625B">
          <w:rPr>
            <w:webHidden/>
            <w:sz w:val="24"/>
            <w:szCs w:val="24"/>
          </w:rPr>
          <w:t>27</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286" w:history="1">
        <w:r w:rsidR="00C465C0" w:rsidRPr="00C465C0">
          <w:rPr>
            <w:rStyle w:val="Hyperlink"/>
            <w:sz w:val="24"/>
            <w:szCs w:val="24"/>
          </w:rPr>
          <w:t>4.1.1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Data sources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_Toc362274286 \h </w:instrText>
        </w:r>
        <w:r w:rsidR="00C465C0" w:rsidRPr="00C465C0">
          <w:rPr>
            <w:webHidden/>
            <w:sz w:val="24"/>
            <w:szCs w:val="24"/>
          </w:rPr>
        </w:r>
        <w:r w:rsidR="00C465C0" w:rsidRPr="00C465C0">
          <w:rPr>
            <w:webHidden/>
            <w:sz w:val="24"/>
            <w:szCs w:val="24"/>
          </w:rPr>
          <w:fldChar w:fldCharType="separate"/>
        </w:r>
        <w:r w:rsidR="00DB625B">
          <w:rPr>
            <w:webHidden/>
            <w:sz w:val="24"/>
            <w:szCs w:val="24"/>
          </w:rPr>
          <w:t>27</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287" w:history="1">
        <w:r w:rsidR="00C465C0" w:rsidRPr="00C465C0">
          <w:rPr>
            <w:rStyle w:val="Hyperlink"/>
            <w:sz w:val="24"/>
            <w:szCs w:val="24"/>
          </w:rPr>
          <w:t>4.2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How ships use anchorages and the drivers of demand for anchorages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_Toc362274287 \h </w:instrText>
        </w:r>
        <w:r w:rsidR="00C465C0" w:rsidRPr="00C465C0">
          <w:rPr>
            <w:webHidden/>
            <w:sz w:val="24"/>
            <w:szCs w:val="24"/>
          </w:rPr>
        </w:r>
        <w:r w:rsidR="00C465C0" w:rsidRPr="00C465C0">
          <w:rPr>
            <w:webHidden/>
            <w:sz w:val="24"/>
            <w:szCs w:val="24"/>
          </w:rPr>
          <w:fldChar w:fldCharType="separate"/>
        </w:r>
        <w:r w:rsidR="00DB625B">
          <w:rPr>
            <w:webHidden/>
            <w:sz w:val="24"/>
            <w:szCs w:val="24"/>
          </w:rPr>
          <w:t>28</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288" w:history="1">
        <w:r w:rsidR="00C465C0" w:rsidRPr="00C465C0">
          <w:rPr>
            <w:rStyle w:val="Hyperlink"/>
            <w:sz w:val="24"/>
            <w:szCs w:val="24"/>
          </w:rPr>
          <w:t>4.3</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Other users of ship anchorage areas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_Toc362274288 \h </w:instrText>
        </w:r>
        <w:r w:rsidR="00C465C0" w:rsidRPr="00C465C0">
          <w:rPr>
            <w:webHidden/>
            <w:sz w:val="24"/>
            <w:szCs w:val="24"/>
          </w:rPr>
        </w:r>
        <w:r w:rsidR="00C465C0" w:rsidRPr="00C465C0">
          <w:rPr>
            <w:webHidden/>
            <w:sz w:val="24"/>
            <w:szCs w:val="24"/>
          </w:rPr>
          <w:fldChar w:fldCharType="separate"/>
        </w:r>
        <w:r w:rsidR="00DB625B">
          <w:rPr>
            <w:webHidden/>
            <w:sz w:val="24"/>
            <w:szCs w:val="24"/>
          </w:rPr>
          <w:t>30</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289" w:history="1">
        <w:r w:rsidR="00C465C0" w:rsidRPr="00C465C0">
          <w:rPr>
            <w:rStyle w:val="Hyperlink"/>
            <w:sz w:val="24"/>
            <w:szCs w:val="24"/>
          </w:rPr>
          <w:t>4.4</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Overall demand for and use of ship anchorages along the study port range</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_Toc362274289 \h </w:instrText>
        </w:r>
        <w:r w:rsidR="00C465C0" w:rsidRPr="00C465C0">
          <w:rPr>
            <w:webHidden/>
            <w:sz w:val="24"/>
            <w:szCs w:val="24"/>
          </w:rPr>
        </w:r>
        <w:r w:rsidR="00C465C0" w:rsidRPr="00C465C0">
          <w:rPr>
            <w:webHidden/>
            <w:sz w:val="24"/>
            <w:szCs w:val="24"/>
          </w:rPr>
          <w:fldChar w:fldCharType="separate"/>
        </w:r>
        <w:r w:rsidR="00DB625B">
          <w:rPr>
            <w:webHidden/>
            <w:sz w:val="24"/>
            <w:szCs w:val="24"/>
          </w:rPr>
          <w:t>30</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290" w:history="1">
        <w:r w:rsidR="00C465C0" w:rsidRPr="00C465C0">
          <w:rPr>
            <w:rStyle w:val="Hyperlink"/>
            <w:sz w:val="24"/>
            <w:szCs w:val="24"/>
          </w:rPr>
          <w:t>4.4.1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Current total ship visits to the five main ports and the share of ships using anchorages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_Toc362274290 \h </w:instrText>
        </w:r>
        <w:r w:rsidR="00C465C0" w:rsidRPr="00C465C0">
          <w:rPr>
            <w:webHidden/>
            <w:sz w:val="24"/>
            <w:szCs w:val="24"/>
          </w:rPr>
        </w:r>
        <w:r w:rsidR="00C465C0" w:rsidRPr="00C465C0">
          <w:rPr>
            <w:webHidden/>
            <w:sz w:val="24"/>
            <w:szCs w:val="24"/>
          </w:rPr>
          <w:fldChar w:fldCharType="separate"/>
        </w:r>
        <w:r w:rsidR="00DB625B">
          <w:rPr>
            <w:webHidden/>
            <w:sz w:val="24"/>
            <w:szCs w:val="24"/>
          </w:rPr>
          <w:t>30</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291" w:history="1">
        <w:r w:rsidR="00C465C0" w:rsidRPr="00C465C0">
          <w:rPr>
            <w:rStyle w:val="Hyperlink"/>
            <w:sz w:val="24"/>
            <w:szCs w:val="24"/>
          </w:rPr>
          <w:t>4.4.2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Expected future total ship calls to the five main ports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_Toc362274291 \h </w:instrText>
        </w:r>
        <w:r w:rsidR="00C465C0" w:rsidRPr="00C465C0">
          <w:rPr>
            <w:webHidden/>
            <w:sz w:val="24"/>
            <w:szCs w:val="24"/>
          </w:rPr>
        </w:r>
        <w:r w:rsidR="00C465C0" w:rsidRPr="00C465C0">
          <w:rPr>
            <w:webHidden/>
            <w:sz w:val="24"/>
            <w:szCs w:val="24"/>
          </w:rPr>
          <w:fldChar w:fldCharType="separate"/>
        </w:r>
        <w:r w:rsidR="00DB625B">
          <w:rPr>
            <w:webHidden/>
            <w:sz w:val="24"/>
            <w:szCs w:val="24"/>
          </w:rPr>
          <w:t>31</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292" w:history="1">
        <w:r w:rsidR="00C465C0" w:rsidRPr="00C465C0">
          <w:rPr>
            <w:rStyle w:val="Hyperlink"/>
            <w:sz w:val="24"/>
            <w:szCs w:val="24"/>
          </w:rPr>
          <w:t>4.4.3</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Expected future total demand for ship anchorages covering the five main ports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_Toc362274292 \h </w:instrText>
        </w:r>
        <w:r w:rsidR="00C465C0" w:rsidRPr="00C465C0">
          <w:rPr>
            <w:webHidden/>
            <w:sz w:val="24"/>
            <w:szCs w:val="24"/>
          </w:rPr>
        </w:r>
        <w:r w:rsidR="00C465C0" w:rsidRPr="00C465C0">
          <w:rPr>
            <w:webHidden/>
            <w:sz w:val="24"/>
            <w:szCs w:val="24"/>
          </w:rPr>
          <w:fldChar w:fldCharType="separate"/>
        </w:r>
        <w:r w:rsidR="00DB625B">
          <w:rPr>
            <w:webHidden/>
            <w:sz w:val="24"/>
            <w:szCs w:val="24"/>
          </w:rPr>
          <w:t>33</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293" w:history="1">
        <w:r w:rsidR="00C465C0" w:rsidRPr="00C465C0">
          <w:rPr>
            <w:rStyle w:val="Hyperlink"/>
            <w:sz w:val="24"/>
            <w:szCs w:val="24"/>
          </w:rPr>
          <w:t>4.5</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Demand for and use of ship anchorages at the Port of Cairns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_Toc362274293 \h </w:instrText>
        </w:r>
        <w:r w:rsidR="00C465C0" w:rsidRPr="00C465C0">
          <w:rPr>
            <w:webHidden/>
            <w:sz w:val="24"/>
            <w:szCs w:val="24"/>
          </w:rPr>
        </w:r>
        <w:r w:rsidR="00C465C0" w:rsidRPr="00C465C0">
          <w:rPr>
            <w:webHidden/>
            <w:sz w:val="24"/>
            <w:szCs w:val="24"/>
          </w:rPr>
          <w:fldChar w:fldCharType="separate"/>
        </w:r>
        <w:r w:rsidR="00DB625B">
          <w:rPr>
            <w:webHidden/>
            <w:sz w:val="24"/>
            <w:szCs w:val="24"/>
          </w:rPr>
          <w:t>35</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294" w:history="1">
        <w:r w:rsidR="00C465C0" w:rsidRPr="00C465C0">
          <w:rPr>
            <w:rStyle w:val="Hyperlink"/>
            <w:sz w:val="24"/>
            <w:szCs w:val="24"/>
          </w:rPr>
          <w:t>4.5.1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Current profile of ship anchorages at the Port of Cairns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_Toc362274294 \h </w:instrText>
        </w:r>
        <w:r w:rsidR="00C465C0" w:rsidRPr="00C465C0">
          <w:rPr>
            <w:webHidden/>
            <w:sz w:val="24"/>
            <w:szCs w:val="24"/>
          </w:rPr>
        </w:r>
        <w:r w:rsidR="00C465C0" w:rsidRPr="00C465C0">
          <w:rPr>
            <w:webHidden/>
            <w:sz w:val="24"/>
            <w:szCs w:val="24"/>
          </w:rPr>
          <w:fldChar w:fldCharType="separate"/>
        </w:r>
        <w:r w:rsidR="00DB625B">
          <w:rPr>
            <w:webHidden/>
            <w:sz w:val="24"/>
            <w:szCs w:val="24"/>
          </w:rPr>
          <w:t>35</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295" w:history="1">
        <w:r w:rsidR="00C465C0" w:rsidRPr="00C465C0">
          <w:rPr>
            <w:rStyle w:val="Hyperlink"/>
            <w:sz w:val="24"/>
            <w:szCs w:val="24"/>
          </w:rPr>
          <w:t>4.5.2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Current demand for ship anchorages at the Port of Cairns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_Toc362274295 \h </w:instrText>
        </w:r>
        <w:r w:rsidR="00C465C0" w:rsidRPr="00C465C0">
          <w:rPr>
            <w:webHidden/>
            <w:sz w:val="24"/>
            <w:szCs w:val="24"/>
          </w:rPr>
        </w:r>
        <w:r w:rsidR="00C465C0" w:rsidRPr="00C465C0">
          <w:rPr>
            <w:webHidden/>
            <w:sz w:val="24"/>
            <w:szCs w:val="24"/>
          </w:rPr>
          <w:fldChar w:fldCharType="separate"/>
        </w:r>
        <w:r w:rsidR="00DB625B">
          <w:rPr>
            <w:webHidden/>
            <w:sz w:val="24"/>
            <w:szCs w:val="24"/>
          </w:rPr>
          <w:t>37</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296" w:history="1">
        <w:r w:rsidR="00C465C0" w:rsidRPr="00C465C0">
          <w:rPr>
            <w:rStyle w:val="Hyperlink"/>
            <w:sz w:val="24"/>
            <w:szCs w:val="24"/>
          </w:rPr>
          <w:t>4.5.3</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Future demand for ship anchorages at the Port of Cairns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_Toc362274296 \h </w:instrText>
        </w:r>
        <w:r w:rsidR="00C465C0" w:rsidRPr="00C465C0">
          <w:rPr>
            <w:webHidden/>
            <w:sz w:val="24"/>
            <w:szCs w:val="24"/>
          </w:rPr>
        </w:r>
        <w:r w:rsidR="00C465C0" w:rsidRPr="00C465C0">
          <w:rPr>
            <w:webHidden/>
            <w:sz w:val="24"/>
            <w:szCs w:val="24"/>
          </w:rPr>
          <w:fldChar w:fldCharType="separate"/>
        </w:r>
        <w:r w:rsidR="00DB625B">
          <w:rPr>
            <w:webHidden/>
            <w:sz w:val="24"/>
            <w:szCs w:val="24"/>
          </w:rPr>
          <w:t>38</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297" w:history="1">
        <w:r w:rsidR="00C465C0" w:rsidRPr="00C465C0">
          <w:rPr>
            <w:rStyle w:val="Hyperlink"/>
            <w:sz w:val="24"/>
            <w:szCs w:val="24"/>
          </w:rPr>
          <w:t>4.6</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Demand for and use of ship anchorages at the Port of Townsville</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_Toc362274297 \h </w:instrText>
        </w:r>
        <w:r w:rsidR="00C465C0" w:rsidRPr="00C465C0">
          <w:rPr>
            <w:webHidden/>
            <w:sz w:val="24"/>
            <w:szCs w:val="24"/>
          </w:rPr>
        </w:r>
        <w:r w:rsidR="00C465C0" w:rsidRPr="00C465C0">
          <w:rPr>
            <w:webHidden/>
            <w:sz w:val="24"/>
            <w:szCs w:val="24"/>
          </w:rPr>
          <w:fldChar w:fldCharType="separate"/>
        </w:r>
        <w:r w:rsidR="00DB625B">
          <w:rPr>
            <w:webHidden/>
            <w:sz w:val="24"/>
            <w:szCs w:val="24"/>
          </w:rPr>
          <w:t>39</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298" w:history="1">
        <w:r w:rsidR="00C465C0" w:rsidRPr="00C465C0">
          <w:rPr>
            <w:rStyle w:val="Hyperlink"/>
            <w:sz w:val="24"/>
            <w:szCs w:val="24"/>
          </w:rPr>
          <w:t>4.6.1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Current profile of ship anchorages at the Port of Townsville</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_Toc362274298 \h </w:instrText>
        </w:r>
        <w:r w:rsidR="00C465C0" w:rsidRPr="00C465C0">
          <w:rPr>
            <w:webHidden/>
            <w:sz w:val="24"/>
            <w:szCs w:val="24"/>
          </w:rPr>
        </w:r>
        <w:r w:rsidR="00C465C0" w:rsidRPr="00C465C0">
          <w:rPr>
            <w:webHidden/>
            <w:sz w:val="24"/>
            <w:szCs w:val="24"/>
          </w:rPr>
          <w:fldChar w:fldCharType="separate"/>
        </w:r>
        <w:r w:rsidR="00DB625B">
          <w:rPr>
            <w:webHidden/>
            <w:sz w:val="24"/>
            <w:szCs w:val="24"/>
          </w:rPr>
          <w:t>39</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299" w:history="1">
        <w:r w:rsidR="00C465C0" w:rsidRPr="00C465C0">
          <w:rPr>
            <w:rStyle w:val="Hyperlink"/>
            <w:sz w:val="24"/>
            <w:szCs w:val="24"/>
          </w:rPr>
          <w:t>4.6.2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Current demand for ship anchorages at the Port of Townsville</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_Toc362274299 \h </w:instrText>
        </w:r>
        <w:r w:rsidR="00C465C0" w:rsidRPr="00C465C0">
          <w:rPr>
            <w:webHidden/>
            <w:sz w:val="24"/>
            <w:szCs w:val="24"/>
          </w:rPr>
        </w:r>
        <w:r w:rsidR="00C465C0" w:rsidRPr="00C465C0">
          <w:rPr>
            <w:webHidden/>
            <w:sz w:val="24"/>
            <w:szCs w:val="24"/>
          </w:rPr>
          <w:fldChar w:fldCharType="separate"/>
        </w:r>
        <w:r w:rsidR="00DB625B">
          <w:rPr>
            <w:webHidden/>
            <w:sz w:val="24"/>
            <w:szCs w:val="24"/>
          </w:rPr>
          <w:t>42</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00" w:history="1">
        <w:r w:rsidR="00C465C0" w:rsidRPr="00C465C0">
          <w:rPr>
            <w:rStyle w:val="Hyperlink"/>
            <w:sz w:val="24"/>
            <w:szCs w:val="24"/>
          </w:rPr>
          <w:t>4.6.3</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Future demand for ship anchorages at the Port of Townsville</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_Toc362274300 \h </w:instrText>
        </w:r>
        <w:r w:rsidR="00C465C0" w:rsidRPr="00C465C0">
          <w:rPr>
            <w:webHidden/>
            <w:sz w:val="24"/>
            <w:szCs w:val="24"/>
          </w:rPr>
        </w:r>
        <w:r w:rsidR="00C465C0" w:rsidRPr="00C465C0">
          <w:rPr>
            <w:webHidden/>
            <w:sz w:val="24"/>
            <w:szCs w:val="24"/>
          </w:rPr>
          <w:fldChar w:fldCharType="separate"/>
        </w:r>
        <w:r w:rsidR="00DB625B">
          <w:rPr>
            <w:webHidden/>
            <w:sz w:val="24"/>
            <w:szCs w:val="24"/>
          </w:rPr>
          <w:t>43</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301" w:history="1">
        <w:r w:rsidR="00C465C0" w:rsidRPr="00C465C0">
          <w:rPr>
            <w:rStyle w:val="Hyperlink"/>
            <w:sz w:val="24"/>
            <w:szCs w:val="24"/>
          </w:rPr>
          <w:t>4.7</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Demand for and use of ship anchorages at the Port of Abbot Point</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_Toc362274301 \h </w:instrText>
        </w:r>
        <w:r w:rsidR="00C465C0" w:rsidRPr="00C465C0">
          <w:rPr>
            <w:webHidden/>
            <w:sz w:val="24"/>
            <w:szCs w:val="24"/>
          </w:rPr>
        </w:r>
        <w:r w:rsidR="00C465C0" w:rsidRPr="00C465C0">
          <w:rPr>
            <w:webHidden/>
            <w:sz w:val="24"/>
            <w:szCs w:val="24"/>
          </w:rPr>
          <w:fldChar w:fldCharType="separate"/>
        </w:r>
        <w:r w:rsidR="00DB625B">
          <w:rPr>
            <w:webHidden/>
            <w:sz w:val="24"/>
            <w:szCs w:val="24"/>
          </w:rPr>
          <w:t>44</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02" w:history="1">
        <w:r w:rsidR="00C465C0" w:rsidRPr="00C465C0">
          <w:rPr>
            <w:rStyle w:val="Hyperlink"/>
            <w:sz w:val="24"/>
            <w:szCs w:val="24"/>
          </w:rPr>
          <w:t>4.7.1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Current profile of ship anchorages at the Port of Abbot Point</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_Toc362274302 \h </w:instrText>
        </w:r>
        <w:r w:rsidR="00C465C0" w:rsidRPr="00C465C0">
          <w:rPr>
            <w:webHidden/>
            <w:sz w:val="24"/>
            <w:szCs w:val="24"/>
          </w:rPr>
        </w:r>
        <w:r w:rsidR="00C465C0" w:rsidRPr="00C465C0">
          <w:rPr>
            <w:webHidden/>
            <w:sz w:val="24"/>
            <w:szCs w:val="24"/>
          </w:rPr>
          <w:fldChar w:fldCharType="separate"/>
        </w:r>
        <w:r w:rsidR="00DB625B">
          <w:rPr>
            <w:webHidden/>
            <w:sz w:val="24"/>
            <w:szCs w:val="24"/>
          </w:rPr>
          <w:t>44</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03" w:history="1">
        <w:r w:rsidR="00C465C0" w:rsidRPr="00C465C0">
          <w:rPr>
            <w:rStyle w:val="Hyperlink"/>
            <w:sz w:val="24"/>
            <w:szCs w:val="24"/>
          </w:rPr>
          <w:t>4.7.2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Current demand for ship anchorages at the Port of Abbot Point</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_Toc362274303 \h </w:instrText>
        </w:r>
        <w:r w:rsidR="00C465C0" w:rsidRPr="00C465C0">
          <w:rPr>
            <w:webHidden/>
            <w:sz w:val="24"/>
            <w:szCs w:val="24"/>
          </w:rPr>
        </w:r>
        <w:r w:rsidR="00C465C0" w:rsidRPr="00C465C0">
          <w:rPr>
            <w:webHidden/>
            <w:sz w:val="24"/>
            <w:szCs w:val="24"/>
          </w:rPr>
          <w:fldChar w:fldCharType="separate"/>
        </w:r>
        <w:r w:rsidR="00DB625B">
          <w:rPr>
            <w:webHidden/>
            <w:sz w:val="24"/>
            <w:szCs w:val="24"/>
          </w:rPr>
          <w:t>47</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04" w:history="1">
        <w:r w:rsidR="00C465C0" w:rsidRPr="00C465C0">
          <w:rPr>
            <w:rStyle w:val="Hyperlink"/>
            <w:sz w:val="24"/>
            <w:szCs w:val="24"/>
          </w:rPr>
          <w:t>4.7.3</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Future demand for ship anchorages at the Port of Abbot Point</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_Toc362274304 \h </w:instrText>
        </w:r>
        <w:r w:rsidR="00C465C0" w:rsidRPr="00C465C0">
          <w:rPr>
            <w:webHidden/>
            <w:sz w:val="24"/>
            <w:szCs w:val="24"/>
          </w:rPr>
        </w:r>
        <w:r w:rsidR="00C465C0" w:rsidRPr="00C465C0">
          <w:rPr>
            <w:webHidden/>
            <w:sz w:val="24"/>
            <w:szCs w:val="24"/>
          </w:rPr>
          <w:fldChar w:fldCharType="separate"/>
        </w:r>
        <w:r w:rsidR="00DB625B">
          <w:rPr>
            <w:webHidden/>
            <w:sz w:val="24"/>
            <w:szCs w:val="24"/>
          </w:rPr>
          <w:t>47</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305" w:history="1">
        <w:r w:rsidR="00C465C0" w:rsidRPr="00C465C0">
          <w:rPr>
            <w:rStyle w:val="Hyperlink"/>
            <w:sz w:val="24"/>
            <w:szCs w:val="24"/>
          </w:rPr>
          <w:t>4.8</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Demand for and use of ship anchorages at the Port of Hay Point (including Dalrymple Bay)</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_Toc362274305 \h </w:instrText>
        </w:r>
        <w:r w:rsidR="00C465C0" w:rsidRPr="00C465C0">
          <w:rPr>
            <w:webHidden/>
            <w:sz w:val="24"/>
            <w:szCs w:val="24"/>
          </w:rPr>
        </w:r>
        <w:r w:rsidR="00C465C0" w:rsidRPr="00C465C0">
          <w:rPr>
            <w:webHidden/>
            <w:sz w:val="24"/>
            <w:szCs w:val="24"/>
          </w:rPr>
          <w:fldChar w:fldCharType="separate"/>
        </w:r>
        <w:r w:rsidR="00DB625B">
          <w:rPr>
            <w:webHidden/>
            <w:sz w:val="24"/>
            <w:szCs w:val="24"/>
          </w:rPr>
          <w:t>48</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06" w:history="1">
        <w:r w:rsidR="00C465C0" w:rsidRPr="00C465C0">
          <w:rPr>
            <w:rStyle w:val="Hyperlink"/>
            <w:sz w:val="24"/>
            <w:szCs w:val="24"/>
          </w:rPr>
          <w:t>4.8.1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Current profile of ship anchorages at the Port of Hay Point</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_Toc362274306 \h </w:instrText>
        </w:r>
        <w:r w:rsidR="00C465C0" w:rsidRPr="00C465C0">
          <w:rPr>
            <w:webHidden/>
            <w:sz w:val="24"/>
            <w:szCs w:val="24"/>
          </w:rPr>
        </w:r>
        <w:r w:rsidR="00C465C0" w:rsidRPr="00C465C0">
          <w:rPr>
            <w:webHidden/>
            <w:sz w:val="24"/>
            <w:szCs w:val="24"/>
          </w:rPr>
          <w:fldChar w:fldCharType="separate"/>
        </w:r>
        <w:r w:rsidR="00DB625B">
          <w:rPr>
            <w:webHidden/>
            <w:sz w:val="24"/>
            <w:szCs w:val="24"/>
          </w:rPr>
          <w:t>48</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07" w:history="1">
        <w:r w:rsidR="00C465C0" w:rsidRPr="00C465C0">
          <w:rPr>
            <w:rStyle w:val="Hyperlink"/>
            <w:sz w:val="24"/>
            <w:szCs w:val="24"/>
          </w:rPr>
          <w:t>4.8.2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Current demand for ship anchorages at the Port of Hay Point</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_Toc362274307 \h </w:instrText>
        </w:r>
        <w:r w:rsidR="00C465C0" w:rsidRPr="00C465C0">
          <w:rPr>
            <w:webHidden/>
            <w:sz w:val="24"/>
            <w:szCs w:val="24"/>
          </w:rPr>
        </w:r>
        <w:r w:rsidR="00C465C0" w:rsidRPr="00C465C0">
          <w:rPr>
            <w:webHidden/>
            <w:sz w:val="24"/>
            <w:szCs w:val="24"/>
          </w:rPr>
          <w:fldChar w:fldCharType="separate"/>
        </w:r>
        <w:r w:rsidR="00DB625B">
          <w:rPr>
            <w:webHidden/>
            <w:sz w:val="24"/>
            <w:szCs w:val="24"/>
          </w:rPr>
          <w:t>51</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08" w:history="1">
        <w:r w:rsidR="00C465C0" w:rsidRPr="00C465C0">
          <w:rPr>
            <w:rStyle w:val="Hyperlink"/>
            <w:sz w:val="24"/>
            <w:szCs w:val="24"/>
          </w:rPr>
          <w:t>4.8.3</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Future demand for ship anchorages at the Port of Hay Point</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_Toc362274308 \h </w:instrText>
        </w:r>
        <w:r w:rsidR="00C465C0" w:rsidRPr="00C465C0">
          <w:rPr>
            <w:webHidden/>
            <w:sz w:val="24"/>
            <w:szCs w:val="24"/>
          </w:rPr>
        </w:r>
        <w:r w:rsidR="00C465C0" w:rsidRPr="00C465C0">
          <w:rPr>
            <w:webHidden/>
            <w:sz w:val="24"/>
            <w:szCs w:val="24"/>
          </w:rPr>
          <w:fldChar w:fldCharType="separate"/>
        </w:r>
        <w:r w:rsidR="00DB625B">
          <w:rPr>
            <w:webHidden/>
            <w:sz w:val="24"/>
            <w:szCs w:val="24"/>
          </w:rPr>
          <w:t>52</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309" w:history="1">
        <w:r w:rsidR="00C465C0" w:rsidRPr="00C465C0">
          <w:rPr>
            <w:rStyle w:val="Hyperlink"/>
            <w:sz w:val="24"/>
            <w:szCs w:val="24"/>
          </w:rPr>
          <w:t>4.9</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Demand for and use of ship anchorages at the Port of Gladstone</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_Toc362274309 \h </w:instrText>
        </w:r>
        <w:r w:rsidR="00C465C0" w:rsidRPr="00C465C0">
          <w:rPr>
            <w:webHidden/>
            <w:sz w:val="24"/>
            <w:szCs w:val="24"/>
          </w:rPr>
        </w:r>
        <w:r w:rsidR="00C465C0" w:rsidRPr="00C465C0">
          <w:rPr>
            <w:webHidden/>
            <w:sz w:val="24"/>
            <w:szCs w:val="24"/>
          </w:rPr>
          <w:fldChar w:fldCharType="separate"/>
        </w:r>
        <w:r w:rsidR="00DB625B">
          <w:rPr>
            <w:webHidden/>
            <w:sz w:val="24"/>
            <w:szCs w:val="24"/>
          </w:rPr>
          <w:t>53</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10" w:history="1">
        <w:r w:rsidR="00C465C0" w:rsidRPr="00C465C0">
          <w:rPr>
            <w:rStyle w:val="Hyperlink"/>
            <w:sz w:val="24"/>
            <w:szCs w:val="24"/>
          </w:rPr>
          <w:t>4.9.1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Current profile of ship anchorages at the Port of Gladstone</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_Toc362274310 \h </w:instrText>
        </w:r>
        <w:r w:rsidR="00C465C0" w:rsidRPr="00C465C0">
          <w:rPr>
            <w:webHidden/>
            <w:sz w:val="24"/>
            <w:szCs w:val="24"/>
          </w:rPr>
        </w:r>
        <w:r w:rsidR="00C465C0" w:rsidRPr="00C465C0">
          <w:rPr>
            <w:webHidden/>
            <w:sz w:val="24"/>
            <w:szCs w:val="24"/>
          </w:rPr>
          <w:fldChar w:fldCharType="separate"/>
        </w:r>
        <w:r w:rsidR="00DB625B">
          <w:rPr>
            <w:webHidden/>
            <w:sz w:val="24"/>
            <w:szCs w:val="24"/>
          </w:rPr>
          <w:t>53</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11" w:history="1">
        <w:r w:rsidR="00C465C0" w:rsidRPr="00C465C0">
          <w:rPr>
            <w:rStyle w:val="Hyperlink"/>
            <w:sz w:val="24"/>
            <w:szCs w:val="24"/>
          </w:rPr>
          <w:t>4.9.2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Current demand for ship anchorages at the Port of Gladstone</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_Toc362274311 \h </w:instrText>
        </w:r>
        <w:r w:rsidR="00C465C0" w:rsidRPr="00C465C0">
          <w:rPr>
            <w:webHidden/>
            <w:sz w:val="24"/>
            <w:szCs w:val="24"/>
          </w:rPr>
        </w:r>
        <w:r w:rsidR="00C465C0" w:rsidRPr="00C465C0">
          <w:rPr>
            <w:webHidden/>
            <w:sz w:val="24"/>
            <w:szCs w:val="24"/>
          </w:rPr>
          <w:fldChar w:fldCharType="separate"/>
        </w:r>
        <w:r w:rsidR="00DB625B">
          <w:rPr>
            <w:webHidden/>
            <w:sz w:val="24"/>
            <w:szCs w:val="24"/>
          </w:rPr>
          <w:t>56</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12" w:history="1">
        <w:r w:rsidR="00C465C0" w:rsidRPr="00C465C0">
          <w:rPr>
            <w:rStyle w:val="Hyperlink"/>
            <w:sz w:val="24"/>
            <w:szCs w:val="24"/>
          </w:rPr>
          <w:t>4.9.3</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Future demand for ship anchorages at the Port of Gladstone</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_Toc362274312 \h </w:instrText>
        </w:r>
        <w:r w:rsidR="00C465C0" w:rsidRPr="00C465C0">
          <w:rPr>
            <w:webHidden/>
            <w:sz w:val="24"/>
            <w:szCs w:val="24"/>
          </w:rPr>
        </w:r>
        <w:r w:rsidR="00C465C0" w:rsidRPr="00C465C0">
          <w:rPr>
            <w:webHidden/>
            <w:sz w:val="24"/>
            <w:szCs w:val="24"/>
          </w:rPr>
          <w:fldChar w:fldCharType="separate"/>
        </w:r>
        <w:r w:rsidR="00DB625B">
          <w:rPr>
            <w:webHidden/>
            <w:sz w:val="24"/>
            <w:szCs w:val="24"/>
          </w:rPr>
          <w:t>57</w:t>
        </w:r>
        <w:r w:rsidR="00C465C0" w:rsidRPr="00C465C0">
          <w:rPr>
            <w:webHidden/>
            <w:sz w:val="24"/>
            <w:szCs w:val="24"/>
          </w:rPr>
          <w:fldChar w:fldCharType="end"/>
        </w:r>
      </w:hyperlink>
    </w:p>
    <w:p w:rsidR="00C465C0" w:rsidRPr="00C465C0" w:rsidRDefault="00B85B36" w:rsidP="00C465C0">
      <w:pPr>
        <w:pStyle w:val="TOC2"/>
        <w:tabs>
          <w:tab w:val="left" w:pos="1985"/>
        </w:tabs>
        <w:rPr>
          <w:rFonts w:asciiTheme="minorHAnsi" w:eastAsiaTheme="minorEastAsia" w:hAnsiTheme="minorHAnsi" w:cstheme="minorBidi"/>
          <w:sz w:val="24"/>
          <w:szCs w:val="24"/>
          <w:lang w:eastAsia="en-AU"/>
        </w:rPr>
      </w:pPr>
      <w:hyperlink w:anchor="_Toc362274313" w:history="1">
        <w:r w:rsidR="00C465C0" w:rsidRPr="00C465C0">
          <w:rPr>
            <w:rStyle w:val="Hyperlink"/>
            <w:sz w:val="24"/>
            <w:szCs w:val="24"/>
          </w:rPr>
          <w:t>4.10</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Use of anchorages during severe cyclone events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_Toc362274313 \h </w:instrText>
        </w:r>
        <w:r w:rsidR="00C465C0" w:rsidRPr="00C465C0">
          <w:rPr>
            <w:webHidden/>
            <w:sz w:val="24"/>
            <w:szCs w:val="24"/>
          </w:rPr>
        </w:r>
        <w:r w:rsidR="00C465C0" w:rsidRPr="00C465C0">
          <w:rPr>
            <w:webHidden/>
            <w:sz w:val="24"/>
            <w:szCs w:val="24"/>
          </w:rPr>
          <w:fldChar w:fldCharType="separate"/>
        </w:r>
        <w:r w:rsidR="00DB625B">
          <w:rPr>
            <w:webHidden/>
            <w:sz w:val="24"/>
            <w:szCs w:val="24"/>
          </w:rPr>
          <w:t>58</w:t>
        </w:r>
        <w:r w:rsidR="00C465C0" w:rsidRPr="00C465C0">
          <w:rPr>
            <w:webHidden/>
            <w:sz w:val="24"/>
            <w:szCs w:val="24"/>
          </w:rPr>
          <w:fldChar w:fldCharType="end"/>
        </w:r>
      </w:hyperlink>
    </w:p>
    <w:p w:rsidR="00C465C0" w:rsidRPr="00C465C0" w:rsidRDefault="00B85B36" w:rsidP="00C465C0">
      <w:pPr>
        <w:pStyle w:val="TOC2"/>
        <w:tabs>
          <w:tab w:val="left" w:pos="1985"/>
        </w:tabs>
        <w:rPr>
          <w:rFonts w:asciiTheme="minorHAnsi" w:eastAsiaTheme="minorEastAsia" w:hAnsiTheme="minorHAnsi" w:cstheme="minorBidi"/>
          <w:sz w:val="24"/>
          <w:szCs w:val="24"/>
          <w:lang w:eastAsia="en-AU"/>
        </w:rPr>
      </w:pPr>
      <w:hyperlink w:anchor="_Toc362274314" w:history="1">
        <w:r w:rsidR="00C465C0" w:rsidRPr="00C465C0">
          <w:rPr>
            <w:rStyle w:val="Hyperlink"/>
            <w:sz w:val="24"/>
            <w:szCs w:val="24"/>
          </w:rPr>
          <w:t>4.11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Ability to control ship anchoring demand and use</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_Toc362274314 \h </w:instrText>
        </w:r>
        <w:r w:rsidR="00C465C0" w:rsidRPr="00C465C0">
          <w:rPr>
            <w:webHidden/>
            <w:sz w:val="24"/>
            <w:szCs w:val="24"/>
          </w:rPr>
        </w:r>
        <w:r w:rsidR="00C465C0" w:rsidRPr="00C465C0">
          <w:rPr>
            <w:webHidden/>
            <w:sz w:val="24"/>
            <w:szCs w:val="24"/>
          </w:rPr>
          <w:fldChar w:fldCharType="separate"/>
        </w:r>
        <w:r w:rsidR="00DB625B">
          <w:rPr>
            <w:webHidden/>
            <w:sz w:val="24"/>
            <w:szCs w:val="24"/>
          </w:rPr>
          <w:t>58</w:t>
        </w:r>
        <w:r w:rsidR="00C465C0" w:rsidRPr="00C465C0">
          <w:rPr>
            <w:webHidden/>
            <w:sz w:val="24"/>
            <w:szCs w:val="24"/>
          </w:rPr>
          <w:fldChar w:fldCharType="end"/>
        </w:r>
      </w:hyperlink>
    </w:p>
    <w:p w:rsidR="00C465C0" w:rsidRPr="00C465C0" w:rsidRDefault="00B85B36" w:rsidP="00C465C0">
      <w:pPr>
        <w:pStyle w:val="TOC1"/>
        <w:rPr>
          <w:rFonts w:asciiTheme="minorHAnsi" w:eastAsiaTheme="minorEastAsia" w:hAnsiTheme="minorHAnsi" w:cstheme="minorBidi"/>
          <w:b w:val="0"/>
          <w:caps w:val="0"/>
          <w:szCs w:val="24"/>
          <w:lang w:eastAsia="en-AU"/>
        </w:rPr>
      </w:pPr>
      <w:hyperlink w:anchor="_Toc362274315" w:history="1">
        <w:r w:rsidR="00C465C0" w:rsidRPr="00C465C0">
          <w:rPr>
            <w:rStyle w:val="Hyperlink"/>
            <w:szCs w:val="24"/>
          </w:rPr>
          <w:t>5.</w:t>
        </w:r>
        <w:r w:rsidR="00C465C0" w:rsidRPr="00C465C0">
          <w:rPr>
            <w:rFonts w:asciiTheme="minorHAnsi" w:eastAsiaTheme="minorEastAsia" w:hAnsiTheme="minorHAnsi" w:cstheme="minorBidi"/>
            <w:b w:val="0"/>
            <w:caps w:val="0"/>
            <w:szCs w:val="24"/>
            <w:lang w:eastAsia="en-AU"/>
          </w:rPr>
          <w:tab/>
        </w:r>
        <w:r w:rsidR="00C465C0" w:rsidRPr="00C465C0">
          <w:rPr>
            <w:rStyle w:val="Hyperlink"/>
            <w:szCs w:val="24"/>
          </w:rPr>
          <w:t>RANGE of options for anchorage management</w:t>
        </w:r>
        <w:r w:rsidR="00C465C0" w:rsidRPr="00C465C0">
          <w:rPr>
            <w:webHidden/>
            <w:szCs w:val="24"/>
          </w:rPr>
          <w:tab/>
        </w:r>
        <w:r w:rsidR="00C465C0" w:rsidRPr="00C465C0">
          <w:rPr>
            <w:webHidden/>
            <w:szCs w:val="24"/>
          </w:rPr>
          <w:fldChar w:fldCharType="begin"/>
        </w:r>
        <w:r w:rsidR="00C465C0" w:rsidRPr="00C465C0">
          <w:rPr>
            <w:webHidden/>
            <w:szCs w:val="24"/>
          </w:rPr>
          <w:instrText xml:space="preserve"> PAGEREF _Toc362274315 \h </w:instrText>
        </w:r>
        <w:r w:rsidR="00C465C0" w:rsidRPr="00C465C0">
          <w:rPr>
            <w:webHidden/>
            <w:szCs w:val="24"/>
          </w:rPr>
        </w:r>
        <w:r w:rsidR="00C465C0" w:rsidRPr="00C465C0">
          <w:rPr>
            <w:webHidden/>
            <w:szCs w:val="24"/>
          </w:rPr>
          <w:fldChar w:fldCharType="separate"/>
        </w:r>
        <w:r w:rsidR="00DB625B">
          <w:rPr>
            <w:webHidden/>
            <w:szCs w:val="24"/>
          </w:rPr>
          <w:t>59</w:t>
        </w:r>
        <w:r w:rsidR="00C465C0" w:rsidRPr="00C465C0">
          <w:rPr>
            <w:webHidden/>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316" w:history="1">
        <w:r w:rsidR="00C465C0" w:rsidRPr="00C465C0">
          <w:rPr>
            <w:rStyle w:val="Hyperlink"/>
            <w:sz w:val="24"/>
            <w:szCs w:val="24"/>
          </w:rPr>
          <w:t>5.1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Background and potential management options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_Toc362274316 \h </w:instrText>
        </w:r>
        <w:r w:rsidR="00C465C0" w:rsidRPr="00C465C0">
          <w:rPr>
            <w:webHidden/>
            <w:sz w:val="24"/>
            <w:szCs w:val="24"/>
          </w:rPr>
        </w:r>
        <w:r w:rsidR="00C465C0" w:rsidRPr="00C465C0">
          <w:rPr>
            <w:webHidden/>
            <w:sz w:val="24"/>
            <w:szCs w:val="24"/>
          </w:rPr>
          <w:fldChar w:fldCharType="separate"/>
        </w:r>
        <w:r w:rsidR="00DB625B">
          <w:rPr>
            <w:webHidden/>
            <w:sz w:val="24"/>
            <w:szCs w:val="24"/>
          </w:rPr>
          <w:t>59</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17" w:history="1">
        <w:r w:rsidR="00C465C0" w:rsidRPr="00C465C0">
          <w:rPr>
            <w:rStyle w:val="Hyperlink"/>
            <w:sz w:val="24"/>
            <w:szCs w:val="24"/>
          </w:rPr>
          <w:t>5.1.1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Overview of an identified set of port ship anchorage management options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_Toc362274317 \h </w:instrText>
        </w:r>
        <w:r w:rsidR="00C465C0" w:rsidRPr="00C465C0">
          <w:rPr>
            <w:webHidden/>
            <w:sz w:val="24"/>
            <w:szCs w:val="24"/>
          </w:rPr>
        </w:r>
        <w:r w:rsidR="00C465C0" w:rsidRPr="00C465C0">
          <w:rPr>
            <w:webHidden/>
            <w:sz w:val="24"/>
            <w:szCs w:val="24"/>
          </w:rPr>
          <w:fldChar w:fldCharType="separate"/>
        </w:r>
        <w:r w:rsidR="00DB625B">
          <w:rPr>
            <w:webHidden/>
            <w:sz w:val="24"/>
            <w:szCs w:val="24"/>
          </w:rPr>
          <w:t>59</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18" w:history="1">
        <w:r w:rsidR="00C465C0" w:rsidRPr="00C465C0">
          <w:rPr>
            <w:rStyle w:val="Hyperlink"/>
            <w:sz w:val="24"/>
            <w:szCs w:val="24"/>
          </w:rPr>
          <w:t>5.1.2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Business-as-usual option</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_Toc362274318 \h </w:instrText>
        </w:r>
        <w:r w:rsidR="00C465C0" w:rsidRPr="00C465C0">
          <w:rPr>
            <w:webHidden/>
            <w:sz w:val="24"/>
            <w:szCs w:val="24"/>
          </w:rPr>
        </w:r>
        <w:r w:rsidR="00C465C0" w:rsidRPr="00C465C0">
          <w:rPr>
            <w:webHidden/>
            <w:sz w:val="24"/>
            <w:szCs w:val="24"/>
          </w:rPr>
          <w:fldChar w:fldCharType="separate"/>
        </w:r>
        <w:r w:rsidR="00DB625B">
          <w:rPr>
            <w:webHidden/>
            <w:sz w:val="24"/>
            <w:szCs w:val="24"/>
          </w:rPr>
          <w:t>60</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19" w:history="1">
        <w:r w:rsidR="00C465C0" w:rsidRPr="00C465C0">
          <w:rPr>
            <w:rStyle w:val="Hyperlink"/>
            <w:sz w:val="24"/>
            <w:szCs w:val="24"/>
          </w:rPr>
          <w:t>5.1.3</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Improved option</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_Toc362274319 \h </w:instrText>
        </w:r>
        <w:r w:rsidR="00C465C0" w:rsidRPr="00C465C0">
          <w:rPr>
            <w:webHidden/>
            <w:sz w:val="24"/>
            <w:szCs w:val="24"/>
          </w:rPr>
        </w:r>
        <w:r w:rsidR="00C465C0" w:rsidRPr="00C465C0">
          <w:rPr>
            <w:webHidden/>
            <w:sz w:val="24"/>
            <w:szCs w:val="24"/>
          </w:rPr>
          <w:fldChar w:fldCharType="separate"/>
        </w:r>
        <w:r w:rsidR="00DB625B">
          <w:rPr>
            <w:webHidden/>
            <w:sz w:val="24"/>
            <w:szCs w:val="24"/>
          </w:rPr>
          <w:t>60</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20" w:history="1">
        <w:r w:rsidR="00C465C0" w:rsidRPr="00C465C0">
          <w:rPr>
            <w:rStyle w:val="Hyperlink"/>
            <w:sz w:val="24"/>
            <w:szCs w:val="24"/>
          </w:rPr>
          <w:t>5.1.4</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All-at-port option</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_Toc362274320 \h </w:instrText>
        </w:r>
        <w:r w:rsidR="00C465C0" w:rsidRPr="00C465C0">
          <w:rPr>
            <w:webHidden/>
            <w:sz w:val="24"/>
            <w:szCs w:val="24"/>
          </w:rPr>
        </w:r>
        <w:r w:rsidR="00C465C0" w:rsidRPr="00C465C0">
          <w:rPr>
            <w:webHidden/>
            <w:sz w:val="24"/>
            <w:szCs w:val="24"/>
          </w:rPr>
          <w:fldChar w:fldCharType="separate"/>
        </w:r>
        <w:r w:rsidR="00DB625B">
          <w:rPr>
            <w:webHidden/>
            <w:sz w:val="24"/>
            <w:szCs w:val="24"/>
          </w:rPr>
          <w:t>61</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21" w:history="1">
        <w:r w:rsidR="00C465C0" w:rsidRPr="00C465C0">
          <w:rPr>
            <w:rStyle w:val="Hyperlink"/>
            <w:sz w:val="24"/>
            <w:szCs w:val="24"/>
          </w:rPr>
          <w:t>5.1.5</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All-in-port limits option</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_Toc362274321 \h </w:instrText>
        </w:r>
        <w:r w:rsidR="00C465C0" w:rsidRPr="00C465C0">
          <w:rPr>
            <w:webHidden/>
            <w:sz w:val="24"/>
            <w:szCs w:val="24"/>
          </w:rPr>
        </w:r>
        <w:r w:rsidR="00C465C0" w:rsidRPr="00C465C0">
          <w:rPr>
            <w:webHidden/>
            <w:sz w:val="24"/>
            <w:szCs w:val="24"/>
          </w:rPr>
          <w:fldChar w:fldCharType="separate"/>
        </w:r>
        <w:r w:rsidR="00DB625B">
          <w:rPr>
            <w:webHidden/>
            <w:sz w:val="24"/>
            <w:szCs w:val="24"/>
          </w:rPr>
          <w:t>61</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22" w:history="1">
        <w:r w:rsidR="00C465C0" w:rsidRPr="00C465C0">
          <w:rPr>
            <w:rStyle w:val="Hyperlink"/>
            <w:sz w:val="24"/>
            <w:szCs w:val="24"/>
          </w:rPr>
          <w:t>5.1.6</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Fixed-moored option</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_Toc362274322 \h </w:instrText>
        </w:r>
        <w:r w:rsidR="00C465C0" w:rsidRPr="00C465C0">
          <w:rPr>
            <w:webHidden/>
            <w:sz w:val="24"/>
            <w:szCs w:val="24"/>
          </w:rPr>
        </w:r>
        <w:r w:rsidR="00C465C0" w:rsidRPr="00C465C0">
          <w:rPr>
            <w:webHidden/>
            <w:sz w:val="24"/>
            <w:szCs w:val="24"/>
          </w:rPr>
          <w:fldChar w:fldCharType="separate"/>
        </w:r>
        <w:r w:rsidR="00DB625B">
          <w:rPr>
            <w:webHidden/>
            <w:sz w:val="24"/>
            <w:szCs w:val="24"/>
          </w:rPr>
          <w:t>61</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23" w:history="1">
        <w:r w:rsidR="00C465C0" w:rsidRPr="00C465C0">
          <w:rPr>
            <w:rStyle w:val="Hyperlink"/>
            <w:sz w:val="24"/>
            <w:szCs w:val="24"/>
          </w:rPr>
          <w:t>5.1.7</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All-at-sea option</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_Toc362274323 \h </w:instrText>
        </w:r>
        <w:r w:rsidR="00C465C0" w:rsidRPr="00C465C0">
          <w:rPr>
            <w:webHidden/>
            <w:sz w:val="24"/>
            <w:szCs w:val="24"/>
          </w:rPr>
        </w:r>
        <w:r w:rsidR="00C465C0" w:rsidRPr="00C465C0">
          <w:rPr>
            <w:webHidden/>
            <w:sz w:val="24"/>
            <w:szCs w:val="24"/>
          </w:rPr>
          <w:fldChar w:fldCharType="separate"/>
        </w:r>
        <w:r w:rsidR="00DB625B">
          <w:rPr>
            <w:webHidden/>
            <w:sz w:val="24"/>
            <w:szCs w:val="24"/>
          </w:rPr>
          <w:t>61</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24" w:history="1">
        <w:r w:rsidR="00C465C0" w:rsidRPr="00C465C0">
          <w:rPr>
            <w:rStyle w:val="Hyperlink"/>
            <w:sz w:val="24"/>
            <w:szCs w:val="24"/>
          </w:rPr>
          <w:t>5.1.8</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Scheduled arrivals without anchorage option</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_Toc362274324 \h </w:instrText>
        </w:r>
        <w:r w:rsidR="00C465C0" w:rsidRPr="00C465C0">
          <w:rPr>
            <w:webHidden/>
            <w:sz w:val="24"/>
            <w:szCs w:val="24"/>
          </w:rPr>
        </w:r>
        <w:r w:rsidR="00C465C0" w:rsidRPr="00C465C0">
          <w:rPr>
            <w:webHidden/>
            <w:sz w:val="24"/>
            <w:szCs w:val="24"/>
          </w:rPr>
          <w:fldChar w:fldCharType="separate"/>
        </w:r>
        <w:r w:rsidR="00DB625B">
          <w:rPr>
            <w:webHidden/>
            <w:sz w:val="24"/>
            <w:szCs w:val="24"/>
          </w:rPr>
          <w:t>62</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25" w:history="1">
        <w:r w:rsidR="00C465C0" w:rsidRPr="00C465C0">
          <w:rPr>
            <w:rStyle w:val="Hyperlink"/>
            <w:sz w:val="24"/>
            <w:szCs w:val="24"/>
          </w:rPr>
          <w:t>5.1.9</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Scheduled arrivals with anchorage option</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_Toc362274325 \h </w:instrText>
        </w:r>
        <w:r w:rsidR="00C465C0" w:rsidRPr="00C465C0">
          <w:rPr>
            <w:webHidden/>
            <w:sz w:val="24"/>
            <w:szCs w:val="24"/>
          </w:rPr>
        </w:r>
        <w:r w:rsidR="00C465C0" w:rsidRPr="00C465C0">
          <w:rPr>
            <w:webHidden/>
            <w:sz w:val="24"/>
            <w:szCs w:val="24"/>
          </w:rPr>
          <w:fldChar w:fldCharType="separate"/>
        </w:r>
        <w:r w:rsidR="00DB625B">
          <w:rPr>
            <w:webHidden/>
            <w:sz w:val="24"/>
            <w:szCs w:val="24"/>
          </w:rPr>
          <w:t>62</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26" w:history="1">
        <w:r w:rsidR="00C465C0" w:rsidRPr="00C465C0">
          <w:rPr>
            <w:rStyle w:val="Hyperlink"/>
            <w:sz w:val="24"/>
            <w:szCs w:val="24"/>
          </w:rPr>
          <w:t>5.1.10</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Demand management option</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_Toc362274326 \h </w:instrText>
        </w:r>
        <w:r w:rsidR="00C465C0" w:rsidRPr="00C465C0">
          <w:rPr>
            <w:webHidden/>
            <w:sz w:val="24"/>
            <w:szCs w:val="24"/>
          </w:rPr>
        </w:r>
        <w:r w:rsidR="00C465C0" w:rsidRPr="00C465C0">
          <w:rPr>
            <w:webHidden/>
            <w:sz w:val="24"/>
            <w:szCs w:val="24"/>
          </w:rPr>
          <w:fldChar w:fldCharType="separate"/>
        </w:r>
        <w:r w:rsidR="00DB625B">
          <w:rPr>
            <w:webHidden/>
            <w:sz w:val="24"/>
            <w:szCs w:val="24"/>
          </w:rPr>
          <w:t>62</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27" w:history="1">
        <w:r w:rsidR="00C465C0" w:rsidRPr="00C465C0">
          <w:rPr>
            <w:rStyle w:val="Hyperlink"/>
            <w:sz w:val="24"/>
            <w:szCs w:val="24"/>
          </w:rPr>
          <w:t>5.1.11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Port consolidation strategy option</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_Toc362274327 \h </w:instrText>
        </w:r>
        <w:r w:rsidR="00C465C0" w:rsidRPr="00C465C0">
          <w:rPr>
            <w:webHidden/>
            <w:sz w:val="24"/>
            <w:szCs w:val="24"/>
          </w:rPr>
        </w:r>
        <w:r w:rsidR="00C465C0" w:rsidRPr="00C465C0">
          <w:rPr>
            <w:webHidden/>
            <w:sz w:val="24"/>
            <w:szCs w:val="24"/>
          </w:rPr>
          <w:fldChar w:fldCharType="separate"/>
        </w:r>
        <w:r w:rsidR="00DB625B">
          <w:rPr>
            <w:webHidden/>
            <w:sz w:val="24"/>
            <w:szCs w:val="24"/>
          </w:rPr>
          <w:t>63</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28" w:history="1">
        <w:r w:rsidR="00C465C0" w:rsidRPr="00C465C0">
          <w:rPr>
            <w:rStyle w:val="Hyperlink"/>
            <w:sz w:val="24"/>
            <w:szCs w:val="24"/>
          </w:rPr>
          <w:t>5.1.12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Other options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_Toc362274328 \h </w:instrText>
        </w:r>
        <w:r w:rsidR="00C465C0" w:rsidRPr="00C465C0">
          <w:rPr>
            <w:webHidden/>
            <w:sz w:val="24"/>
            <w:szCs w:val="24"/>
          </w:rPr>
        </w:r>
        <w:r w:rsidR="00C465C0" w:rsidRPr="00C465C0">
          <w:rPr>
            <w:webHidden/>
            <w:sz w:val="24"/>
            <w:szCs w:val="24"/>
          </w:rPr>
          <w:fldChar w:fldCharType="separate"/>
        </w:r>
        <w:r w:rsidR="00DB625B">
          <w:rPr>
            <w:webHidden/>
            <w:sz w:val="24"/>
            <w:szCs w:val="24"/>
          </w:rPr>
          <w:t>63</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329" w:history="1">
        <w:r w:rsidR="00C465C0" w:rsidRPr="00C465C0">
          <w:rPr>
            <w:rStyle w:val="Hyperlink"/>
            <w:sz w:val="24"/>
            <w:szCs w:val="24"/>
          </w:rPr>
          <w:t>5.2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Results of examining the potential relevance of identified ship anchorage management options for the five main ports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_Toc362274329 \h </w:instrText>
        </w:r>
        <w:r w:rsidR="00C465C0" w:rsidRPr="00C465C0">
          <w:rPr>
            <w:webHidden/>
            <w:sz w:val="24"/>
            <w:szCs w:val="24"/>
          </w:rPr>
        </w:r>
        <w:r w:rsidR="00C465C0" w:rsidRPr="00C465C0">
          <w:rPr>
            <w:webHidden/>
            <w:sz w:val="24"/>
            <w:szCs w:val="24"/>
          </w:rPr>
          <w:fldChar w:fldCharType="separate"/>
        </w:r>
        <w:r w:rsidR="00DB625B">
          <w:rPr>
            <w:webHidden/>
            <w:sz w:val="24"/>
            <w:szCs w:val="24"/>
          </w:rPr>
          <w:t>63</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330" w:history="1">
        <w:r w:rsidR="00C465C0" w:rsidRPr="00C465C0">
          <w:rPr>
            <w:rStyle w:val="Hyperlink"/>
            <w:sz w:val="24"/>
            <w:szCs w:val="24"/>
          </w:rPr>
          <w:t>5.3</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Relevance of identified ship anchorage management options for each of the five ports under study</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_Toc362274330 \h </w:instrText>
        </w:r>
        <w:r w:rsidR="00C465C0" w:rsidRPr="00C465C0">
          <w:rPr>
            <w:webHidden/>
            <w:sz w:val="24"/>
            <w:szCs w:val="24"/>
          </w:rPr>
        </w:r>
        <w:r w:rsidR="00C465C0" w:rsidRPr="00C465C0">
          <w:rPr>
            <w:webHidden/>
            <w:sz w:val="24"/>
            <w:szCs w:val="24"/>
          </w:rPr>
          <w:fldChar w:fldCharType="separate"/>
        </w:r>
        <w:r w:rsidR="00DB625B">
          <w:rPr>
            <w:webHidden/>
            <w:sz w:val="24"/>
            <w:szCs w:val="24"/>
          </w:rPr>
          <w:t>66</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31" w:history="1">
        <w:r w:rsidR="00C465C0" w:rsidRPr="00C465C0">
          <w:rPr>
            <w:rStyle w:val="Hyperlink"/>
            <w:sz w:val="24"/>
            <w:szCs w:val="24"/>
          </w:rPr>
          <w:t>5.3.1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Relevant ship anchorage management options for the Port of Cairns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_Toc362274331 \h </w:instrText>
        </w:r>
        <w:r w:rsidR="00C465C0" w:rsidRPr="00C465C0">
          <w:rPr>
            <w:webHidden/>
            <w:sz w:val="24"/>
            <w:szCs w:val="24"/>
          </w:rPr>
        </w:r>
        <w:r w:rsidR="00C465C0" w:rsidRPr="00C465C0">
          <w:rPr>
            <w:webHidden/>
            <w:sz w:val="24"/>
            <w:szCs w:val="24"/>
          </w:rPr>
          <w:fldChar w:fldCharType="separate"/>
        </w:r>
        <w:r w:rsidR="00DB625B">
          <w:rPr>
            <w:webHidden/>
            <w:sz w:val="24"/>
            <w:szCs w:val="24"/>
          </w:rPr>
          <w:t>66</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32" w:history="1">
        <w:r w:rsidR="00C465C0" w:rsidRPr="00C465C0">
          <w:rPr>
            <w:rStyle w:val="Hyperlink"/>
            <w:sz w:val="24"/>
            <w:szCs w:val="24"/>
          </w:rPr>
          <w:t>5.3.2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Relevant ship anchorage management options for the Port of Townsville</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_Toc362274332 \h </w:instrText>
        </w:r>
        <w:r w:rsidR="00C465C0" w:rsidRPr="00C465C0">
          <w:rPr>
            <w:webHidden/>
            <w:sz w:val="24"/>
            <w:szCs w:val="24"/>
          </w:rPr>
        </w:r>
        <w:r w:rsidR="00C465C0" w:rsidRPr="00C465C0">
          <w:rPr>
            <w:webHidden/>
            <w:sz w:val="24"/>
            <w:szCs w:val="24"/>
          </w:rPr>
          <w:fldChar w:fldCharType="separate"/>
        </w:r>
        <w:r w:rsidR="00DB625B">
          <w:rPr>
            <w:webHidden/>
            <w:sz w:val="24"/>
            <w:szCs w:val="24"/>
          </w:rPr>
          <w:t>69</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33" w:history="1">
        <w:r w:rsidR="00C465C0" w:rsidRPr="00C465C0">
          <w:rPr>
            <w:rStyle w:val="Hyperlink"/>
            <w:sz w:val="24"/>
            <w:szCs w:val="24"/>
          </w:rPr>
          <w:t>5.3.3</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Relevant ship anchorage management options for the Port of Abbot Point</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_Toc362274333 \h </w:instrText>
        </w:r>
        <w:r w:rsidR="00C465C0" w:rsidRPr="00C465C0">
          <w:rPr>
            <w:webHidden/>
            <w:sz w:val="24"/>
            <w:szCs w:val="24"/>
          </w:rPr>
        </w:r>
        <w:r w:rsidR="00C465C0" w:rsidRPr="00C465C0">
          <w:rPr>
            <w:webHidden/>
            <w:sz w:val="24"/>
            <w:szCs w:val="24"/>
          </w:rPr>
          <w:fldChar w:fldCharType="separate"/>
        </w:r>
        <w:r w:rsidR="00DB625B">
          <w:rPr>
            <w:webHidden/>
            <w:sz w:val="24"/>
            <w:szCs w:val="24"/>
          </w:rPr>
          <w:t>72</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34" w:history="1">
        <w:r w:rsidR="00C465C0" w:rsidRPr="00C465C0">
          <w:rPr>
            <w:rStyle w:val="Hyperlink"/>
            <w:sz w:val="24"/>
            <w:szCs w:val="24"/>
          </w:rPr>
          <w:t>5.3.4</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Relevant ship anchorage management options for the Port of Hay Point</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_Toc362274334 \h </w:instrText>
        </w:r>
        <w:r w:rsidR="00C465C0" w:rsidRPr="00C465C0">
          <w:rPr>
            <w:webHidden/>
            <w:sz w:val="24"/>
            <w:szCs w:val="24"/>
          </w:rPr>
        </w:r>
        <w:r w:rsidR="00C465C0" w:rsidRPr="00C465C0">
          <w:rPr>
            <w:webHidden/>
            <w:sz w:val="24"/>
            <w:szCs w:val="24"/>
          </w:rPr>
          <w:fldChar w:fldCharType="separate"/>
        </w:r>
        <w:r w:rsidR="00DB625B">
          <w:rPr>
            <w:webHidden/>
            <w:sz w:val="24"/>
            <w:szCs w:val="24"/>
          </w:rPr>
          <w:t>75</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35" w:history="1">
        <w:r w:rsidR="00C465C0" w:rsidRPr="00C465C0">
          <w:rPr>
            <w:rStyle w:val="Hyperlink"/>
            <w:sz w:val="24"/>
            <w:szCs w:val="24"/>
          </w:rPr>
          <w:t>5.3.5</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Relevant ship anchorage management options for the Port of Gladstone</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_Toc362274335 \h </w:instrText>
        </w:r>
        <w:r w:rsidR="00C465C0" w:rsidRPr="00C465C0">
          <w:rPr>
            <w:webHidden/>
            <w:sz w:val="24"/>
            <w:szCs w:val="24"/>
          </w:rPr>
        </w:r>
        <w:r w:rsidR="00C465C0" w:rsidRPr="00C465C0">
          <w:rPr>
            <w:webHidden/>
            <w:sz w:val="24"/>
            <w:szCs w:val="24"/>
          </w:rPr>
          <w:fldChar w:fldCharType="separate"/>
        </w:r>
        <w:r w:rsidR="00DB625B">
          <w:rPr>
            <w:webHidden/>
            <w:sz w:val="24"/>
            <w:szCs w:val="24"/>
          </w:rPr>
          <w:t>78</w:t>
        </w:r>
        <w:r w:rsidR="00C465C0" w:rsidRPr="00C465C0">
          <w:rPr>
            <w:webHidden/>
            <w:sz w:val="24"/>
            <w:szCs w:val="24"/>
          </w:rPr>
          <w:fldChar w:fldCharType="end"/>
        </w:r>
      </w:hyperlink>
    </w:p>
    <w:p w:rsidR="00C465C0" w:rsidRPr="00C465C0" w:rsidRDefault="00B85B36" w:rsidP="00C465C0">
      <w:pPr>
        <w:pStyle w:val="TOC1"/>
        <w:rPr>
          <w:rFonts w:asciiTheme="minorHAnsi" w:eastAsiaTheme="minorEastAsia" w:hAnsiTheme="minorHAnsi" w:cstheme="minorBidi"/>
          <w:b w:val="0"/>
          <w:caps w:val="0"/>
          <w:szCs w:val="24"/>
          <w:lang w:eastAsia="en-AU"/>
        </w:rPr>
      </w:pPr>
      <w:hyperlink w:anchor="_Toc362274336" w:history="1">
        <w:r w:rsidR="00C465C0" w:rsidRPr="00C465C0">
          <w:rPr>
            <w:rStyle w:val="Hyperlink"/>
            <w:szCs w:val="24"/>
          </w:rPr>
          <w:t>6.</w:t>
        </w:r>
        <w:r w:rsidR="00C465C0" w:rsidRPr="00C465C0">
          <w:rPr>
            <w:rFonts w:asciiTheme="minorHAnsi" w:eastAsiaTheme="minorEastAsia" w:hAnsiTheme="minorHAnsi" w:cstheme="minorBidi"/>
            <w:b w:val="0"/>
            <w:caps w:val="0"/>
            <w:szCs w:val="24"/>
            <w:lang w:eastAsia="en-AU"/>
          </w:rPr>
          <w:tab/>
        </w:r>
        <w:r w:rsidR="00C465C0" w:rsidRPr="00C465C0">
          <w:rPr>
            <w:rStyle w:val="Hyperlink"/>
            <w:szCs w:val="24"/>
          </w:rPr>
          <w:t>OVERview of AN existing vessel arrival management system</w:t>
        </w:r>
        <w:r w:rsidR="00C465C0" w:rsidRPr="00C465C0">
          <w:rPr>
            <w:webHidden/>
            <w:szCs w:val="24"/>
          </w:rPr>
          <w:tab/>
        </w:r>
        <w:r w:rsidR="00C465C0" w:rsidRPr="00C465C0">
          <w:rPr>
            <w:webHidden/>
            <w:szCs w:val="24"/>
          </w:rPr>
          <w:fldChar w:fldCharType="begin"/>
        </w:r>
        <w:r w:rsidR="00C465C0" w:rsidRPr="00C465C0">
          <w:rPr>
            <w:webHidden/>
            <w:szCs w:val="24"/>
          </w:rPr>
          <w:instrText xml:space="preserve"> PAGEREF _Toc362274336 \h </w:instrText>
        </w:r>
        <w:r w:rsidR="00C465C0" w:rsidRPr="00C465C0">
          <w:rPr>
            <w:webHidden/>
            <w:szCs w:val="24"/>
          </w:rPr>
        </w:r>
        <w:r w:rsidR="00C465C0" w:rsidRPr="00C465C0">
          <w:rPr>
            <w:webHidden/>
            <w:szCs w:val="24"/>
          </w:rPr>
          <w:fldChar w:fldCharType="separate"/>
        </w:r>
        <w:r w:rsidR="00DB625B">
          <w:rPr>
            <w:webHidden/>
            <w:szCs w:val="24"/>
          </w:rPr>
          <w:t>82</w:t>
        </w:r>
        <w:r w:rsidR="00C465C0" w:rsidRPr="00C465C0">
          <w:rPr>
            <w:webHidden/>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337" w:history="1">
        <w:r w:rsidR="00C465C0" w:rsidRPr="00C465C0">
          <w:rPr>
            <w:rStyle w:val="Hyperlink"/>
            <w:sz w:val="24"/>
            <w:szCs w:val="24"/>
          </w:rPr>
          <w:t>6.1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Background</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_Toc362274337 \h </w:instrText>
        </w:r>
        <w:r w:rsidR="00C465C0" w:rsidRPr="00C465C0">
          <w:rPr>
            <w:webHidden/>
            <w:sz w:val="24"/>
            <w:szCs w:val="24"/>
          </w:rPr>
        </w:r>
        <w:r w:rsidR="00C465C0" w:rsidRPr="00C465C0">
          <w:rPr>
            <w:webHidden/>
            <w:sz w:val="24"/>
            <w:szCs w:val="24"/>
          </w:rPr>
          <w:fldChar w:fldCharType="separate"/>
        </w:r>
        <w:r w:rsidR="00DB625B">
          <w:rPr>
            <w:webHidden/>
            <w:sz w:val="24"/>
            <w:szCs w:val="24"/>
          </w:rPr>
          <w:t>82</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38" w:history="1">
        <w:r w:rsidR="00C465C0" w:rsidRPr="00C465C0">
          <w:rPr>
            <w:rStyle w:val="Hyperlink"/>
            <w:sz w:val="24"/>
            <w:szCs w:val="24"/>
          </w:rPr>
          <w:t>6.1.1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Overseas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_Toc362274338 \h </w:instrText>
        </w:r>
        <w:r w:rsidR="00C465C0" w:rsidRPr="00C465C0">
          <w:rPr>
            <w:webHidden/>
            <w:sz w:val="24"/>
            <w:szCs w:val="24"/>
          </w:rPr>
        </w:r>
        <w:r w:rsidR="00C465C0" w:rsidRPr="00C465C0">
          <w:rPr>
            <w:webHidden/>
            <w:sz w:val="24"/>
            <w:szCs w:val="24"/>
          </w:rPr>
          <w:fldChar w:fldCharType="separate"/>
        </w:r>
        <w:r w:rsidR="00DB625B">
          <w:rPr>
            <w:webHidden/>
            <w:sz w:val="24"/>
            <w:szCs w:val="24"/>
          </w:rPr>
          <w:t>82</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39" w:history="1">
        <w:r w:rsidR="00C465C0" w:rsidRPr="00C465C0">
          <w:rPr>
            <w:rStyle w:val="Hyperlink"/>
            <w:sz w:val="24"/>
            <w:szCs w:val="24"/>
          </w:rPr>
          <w:t>6.1.2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Australia</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_Toc362274339 \h </w:instrText>
        </w:r>
        <w:r w:rsidR="00C465C0" w:rsidRPr="00C465C0">
          <w:rPr>
            <w:webHidden/>
            <w:sz w:val="24"/>
            <w:szCs w:val="24"/>
          </w:rPr>
        </w:r>
        <w:r w:rsidR="00C465C0" w:rsidRPr="00C465C0">
          <w:rPr>
            <w:webHidden/>
            <w:sz w:val="24"/>
            <w:szCs w:val="24"/>
          </w:rPr>
          <w:fldChar w:fldCharType="separate"/>
        </w:r>
        <w:r w:rsidR="00DB625B">
          <w:rPr>
            <w:webHidden/>
            <w:sz w:val="24"/>
            <w:szCs w:val="24"/>
          </w:rPr>
          <w:t>83</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340" w:history="1">
        <w:r w:rsidR="00C465C0" w:rsidRPr="00C465C0">
          <w:rPr>
            <w:rStyle w:val="Hyperlink"/>
            <w:sz w:val="24"/>
            <w:szCs w:val="24"/>
          </w:rPr>
          <w:t>6.2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Port of Newcastle’s Vessel Arrival System (VAS)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_Toc362274340 \h </w:instrText>
        </w:r>
        <w:r w:rsidR="00C465C0" w:rsidRPr="00C465C0">
          <w:rPr>
            <w:webHidden/>
            <w:sz w:val="24"/>
            <w:szCs w:val="24"/>
          </w:rPr>
        </w:r>
        <w:r w:rsidR="00C465C0" w:rsidRPr="00C465C0">
          <w:rPr>
            <w:webHidden/>
            <w:sz w:val="24"/>
            <w:szCs w:val="24"/>
          </w:rPr>
          <w:fldChar w:fldCharType="separate"/>
        </w:r>
        <w:r w:rsidR="00DB625B">
          <w:rPr>
            <w:webHidden/>
            <w:sz w:val="24"/>
            <w:szCs w:val="24"/>
          </w:rPr>
          <w:t>83</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41" w:history="1">
        <w:r w:rsidR="00C465C0" w:rsidRPr="00C465C0">
          <w:rPr>
            <w:rStyle w:val="Hyperlink"/>
            <w:sz w:val="24"/>
            <w:szCs w:val="24"/>
          </w:rPr>
          <w:t>6.2.1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History of the VAS at Newcastle</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_Toc362274341 \h </w:instrText>
        </w:r>
        <w:r w:rsidR="00C465C0" w:rsidRPr="00C465C0">
          <w:rPr>
            <w:webHidden/>
            <w:sz w:val="24"/>
            <w:szCs w:val="24"/>
          </w:rPr>
        </w:r>
        <w:r w:rsidR="00C465C0" w:rsidRPr="00C465C0">
          <w:rPr>
            <w:webHidden/>
            <w:sz w:val="24"/>
            <w:szCs w:val="24"/>
          </w:rPr>
          <w:fldChar w:fldCharType="separate"/>
        </w:r>
        <w:r w:rsidR="00DB625B">
          <w:rPr>
            <w:webHidden/>
            <w:sz w:val="24"/>
            <w:szCs w:val="24"/>
          </w:rPr>
          <w:t>83</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42" w:history="1">
        <w:r w:rsidR="00C465C0" w:rsidRPr="00C465C0">
          <w:rPr>
            <w:rStyle w:val="Hyperlink"/>
            <w:sz w:val="24"/>
            <w:szCs w:val="24"/>
          </w:rPr>
          <w:t>6.2.2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Operation of the VAS at Newcastle</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_Toc362274342 \h </w:instrText>
        </w:r>
        <w:r w:rsidR="00C465C0" w:rsidRPr="00C465C0">
          <w:rPr>
            <w:webHidden/>
            <w:sz w:val="24"/>
            <w:szCs w:val="24"/>
          </w:rPr>
        </w:r>
        <w:r w:rsidR="00C465C0" w:rsidRPr="00C465C0">
          <w:rPr>
            <w:webHidden/>
            <w:sz w:val="24"/>
            <w:szCs w:val="24"/>
          </w:rPr>
          <w:fldChar w:fldCharType="separate"/>
        </w:r>
        <w:r w:rsidR="00DB625B">
          <w:rPr>
            <w:webHidden/>
            <w:sz w:val="24"/>
            <w:szCs w:val="24"/>
          </w:rPr>
          <w:t>84</w:t>
        </w:r>
        <w:r w:rsidR="00C465C0" w:rsidRPr="00C465C0">
          <w:rPr>
            <w:webHidden/>
            <w:sz w:val="24"/>
            <w:szCs w:val="24"/>
          </w:rPr>
          <w:fldChar w:fldCharType="end"/>
        </w:r>
      </w:hyperlink>
    </w:p>
    <w:p w:rsidR="00C465C0" w:rsidRPr="00C465C0" w:rsidRDefault="00B85B36" w:rsidP="00C465C0">
      <w:pPr>
        <w:pStyle w:val="TOC3"/>
        <w:rPr>
          <w:rFonts w:asciiTheme="minorHAnsi" w:eastAsiaTheme="minorEastAsia" w:hAnsiTheme="minorHAnsi" w:cstheme="minorBidi"/>
          <w:sz w:val="24"/>
          <w:szCs w:val="24"/>
          <w:lang w:eastAsia="en-AU"/>
        </w:rPr>
      </w:pPr>
      <w:hyperlink w:anchor="_Toc362274343" w:history="1">
        <w:r w:rsidR="00C465C0" w:rsidRPr="00C465C0">
          <w:rPr>
            <w:rStyle w:val="Hyperlink"/>
            <w:sz w:val="24"/>
            <w:szCs w:val="24"/>
          </w:rPr>
          <w:t>6.2.3</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Potential opportunities and issues for Queensland coal ports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_Toc362274343 \h </w:instrText>
        </w:r>
        <w:r w:rsidR="00C465C0" w:rsidRPr="00C465C0">
          <w:rPr>
            <w:webHidden/>
            <w:sz w:val="24"/>
            <w:szCs w:val="24"/>
          </w:rPr>
        </w:r>
        <w:r w:rsidR="00C465C0" w:rsidRPr="00C465C0">
          <w:rPr>
            <w:webHidden/>
            <w:sz w:val="24"/>
            <w:szCs w:val="24"/>
          </w:rPr>
          <w:fldChar w:fldCharType="separate"/>
        </w:r>
        <w:r w:rsidR="00DB625B">
          <w:rPr>
            <w:webHidden/>
            <w:sz w:val="24"/>
            <w:szCs w:val="24"/>
          </w:rPr>
          <w:t>85</w:t>
        </w:r>
        <w:r w:rsidR="00C465C0" w:rsidRPr="00C465C0">
          <w:rPr>
            <w:webHidden/>
            <w:sz w:val="24"/>
            <w:szCs w:val="24"/>
          </w:rPr>
          <w:fldChar w:fldCharType="end"/>
        </w:r>
      </w:hyperlink>
    </w:p>
    <w:p w:rsidR="00C465C0" w:rsidRPr="00C465C0" w:rsidRDefault="00B85B36" w:rsidP="00C465C0">
      <w:pPr>
        <w:pStyle w:val="TOC1"/>
        <w:rPr>
          <w:rFonts w:asciiTheme="minorHAnsi" w:eastAsiaTheme="minorEastAsia" w:hAnsiTheme="minorHAnsi" w:cstheme="minorBidi"/>
          <w:b w:val="0"/>
          <w:caps w:val="0"/>
          <w:szCs w:val="24"/>
          <w:lang w:eastAsia="en-AU"/>
        </w:rPr>
      </w:pPr>
      <w:hyperlink w:anchor="_Toc362274344" w:history="1">
        <w:r w:rsidR="00C465C0" w:rsidRPr="00C465C0">
          <w:rPr>
            <w:rStyle w:val="Hyperlink"/>
            <w:szCs w:val="24"/>
          </w:rPr>
          <w:t>7.</w:t>
        </w:r>
        <w:r w:rsidR="00C465C0" w:rsidRPr="00C465C0">
          <w:rPr>
            <w:rFonts w:asciiTheme="minorHAnsi" w:eastAsiaTheme="minorEastAsia" w:hAnsiTheme="minorHAnsi" w:cstheme="minorBidi"/>
            <w:b w:val="0"/>
            <w:caps w:val="0"/>
            <w:szCs w:val="24"/>
            <w:lang w:eastAsia="en-AU"/>
          </w:rPr>
          <w:tab/>
        </w:r>
        <w:r w:rsidR="00C465C0" w:rsidRPr="00C465C0">
          <w:rPr>
            <w:rStyle w:val="Hyperlink"/>
            <w:szCs w:val="24"/>
          </w:rPr>
          <w:t>economic appraisal</w:t>
        </w:r>
        <w:r w:rsidR="00C465C0" w:rsidRPr="00C465C0">
          <w:rPr>
            <w:webHidden/>
            <w:szCs w:val="24"/>
          </w:rPr>
          <w:tab/>
        </w:r>
        <w:r w:rsidR="00C465C0" w:rsidRPr="00C465C0">
          <w:rPr>
            <w:webHidden/>
            <w:szCs w:val="24"/>
          </w:rPr>
          <w:fldChar w:fldCharType="begin"/>
        </w:r>
        <w:r w:rsidR="00C465C0" w:rsidRPr="00C465C0">
          <w:rPr>
            <w:webHidden/>
            <w:szCs w:val="24"/>
          </w:rPr>
          <w:instrText xml:space="preserve"> PAGEREF _Toc362274344 \h </w:instrText>
        </w:r>
        <w:r w:rsidR="00C465C0" w:rsidRPr="00C465C0">
          <w:rPr>
            <w:webHidden/>
            <w:szCs w:val="24"/>
          </w:rPr>
        </w:r>
        <w:r w:rsidR="00C465C0" w:rsidRPr="00C465C0">
          <w:rPr>
            <w:webHidden/>
            <w:szCs w:val="24"/>
          </w:rPr>
          <w:fldChar w:fldCharType="separate"/>
        </w:r>
        <w:r w:rsidR="00DB625B">
          <w:rPr>
            <w:webHidden/>
            <w:szCs w:val="24"/>
          </w:rPr>
          <w:t>86</w:t>
        </w:r>
        <w:r w:rsidR="00C465C0" w:rsidRPr="00C465C0">
          <w:rPr>
            <w:webHidden/>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345" w:history="1">
        <w:r w:rsidR="00C465C0" w:rsidRPr="00C465C0">
          <w:rPr>
            <w:rStyle w:val="Hyperlink"/>
            <w:sz w:val="24"/>
            <w:szCs w:val="24"/>
          </w:rPr>
          <w:t>7.1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Background</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_Toc362274345 \h </w:instrText>
        </w:r>
        <w:r w:rsidR="00C465C0" w:rsidRPr="00C465C0">
          <w:rPr>
            <w:webHidden/>
            <w:sz w:val="24"/>
            <w:szCs w:val="24"/>
          </w:rPr>
        </w:r>
        <w:r w:rsidR="00C465C0" w:rsidRPr="00C465C0">
          <w:rPr>
            <w:webHidden/>
            <w:sz w:val="24"/>
            <w:szCs w:val="24"/>
          </w:rPr>
          <w:fldChar w:fldCharType="separate"/>
        </w:r>
        <w:r w:rsidR="00DB625B">
          <w:rPr>
            <w:webHidden/>
            <w:sz w:val="24"/>
            <w:szCs w:val="24"/>
          </w:rPr>
          <w:t>86</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346" w:history="1">
        <w:r w:rsidR="00C465C0" w:rsidRPr="00C465C0">
          <w:rPr>
            <w:rStyle w:val="Hyperlink"/>
            <w:sz w:val="24"/>
            <w:szCs w:val="24"/>
          </w:rPr>
          <w:t>7.2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Description of the CBA model</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_Toc362274346 \h </w:instrText>
        </w:r>
        <w:r w:rsidR="00C465C0" w:rsidRPr="00C465C0">
          <w:rPr>
            <w:webHidden/>
            <w:sz w:val="24"/>
            <w:szCs w:val="24"/>
          </w:rPr>
        </w:r>
        <w:r w:rsidR="00C465C0" w:rsidRPr="00C465C0">
          <w:rPr>
            <w:webHidden/>
            <w:sz w:val="24"/>
            <w:szCs w:val="24"/>
          </w:rPr>
          <w:fldChar w:fldCharType="separate"/>
        </w:r>
        <w:r w:rsidR="00DB625B">
          <w:rPr>
            <w:webHidden/>
            <w:sz w:val="24"/>
            <w:szCs w:val="24"/>
          </w:rPr>
          <w:t>86</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347" w:history="1">
        <w:r w:rsidR="00C465C0" w:rsidRPr="00C465C0">
          <w:rPr>
            <w:rStyle w:val="Hyperlink"/>
            <w:sz w:val="24"/>
            <w:szCs w:val="24"/>
          </w:rPr>
          <w:t>7.3</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Economic appraisal for the Port of Cairns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_Toc362274347 \h </w:instrText>
        </w:r>
        <w:r w:rsidR="00C465C0" w:rsidRPr="00C465C0">
          <w:rPr>
            <w:webHidden/>
            <w:sz w:val="24"/>
            <w:szCs w:val="24"/>
          </w:rPr>
        </w:r>
        <w:r w:rsidR="00C465C0" w:rsidRPr="00C465C0">
          <w:rPr>
            <w:webHidden/>
            <w:sz w:val="24"/>
            <w:szCs w:val="24"/>
          </w:rPr>
          <w:fldChar w:fldCharType="separate"/>
        </w:r>
        <w:r w:rsidR="00DB625B">
          <w:rPr>
            <w:webHidden/>
            <w:sz w:val="24"/>
            <w:szCs w:val="24"/>
          </w:rPr>
          <w:t>88</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348" w:history="1">
        <w:r w:rsidR="00C465C0" w:rsidRPr="00C465C0">
          <w:rPr>
            <w:rStyle w:val="Hyperlink"/>
            <w:sz w:val="24"/>
            <w:szCs w:val="24"/>
          </w:rPr>
          <w:t>7.4</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Economic appraisal for the Port of Townsville</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_Toc362274348 \h </w:instrText>
        </w:r>
        <w:r w:rsidR="00C465C0" w:rsidRPr="00C465C0">
          <w:rPr>
            <w:webHidden/>
            <w:sz w:val="24"/>
            <w:szCs w:val="24"/>
          </w:rPr>
        </w:r>
        <w:r w:rsidR="00C465C0" w:rsidRPr="00C465C0">
          <w:rPr>
            <w:webHidden/>
            <w:sz w:val="24"/>
            <w:szCs w:val="24"/>
          </w:rPr>
          <w:fldChar w:fldCharType="separate"/>
        </w:r>
        <w:r w:rsidR="00DB625B">
          <w:rPr>
            <w:webHidden/>
            <w:sz w:val="24"/>
            <w:szCs w:val="24"/>
          </w:rPr>
          <w:t>89</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349" w:history="1">
        <w:r w:rsidR="00C465C0" w:rsidRPr="00C465C0">
          <w:rPr>
            <w:rStyle w:val="Hyperlink"/>
            <w:sz w:val="24"/>
            <w:szCs w:val="24"/>
          </w:rPr>
          <w:t>7.5</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Economic appraisal for the Port of Abbot Point</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_Toc362274349 \h </w:instrText>
        </w:r>
        <w:r w:rsidR="00C465C0" w:rsidRPr="00C465C0">
          <w:rPr>
            <w:webHidden/>
            <w:sz w:val="24"/>
            <w:szCs w:val="24"/>
          </w:rPr>
        </w:r>
        <w:r w:rsidR="00C465C0" w:rsidRPr="00C465C0">
          <w:rPr>
            <w:webHidden/>
            <w:sz w:val="24"/>
            <w:szCs w:val="24"/>
          </w:rPr>
          <w:fldChar w:fldCharType="separate"/>
        </w:r>
        <w:r w:rsidR="00DB625B">
          <w:rPr>
            <w:webHidden/>
            <w:sz w:val="24"/>
            <w:szCs w:val="24"/>
          </w:rPr>
          <w:t>90</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350" w:history="1">
        <w:r w:rsidR="00C465C0" w:rsidRPr="00C465C0">
          <w:rPr>
            <w:rStyle w:val="Hyperlink"/>
            <w:sz w:val="24"/>
            <w:szCs w:val="24"/>
          </w:rPr>
          <w:t>7.6</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Economic appraisal for the Port of Hay Point</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_Toc362274350 \h </w:instrText>
        </w:r>
        <w:r w:rsidR="00C465C0" w:rsidRPr="00C465C0">
          <w:rPr>
            <w:webHidden/>
            <w:sz w:val="24"/>
            <w:szCs w:val="24"/>
          </w:rPr>
        </w:r>
        <w:r w:rsidR="00C465C0" w:rsidRPr="00C465C0">
          <w:rPr>
            <w:webHidden/>
            <w:sz w:val="24"/>
            <w:szCs w:val="24"/>
          </w:rPr>
          <w:fldChar w:fldCharType="separate"/>
        </w:r>
        <w:r w:rsidR="00DB625B">
          <w:rPr>
            <w:webHidden/>
            <w:sz w:val="24"/>
            <w:szCs w:val="24"/>
          </w:rPr>
          <w:t>90</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351" w:history="1">
        <w:r w:rsidR="00C465C0" w:rsidRPr="00C465C0">
          <w:rPr>
            <w:rStyle w:val="Hyperlink"/>
            <w:sz w:val="24"/>
            <w:szCs w:val="24"/>
          </w:rPr>
          <w:t>7.7</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Economic appraisal for the Port of Gladstone</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_Toc362274351 \h </w:instrText>
        </w:r>
        <w:r w:rsidR="00C465C0" w:rsidRPr="00C465C0">
          <w:rPr>
            <w:webHidden/>
            <w:sz w:val="24"/>
            <w:szCs w:val="24"/>
          </w:rPr>
        </w:r>
        <w:r w:rsidR="00C465C0" w:rsidRPr="00C465C0">
          <w:rPr>
            <w:webHidden/>
            <w:sz w:val="24"/>
            <w:szCs w:val="24"/>
          </w:rPr>
          <w:fldChar w:fldCharType="separate"/>
        </w:r>
        <w:r w:rsidR="00DB625B">
          <w:rPr>
            <w:webHidden/>
            <w:sz w:val="24"/>
            <w:szCs w:val="24"/>
          </w:rPr>
          <w:t>91</w:t>
        </w:r>
        <w:r w:rsidR="00C465C0" w:rsidRPr="00C465C0">
          <w:rPr>
            <w:webHidden/>
            <w:sz w:val="24"/>
            <w:szCs w:val="24"/>
          </w:rPr>
          <w:fldChar w:fldCharType="end"/>
        </w:r>
      </w:hyperlink>
    </w:p>
    <w:p w:rsidR="00C465C0" w:rsidRPr="00C465C0" w:rsidRDefault="00B85B36" w:rsidP="00C465C0">
      <w:pPr>
        <w:pStyle w:val="TOC1"/>
        <w:rPr>
          <w:rFonts w:asciiTheme="minorHAnsi" w:eastAsiaTheme="minorEastAsia" w:hAnsiTheme="minorHAnsi" w:cstheme="minorBidi"/>
          <w:b w:val="0"/>
          <w:caps w:val="0"/>
          <w:szCs w:val="24"/>
          <w:lang w:eastAsia="en-AU"/>
        </w:rPr>
      </w:pPr>
      <w:hyperlink w:anchor="_Toc362274352" w:history="1">
        <w:r w:rsidR="00C465C0" w:rsidRPr="00C465C0">
          <w:rPr>
            <w:rStyle w:val="Hyperlink"/>
            <w:szCs w:val="24"/>
          </w:rPr>
          <w:t>8.</w:t>
        </w:r>
        <w:r w:rsidR="00C465C0" w:rsidRPr="00C465C0">
          <w:rPr>
            <w:rFonts w:asciiTheme="minorHAnsi" w:eastAsiaTheme="minorEastAsia" w:hAnsiTheme="minorHAnsi" w:cstheme="minorBidi"/>
            <w:b w:val="0"/>
            <w:caps w:val="0"/>
            <w:szCs w:val="24"/>
            <w:lang w:eastAsia="en-AU"/>
          </w:rPr>
          <w:tab/>
        </w:r>
        <w:r w:rsidR="00C465C0" w:rsidRPr="00C465C0">
          <w:rPr>
            <w:rStyle w:val="Hyperlink"/>
            <w:szCs w:val="24"/>
          </w:rPr>
          <w:t>CONCLUSIONS</w:t>
        </w:r>
        <w:r w:rsidR="00C465C0" w:rsidRPr="00C465C0">
          <w:rPr>
            <w:webHidden/>
            <w:szCs w:val="24"/>
          </w:rPr>
          <w:tab/>
        </w:r>
        <w:r w:rsidR="00C465C0" w:rsidRPr="00C465C0">
          <w:rPr>
            <w:webHidden/>
            <w:szCs w:val="24"/>
          </w:rPr>
          <w:fldChar w:fldCharType="begin"/>
        </w:r>
        <w:r w:rsidR="00C465C0" w:rsidRPr="00C465C0">
          <w:rPr>
            <w:webHidden/>
            <w:szCs w:val="24"/>
          </w:rPr>
          <w:instrText xml:space="preserve"> PAGEREF _Toc362274352 \h </w:instrText>
        </w:r>
        <w:r w:rsidR="00C465C0" w:rsidRPr="00C465C0">
          <w:rPr>
            <w:webHidden/>
            <w:szCs w:val="24"/>
          </w:rPr>
        </w:r>
        <w:r w:rsidR="00C465C0" w:rsidRPr="00C465C0">
          <w:rPr>
            <w:webHidden/>
            <w:szCs w:val="24"/>
          </w:rPr>
          <w:fldChar w:fldCharType="separate"/>
        </w:r>
        <w:r w:rsidR="00DB625B">
          <w:rPr>
            <w:webHidden/>
            <w:szCs w:val="24"/>
          </w:rPr>
          <w:t>93</w:t>
        </w:r>
        <w:r w:rsidR="00C465C0" w:rsidRPr="00C465C0">
          <w:rPr>
            <w:webHidden/>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353" w:history="1">
        <w:r w:rsidR="00C465C0" w:rsidRPr="00C465C0">
          <w:rPr>
            <w:rStyle w:val="Hyperlink"/>
            <w:sz w:val="24"/>
            <w:szCs w:val="24"/>
          </w:rPr>
          <w:t>8.1</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Ship anchorage management options for the five main ports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_Toc362274353 \h </w:instrText>
        </w:r>
        <w:r w:rsidR="00C465C0" w:rsidRPr="00C465C0">
          <w:rPr>
            <w:webHidden/>
            <w:sz w:val="24"/>
            <w:szCs w:val="24"/>
          </w:rPr>
        </w:r>
        <w:r w:rsidR="00C465C0" w:rsidRPr="00C465C0">
          <w:rPr>
            <w:webHidden/>
            <w:sz w:val="24"/>
            <w:szCs w:val="24"/>
          </w:rPr>
          <w:fldChar w:fldCharType="separate"/>
        </w:r>
        <w:r w:rsidR="00DB625B">
          <w:rPr>
            <w:webHidden/>
            <w:sz w:val="24"/>
            <w:szCs w:val="24"/>
          </w:rPr>
          <w:t>93</w:t>
        </w:r>
        <w:r w:rsidR="00C465C0" w:rsidRPr="00C465C0">
          <w:rPr>
            <w:webHidden/>
            <w:sz w:val="24"/>
            <w:szCs w:val="24"/>
          </w:rPr>
          <w:fldChar w:fldCharType="end"/>
        </w:r>
      </w:hyperlink>
    </w:p>
    <w:p w:rsidR="00C465C0" w:rsidRPr="00C465C0" w:rsidRDefault="00B85B36" w:rsidP="00C465C0">
      <w:pPr>
        <w:pStyle w:val="TOC2"/>
        <w:tabs>
          <w:tab w:val="left" w:pos="1134"/>
        </w:tabs>
        <w:rPr>
          <w:rFonts w:asciiTheme="minorHAnsi" w:eastAsiaTheme="minorEastAsia" w:hAnsiTheme="minorHAnsi" w:cstheme="minorBidi"/>
          <w:sz w:val="24"/>
          <w:szCs w:val="24"/>
          <w:lang w:eastAsia="en-AU"/>
        </w:rPr>
      </w:pPr>
      <w:hyperlink w:anchor="_Toc362274354" w:history="1">
        <w:r w:rsidR="00C465C0" w:rsidRPr="00C465C0">
          <w:rPr>
            <w:rStyle w:val="Hyperlink"/>
            <w:sz w:val="24"/>
            <w:szCs w:val="24"/>
          </w:rPr>
          <w:t>8.2</w:t>
        </w:r>
        <w:r w:rsidR="00C465C0" w:rsidRPr="00C465C0">
          <w:rPr>
            <w:rFonts w:asciiTheme="minorHAnsi" w:eastAsiaTheme="minorEastAsia" w:hAnsiTheme="minorHAnsi" w:cstheme="minorBidi"/>
            <w:sz w:val="24"/>
            <w:szCs w:val="24"/>
            <w:lang w:eastAsia="en-AU"/>
          </w:rPr>
          <w:tab/>
        </w:r>
        <w:r w:rsidR="00C465C0" w:rsidRPr="00C465C0">
          <w:rPr>
            <w:rStyle w:val="Hyperlink"/>
            <w:sz w:val="24"/>
            <w:szCs w:val="24"/>
          </w:rPr>
          <w:t>Implications of the Economic Appraisal results for future environmental management strategies at the five main ports</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_Toc362274354 \h </w:instrText>
        </w:r>
        <w:r w:rsidR="00C465C0" w:rsidRPr="00C465C0">
          <w:rPr>
            <w:webHidden/>
            <w:sz w:val="24"/>
            <w:szCs w:val="24"/>
          </w:rPr>
        </w:r>
        <w:r w:rsidR="00C465C0" w:rsidRPr="00C465C0">
          <w:rPr>
            <w:webHidden/>
            <w:sz w:val="24"/>
            <w:szCs w:val="24"/>
          </w:rPr>
          <w:fldChar w:fldCharType="separate"/>
        </w:r>
        <w:r w:rsidR="00DB625B">
          <w:rPr>
            <w:webHidden/>
            <w:sz w:val="24"/>
            <w:szCs w:val="24"/>
          </w:rPr>
          <w:t>94</w:t>
        </w:r>
        <w:r w:rsidR="00C465C0" w:rsidRPr="00C465C0">
          <w:rPr>
            <w:webHidden/>
            <w:sz w:val="24"/>
            <w:szCs w:val="24"/>
          </w:rPr>
          <w:fldChar w:fldCharType="end"/>
        </w:r>
      </w:hyperlink>
    </w:p>
    <w:p w:rsidR="00C465C0" w:rsidRPr="00C465C0" w:rsidRDefault="00B85B36" w:rsidP="00C465C0">
      <w:pPr>
        <w:pStyle w:val="TOC1"/>
        <w:rPr>
          <w:rFonts w:asciiTheme="minorHAnsi" w:eastAsiaTheme="minorEastAsia" w:hAnsiTheme="minorHAnsi" w:cstheme="minorBidi"/>
          <w:b w:val="0"/>
          <w:caps w:val="0"/>
          <w:szCs w:val="24"/>
          <w:lang w:eastAsia="en-AU"/>
        </w:rPr>
      </w:pPr>
      <w:hyperlink w:anchor="_Toc362274355" w:history="1">
        <w:r w:rsidR="00C465C0" w:rsidRPr="00C465C0">
          <w:rPr>
            <w:rStyle w:val="Hyperlink"/>
            <w:szCs w:val="24"/>
          </w:rPr>
          <w:t>9.</w:t>
        </w:r>
        <w:r w:rsidR="00C465C0" w:rsidRPr="00C465C0">
          <w:rPr>
            <w:rFonts w:asciiTheme="minorHAnsi" w:eastAsiaTheme="minorEastAsia" w:hAnsiTheme="minorHAnsi" w:cstheme="minorBidi"/>
            <w:b w:val="0"/>
            <w:caps w:val="0"/>
            <w:szCs w:val="24"/>
            <w:lang w:eastAsia="en-AU"/>
          </w:rPr>
          <w:tab/>
        </w:r>
        <w:r w:rsidR="00C465C0" w:rsidRPr="00C465C0">
          <w:rPr>
            <w:rStyle w:val="Hyperlink"/>
            <w:szCs w:val="24"/>
          </w:rPr>
          <w:t>references</w:t>
        </w:r>
        <w:r w:rsidR="00C465C0" w:rsidRPr="00C465C0">
          <w:rPr>
            <w:webHidden/>
            <w:szCs w:val="24"/>
          </w:rPr>
          <w:tab/>
        </w:r>
        <w:r w:rsidR="00C465C0" w:rsidRPr="00C465C0">
          <w:rPr>
            <w:webHidden/>
            <w:szCs w:val="24"/>
          </w:rPr>
          <w:fldChar w:fldCharType="begin"/>
        </w:r>
        <w:r w:rsidR="00C465C0" w:rsidRPr="00C465C0">
          <w:rPr>
            <w:webHidden/>
            <w:szCs w:val="24"/>
          </w:rPr>
          <w:instrText xml:space="preserve"> PAGEREF _Toc362274355 \h </w:instrText>
        </w:r>
        <w:r w:rsidR="00C465C0" w:rsidRPr="00C465C0">
          <w:rPr>
            <w:webHidden/>
            <w:szCs w:val="24"/>
          </w:rPr>
        </w:r>
        <w:r w:rsidR="00C465C0" w:rsidRPr="00C465C0">
          <w:rPr>
            <w:webHidden/>
            <w:szCs w:val="24"/>
          </w:rPr>
          <w:fldChar w:fldCharType="separate"/>
        </w:r>
        <w:r w:rsidR="00DB625B">
          <w:rPr>
            <w:webHidden/>
            <w:szCs w:val="24"/>
          </w:rPr>
          <w:t>95</w:t>
        </w:r>
        <w:r w:rsidR="00C465C0" w:rsidRPr="00C465C0">
          <w:rPr>
            <w:webHidden/>
            <w:szCs w:val="24"/>
          </w:rPr>
          <w:fldChar w:fldCharType="end"/>
        </w:r>
      </w:hyperlink>
    </w:p>
    <w:p w:rsidR="009F39F5" w:rsidRDefault="00CD38ED" w:rsidP="007D3A6C">
      <w:pPr>
        <w:pStyle w:val="ContentsLabels"/>
        <w:rPr>
          <w:noProof/>
        </w:rPr>
      </w:pPr>
      <w:r>
        <w:fldChar w:fldCharType="end"/>
      </w:r>
      <w:r w:rsidR="009F39F5">
        <w:rPr>
          <w:noProof/>
        </w:rPr>
        <w:t>APPENDIX</w:t>
      </w:r>
    </w:p>
    <w:p w:rsidR="007238EB" w:rsidRPr="001D5BF5" w:rsidRDefault="00CD38ED">
      <w:pPr>
        <w:pStyle w:val="TOC2"/>
        <w:rPr>
          <w:rFonts w:asciiTheme="minorHAnsi" w:eastAsiaTheme="minorEastAsia" w:hAnsiTheme="minorHAnsi" w:cstheme="minorBidi"/>
          <w:sz w:val="24"/>
          <w:szCs w:val="24"/>
          <w:lang w:eastAsia="en-AU"/>
        </w:rPr>
      </w:pPr>
      <w:r w:rsidRPr="001D5BF5">
        <w:rPr>
          <w:sz w:val="24"/>
          <w:szCs w:val="24"/>
        </w:rPr>
        <w:fldChar w:fldCharType="begin"/>
      </w:r>
      <w:r w:rsidR="00DE21DB" w:rsidRPr="001D5BF5">
        <w:rPr>
          <w:sz w:val="24"/>
          <w:szCs w:val="24"/>
        </w:rPr>
        <w:instrText xml:space="preserve"> TOC \h \z \t "Appendix,2" </w:instrText>
      </w:r>
      <w:r w:rsidRPr="001D5BF5">
        <w:rPr>
          <w:sz w:val="24"/>
          <w:szCs w:val="24"/>
        </w:rPr>
        <w:fldChar w:fldCharType="separate"/>
      </w:r>
      <w:hyperlink w:anchor="_Toc358899217" w:history="1">
        <w:r w:rsidR="007238EB" w:rsidRPr="001D5BF5">
          <w:rPr>
            <w:rStyle w:val="Hyperlink"/>
            <w:sz w:val="24"/>
            <w:szCs w:val="24"/>
          </w:rPr>
          <w:t>Appendix A</w:t>
        </w:r>
        <w:r w:rsidR="007238EB" w:rsidRPr="001D5BF5">
          <w:rPr>
            <w:webHidden/>
            <w:sz w:val="24"/>
            <w:szCs w:val="24"/>
          </w:rPr>
          <w:tab/>
        </w:r>
        <w:r w:rsidR="007238EB" w:rsidRPr="001D5BF5">
          <w:rPr>
            <w:webHidden/>
            <w:sz w:val="24"/>
            <w:szCs w:val="24"/>
          </w:rPr>
          <w:fldChar w:fldCharType="begin"/>
        </w:r>
        <w:r w:rsidR="007238EB" w:rsidRPr="001D5BF5">
          <w:rPr>
            <w:webHidden/>
            <w:sz w:val="24"/>
            <w:szCs w:val="24"/>
          </w:rPr>
          <w:instrText xml:space="preserve"> PAGEREF _Toc358899217 \h </w:instrText>
        </w:r>
        <w:r w:rsidR="007238EB" w:rsidRPr="001D5BF5">
          <w:rPr>
            <w:webHidden/>
            <w:sz w:val="24"/>
            <w:szCs w:val="24"/>
          </w:rPr>
        </w:r>
        <w:r w:rsidR="007238EB" w:rsidRPr="001D5BF5">
          <w:rPr>
            <w:webHidden/>
            <w:sz w:val="24"/>
            <w:szCs w:val="24"/>
          </w:rPr>
          <w:fldChar w:fldCharType="separate"/>
        </w:r>
        <w:r w:rsidR="00DB625B">
          <w:rPr>
            <w:webHidden/>
            <w:sz w:val="24"/>
            <w:szCs w:val="24"/>
          </w:rPr>
          <w:t>96</w:t>
        </w:r>
        <w:r w:rsidR="007238EB" w:rsidRPr="001D5BF5">
          <w:rPr>
            <w:webHidden/>
            <w:sz w:val="24"/>
            <w:szCs w:val="24"/>
          </w:rPr>
          <w:fldChar w:fldCharType="end"/>
        </w:r>
      </w:hyperlink>
    </w:p>
    <w:p w:rsidR="004E02F3" w:rsidRDefault="00CD38ED" w:rsidP="002D0791">
      <w:pPr>
        <w:pStyle w:val="ContentsLabels"/>
        <w:tabs>
          <w:tab w:val="left" w:pos="7371"/>
          <w:tab w:val="left" w:pos="8505"/>
        </w:tabs>
      </w:pPr>
      <w:r w:rsidRPr="001D5BF5">
        <w:rPr>
          <w:noProof/>
          <w:szCs w:val="24"/>
        </w:rPr>
        <w:fldChar w:fldCharType="end"/>
      </w:r>
      <w:r w:rsidR="004E02F3">
        <w:t>Table Index</w:t>
      </w:r>
    </w:p>
    <w:p w:rsidR="00C465C0" w:rsidRPr="00C465C0" w:rsidRDefault="00CD38ED">
      <w:pPr>
        <w:pStyle w:val="TableofFigures"/>
        <w:rPr>
          <w:rFonts w:asciiTheme="minorHAnsi" w:eastAsiaTheme="minorEastAsia" w:hAnsiTheme="minorHAnsi" w:cstheme="minorBidi"/>
          <w:sz w:val="24"/>
          <w:szCs w:val="24"/>
          <w:lang w:eastAsia="en-AU"/>
        </w:rPr>
      </w:pPr>
      <w:r w:rsidRPr="00C465C0">
        <w:rPr>
          <w:b/>
          <w:caps/>
          <w:sz w:val="24"/>
          <w:szCs w:val="24"/>
        </w:rPr>
        <w:fldChar w:fldCharType="begin"/>
      </w:r>
      <w:r w:rsidR="00A10FC0" w:rsidRPr="00C465C0">
        <w:rPr>
          <w:b/>
          <w:caps/>
          <w:sz w:val="24"/>
          <w:szCs w:val="24"/>
        </w:rPr>
        <w:instrText xml:space="preserve"> TOC \t "Caption Table" \c </w:instrText>
      </w:r>
      <w:r w:rsidRPr="00C465C0">
        <w:rPr>
          <w:b/>
          <w:caps/>
          <w:sz w:val="24"/>
          <w:szCs w:val="24"/>
        </w:rPr>
        <w:fldChar w:fldCharType="separate"/>
      </w:r>
      <w:r w:rsidR="00C465C0" w:rsidRPr="00C465C0">
        <w:rPr>
          <w:sz w:val="24"/>
          <w:szCs w:val="24"/>
        </w:rPr>
        <w:t>Table 1</w:t>
      </w:r>
      <w:r w:rsidR="00C465C0" w:rsidRPr="00C465C0">
        <w:rPr>
          <w:sz w:val="24"/>
          <w:szCs w:val="24"/>
        </w:rPr>
        <w:noBreakHyphen/>
        <w:t>1: Great Barrier Reef Region vs Marine Park vs World Heritage Area</w:t>
      </w:r>
      <w:r w:rsidR="00C465C0" w:rsidRPr="00C465C0">
        <w:rPr>
          <w:sz w:val="24"/>
          <w:szCs w:val="24"/>
        </w:rPr>
        <w:tab/>
      </w:r>
      <w:r w:rsidR="00C465C0" w:rsidRPr="00C465C0">
        <w:rPr>
          <w:sz w:val="24"/>
          <w:szCs w:val="24"/>
        </w:rPr>
        <w:fldChar w:fldCharType="begin"/>
      </w:r>
      <w:r w:rsidR="00C465C0" w:rsidRPr="00C465C0">
        <w:rPr>
          <w:sz w:val="24"/>
          <w:szCs w:val="24"/>
        </w:rPr>
        <w:instrText xml:space="preserve"> PAGEREF _Toc362274356 \h </w:instrText>
      </w:r>
      <w:r w:rsidR="00C465C0" w:rsidRPr="00C465C0">
        <w:rPr>
          <w:sz w:val="24"/>
          <w:szCs w:val="24"/>
        </w:rPr>
      </w:r>
      <w:r w:rsidR="00C465C0" w:rsidRPr="00C465C0">
        <w:rPr>
          <w:sz w:val="24"/>
          <w:szCs w:val="24"/>
        </w:rPr>
        <w:fldChar w:fldCharType="separate"/>
      </w:r>
      <w:r w:rsidR="00DB625B">
        <w:rPr>
          <w:sz w:val="24"/>
          <w:szCs w:val="24"/>
        </w:rPr>
        <w:t>4</w:t>
      </w:r>
      <w:r w:rsidR="00C465C0" w:rsidRPr="00C465C0">
        <w:rPr>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Table 1</w:t>
      </w:r>
      <w:r w:rsidRPr="00C465C0">
        <w:rPr>
          <w:sz w:val="24"/>
          <w:szCs w:val="24"/>
        </w:rPr>
        <w:noBreakHyphen/>
        <w:t>2: Bounds (latitude and longitude) and area (in ha) of the anchorage areas at each of the five major ports (Latitudes and longitudes are provided by point number. Point 1 is top left corner, Point 2 is top right corner, Point 3 is bottom left corner and Point 4 is bottom right corner of a bounded area)</w:t>
      </w:r>
      <w:r w:rsidRPr="00C465C0">
        <w:rPr>
          <w:sz w:val="24"/>
          <w:szCs w:val="24"/>
        </w:rPr>
        <w:tab/>
      </w:r>
      <w:r w:rsidRPr="00C465C0">
        <w:rPr>
          <w:sz w:val="24"/>
          <w:szCs w:val="24"/>
        </w:rPr>
        <w:fldChar w:fldCharType="begin"/>
      </w:r>
      <w:r w:rsidRPr="00C465C0">
        <w:rPr>
          <w:sz w:val="24"/>
          <w:szCs w:val="24"/>
        </w:rPr>
        <w:instrText xml:space="preserve"> PAGEREF _Toc362274357 \h </w:instrText>
      </w:r>
      <w:r w:rsidRPr="00C465C0">
        <w:rPr>
          <w:sz w:val="24"/>
          <w:szCs w:val="24"/>
        </w:rPr>
      </w:r>
      <w:r w:rsidRPr="00C465C0">
        <w:rPr>
          <w:sz w:val="24"/>
          <w:szCs w:val="24"/>
        </w:rPr>
        <w:fldChar w:fldCharType="separate"/>
      </w:r>
      <w:r w:rsidR="00DB625B">
        <w:rPr>
          <w:sz w:val="24"/>
          <w:szCs w:val="24"/>
        </w:rPr>
        <w:t>7</w:t>
      </w:r>
      <w:r w:rsidRPr="00C465C0">
        <w:rPr>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Table 2</w:t>
      </w:r>
      <w:r w:rsidRPr="00C465C0">
        <w:rPr>
          <w:sz w:val="24"/>
          <w:szCs w:val="24"/>
        </w:rPr>
        <w:noBreakHyphen/>
        <w:t>1: Overview of stakeholders identified for consultation and consulted for the CBA (* Feedback provided via Shipping Australia Limited)</w:t>
      </w:r>
      <w:r w:rsidRPr="00C465C0">
        <w:rPr>
          <w:sz w:val="24"/>
          <w:szCs w:val="24"/>
        </w:rPr>
        <w:tab/>
      </w:r>
      <w:r w:rsidRPr="00C465C0">
        <w:rPr>
          <w:sz w:val="24"/>
          <w:szCs w:val="24"/>
        </w:rPr>
        <w:fldChar w:fldCharType="begin"/>
      </w:r>
      <w:r w:rsidRPr="00C465C0">
        <w:rPr>
          <w:sz w:val="24"/>
          <w:szCs w:val="24"/>
        </w:rPr>
        <w:instrText xml:space="preserve"> PAGEREF _Toc362274358 \h </w:instrText>
      </w:r>
      <w:r w:rsidRPr="00C465C0">
        <w:rPr>
          <w:sz w:val="24"/>
          <w:szCs w:val="24"/>
        </w:rPr>
      </w:r>
      <w:r w:rsidRPr="00C465C0">
        <w:rPr>
          <w:sz w:val="24"/>
          <w:szCs w:val="24"/>
        </w:rPr>
        <w:fldChar w:fldCharType="separate"/>
      </w:r>
      <w:r w:rsidR="00DB625B">
        <w:rPr>
          <w:sz w:val="24"/>
          <w:szCs w:val="24"/>
        </w:rPr>
        <w:t>11</w:t>
      </w:r>
      <w:r w:rsidRPr="00C465C0">
        <w:rPr>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Table 3</w:t>
      </w:r>
      <w:r w:rsidRPr="00C465C0">
        <w:rPr>
          <w:sz w:val="24"/>
          <w:szCs w:val="24"/>
        </w:rPr>
        <w:noBreakHyphen/>
        <w:t>1: Summary of social issues identified for the Port of Cairns from consultation under this Project</w:t>
      </w:r>
      <w:r w:rsidRPr="00C465C0">
        <w:rPr>
          <w:sz w:val="24"/>
          <w:szCs w:val="24"/>
        </w:rPr>
        <w:tab/>
      </w:r>
      <w:r w:rsidRPr="00C465C0">
        <w:rPr>
          <w:sz w:val="24"/>
          <w:szCs w:val="24"/>
        </w:rPr>
        <w:fldChar w:fldCharType="begin"/>
      </w:r>
      <w:r w:rsidRPr="00C465C0">
        <w:rPr>
          <w:sz w:val="24"/>
          <w:szCs w:val="24"/>
        </w:rPr>
        <w:instrText xml:space="preserve"> PAGEREF _Toc362274359 \h </w:instrText>
      </w:r>
      <w:r w:rsidRPr="00C465C0">
        <w:rPr>
          <w:sz w:val="24"/>
          <w:szCs w:val="24"/>
        </w:rPr>
      </w:r>
      <w:r w:rsidRPr="00C465C0">
        <w:rPr>
          <w:sz w:val="24"/>
          <w:szCs w:val="24"/>
        </w:rPr>
        <w:fldChar w:fldCharType="separate"/>
      </w:r>
      <w:r w:rsidR="00DB625B">
        <w:rPr>
          <w:sz w:val="24"/>
          <w:szCs w:val="24"/>
        </w:rPr>
        <w:t>17</w:t>
      </w:r>
      <w:r w:rsidRPr="00C465C0">
        <w:rPr>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Table 3</w:t>
      </w:r>
      <w:r w:rsidRPr="00C465C0">
        <w:rPr>
          <w:sz w:val="24"/>
          <w:szCs w:val="24"/>
        </w:rPr>
        <w:noBreakHyphen/>
        <w:t>2: Summary of social issues identified for the Port of Townsville from consultation under this Project</w:t>
      </w:r>
      <w:r w:rsidRPr="00C465C0">
        <w:rPr>
          <w:sz w:val="24"/>
          <w:szCs w:val="24"/>
        </w:rPr>
        <w:tab/>
      </w:r>
      <w:r w:rsidRPr="00C465C0">
        <w:rPr>
          <w:sz w:val="24"/>
          <w:szCs w:val="24"/>
        </w:rPr>
        <w:fldChar w:fldCharType="begin"/>
      </w:r>
      <w:r w:rsidRPr="00C465C0">
        <w:rPr>
          <w:sz w:val="24"/>
          <w:szCs w:val="24"/>
        </w:rPr>
        <w:instrText xml:space="preserve"> PAGEREF _Toc362274360 \h </w:instrText>
      </w:r>
      <w:r w:rsidRPr="00C465C0">
        <w:rPr>
          <w:sz w:val="24"/>
          <w:szCs w:val="24"/>
        </w:rPr>
      </w:r>
      <w:r w:rsidRPr="00C465C0">
        <w:rPr>
          <w:sz w:val="24"/>
          <w:szCs w:val="24"/>
        </w:rPr>
        <w:fldChar w:fldCharType="separate"/>
      </w:r>
      <w:r w:rsidR="00DB625B">
        <w:rPr>
          <w:sz w:val="24"/>
          <w:szCs w:val="24"/>
        </w:rPr>
        <w:t>18</w:t>
      </w:r>
      <w:r w:rsidRPr="00C465C0">
        <w:rPr>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lastRenderedPageBreak/>
        <w:t>Table 3</w:t>
      </w:r>
      <w:r w:rsidRPr="00C465C0">
        <w:rPr>
          <w:sz w:val="24"/>
          <w:szCs w:val="24"/>
        </w:rPr>
        <w:noBreakHyphen/>
        <w:t>3: Summary of social issues identified for the Port of Abbot Point from consultation under this Project</w:t>
      </w:r>
      <w:r w:rsidRPr="00C465C0">
        <w:rPr>
          <w:sz w:val="24"/>
          <w:szCs w:val="24"/>
        </w:rPr>
        <w:tab/>
      </w:r>
      <w:r w:rsidRPr="00C465C0">
        <w:rPr>
          <w:sz w:val="24"/>
          <w:szCs w:val="24"/>
        </w:rPr>
        <w:fldChar w:fldCharType="begin"/>
      </w:r>
      <w:r w:rsidRPr="00C465C0">
        <w:rPr>
          <w:sz w:val="24"/>
          <w:szCs w:val="24"/>
        </w:rPr>
        <w:instrText xml:space="preserve"> PAGEREF _Toc362274361 \h </w:instrText>
      </w:r>
      <w:r w:rsidRPr="00C465C0">
        <w:rPr>
          <w:sz w:val="24"/>
          <w:szCs w:val="24"/>
        </w:rPr>
      </w:r>
      <w:r w:rsidRPr="00C465C0">
        <w:rPr>
          <w:sz w:val="24"/>
          <w:szCs w:val="24"/>
        </w:rPr>
        <w:fldChar w:fldCharType="separate"/>
      </w:r>
      <w:r w:rsidR="00DB625B">
        <w:rPr>
          <w:sz w:val="24"/>
          <w:szCs w:val="24"/>
        </w:rPr>
        <w:t>20</w:t>
      </w:r>
      <w:r w:rsidRPr="00C465C0">
        <w:rPr>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Table 3</w:t>
      </w:r>
      <w:r w:rsidRPr="00C465C0">
        <w:rPr>
          <w:sz w:val="24"/>
          <w:szCs w:val="24"/>
        </w:rPr>
        <w:noBreakHyphen/>
        <w:t>4: Summary of social issues identified for the Port of Hay Point from consultation under this Project</w:t>
      </w:r>
      <w:r w:rsidRPr="00C465C0">
        <w:rPr>
          <w:sz w:val="24"/>
          <w:szCs w:val="24"/>
        </w:rPr>
        <w:tab/>
      </w:r>
      <w:r w:rsidRPr="00C465C0">
        <w:rPr>
          <w:sz w:val="24"/>
          <w:szCs w:val="24"/>
        </w:rPr>
        <w:fldChar w:fldCharType="begin"/>
      </w:r>
      <w:r w:rsidRPr="00C465C0">
        <w:rPr>
          <w:sz w:val="24"/>
          <w:szCs w:val="24"/>
        </w:rPr>
        <w:instrText xml:space="preserve"> PAGEREF _Toc362274362 \h </w:instrText>
      </w:r>
      <w:r w:rsidRPr="00C465C0">
        <w:rPr>
          <w:sz w:val="24"/>
          <w:szCs w:val="24"/>
        </w:rPr>
      </w:r>
      <w:r w:rsidRPr="00C465C0">
        <w:rPr>
          <w:sz w:val="24"/>
          <w:szCs w:val="24"/>
        </w:rPr>
        <w:fldChar w:fldCharType="separate"/>
      </w:r>
      <w:r w:rsidR="00DB625B">
        <w:rPr>
          <w:sz w:val="24"/>
          <w:szCs w:val="24"/>
        </w:rPr>
        <w:t>21</w:t>
      </w:r>
      <w:r w:rsidRPr="00C465C0">
        <w:rPr>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Table 3</w:t>
      </w:r>
      <w:r w:rsidRPr="00C465C0">
        <w:rPr>
          <w:sz w:val="24"/>
          <w:szCs w:val="24"/>
        </w:rPr>
        <w:noBreakHyphen/>
        <w:t>5: Summary of social issues identified for the Port of Gladstone from consultation under this Project</w:t>
      </w:r>
      <w:r w:rsidRPr="00C465C0">
        <w:rPr>
          <w:sz w:val="24"/>
          <w:szCs w:val="24"/>
        </w:rPr>
        <w:tab/>
      </w:r>
      <w:r w:rsidRPr="00C465C0">
        <w:rPr>
          <w:sz w:val="24"/>
          <w:szCs w:val="24"/>
        </w:rPr>
        <w:fldChar w:fldCharType="begin"/>
      </w:r>
      <w:r w:rsidRPr="00C465C0">
        <w:rPr>
          <w:sz w:val="24"/>
          <w:szCs w:val="24"/>
        </w:rPr>
        <w:instrText xml:space="preserve"> PAGEREF _Toc362274363 \h </w:instrText>
      </w:r>
      <w:r w:rsidRPr="00C465C0">
        <w:rPr>
          <w:sz w:val="24"/>
          <w:szCs w:val="24"/>
        </w:rPr>
      </w:r>
      <w:r w:rsidRPr="00C465C0">
        <w:rPr>
          <w:sz w:val="24"/>
          <w:szCs w:val="24"/>
        </w:rPr>
        <w:fldChar w:fldCharType="separate"/>
      </w:r>
      <w:r w:rsidR="00DB625B">
        <w:rPr>
          <w:sz w:val="24"/>
          <w:szCs w:val="24"/>
        </w:rPr>
        <w:t>23</w:t>
      </w:r>
      <w:r w:rsidRPr="00C465C0">
        <w:rPr>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Table 3</w:t>
      </w:r>
      <w:r w:rsidRPr="00C465C0">
        <w:rPr>
          <w:sz w:val="24"/>
          <w:szCs w:val="24"/>
        </w:rPr>
        <w:noBreakHyphen/>
        <w:t>6: Summary of overall conclusions of social aspects of ship anchorages from consultation under this Project</w:t>
      </w:r>
      <w:r w:rsidRPr="00C465C0">
        <w:rPr>
          <w:sz w:val="24"/>
          <w:szCs w:val="24"/>
        </w:rPr>
        <w:tab/>
      </w:r>
      <w:r w:rsidRPr="00C465C0">
        <w:rPr>
          <w:sz w:val="24"/>
          <w:szCs w:val="24"/>
        </w:rPr>
        <w:fldChar w:fldCharType="begin"/>
      </w:r>
      <w:r w:rsidRPr="00C465C0">
        <w:rPr>
          <w:sz w:val="24"/>
          <w:szCs w:val="24"/>
        </w:rPr>
        <w:instrText xml:space="preserve"> PAGEREF _Toc362274364 \h </w:instrText>
      </w:r>
      <w:r w:rsidRPr="00C465C0">
        <w:rPr>
          <w:sz w:val="24"/>
          <w:szCs w:val="24"/>
        </w:rPr>
      </w:r>
      <w:r w:rsidRPr="00C465C0">
        <w:rPr>
          <w:sz w:val="24"/>
          <w:szCs w:val="24"/>
        </w:rPr>
        <w:fldChar w:fldCharType="separate"/>
      </w:r>
      <w:r w:rsidR="00DB625B">
        <w:rPr>
          <w:sz w:val="24"/>
          <w:szCs w:val="24"/>
        </w:rPr>
        <w:t>24</w:t>
      </w:r>
      <w:r w:rsidRPr="00C465C0">
        <w:rPr>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Table 4</w:t>
      </w:r>
      <w:r w:rsidRPr="00C465C0">
        <w:rPr>
          <w:sz w:val="24"/>
          <w:szCs w:val="24"/>
        </w:rPr>
        <w:noBreakHyphen/>
        <w:t>1: Overview of Great Barrier Reef ports and their key commodity trades, 2012 (Source: Data courtesy of Great Barrier Reef Marine Park Authority)</w:t>
      </w:r>
      <w:r w:rsidRPr="00C465C0">
        <w:rPr>
          <w:sz w:val="24"/>
          <w:szCs w:val="24"/>
        </w:rPr>
        <w:tab/>
      </w:r>
      <w:r w:rsidRPr="00C465C0">
        <w:rPr>
          <w:sz w:val="24"/>
          <w:szCs w:val="24"/>
        </w:rPr>
        <w:fldChar w:fldCharType="begin"/>
      </w:r>
      <w:r w:rsidRPr="00C465C0">
        <w:rPr>
          <w:sz w:val="24"/>
          <w:szCs w:val="24"/>
        </w:rPr>
        <w:instrText xml:space="preserve"> PAGEREF _Toc362274365 \h </w:instrText>
      </w:r>
      <w:r w:rsidRPr="00C465C0">
        <w:rPr>
          <w:sz w:val="24"/>
          <w:szCs w:val="24"/>
        </w:rPr>
      </w:r>
      <w:r w:rsidRPr="00C465C0">
        <w:rPr>
          <w:sz w:val="24"/>
          <w:szCs w:val="24"/>
        </w:rPr>
        <w:fldChar w:fldCharType="separate"/>
      </w:r>
      <w:r w:rsidR="00DB625B">
        <w:rPr>
          <w:sz w:val="24"/>
          <w:szCs w:val="24"/>
        </w:rPr>
        <w:t>28</w:t>
      </w:r>
      <w:r w:rsidRPr="00C465C0">
        <w:rPr>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Table 4</w:t>
      </w:r>
      <w:r w:rsidRPr="00C465C0">
        <w:rPr>
          <w:sz w:val="24"/>
          <w:szCs w:val="24"/>
        </w:rPr>
        <w:noBreakHyphen/>
        <w:t>2: Total ship visits to five main ports and share using ship anchorages, 2009-2012 (* Excludes Port of Townsville in 2009 due to no data available on split of vessels direct to berth and direct to anchor. Hence, 2009 is the total for four ports. Source: MSQ data / GHD analysis.)</w:t>
      </w:r>
      <w:r w:rsidRPr="00C465C0">
        <w:rPr>
          <w:sz w:val="24"/>
          <w:szCs w:val="24"/>
        </w:rPr>
        <w:tab/>
      </w:r>
      <w:r w:rsidRPr="00C465C0">
        <w:rPr>
          <w:sz w:val="24"/>
          <w:szCs w:val="24"/>
        </w:rPr>
        <w:fldChar w:fldCharType="begin"/>
      </w:r>
      <w:r w:rsidRPr="00C465C0">
        <w:rPr>
          <w:sz w:val="24"/>
          <w:szCs w:val="24"/>
        </w:rPr>
        <w:instrText xml:space="preserve"> PAGEREF _Toc362274366 \h </w:instrText>
      </w:r>
      <w:r w:rsidRPr="00C465C0">
        <w:rPr>
          <w:sz w:val="24"/>
          <w:szCs w:val="24"/>
        </w:rPr>
      </w:r>
      <w:r w:rsidRPr="00C465C0">
        <w:rPr>
          <w:sz w:val="24"/>
          <w:szCs w:val="24"/>
        </w:rPr>
        <w:fldChar w:fldCharType="separate"/>
      </w:r>
      <w:r w:rsidR="00DB625B">
        <w:rPr>
          <w:sz w:val="24"/>
          <w:szCs w:val="24"/>
        </w:rPr>
        <w:t>31</w:t>
      </w:r>
      <w:r w:rsidRPr="00C465C0">
        <w:rPr>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Table 4</w:t>
      </w:r>
      <w:r w:rsidRPr="00C465C0">
        <w:rPr>
          <w:sz w:val="24"/>
          <w:szCs w:val="24"/>
        </w:rPr>
        <w:noBreakHyphen/>
        <w:t>3: Overview of current and future anchorage demand for the Reef’s five main ports (* as at year 2032)</w:t>
      </w:r>
      <w:r w:rsidRPr="00C465C0">
        <w:rPr>
          <w:sz w:val="24"/>
          <w:szCs w:val="24"/>
        </w:rPr>
        <w:tab/>
      </w:r>
      <w:r w:rsidRPr="00C465C0">
        <w:rPr>
          <w:sz w:val="24"/>
          <w:szCs w:val="24"/>
        </w:rPr>
        <w:fldChar w:fldCharType="begin"/>
      </w:r>
      <w:r w:rsidRPr="00C465C0">
        <w:rPr>
          <w:sz w:val="24"/>
          <w:szCs w:val="24"/>
        </w:rPr>
        <w:instrText xml:space="preserve"> PAGEREF _Toc362274367 \h </w:instrText>
      </w:r>
      <w:r w:rsidRPr="00C465C0">
        <w:rPr>
          <w:sz w:val="24"/>
          <w:szCs w:val="24"/>
        </w:rPr>
      </w:r>
      <w:r w:rsidRPr="00C465C0">
        <w:rPr>
          <w:sz w:val="24"/>
          <w:szCs w:val="24"/>
        </w:rPr>
        <w:fldChar w:fldCharType="separate"/>
      </w:r>
      <w:r w:rsidR="00DB625B">
        <w:rPr>
          <w:sz w:val="24"/>
          <w:szCs w:val="24"/>
        </w:rPr>
        <w:t>34</w:t>
      </w:r>
      <w:r w:rsidRPr="00C465C0">
        <w:rPr>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Table 4</w:t>
      </w:r>
      <w:r w:rsidRPr="00C465C0">
        <w:rPr>
          <w:sz w:val="24"/>
          <w:szCs w:val="24"/>
        </w:rPr>
        <w:noBreakHyphen/>
        <w:t>4: Total ship visits to the Port of Cairns and share using ship anchorages, 2009-2012 (Source: MSQ data/GHD analysis)</w:t>
      </w:r>
      <w:r w:rsidRPr="00C465C0">
        <w:rPr>
          <w:sz w:val="24"/>
          <w:szCs w:val="24"/>
        </w:rPr>
        <w:tab/>
      </w:r>
      <w:r w:rsidRPr="00C465C0">
        <w:rPr>
          <w:sz w:val="24"/>
          <w:szCs w:val="24"/>
        </w:rPr>
        <w:fldChar w:fldCharType="begin"/>
      </w:r>
      <w:r w:rsidRPr="00C465C0">
        <w:rPr>
          <w:sz w:val="24"/>
          <w:szCs w:val="24"/>
        </w:rPr>
        <w:instrText xml:space="preserve"> PAGEREF _Toc362274368 \h </w:instrText>
      </w:r>
      <w:r w:rsidRPr="00C465C0">
        <w:rPr>
          <w:sz w:val="24"/>
          <w:szCs w:val="24"/>
        </w:rPr>
      </w:r>
      <w:r w:rsidRPr="00C465C0">
        <w:rPr>
          <w:sz w:val="24"/>
          <w:szCs w:val="24"/>
        </w:rPr>
        <w:fldChar w:fldCharType="separate"/>
      </w:r>
      <w:r w:rsidR="00DB625B">
        <w:rPr>
          <w:sz w:val="24"/>
          <w:szCs w:val="24"/>
        </w:rPr>
        <w:t>37</w:t>
      </w:r>
      <w:r w:rsidRPr="00C465C0">
        <w:rPr>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Table 4</w:t>
      </w:r>
      <w:r w:rsidRPr="00C465C0">
        <w:rPr>
          <w:sz w:val="24"/>
          <w:szCs w:val="24"/>
        </w:rPr>
        <w:noBreakHyphen/>
        <w:t>5: Total ship visits to the Port of Townsville and share using ship anchorages, 2009-2012 (* No data available for 2009 at the Port of Townsville. Source: MSQ data/GHD analysis.)</w:t>
      </w:r>
      <w:r w:rsidRPr="00C465C0">
        <w:rPr>
          <w:sz w:val="24"/>
          <w:szCs w:val="24"/>
        </w:rPr>
        <w:tab/>
      </w:r>
      <w:r w:rsidRPr="00C465C0">
        <w:rPr>
          <w:sz w:val="24"/>
          <w:szCs w:val="24"/>
        </w:rPr>
        <w:fldChar w:fldCharType="begin"/>
      </w:r>
      <w:r w:rsidRPr="00C465C0">
        <w:rPr>
          <w:sz w:val="24"/>
          <w:szCs w:val="24"/>
        </w:rPr>
        <w:instrText xml:space="preserve"> PAGEREF _Toc362274369 \h </w:instrText>
      </w:r>
      <w:r w:rsidRPr="00C465C0">
        <w:rPr>
          <w:sz w:val="24"/>
          <w:szCs w:val="24"/>
        </w:rPr>
      </w:r>
      <w:r w:rsidRPr="00C465C0">
        <w:rPr>
          <w:sz w:val="24"/>
          <w:szCs w:val="24"/>
        </w:rPr>
        <w:fldChar w:fldCharType="separate"/>
      </w:r>
      <w:r w:rsidR="00DB625B">
        <w:rPr>
          <w:sz w:val="24"/>
          <w:szCs w:val="24"/>
        </w:rPr>
        <w:t>42</w:t>
      </w:r>
      <w:r w:rsidRPr="00C465C0">
        <w:rPr>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Table 4</w:t>
      </w:r>
      <w:r w:rsidRPr="00C465C0">
        <w:rPr>
          <w:sz w:val="24"/>
          <w:szCs w:val="24"/>
        </w:rPr>
        <w:noBreakHyphen/>
        <w:t>6: Total ship visits to the Port of Abbot Point and share using ship anchorages, 2009-2012 (Source: MSQ data/GHD analysis)</w:t>
      </w:r>
      <w:r w:rsidRPr="00C465C0">
        <w:rPr>
          <w:sz w:val="24"/>
          <w:szCs w:val="24"/>
        </w:rPr>
        <w:tab/>
      </w:r>
      <w:r w:rsidRPr="00C465C0">
        <w:rPr>
          <w:sz w:val="24"/>
          <w:szCs w:val="24"/>
        </w:rPr>
        <w:fldChar w:fldCharType="begin"/>
      </w:r>
      <w:r w:rsidRPr="00C465C0">
        <w:rPr>
          <w:sz w:val="24"/>
          <w:szCs w:val="24"/>
        </w:rPr>
        <w:instrText xml:space="preserve"> PAGEREF _Toc362274370 \h </w:instrText>
      </w:r>
      <w:r w:rsidRPr="00C465C0">
        <w:rPr>
          <w:sz w:val="24"/>
          <w:szCs w:val="24"/>
        </w:rPr>
      </w:r>
      <w:r w:rsidRPr="00C465C0">
        <w:rPr>
          <w:sz w:val="24"/>
          <w:szCs w:val="24"/>
        </w:rPr>
        <w:fldChar w:fldCharType="separate"/>
      </w:r>
      <w:r w:rsidR="00DB625B">
        <w:rPr>
          <w:sz w:val="24"/>
          <w:szCs w:val="24"/>
        </w:rPr>
        <w:t>47</w:t>
      </w:r>
      <w:r w:rsidRPr="00C465C0">
        <w:rPr>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Table 4</w:t>
      </w:r>
      <w:r w:rsidRPr="00C465C0">
        <w:rPr>
          <w:sz w:val="24"/>
          <w:szCs w:val="24"/>
        </w:rPr>
        <w:noBreakHyphen/>
        <w:t>7: Total ship visits to the Port of Hay Point and share using ship anchorages, 2009-2012 (Source: MSQ data/GHD analysis)</w:t>
      </w:r>
      <w:r w:rsidRPr="00C465C0">
        <w:rPr>
          <w:sz w:val="24"/>
          <w:szCs w:val="24"/>
        </w:rPr>
        <w:tab/>
      </w:r>
      <w:r w:rsidRPr="00C465C0">
        <w:rPr>
          <w:sz w:val="24"/>
          <w:szCs w:val="24"/>
        </w:rPr>
        <w:fldChar w:fldCharType="begin"/>
      </w:r>
      <w:r w:rsidRPr="00C465C0">
        <w:rPr>
          <w:sz w:val="24"/>
          <w:szCs w:val="24"/>
        </w:rPr>
        <w:instrText xml:space="preserve"> PAGEREF _Toc362274371 \h </w:instrText>
      </w:r>
      <w:r w:rsidRPr="00C465C0">
        <w:rPr>
          <w:sz w:val="24"/>
          <w:szCs w:val="24"/>
        </w:rPr>
      </w:r>
      <w:r w:rsidRPr="00C465C0">
        <w:rPr>
          <w:sz w:val="24"/>
          <w:szCs w:val="24"/>
        </w:rPr>
        <w:fldChar w:fldCharType="separate"/>
      </w:r>
      <w:r w:rsidR="00DB625B">
        <w:rPr>
          <w:sz w:val="24"/>
          <w:szCs w:val="24"/>
        </w:rPr>
        <w:t>51</w:t>
      </w:r>
      <w:r w:rsidRPr="00C465C0">
        <w:rPr>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Table 4</w:t>
      </w:r>
      <w:r w:rsidRPr="00C465C0">
        <w:rPr>
          <w:sz w:val="24"/>
          <w:szCs w:val="24"/>
        </w:rPr>
        <w:noBreakHyphen/>
        <w:t>8: Total ship visits to the Port of Gladstone and share using ship anchorages, 2009-2012 (Source: MSQ data/GHD analysis)</w:t>
      </w:r>
      <w:r w:rsidRPr="00C465C0">
        <w:rPr>
          <w:sz w:val="24"/>
          <w:szCs w:val="24"/>
        </w:rPr>
        <w:tab/>
      </w:r>
      <w:r w:rsidRPr="00C465C0">
        <w:rPr>
          <w:sz w:val="24"/>
          <w:szCs w:val="24"/>
        </w:rPr>
        <w:fldChar w:fldCharType="begin"/>
      </w:r>
      <w:r w:rsidRPr="00C465C0">
        <w:rPr>
          <w:sz w:val="24"/>
          <w:szCs w:val="24"/>
        </w:rPr>
        <w:instrText xml:space="preserve"> PAGEREF _Toc362274372 \h </w:instrText>
      </w:r>
      <w:r w:rsidRPr="00C465C0">
        <w:rPr>
          <w:sz w:val="24"/>
          <w:szCs w:val="24"/>
        </w:rPr>
      </w:r>
      <w:r w:rsidRPr="00C465C0">
        <w:rPr>
          <w:sz w:val="24"/>
          <w:szCs w:val="24"/>
        </w:rPr>
        <w:fldChar w:fldCharType="separate"/>
      </w:r>
      <w:r w:rsidR="00DB625B">
        <w:rPr>
          <w:sz w:val="24"/>
          <w:szCs w:val="24"/>
        </w:rPr>
        <w:t>56</w:t>
      </w:r>
      <w:r w:rsidRPr="00C465C0">
        <w:rPr>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Table 5</w:t>
      </w:r>
      <w:r w:rsidRPr="00C465C0">
        <w:rPr>
          <w:sz w:val="24"/>
          <w:szCs w:val="24"/>
        </w:rPr>
        <w:noBreakHyphen/>
        <w:t>1: Overview of potential ship anchorage management options</w:t>
      </w:r>
      <w:r w:rsidRPr="00C465C0">
        <w:rPr>
          <w:sz w:val="24"/>
          <w:szCs w:val="24"/>
        </w:rPr>
        <w:tab/>
      </w:r>
      <w:r w:rsidRPr="00C465C0">
        <w:rPr>
          <w:sz w:val="24"/>
          <w:szCs w:val="24"/>
        </w:rPr>
        <w:fldChar w:fldCharType="begin"/>
      </w:r>
      <w:r w:rsidRPr="00C465C0">
        <w:rPr>
          <w:sz w:val="24"/>
          <w:szCs w:val="24"/>
        </w:rPr>
        <w:instrText xml:space="preserve"> PAGEREF _Toc362274373 \h </w:instrText>
      </w:r>
      <w:r w:rsidRPr="00C465C0">
        <w:rPr>
          <w:sz w:val="24"/>
          <w:szCs w:val="24"/>
        </w:rPr>
      </w:r>
      <w:r w:rsidRPr="00C465C0">
        <w:rPr>
          <w:sz w:val="24"/>
          <w:szCs w:val="24"/>
        </w:rPr>
        <w:fldChar w:fldCharType="separate"/>
      </w:r>
      <w:r w:rsidR="00DB625B">
        <w:rPr>
          <w:sz w:val="24"/>
          <w:szCs w:val="24"/>
        </w:rPr>
        <w:t>59</w:t>
      </w:r>
      <w:r w:rsidRPr="00C465C0">
        <w:rPr>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Table 5</w:t>
      </w:r>
      <w:r w:rsidRPr="00C465C0">
        <w:rPr>
          <w:sz w:val="24"/>
          <w:szCs w:val="24"/>
        </w:rPr>
        <w:noBreakHyphen/>
        <w:t>2: Overview of ship anchorage management options and relevance for Port of Cairns</w:t>
      </w:r>
      <w:r w:rsidRPr="00C465C0">
        <w:rPr>
          <w:sz w:val="24"/>
          <w:szCs w:val="24"/>
        </w:rPr>
        <w:tab/>
      </w:r>
      <w:r w:rsidRPr="00C465C0">
        <w:rPr>
          <w:sz w:val="24"/>
          <w:szCs w:val="24"/>
        </w:rPr>
        <w:fldChar w:fldCharType="begin"/>
      </w:r>
      <w:r w:rsidRPr="00C465C0">
        <w:rPr>
          <w:sz w:val="24"/>
          <w:szCs w:val="24"/>
        </w:rPr>
        <w:instrText xml:space="preserve"> PAGEREF _Toc362274374 \h </w:instrText>
      </w:r>
      <w:r w:rsidRPr="00C465C0">
        <w:rPr>
          <w:sz w:val="24"/>
          <w:szCs w:val="24"/>
        </w:rPr>
      </w:r>
      <w:r w:rsidRPr="00C465C0">
        <w:rPr>
          <w:sz w:val="24"/>
          <w:szCs w:val="24"/>
        </w:rPr>
        <w:fldChar w:fldCharType="separate"/>
      </w:r>
      <w:r w:rsidR="00DB625B">
        <w:rPr>
          <w:sz w:val="24"/>
          <w:szCs w:val="24"/>
        </w:rPr>
        <w:t>67</w:t>
      </w:r>
      <w:r w:rsidRPr="00C465C0">
        <w:rPr>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Table 5</w:t>
      </w:r>
      <w:r w:rsidRPr="00C465C0">
        <w:rPr>
          <w:sz w:val="24"/>
          <w:szCs w:val="24"/>
        </w:rPr>
        <w:noBreakHyphen/>
        <w:t>3: Overview of ship anchorage management options and relevance for Port of Townsville</w:t>
      </w:r>
      <w:r w:rsidRPr="00C465C0">
        <w:rPr>
          <w:sz w:val="24"/>
          <w:szCs w:val="24"/>
        </w:rPr>
        <w:tab/>
      </w:r>
      <w:r w:rsidRPr="00C465C0">
        <w:rPr>
          <w:sz w:val="24"/>
          <w:szCs w:val="24"/>
        </w:rPr>
        <w:fldChar w:fldCharType="begin"/>
      </w:r>
      <w:r w:rsidRPr="00C465C0">
        <w:rPr>
          <w:sz w:val="24"/>
          <w:szCs w:val="24"/>
        </w:rPr>
        <w:instrText xml:space="preserve"> PAGEREF _Toc362274375 \h </w:instrText>
      </w:r>
      <w:r w:rsidRPr="00C465C0">
        <w:rPr>
          <w:sz w:val="24"/>
          <w:szCs w:val="24"/>
        </w:rPr>
      </w:r>
      <w:r w:rsidRPr="00C465C0">
        <w:rPr>
          <w:sz w:val="24"/>
          <w:szCs w:val="24"/>
        </w:rPr>
        <w:fldChar w:fldCharType="separate"/>
      </w:r>
      <w:r w:rsidR="00DB625B">
        <w:rPr>
          <w:sz w:val="24"/>
          <w:szCs w:val="24"/>
        </w:rPr>
        <w:t>70</w:t>
      </w:r>
      <w:r w:rsidRPr="00C465C0">
        <w:rPr>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Table 5</w:t>
      </w:r>
      <w:r w:rsidRPr="00C465C0">
        <w:rPr>
          <w:sz w:val="24"/>
          <w:szCs w:val="24"/>
        </w:rPr>
        <w:noBreakHyphen/>
        <w:t>4: Overview of ship anchorage management options and relevance for Port of Abbot Point</w:t>
      </w:r>
      <w:r w:rsidRPr="00C465C0">
        <w:rPr>
          <w:sz w:val="24"/>
          <w:szCs w:val="24"/>
        </w:rPr>
        <w:tab/>
      </w:r>
      <w:r w:rsidRPr="00C465C0">
        <w:rPr>
          <w:sz w:val="24"/>
          <w:szCs w:val="24"/>
        </w:rPr>
        <w:fldChar w:fldCharType="begin"/>
      </w:r>
      <w:r w:rsidRPr="00C465C0">
        <w:rPr>
          <w:sz w:val="24"/>
          <w:szCs w:val="24"/>
        </w:rPr>
        <w:instrText xml:space="preserve"> PAGEREF _Toc362274376 \h </w:instrText>
      </w:r>
      <w:r w:rsidRPr="00C465C0">
        <w:rPr>
          <w:sz w:val="24"/>
          <w:szCs w:val="24"/>
        </w:rPr>
      </w:r>
      <w:r w:rsidRPr="00C465C0">
        <w:rPr>
          <w:sz w:val="24"/>
          <w:szCs w:val="24"/>
        </w:rPr>
        <w:fldChar w:fldCharType="separate"/>
      </w:r>
      <w:r w:rsidR="00DB625B">
        <w:rPr>
          <w:sz w:val="24"/>
          <w:szCs w:val="24"/>
        </w:rPr>
        <w:t>73</w:t>
      </w:r>
      <w:r w:rsidRPr="00C465C0">
        <w:rPr>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Table 5</w:t>
      </w:r>
      <w:r w:rsidRPr="00C465C0">
        <w:rPr>
          <w:sz w:val="24"/>
          <w:szCs w:val="24"/>
        </w:rPr>
        <w:noBreakHyphen/>
        <w:t>5: Overview of ship anchorage management options and relevance for Port of Hay Point</w:t>
      </w:r>
      <w:r w:rsidRPr="00C465C0">
        <w:rPr>
          <w:sz w:val="24"/>
          <w:szCs w:val="24"/>
        </w:rPr>
        <w:tab/>
      </w:r>
      <w:r w:rsidRPr="00C465C0">
        <w:rPr>
          <w:sz w:val="24"/>
          <w:szCs w:val="24"/>
        </w:rPr>
        <w:fldChar w:fldCharType="begin"/>
      </w:r>
      <w:r w:rsidRPr="00C465C0">
        <w:rPr>
          <w:sz w:val="24"/>
          <w:szCs w:val="24"/>
        </w:rPr>
        <w:instrText xml:space="preserve"> PAGEREF _Toc362274377 \h </w:instrText>
      </w:r>
      <w:r w:rsidRPr="00C465C0">
        <w:rPr>
          <w:sz w:val="24"/>
          <w:szCs w:val="24"/>
        </w:rPr>
      </w:r>
      <w:r w:rsidRPr="00C465C0">
        <w:rPr>
          <w:sz w:val="24"/>
          <w:szCs w:val="24"/>
        </w:rPr>
        <w:fldChar w:fldCharType="separate"/>
      </w:r>
      <w:r w:rsidR="00DB625B">
        <w:rPr>
          <w:sz w:val="24"/>
          <w:szCs w:val="24"/>
        </w:rPr>
        <w:t>76</w:t>
      </w:r>
      <w:r w:rsidRPr="00C465C0">
        <w:rPr>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Table 5</w:t>
      </w:r>
      <w:r w:rsidRPr="00C465C0">
        <w:rPr>
          <w:sz w:val="24"/>
          <w:szCs w:val="24"/>
        </w:rPr>
        <w:noBreakHyphen/>
        <w:t>6: Overview of ship anchorage management options and relevance for Port of Gladstone</w:t>
      </w:r>
      <w:r w:rsidRPr="00C465C0">
        <w:rPr>
          <w:sz w:val="24"/>
          <w:szCs w:val="24"/>
        </w:rPr>
        <w:tab/>
      </w:r>
      <w:r w:rsidRPr="00C465C0">
        <w:rPr>
          <w:sz w:val="24"/>
          <w:szCs w:val="24"/>
        </w:rPr>
        <w:fldChar w:fldCharType="begin"/>
      </w:r>
      <w:r w:rsidRPr="00C465C0">
        <w:rPr>
          <w:sz w:val="24"/>
          <w:szCs w:val="24"/>
        </w:rPr>
        <w:instrText xml:space="preserve"> PAGEREF _Toc362274378 \h </w:instrText>
      </w:r>
      <w:r w:rsidRPr="00C465C0">
        <w:rPr>
          <w:sz w:val="24"/>
          <w:szCs w:val="24"/>
        </w:rPr>
      </w:r>
      <w:r w:rsidRPr="00C465C0">
        <w:rPr>
          <w:sz w:val="24"/>
          <w:szCs w:val="24"/>
        </w:rPr>
        <w:fldChar w:fldCharType="separate"/>
      </w:r>
      <w:r w:rsidR="00DB625B">
        <w:rPr>
          <w:sz w:val="24"/>
          <w:szCs w:val="24"/>
        </w:rPr>
        <w:t>80</w:t>
      </w:r>
      <w:r w:rsidRPr="00C465C0">
        <w:rPr>
          <w:sz w:val="24"/>
          <w:szCs w:val="24"/>
        </w:rPr>
        <w:fldChar w:fldCharType="end"/>
      </w:r>
    </w:p>
    <w:p w:rsidR="00E32FCA" w:rsidRPr="005A722D" w:rsidRDefault="00CD38ED" w:rsidP="009216E8">
      <w:pPr>
        <w:pStyle w:val="TableofFigures"/>
      </w:pPr>
      <w:r w:rsidRPr="00C465C0">
        <w:rPr>
          <w:b/>
          <w:caps/>
          <w:sz w:val="24"/>
          <w:szCs w:val="24"/>
        </w:rPr>
        <w:lastRenderedPageBreak/>
        <w:fldChar w:fldCharType="end"/>
      </w:r>
    </w:p>
    <w:p w:rsidR="004E02F3" w:rsidRDefault="004E02F3">
      <w:pPr>
        <w:pStyle w:val="ContentsLabels"/>
      </w:pPr>
      <w:r>
        <w:t>Figure Index</w:t>
      </w:r>
    </w:p>
    <w:p w:rsidR="00C465C0" w:rsidRPr="00C465C0" w:rsidRDefault="00CD38ED">
      <w:pPr>
        <w:pStyle w:val="TableofFigures"/>
        <w:rPr>
          <w:rFonts w:asciiTheme="minorHAnsi" w:eastAsiaTheme="minorEastAsia" w:hAnsiTheme="minorHAnsi" w:cstheme="minorBidi"/>
          <w:sz w:val="24"/>
          <w:szCs w:val="24"/>
          <w:lang w:eastAsia="en-AU"/>
        </w:rPr>
      </w:pPr>
      <w:r w:rsidRPr="00C465C0">
        <w:rPr>
          <w:b/>
          <w:caps/>
          <w:sz w:val="24"/>
          <w:szCs w:val="24"/>
        </w:rPr>
        <w:fldChar w:fldCharType="begin"/>
      </w:r>
      <w:r w:rsidR="004E02F3" w:rsidRPr="00C465C0">
        <w:rPr>
          <w:sz w:val="24"/>
          <w:szCs w:val="24"/>
        </w:rPr>
        <w:instrText xml:space="preserve"> TOC \z \c "Figure" </w:instrText>
      </w:r>
      <w:r w:rsidRPr="00C465C0">
        <w:rPr>
          <w:b/>
          <w:caps/>
          <w:sz w:val="24"/>
          <w:szCs w:val="24"/>
        </w:rPr>
        <w:fldChar w:fldCharType="separate"/>
      </w:r>
      <w:r w:rsidR="00C465C0" w:rsidRPr="00C465C0">
        <w:rPr>
          <w:sz w:val="24"/>
          <w:szCs w:val="24"/>
        </w:rPr>
        <w:t>Figure 1</w:t>
      </w:r>
      <w:r w:rsidR="00C465C0" w:rsidRPr="00C465C0">
        <w:rPr>
          <w:sz w:val="24"/>
          <w:szCs w:val="24"/>
        </w:rPr>
        <w:noBreakHyphen/>
        <w:t>1: Overview of ports in the Great Barrier Reef Marine Park and World Heritage Area</w:t>
      </w:r>
      <w:r w:rsidR="00C465C0" w:rsidRPr="00C465C0">
        <w:rPr>
          <w:webHidden/>
          <w:sz w:val="24"/>
          <w:szCs w:val="24"/>
        </w:rPr>
        <w:tab/>
      </w:r>
      <w:r w:rsidR="00C465C0" w:rsidRPr="00C465C0">
        <w:rPr>
          <w:webHidden/>
          <w:sz w:val="24"/>
          <w:szCs w:val="24"/>
        </w:rPr>
        <w:fldChar w:fldCharType="begin"/>
      </w:r>
      <w:r w:rsidR="00C465C0" w:rsidRPr="00C465C0">
        <w:rPr>
          <w:webHidden/>
          <w:sz w:val="24"/>
          <w:szCs w:val="24"/>
        </w:rPr>
        <w:instrText xml:space="preserve"> PAGEREF _Toc362274379 \h </w:instrText>
      </w:r>
      <w:r w:rsidR="00C465C0" w:rsidRPr="00C465C0">
        <w:rPr>
          <w:webHidden/>
          <w:sz w:val="24"/>
          <w:szCs w:val="24"/>
        </w:rPr>
      </w:r>
      <w:r w:rsidR="00C465C0" w:rsidRPr="00C465C0">
        <w:rPr>
          <w:webHidden/>
          <w:sz w:val="24"/>
          <w:szCs w:val="24"/>
        </w:rPr>
        <w:fldChar w:fldCharType="separate"/>
      </w:r>
      <w:r w:rsidR="00DB625B">
        <w:rPr>
          <w:webHidden/>
          <w:sz w:val="24"/>
          <w:szCs w:val="24"/>
        </w:rPr>
        <w:t>5</w:t>
      </w:r>
      <w:r w:rsidR="00C465C0" w:rsidRPr="00C465C0">
        <w:rPr>
          <w:webHidden/>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Figure 4</w:t>
      </w:r>
      <w:r w:rsidRPr="00C465C0">
        <w:rPr>
          <w:sz w:val="24"/>
          <w:szCs w:val="24"/>
        </w:rPr>
        <w:noBreakHyphen/>
        <w:t>1: Queensland Government forecast ship call number scenarios for the Reef ports (2012-2022) as extracted from DSDIP 2012</w:t>
      </w:r>
      <w:r w:rsidRPr="00C465C0">
        <w:rPr>
          <w:webHidden/>
          <w:sz w:val="24"/>
          <w:szCs w:val="24"/>
        </w:rPr>
        <w:tab/>
      </w:r>
      <w:r w:rsidRPr="00C465C0">
        <w:rPr>
          <w:webHidden/>
          <w:sz w:val="24"/>
          <w:szCs w:val="24"/>
        </w:rPr>
        <w:fldChar w:fldCharType="begin"/>
      </w:r>
      <w:r w:rsidRPr="00C465C0">
        <w:rPr>
          <w:webHidden/>
          <w:sz w:val="24"/>
          <w:szCs w:val="24"/>
        </w:rPr>
        <w:instrText xml:space="preserve"> PAGEREF _Toc362274380 \h </w:instrText>
      </w:r>
      <w:r w:rsidRPr="00C465C0">
        <w:rPr>
          <w:webHidden/>
          <w:sz w:val="24"/>
          <w:szCs w:val="24"/>
        </w:rPr>
      </w:r>
      <w:r w:rsidRPr="00C465C0">
        <w:rPr>
          <w:webHidden/>
          <w:sz w:val="24"/>
          <w:szCs w:val="24"/>
        </w:rPr>
        <w:fldChar w:fldCharType="separate"/>
      </w:r>
      <w:r w:rsidR="00DB625B">
        <w:rPr>
          <w:webHidden/>
          <w:sz w:val="24"/>
          <w:szCs w:val="24"/>
        </w:rPr>
        <w:t>32</w:t>
      </w:r>
      <w:r w:rsidRPr="00C465C0">
        <w:rPr>
          <w:webHidden/>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Figure 4</w:t>
      </w:r>
      <w:r w:rsidRPr="00C465C0">
        <w:rPr>
          <w:sz w:val="24"/>
          <w:szCs w:val="24"/>
        </w:rPr>
        <w:noBreakHyphen/>
        <w:t>2: PGM Environment forecast ship call numbers “probable case” for the Reef ports (2012-2032) as extracted from PGM Environment 2012</w:t>
      </w:r>
      <w:r w:rsidRPr="00C465C0">
        <w:rPr>
          <w:webHidden/>
          <w:sz w:val="24"/>
          <w:szCs w:val="24"/>
        </w:rPr>
        <w:tab/>
      </w:r>
      <w:r w:rsidRPr="00C465C0">
        <w:rPr>
          <w:webHidden/>
          <w:sz w:val="24"/>
          <w:szCs w:val="24"/>
        </w:rPr>
        <w:fldChar w:fldCharType="begin"/>
      </w:r>
      <w:r w:rsidRPr="00C465C0">
        <w:rPr>
          <w:webHidden/>
          <w:sz w:val="24"/>
          <w:szCs w:val="24"/>
        </w:rPr>
        <w:instrText xml:space="preserve"> PAGEREF _Toc362274381 \h </w:instrText>
      </w:r>
      <w:r w:rsidRPr="00C465C0">
        <w:rPr>
          <w:webHidden/>
          <w:sz w:val="24"/>
          <w:szCs w:val="24"/>
        </w:rPr>
      </w:r>
      <w:r w:rsidRPr="00C465C0">
        <w:rPr>
          <w:webHidden/>
          <w:sz w:val="24"/>
          <w:szCs w:val="24"/>
        </w:rPr>
        <w:fldChar w:fldCharType="separate"/>
      </w:r>
      <w:r w:rsidR="00DB625B">
        <w:rPr>
          <w:webHidden/>
          <w:sz w:val="24"/>
          <w:szCs w:val="24"/>
        </w:rPr>
        <w:t>32</w:t>
      </w:r>
      <w:r w:rsidRPr="00C465C0">
        <w:rPr>
          <w:webHidden/>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Figure 4</w:t>
      </w:r>
      <w:r w:rsidRPr="00C465C0">
        <w:rPr>
          <w:sz w:val="24"/>
          <w:szCs w:val="24"/>
        </w:rPr>
        <w:noBreakHyphen/>
        <w:t>3: Map of the current anchorage area of the Port of Cairns</w:t>
      </w:r>
      <w:r w:rsidRPr="00C465C0">
        <w:rPr>
          <w:webHidden/>
          <w:sz w:val="24"/>
          <w:szCs w:val="24"/>
        </w:rPr>
        <w:tab/>
      </w:r>
      <w:r w:rsidRPr="00C465C0">
        <w:rPr>
          <w:webHidden/>
          <w:sz w:val="24"/>
          <w:szCs w:val="24"/>
        </w:rPr>
        <w:fldChar w:fldCharType="begin"/>
      </w:r>
      <w:r w:rsidRPr="00C465C0">
        <w:rPr>
          <w:webHidden/>
          <w:sz w:val="24"/>
          <w:szCs w:val="24"/>
        </w:rPr>
        <w:instrText xml:space="preserve"> PAGEREF _Toc362274382 \h </w:instrText>
      </w:r>
      <w:r w:rsidRPr="00C465C0">
        <w:rPr>
          <w:webHidden/>
          <w:sz w:val="24"/>
          <w:szCs w:val="24"/>
        </w:rPr>
      </w:r>
      <w:r w:rsidRPr="00C465C0">
        <w:rPr>
          <w:webHidden/>
          <w:sz w:val="24"/>
          <w:szCs w:val="24"/>
        </w:rPr>
        <w:fldChar w:fldCharType="separate"/>
      </w:r>
      <w:r w:rsidR="00DB625B">
        <w:rPr>
          <w:webHidden/>
          <w:sz w:val="24"/>
          <w:szCs w:val="24"/>
        </w:rPr>
        <w:t>36</w:t>
      </w:r>
      <w:r w:rsidRPr="00C465C0">
        <w:rPr>
          <w:webHidden/>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Figure 4</w:t>
      </w:r>
      <w:r w:rsidRPr="00C465C0">
        <w:rPr>
          <w:sz w:val="24"/>
          <w:szCs w:val="24"/>
        </w:rPr>
        <w:noBreakHyphen/>
        <w:t>4: Forecast ship call numbers “probable case” for Port of Cairns (2012-2032) as extracted from PGM Environment 2012</w:t>
      </w:r>
      <w:r w:rsidRPr="00C465C0">
        <w:rPr>
          <w:webHidden/>
          <w:sz w:val="24"/>
          <w:szCs w:val="24"/>
        </w:rPr>
        <w:tab/>
      </w:r>
      <w:r w:rsidRPr="00C465C0">
        <w:rPr>
          <w:webHidden/>
          <w:sz w:val="24"/>
          <w:szCs w:val="24"/>
        </w:rPr>
        <w:fldChar w:fldCharType="begin"/>
      </w:r>
      <w:r w:rsidRPr="00C465C0">
        <w:rPr>
          <w:webHidden/>
          <w:sz w:val="24"/>
          <w:szCs w:val="24"/>
        </w:rPr>
        <w:instrText xml:space="preserve"> PAGEREF _Toc362274383 \h </w:instrText>
      </w:r>
      <w:r w:rsidRPr="00C465C0">
        <w:rPr>
          <w:webHidden/>
          <w:sz w:val="24"/>
          <w:szCs w:val="24"/>
        </w:rPr>
      </w:r>
      <w:r w:rsidRPr="00C465C0">
        <w:rPr>
          <w:webHidden/>
          <w:sz w:val="24"/>
          <w:szCs w:val="24"/>
        </w:rPr>
        <w:fldChar w:fldCharType="separate"/>
      </w:r>
      <w:r w:rsidR="00DB625B">
        <w:rPr>
          <w:webHidden/>
          <w:sz w:val="24"/>
          <w:szCs w:val="24"/>
        </w:rPr>
        <w:t>38</w:t>
      </w:r>
      <w:r w:rsidRPr="00C465C0">
        <w:rPr>
          <w:webHidden/>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Figure 4</w:t>
      </w:r>
      <w:r w:rsidRPr="00C465C0">
        <w:rPr>
          <w:sz w:val="24"/>
          <w:szCs w:val="24"/>
        </w:rPr>
        <w:noBreakHyphen/>
        <w:t>5: Map of the current anchorage area of the Port of Townsville</w:t>
      </w:r>
      <w:r w:rsidRPr="00C465C0">
        <w:rPr>
          <w:webHidden/>
          <w:sz w:val="24"/>
          <w:szCs w:val="24"/>
        </w:rPr>
        <w:tab/>
      </w:r>
      <w:r w:rsidRPr="00C465C0">
        <w:rPr>
          <w:webHidden/>
          <w:sz w:val="24"/>
          <w:szCs w:val="24"/>
        </w:rPr>
        <w:fldChar w:fldCharType="begin"/>
      </w:r>
      <w:r w:rsidRPr="00C465C0">
        <w:rPr>
          <w:webHidden/>
          <w:sz w:val="24"/>
          <w:szCs w:val="24"/>
        </w:rPr>
        <w:instrText xml:space="preserve"> PAGEREF _Toc362274384 \h </w:instrText>
      </w:r>
      <w:r w:rsidRPr="00C465C0">
        <w:rPr>
          <w:webHidden/>
          <w:sz w:val="24"/>
          <w:szCs w:val="24"/>
        </w:rPr>
      </w:r>
      <w:r w:rsidRPr="00C465C0">
        <w:rPr>
          <w:webHidden/>
          <w:sz w:val="24"/>
          <w:szCs w:val="24"/>
        </w:rPr>
        <w:fldChar w:fldCharType="separate"/>
      </w:r>
      <w:r w:rsidR="00DB625B">
        <w:rPr>
          <w:webHidden/>
          <w:sz w:val="24"/>
          <w:szCs w:val="24"/>
        </w:rPr>
        <w:t>41</w:t>
      </w:r>
      <w:r w:rsidRPr="00C465C0">
        <w:rPr>
          <w:webHidden/>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Figure 4</w:t>
      </w:r>
      <w:r w:rsidRPr="00C465C0">
        <w:rPr>
          <w:sz w:val="24"/>
          <w:szCs w:val="24"/>
        </w:rPr>
        <w:noBreakHyphen/>
        <w:t>6: Forecast ship call numbers “probable case” for Port of Townsville (2012-2032) as extracted from PGM Environment 2012</w:t>
      </w:r>
      <w:r w:rsidRPr="00C465C0">
        <w:rPr>
          <w:webHidden/>
          <w:sz w:val="24"/>
          <w:szCs w:val="24"/>
        </w:rPr>
        <w:tab/>
      </w:r>
      <w:r w:rsidRPr="00C465C0">
        <w:rPr>
          <w:webHidden/>
          <w:sz w:val="24"/>
          <w:szCs w:val="24"/>
        </w:rPr>
        <w:fldChar w:fldCharType="begin"/>
      </w:r>
      <w:r w:rsidRPr="00C465C0">
        <w:rPr>
          <w:webHidden/>
          <w:sz w:val="24"/>
          <w:szCs w:val="24"/>
        </w:rPr>
        <w:instrText xml:space="preserve"> PAGEREF _Toc362274385 \h </w:instrText>
      </w:r>
      <w:r w:rsidRPr="00C465C0">
        <w:rPr>
          <w:webHidden/>
          <w:sz w:val="24"/>
          <w:szCs w:val="24"/>
        </w:rPr>
      </w:r>
      <w:r w:rsidRPr="00C465C0">
        <w:rPr>
          <w:webHidden/>
          <w:sz w:val="24"/>
          <w:szCs w:val="24"/>
        </w:rPr>
        <w:fldChar w:fldCharType="separate"/>
      </w:r>
      <w:r w:rsidR="00DB625B">
        <w:rPr>
          <w:webHidden/>
          <w:sz w:val="24"/>
          <w:szCs w:val="24"/>
        </w:rPr>
        <w:t>44</w:t>
      </w:r>
      <w:r w:rsidRPr="00C465C0">
        <w:rPr>
          <w:webHidden/>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Figure 4</w:t>
      </w:r>
      <w:r w:rsidRPr="00C465C0">
        <w:rPr>
          <w:sz w:val="24"/>
          <w:szCs w:val="24"/>
        </w:rPr>
        <w:noBreakHyphen/>
        <w:t>7: Map of the current anchorage area of the Port of Abbot Point</w:t>
      </w:r>
      <w:r w:rsidRPr="00C465C0">
        <w:rPr>
          <w:webHidden/>
          <w:sz w:val="24"/>
          <w:szCs w:val="24"/>
        </w:rPr>
        <w:tab/>
      </w:r>
      <w:r w:rsidRPr="00C465C0">
        <w:rPr>
          <w:webHidden/>
          <w:sz w:val="24"/>
          <w:szCs w:val="24"/>
        </w:rPr>
        <w:fldChar w:fldCharType="begin"/>
      </w:r>
      <w:r w:rsidRPr="00C465C0">
        <w:rPr>
          <w:webHidden/>
          <w:sz w:val="24"/>
          <w:szCs w:val="24"/>
        </w:rPr>
        <w:instrText xml:space="preserve"> PAGEREF _Toc362274386 \h </w:instrText>
      </w:r>
      <w:r w:rsidRPr="00C465C0">
        <w:rPr>
          <w:webHidden/>
          <w:sz w:val="24"/>
          <w:szCs w:val="24"/>
        </w:rPr>
      </w:r>
      <w:r w:rsidRPr="00C465C0">
        <w:rPr>
          <w:webHidden/>
          <w:sz w:val="24"/>
          <w:szCs w:val="24"/>
        </w:rPr>
        <w:fldChar w:fldCharType="separate"/>
      </w:r>
      <w:r w:rsidR="00DB625B">
        <w:rPr>
          <w:webHidden/>
          <w:sz w:val="24"/>
          <w:szCs w:val="24"/>
        </w:rPr>
        <w:t>46</w:t>
      </w:r>
      <w:r w:rsidRPr="00C465C0">
        <w:rPr>
          <w:webHidden/>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Figure 4</w:t>
      </w:r>
      <w:r w:rsidRPr="00C465C0">
        <w:rPr>
          <w:sz w:val="24"/>
          <w:szCs w:val="24"/>
        </w:rPr>
        <w:noBreakHyphen/>
        <w:t>8: Forecast ship call numbers “probable case” for Port of Abbot Point (2012-2032) as extracted from PGM Environment 2012</w:t>
      </w:r>
      <w:r w:rsidRPr="00C465C0">
        <w:rPr>
          <w:webHidden/>
          <w:sz w:val="24"/>
          <w:szCs w:val="24"/>
        </w:rPr>
        <w:tab/>
      </w:r>
      <w:r w:rsidRPr="00C465C0">
        <w:rPr>
          <w:webHidden/>
          <w:sz w:val="24"/>
          <w:szCs w:val="24"/>
        </w:rPr>
        <w:fldChar w:fldCharType="begin"/>
      </w:r>
      <w:r w:rsidRPr="00C465C0">
        <w:rPr>
          <w:webHidden/>
          <w:sz w:val="24"/>
          <w:szCs w:val="24"/>
        </w:rPr>
        <w:instrText xml:space="preserve"> PAGEREF _Toc362274387 \h </w:instrText>
      </w:r>
      <w:r w:rsidRPr="00C465C0">
        <w:rPr>
          <w:webHidden/>
          <w:sz w:val="24"/>
          <w:szCs w:val="24"/>
        </w:rPr>
      </w:r>
      <w:r w:rsidRPr="00C465C0">
        <w:rPr>
          <w:webHidden/>
          <w:sz w:val="24"/>
          <w:szCs w:val="24"/>
        </w:rPr>
        <w:fldChar w:fldCharType="separate"/>
      </w:r>
      <w:r w:rsidR="00DB625B">
        <w:rPr>
          <w:webHidden/>
          <w:sz w:val="24"/>
          <w:szCs w:val="24"/>
        </w:rPr>
        <w:t>48</w:t>
      </w:r>
      <w:r w:rsidRPr="00C465C0">
        <w:rPr>
          <w:webHidden/>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Figure 4</w:t>
      </w:r>
      <w:r w:rsidRPr="00C465C0">
        <w:rPr>
          <w:sz w:val="24"/>
          <w:szCs w:val="24"/>
        </w:rPr>
        <w:noBreakHyphen/>
        <w:t>9: Map of the current anchorage area of the Port of Hay Point</w:t>
      </w:r>
      <w:r w:rsidRPr="00C465C0">
        <w:rPr>
          <w:webHidden/>
          <w:sz w:val="24"/>
          <w:szCs w:val="24"/>
        </w:rPr>
        <w:tab/>
      </w:r>
      <w:r w:rsidRPr="00C465C0">
        <w:rPr>
          <w:webHidden/>
          <w:sz w:val="24"/>
          <w:szCs w:val="24"/>
        </w:rPr>
        <w:fldChar w:fldCharType="begin"/>
      </w:r>
      <w:r w:rsidRPr="00C465C0">
        <w:rPr>
          <w:webHidden/>
          <w:sz w:val="24"/>
          <w:szCs w:val="24"/>
        </w:rPr>
        <w:instrText xml:space="preserve"> PAGEREF _Toc362274388 \h </w:instrText>
      </w:r>
      <w:r w:rsidRPr="00C465C0">
        <w:rPr>
          <w:webHidden/>
          <w:sz w:val="24"/>
          <w:szCs w:val="24"/>
        </w:rPr>
      </w:r>
      <w:r w:rsidRPr="00C465C0">
        <w:rPr>
          <w:webHidden/>
          <w:sz w:val="24"/>
          <w:szCs w:val="24"/>
        </w:rPr>
        <w:fldChar w:fldCharType="separate"/>
      </w:r>
      <w:r w:rsidR="00DB625B">
        <w:rPr>
          <w:webHidden/>
          <w:sz w:val="24"/>
          <w:szCs w:val="24"/>
        </w:rPr>
        <w:t>50</w:t>
      </w:r>
      <w:r w:rsidRPr="00C465C0">
        <w:rPr>
          <w:webHidden/>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Figure 4</w:t>
      </w:r>
      <w:r w:rsidRPr="00C465C0">
        <w:rPr>
          <w:sz w:val="24"/>
          <w:szCs w:val="24"/>
        </w:rPr>
        <w:noBreakHyphen/>
        <w:t>10: Forecast ship call numbers “probable case” for Port of Hay Point (2012-2032) as extracted from PGM Environment 2012</w:t>
      </w:r>
      <w:r w:rsidRPr="00C465C0">
        <w:rPr>
          <w:webHidden/>
          <w:sz w:val="24"/>
          <w:szCs w:val="24"/>
        </w:rPr>
        <w:tab/>
      </w:r>
      <w:r w:rsidRPr="00C465C0">
        <w:rPr>
          <w:webHidden/>
          <w:sz w:val="24"/>
          <w:szCs w:val="24"/>
        </w:rPr>
        <w:fldChar w:fldCharType="begin"/>
      </w:r>
      <w:r w:rsidRPr="00C465C0">
        <w:rPr>
          <w:webHidden/>
          <w:sz w:val="24"/>
          <w:szCs w:val="24"/>
        </w:rPr>
        <w:instrText xml:space="preserve"> PAGEREF _Toc362274389 \h </w:instrText>
      </w:r>
      <w:r w:rsidRPr="00C465C0">
        <w:rPr>
          <w:webHidden/>
          <w:sz w:val="24"/>
          <w:szCs w:val="24"/>
        </w:rPr>
      </w:r>
      <w:r w:rsidRPr="00C465C0">
        <w:rPr>
          <w:webHidden/>
          <w:sz w:val="24"/>
          <w:szCs w:val="24"/>
        </w:rPr>
        <w:fldChar w:fldCharType="separate"/>
      </w:r>
      <w:r w:rsidR="00DB625B">
        <w:rPr>
          <w:webHidden/>
          <w:sz w:val="24"/>
          <w:szCs w:val="24"/>
        </w:rPr>
        <w:t>52</w:t>
      </w:r>
      <w:r w:rsidRPr="00C465C0">
        <w:rPr>
          <w:webHidden/>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Figure 4</w:t>
      </w:r>
      <w:r w:rsidRPr="00C465C0">
        <w:rPr>
          <w:sz w:val="24"/>
          <w:szCs w:val="24"/>
        </w:rPr>
        <w:noBreakHyphen/>
        <w:t>11: Map of the current anchorage area of the Port of Gladstone</w:t>
      </w:r>
      <w:r w:rsidRPr="00C465C0">
        <w:rPr>
          <w:webHidden/>
          <w:sz w:val="24"/>
          <w:szCs w:val="24"/>
        </w:rPr>
        <w:tab/>
      </w:r>
      <w:r w:rsidRPr="00C465C0">
        <w:rPr>
          <w:webHidden/>
          <w:sz w:val="24"/>
          <w:szCs w:val="24"/>
        </w:rPr>
        <w:fldChar w:fldCharType="begin"/>
      </w:r>
      <w:r w:rsidRPr="00C465C0">
        <w:rPr>
          <w:webHidden/>
          <w:sz w:val="24"/>
          <w:szCs w:val="24"/>
        </w:rPr>
        <w:instrText xml:space="preserve"> PAGEREF _Toc362274390 \h </w:instrText>
      </w:r>
      <w:r w:rsidRPr="00C465C0">
        <w:rPr>
          <w:webHidden/>
          <w:sz w:val="24"/>
          <w:szCs w:val="24"/>
        </w:rPr>
      </w:r>
      <w:r w:rsidRPr="00C465C0">
        <w:rPr>
          <w:webHidden/>
          <w:sz w:val="24"/>
          <w:szCs w:val="24"/>
        </w:rPr>
        <w:fldChar w:fldCharType="separate"/>
      </w:r>
      <w:r w:rsidR="00DB625B">
        <w:rPr>
          <w:webHidden/>
          <w:sz w:val="24"/>
          <w:szCs w:val="24"/>
        </w:rPr>
        <w:t>55</w:t>
      </w:r>
      <w:r w:rsidRPr="00C465C0">
        <w:rPr>
          <w:webHidden/>
          <w:sz w:val="24"/>
          <w:szCs w:val="24"/>
        </w:rPr>
        <w:fldChar w:fldCharType="end"/>
      </w:r>
    </w:p>
    <w:p w:rsidR="00C465C0" w:rsidRPr="00C465C0" w:rsidRDefault="00C465C0">
      <w:pPr>
        <w:pStyle w:val="TableofFigures"/>
        <w:rPr>
          <w:rFonts w:asciiTheme="minorHAnsi" w:eastAsiaTheme="minorEastAsia" w:hAnsiTheme="minorHAnsi" w:cstheme="minorBidi"/>
          <w:sz w:val="24"/>
          <w:szCs w:val="24"/>
          <w:lang w:eastAsia="en-AU"/>
        </w:rPr>
      </w:pPr>
      <w:r w:rsidRPr="00C465C0">
        <w:rPr>
          <w:sz w:val="24"/>
          <w:szCs w:val="24"/>
        </w:rPr>
        <w:t>Figure 4</w:t>
      </w:r>
      <w:r w:rsidRPr="00C465C0">
        <w:rPr>
          <w:sz w:val="24"/>
          <w:szCs w:val="24"/>
        </w:rPr>
        <w:noBreakHyphen/>
        <w:t>12: Forecast ship call numbers “probable case” for Port of Gladstone (2012-2032) as extracted from PGM Environment 2012</w:t>
      </w:r>
      <w:r w:rsidRPr="00C465C0">
        <w:rPr>
          <w:webHidden/>
          <w:sz w:val="24"/>
          <w:szCs w:val="24"/>
        </w:rPr>
        <w:tab/>
      </w:r>
      <w:r w:rsidRPr="00C465C0">
        <w:rPr>
          <w:webHidden/>
          <w:sz w:val="24"/>
          <w:szCs w:val="24"/>
        </w:rPr>
        <w:fldChar w:fldCharType="begin"/>
      </w:r>
      <w:r w:rsidRPr="00C465C0">
        <w:rPr>
          <w:webHidden/>
          <w:sz w:val="24"/>
          <w:szCs w:val="24"/>
        </w:rPr>
        <w:instrText xml:space="preserve"> PAGEREF _Toc362274391 \h </w:instrText>
      </w:r>
      <w:r w:rsidRPr="00C465C0">
        <w:rPr>
          <w:webHidden/>
          <w:sz w:val="24"/>
          <w:szCs w:val="24"/>
        </w:rPr>
      </w:r>
      <w:r w:rsidRPr="00C465C0">
        <w:rPr>
          <w:webHidden/>
          <w:sz w:val="24"/>
          <w:szCs w:val="24"/>
        </w:rPr>
        <w:fldChar w:fldCharType="separate"/>
      </w:r>
      <w:r w:rsidR="00DB625B">
        <w:rPr>
          <w:webHidden/>
          <w:sz w:val="24"/>
          <w:szCs w:val="24"/>
        </w:rPr>
        <w:t>57</w:t>
      </w:r>
      <w:r w:rsidRPr="00C465C0">
        <w:rPr>
          <w:webHidden/>
          <w:sz w:val="24"/>
          <w:szCs w:val="24"/>
        </w:rPr>
        <w:fldChar w:fldCharType="end"/>
      </w:r>
    </w:p>
    <w:p w:rsidR="004E02F3" w:rsidRDefault="00CD38ED" w:rsidP="00D37EEE">
      <w:pPr>
        <w:pStyle w:val="TableofFigures"/>
      </w:pPr>
      <w:r w:rsidRPr="00C465C0">
        <w:rPr>
          <w:sz w:val="24"/>
          <w:szCs w:val="24"/>
        </w:rPr>
        <w:fldChar w:fldCharType="end"/>
      </w:r>
    </w:p>
    <w:p w:rsidR="004E02F3" w:rsidRDefault="004E02F3">
      <w:pPr>
        <w:sectPr w:rsidR="004E02F3" w:rsidSect="009320D6">
          <w:headerReference w:type="default" r:id="rId11"/>
          <w:footerReference w:type="default" r:id="rId12"/>
          <w:type w:val="oddPage"/>
          <w:pgSz w:w="11906" w:h="16838" w:code="9"/>
          <w:pgMar w:top="1418" w:right="1701" w:bottom="1701" w:left="1418" w:header="709" w:footer="709" w:gutter="0"/>
          <w:pgNumType w:fmt="lowerRoman" w:start="1"/>
          <w:cols w:space="720"/>
        </w:sectPr>
      </w:pPr>
    </w:p>
    <w:p w:rsidR="008E0F23" w:rsidRDefault="003259DA" w:rsidP="00AE0C0C">
      <w:pPr>
        <w:pStyle w:val="Heading1"/>
        <w:numPr>
          <w:ilvl w:val="0"/>
          <w:numId w:val="0"/>
        </w:numPr>
        <w:ind w:left="567" w:hanging="567"/>
      </w:pPr>
      <w:bookmarkStart w:id="2" w:name="TextBody"/>
      <w:bookmarkStart w:id="3" w:name="_Toc362274254"/>
      <w:bookmarkEnd w:id="2"/>
      <w:r>
        <w:lastRenderedPageBreak/>
        <w:t>EXECUTIVE SUMMARY</w:t>
      </w:r>
      <w:bookmarkEnd w:id="3"/>
    </w:p>
    <w:p w:rsidR="00905CF3" w:rsidRPr="009108AD" w:rsidRDefault="00905CF3" w:rsidP="00905CF3">
      <w:pPr>
        <w:pStyle w:val="Body"/>
        <w:rPr>
          <w:b/>
          <w:sz w:val="24"/>
          <w:szCs w:val="24"/>
        </w:rPr>
      </w:pPr>
      <w:r w:rsidRPr="009108AD">
        <w:rPr>
          <w:b/>
          <w:sz w:val="24"/>
          <w:szCs w:val="24"/>
        </w:rPr>
        <w:t>Background to the project</w:t>
      </w:r>
    </w:p>
    <w:p w:rsidR="00905CF3" w:rsidRPr="009108AD" w:rsidRDefault="00905CF3" w:rsidP="00905CF3">
      <w:pPr>
        <w:pStyle w:val="Body"/>
        <w:rPr>
          <w:sz w:val="24"/>
          <w:szCs w:val="24"/>
        </w:rPr>
      </w:pPr>
      <w:r w:rsidRPr="009108AD">
        <w:rPr>
          <w:sz w:val="24"/>
          <w:szCs w:val="24"/>
        </w:rPr>
        <w:t xml:space="preserve">The current project seeks to develop understanding of the environmental impacts, risks, costs and benefits of ship anchorages adjacent to main ports operating in the Great Barrier </w:t>
      </w:r>
      <w:r w:rsidR="001614B6" w:rsidRPr="009108AD">
        <w:rPr>
          <w:sz w:val="24"/>
          <w:szCs w:val="24"/>
        </w:rPr>
        <w:t>Reef (Reef</w:t>
      </w:r>
      <w:r w:rsidRPr="009108AD">
        <w:rPr>
          <w:sz w:val="24"/>
          <w:szCs w:val="24"/>
        </w:rPr>
        <w:t xml:space="preserve">). The project synthesises relevant information and identifies effective strategies for managing anchorage areas under future demand requirements. Findings from this project will provide information to support best practice environmental management of ship anchoring in the Reef and inform future policy and planning outcomes, including the Strategic Assessment, Regional Sustainability Planning and the North East Shipping Management Plan. </w:t>
      </w:r>
    </w:p>
    <w:p w:rsidR="00905CF3" w:rsidRPr="009108AD" w:rsidRDefault="00905CF3" w:rsidP="00905CF3">
      <w:pPr>
        <w:pStyle w:val="Body"/>
        <w:rPr>
          <w:sz w:val="24"/>
          <w:szCs w:val="24"/>
        </w:rPr>
      </w:pPr>
      <w:r w:rsidRPr="009108AD">
        <w:rPr>
          <w:sz w:val="24"/>
          <w:szCs w:val="24"/>
        </w:rPr>
        <w:t>This report covers phase two of works being completed under this project. This work considers the socio-economic costs and benefits associated with different anchorage management options for the five main ports in the Great Barrier Reef World Heritage Area: Cairns, Townsville, Abbot Point, Hay Point, and Gladstone.</w:t>
      </w:r>
    </w:p>
    <w:p w:rsidR="00905CF3" w:rsidRPr="009108AD" w:rsidRDefault="00905CF3" w:rsidP="00905CF3">
      <w:pPr>
        <w:pStyle w:val="Body"/>
        <w:rPr>
          <w:b/>
          <w:sz w:val="24"/>
          <w:szCs w:val="24"/>
        </w:rPr>
      </w:pPr>
      <w:r w:rsidRPr="009108AD">
        <w:rPr>
          <w:b/>
          <w:sz w:val="24"/>
          <w:szCs w:val="24"/>
        </w:rPr>
        <w:t>Project approach</w:t>
      </w:r>
    </w:p>
    <w:p w:rsidR="00905CF3" w:rsidRPr="009108AD" w:rsidRDefault="00905CF3" w:rsidP="00905CF3">
      <w:pPr>
        <w:pStyle w:val="Body"/>
        <w:rPr>
          <w:sz w:val="24"/>
          <w:szCs w:val="24"/>
        </w:rPr>
      </w:pPr>
      <w:r w:rsidRPr="009108AD">
        <w:rPr>
          <w:sz w:val="24"/>
          <w:szCs w:val="24"/>
        </w:rPr>
        <w:t>This phase of work evaluated current and estimated future anchorage demand, the identification and examination of potential ship anchorage management options, stakeholder views regarding issues and potential impacts, and completed an economic appraisal of relevant anchorage management options using a developed Cost Benefit Analysis (CBA) model. This model considered environmental, commercial and social costs and benefits associated with anchorage demand and management under current and future development scenarios out to 2032.</w:t>
      </w:r>
    </w:p>
    <w:p w:rsidR="00905CF3" w:rsidRPr="009108AD" w:rsidRDefault="00905CF3" w:rsidP="00905CF3">
      <w:pPr>
        <w:pStyle w:val="Body"/>
        <w:rPr>
          <w:sz w:val="24"/>
          <w:szCs w:val="24"/>
        </w:rPr>
      </w:pPr>
      <w:r w:rsidRPr="009108AD">
        <w:rPr>
          <w:sz w:val="24"/>
          <w:szCs w:val="24"/>
        </w:rPr>
        <w:t>The model used an iterative approach. Where modelling identified that future anchorage demand requirements were greater than available capacity, the model used comparative analysis to identify management options appropriate to ameliorate impacts and avoid future expansion.</w:t>
      </w:r>
    </w:p>
    <w:p w:rsidR="00905CF3" w:rsidRPr="009108AD" w:rsidRDefault="00905CF3" w:rsidP="00905CF3">
      <w:pPr>
        <w:pStyle w:val="Body"/>
        <w:rPr>
          <w:b/>
          <w:sz w:val="24"/>
          <w:szCs w:val="24"/>
        </w:rPr>
      </w:pPr>
      <w:r w:rsidRPr="009108AD">
        <w:rPr>
          <w:b/>
          <w:sz w:val="24"/>
          <w:szCs w:val="24"/>
        </w:rPr>
        <w:t>Stakeholder consultations</w:t>
      </w:r>
    </w:p>
    <w:p w:rsidR="00905CF3" w:rsidRPr="009108AD" w:rsidRDefault="00813989" w:rsidP="00905CF3">
      <w:pPr>
        <w:pStyle w:val="Body"/>
        <w:rPr>
          <w:sz w:val="24"/>
          <w:szCs w:val="24"/>
        </w:rPr>
      </w:pPr>
      <w:r w:rsidRPr="009108AD">
        <w:rPr>
          <w:sz w:val="24"/>
          <w:szCs w:val="24"/>
        </w:rPr>
        <w:t>C</w:t>
      </w:r>
      <w:r w:rsidR="00905CF3" w:rsidRPr="009108AD">
        <w:rPr>
          <w:sz w:val="24"/>
          <w:szCs w:val="24"/>
        </w:rPr>
        <w:t>onsultation achieved within the scope of this study obtain</w:t>
      </w:r>
      <w:r w:rsidRPr="009108AD">
        <w:rPr>
          <w:sz w:val="24"/>
          <w:szCs w:val="24"/>
        </w:rPr>
        <w:t>ed</w:t>
      </w:r>
      <w:r w:rsidR="00905CF3" w:rsidRPr="009108AD">
        <w:rPr>
          <w:sz w:val="24"/>
          <w:szCs w:val="24"/>
        </w:rPr>
        <w:t xml:space="preserve"> information </w:t>
      </w:r>
      <w:r w:rsidRPr="009108AD">
        <w:rPr>
          <w:sz w:val="24"/>
          <w:szCs w:val="24"/>
        </w:rPr>
        <w:t xml:space="preserve">from targeted stakeholders </w:t>
      </w:r>
      <w:r w:rsidR="00905CF3" w:rsidRPr="009108AD">
        <w:rPr>
          <w:sz w:val="24"/>
          <w:szCs w:val="24"/>
        </w:rPr>
        <w:t xml:space="preserve">regarding impacts to non-shipping users of anchorage areas and relevance of different anchorage management options to industry. </w:t>
      </w:r>
      <w:r w:rsidR="00946AD6" w:rsidRPr="009108AD">
        <w:rPr>
          <w:sz w:val="24"/>
          <w:szCs w:val="24"/>
        </w:rPr>
        <w:t xml:space="preserve">Consultation was </w:t>
      </w:r>
      <w:r w:rsidR="00926088" w:rsidRPr="009108AD">
        <w:rPr>
          <w:sz w:val="24"/>
          <w:szCs w:val="24"/>
        </w:rPr>
        <w:t xml:space="preserve">achieved </w:t>
      </w:r>
      <w:r w:rsidR="00946AD6" w:rsidRPr="009108AD">
        <w:rPr>
          <w:sz w:val="24"/>
          <w:szCs w:val="24"/>
        </w:rPr>
        <w:t>through one-on-one meetings</w:t>
      </w:r>
      <w:r w:rsidR="00EF50BC" w:rsidRPr="009108AD">
        <w:rPr>
          <w:sz w:val="24"/>
          <w:szCs w:val="24"/>
        </w:rPr>
        <w:t xml:space="preserve"> and a workshop</w:t>
      </w:r>
      <w:r w:rsidR="00946AD6" w:rsidRPr="009108AD">
        <w:rPr>
          <w:sz w:val="24"/>
          <w:szCs w:val="24"/>
        </w:rPr>
        <w:t xml:space="preserve">. </w:t>
      </w:r>
      <w:r w:rsidR="00926088" w:rsidRPr="009108AD">
        <w:rPr>
          <w:sz w:val="24"/>
          <w:szCs w:val="24"/>
        </w:rPr>
        <w:t>D</w:t>
      </w:r>
      <w:r w:rsidR="00946AD6" w:rsidRPr="009108AD">
        <w:rPr>
          <w:sz w:val="24"/>
          <w:szCs w:val="24"/>
        </w:rPr>
        <w:t>ue to time constraints of the project</w:t>
      </w:r>
      <w:r w:rsidR="00926088" w:rsidRPr="009108AD">
        <w:rPr>
          <w:sz w:val="24"/>
          <w:szCs w:val="24"/>
        </w:rPr>
        <w:t>, stakeholder consultation was</w:t>
      </w:r>
      <w:r w:rsidRPr="009108AD">
        <w:rPr>
          <w:sz w:val="24"/>
          <w:szCs w:val="24"/>
        </w:rPr>
        <w:t xml:space="preserve"> targeted only</w:t>
      </w:r>
      <w:r w:rsidR="00FA782B">
        <w:rPr>
          <w:sz w:val="24"/>
          <w:szCs w:val="24"/>
        </w:rPr>
        <w:t xml:space="preserve">. </w:t>
      </w:r>
      <w:r w:rsidR="006C1D37" w:rsidRPr="009108AD">
        <w:rPr>
          <w:sz w:val="24"/>
          <w:szCs w:val="24"/>
        </w:rPr>
        <w:t xml:space="preserve">It is recognised that this study did not obtain information about the cultural values and issues of importance to Traditional Owners. </w:t>
      </w:r>
      <w:r w:rsidR="00905CF3" w:rsidRPr="009108AD">
        <w:rPr>
          <w:sz w:val="24"/>
          <w:szCs w:val="24"/>
        </w:rPr>
        <w:t xml:space="preserve">Consultation data informed model parameters and selection of potential anchorage management options for application in the CBA model. </w:t>
      </w:r>
    </w:p>
    <w:p w:rsidR="00905CF3" w:rsidRPr="009108AD" w:rsidRDefault="00905CF3" w:rsidP="00905CF3">
      <w:pPr>
        <w:pStyle w:val="Body"/>
        <w:rPr>
          <w:sz w:val="24"/>
          <w:szCs w:val="24"/>
        </w:rPr>
      </w:pPr>
      <w:r w:rsidRPr="009108AD">
        <w:rPr>
          <w:sz w:val="24"/>
          <w:szCs w:val="24"/>
        </w:rPr>
        <w:t xml:space="preserve">Consultation findings revealed that some management options, such as a scheduled arrival system, have emerging concerns regarding safe shipping management. These risks, and potential amelioration measures, would require further investigation prior to implementation of any scheduled arrivals system. They were not seen to be fatal flaws, however, and this management tool was built into the CBA modelling. </w:t>
      </w:r>
    </w:p>
    <w:p w:rsidR="00905CF3" w:rsidRPr="009108AD" w:rsidRDefault="00905CF3" w:rsidP="00905CF3">
      <w:pPr>
        <w:pStyle w:val="Body"/>
        <w:rPr>
          <w:b/>
          <w:sz w:val="24"/>
          <w:szCs w:val="24"/>
        </w:rPr>
      </w:pPr>
      <w:r w:rsidRPr="009108AD">
        <w:rPr>
          <w:b/>
          <w:sz w:val="24"/>
          <w:szCs w:val="24"/>
        </w:rPr>
        <w:lastRenderedPageBreak/>
        <w:t>Potential anchorage management options</w:t>
      </w:r>
    </w:p>
    <w:p w:rsidR="00905CF3" w:rsidRPr="009108AD" w:rsidRDefault="00905CF3" w:rsidP="00905CF3">
      <w:pPr>
        <w:pStyle w:val="Body"/>
        <w:rPr>
          <w:sz w:val="24"/>
          <w:szCs w:val="24"/>
        </w:rPr>
      </w:pPr>
      <w:r w:rsidRPr="009108AD">
        <w:rPr>
          <w:sz w:val="24"/>
          <w:szCs w:val="24"/>
        </w:rPr>
        <w:t xml:space="preserve">Ten potential ship management anchorage options were identified by desktop review and consultation. Consideration of the applicability of these options to the five ports of interest refined the potential options to four that were considered relevant. These four potential options were used in the subsequent CBA modelling and are summarised below: </w:t>
      </w:r>
    </w:p>
    <w:p w:rsidR="00905CF3" w:rsidRPr="009108AD" w:rsidRDefault="00905CF3" w:rsidP="00905CF3">
      <w:pPr>
        <w:pStyle w:val="Bullet"/>
        <w:numPr>
          <w:ilvl w:val="0"/>
          <w:numId w:val="59"/>
        </w:numPr>
        <w:rPr>
          <w:sz w:val="24"/>
          <w:szCs w:val="24"/>
        </w:rPr>
      </w:pPr>
      <w:r w:rsidRPr="00B41CFA">
        <w:rPr>
          <w:sz w:val="24"/>
          <w:szCs w:val="24"/>
        </w:rPr>
        <w:t>All-at-port</w:t>
      </w:r>
      <w:r w:rsidRPr="009108AD">
        <w:rPr>
          <w:sz w:val="24"/>
          <w:szCs w:val="24"/>
        </w:rPr>
        <w:t xml:space="preserve"> – Ships proceed direct to available berths in port</w:t>
      </w:r>
    </w:p>
    <w:p w:rsidR="00905CF3" w:rsidRPr="009108AD" w:rsidRDefault="00905CF3" w:rsidP="00905CF3">
      <w:pPr>
        <w:pStyle w:val="Bullet"/>
        <w:numPr>
          <w:ilvl w:val="0"/>
          <w:numId w:val="0"/>
        </w:numPr>
        <w:ind w:left="360"/>
        <w:rPr>
          <w:sz w:val="24"/>
          <w:szCs w:val="24"/>
        </w:rPr>
      </w:pPr>
      <w:r w:rsidRPr="009108AD">
        <w:rPr>
          <w:sz w:val="24"/>
          <w:szCs w:val="24"/>
        </w:rPr>
        <w:t xml:space="preserve">The “All-at-port” option provides for future demand for ship anchorages by constructing an adequate number of ship-waiting berths (quays or jetties) as part of the port infrastructure within current port limits. These ship-waiting berths would then prevent the need to expand current anchorage areas to meet the future demand for ship anchorages. </w:t>
      </w:r>
    </w:p>
    <w:p w:rsidR="00905CF3" w:rsidRPr="009108AD" w:rsidRDefault="00905CF3" w:rsidP="00905CF3">
      <w:pPr>
        <w:pStyle w:val="Bullet"/>
        <w:numPr>
          <w:ilvl w:val="0"/>
          <w:numId w:val="59"/>
        </w:numPr>
        <w:rPr>
          <w:sz w:val="24"/>
          <w:szCs w:val="24"/>
        </w:rPr>
      </w:pPr>
      <w:r w:rsidRPr="00B41CFA">
        <w:rPr>
          <w:sz w:val="24"/>
          <w:szCs w:val="24"/>
        </w:rPr>
        <w:t>Fixed-moored</w:t>
      </w:r>
      <w:r w:rsidRPr="009108AD">
        <w:rPr>
          <w:sz w:val="24"/>
          <w:szCs w:val="24"/>
        </w:rPr>
        <w:t xml:space="preserve"> – Ships moored to fixed structures in anchorage areas</w:t>
      </w:r>
    </w:p>
    <w:p w:rsidR="00905CF3" w:rsidRPr="009108AD" w:rsidRDefault="00905CF3" w:rsidP="00905CF3">
      <w:pPr>
        <w:pStyle w:val="Bullet"/>
        <w:numPr>
          <w:ilvl w:val="0"/>
          <w:numId w:val="0"/>
        </w:numPr>
        <w:ind w:left="360"/>
        <w:rPr>
          <w:sz w:val="24"/>
          <w:szCs w:val="24"/>
        </w:rPr>
      </w:pPr>
      <w:r w:rsidRPr="009108AD">
        <w:rPr>
          <w:sz w:val="24"/>
          <w:szCs w:val="24"/>
        </w:rPr>
        <w:t>The “Fixed-moored” option is a possible approach to managing future demand for ship anchorages at the five main ports by installing fixed mooring structures (buoy or single-point moorings) in an appropriate anchorage expansion area. The size of the fixed-mooring structures would depend on the depth of water, sea conditions and type of vessel to be moored (e.g. large, un-laden, Cape-size coal ships).</w:t>
      </w:r>
    </w:p>
    <w:p w:rsidR="00905CF3" w:rsidRPr="009108AD" w:rsidRDefault="00905CF3" w:rsidP="00905CF3">
      <w:pPr>
        <w:pStyle w:val="Bullet"/>
        <w:numPr>
          <w:ilvl w:val="0"/>
          <w:numId w:val="59"/>
        </w:numPr>
        <w:rPr>
          <w:sz w:val="24"/>
          <w:szCs w:val="24"/>
        </w:rPr>
      </w:pPr>
      <w:r w:rsidRPr="00B41CFA">
        <w:rPr>
          <w:sz w:val="24"/>
          <w:szCs w:val="24"/>
        </w:rPr>
        <w:t>Scheduled arrivals</w:t>
      </w:r>
      <w:r w:rsidRPr="009108AD">
        <w:rPr>
          <w:sz w:val="24"/>
          <w:szCs w:val="24"/>
        </w:rPr>
        <w:t xml:space="preserve"> – Vessels are scheduled with a port arrival management system</w:t>
      </w:r>
    </w:p>
    <w:p w:rsidR="00905CF3" w:rsidRPr="009108AD" w:rsidRDefault="00905CF3" w:rsidP="00905CF3">
      <w:pPr>
        <w:pStyle w:val="Bullet"/>
        <w:numPr>
          <w:ilvl w:val="0"/>
          <w:numId w:val="0"/>
        </w:numPr>
        <w:ind w:left="360"/>
        <w:rPr>
          <w:sz w:val="24"/>
          <w:szCs w:val="24"/>
        </w:rPr>
      </w:pPr>
      <w:r w:rsidRPr="009108AD">
        <w:rPr>
          <w:sz w:val="24"/>
          <w:szCs w:val="24"/>
        </w:rPr>
        <w:t>The “Scheduled arrivals” option is a possible approach to managing future demand for ship anchorages at the five main ports by deciding not to have any anchorages at all with all vessels proceeding direct from sea to a berth in the port based on scheduled ship arrivals. This approach can be considered to be less feasible than the others as it would require a change in long-accepted practice of port and shipping operations.</w:t>
      </w:r>
    </w:p>
    <w:p w:rsidR="00905CF3" w:rsidRPr="009108AD" w:rsidRDefault="00905CF3" w:rsidP="00905CF3">
      <w:pPr>
        <w:pStyle w:val="Bullet"/>
        <w:numPr>
          <w:ilvl w:val="0"/>
          <w:numId w:val="0"/>
        </w:numPr>
        <w:ind w:left="360"/>
        <w:rPr>
          <w:sz w:val="24"/>
          <w:szCs w:val="24"/>
        </w:rPr>
      </w:pPr>
      <w:r w:rsidRPr="009108AD">
        <w:rPr>
          <w:sz w:val="24"/>
          <w:szCs w:val="24"/>
        </w:rPr>
        <w:t>Schedule arrivals can also be used to manage future demand for ship anchorages by deciding not to expand current anchorages and to implement a scheduled ship arrival system which uses the sea voyage to the port to ensure ships proceed efficiently (do not speed-up) and anchor at the port for minimum periods of time. This approach still allows for the future growth in ship calls, but avoids the expansion of anchorage areas (wherever possible). The time at anchor is then solely linked to the flexibility required by the terminal operators at the port to ensure efficient loading of cargoes and use of the berths.</w:t>
      </w:r>
    </w:p>
    <w:p w:rsidR="00905CF3" w:rsidRPr="009108AD" w:rsidRDefault="00905CF3" w:rsidP="00905CF3">
      <w:pPr>
        <w:pStyle w:val="Bullet"/>
        <w:numPr>
          <w:ilvl w:val="0"/>
          <w:numId w:val="0"/>
        </w:numPr>
        <w:ind w:left="360"/>
        <w:rPr>
          <w:sz w:val="24"/>
          <w:szCs w:val="24"/>
        </w:rPr>
      </w:pPr>
      <w:r w:rsidRPr="009108AD">
        <w:rPr>
          <w:sz w:val="24"/>
          <w:szCs w:val="24"/>
        </w:rPr>
        <w:t xml:space="preserve">A scheduled arrivals system currently operates at the Port of Newcastle and a case study regarding this operation completed for this project provided evidence (for modelling) of some of the costs and benefits of using this management option. </w:t>
      </w:r>
    </w:p>
    <w:p w:rsidR="00905CF3" w:rsidRPr="009108AD" w:rsidRDefault="00905CF3" w:rsidP="00905CF3">
      <w:pPr>
        <w:pStyle w:val="Bullet"/>
        <w:numPr>
          <w:ilvl w:val="0"/>
          <w:numId w:val="59"/>
        </w:numPr>
        <w:rPr>
          <w:b/>
          <w:sz w:val="24"/>
          <w:szCs w:val="24"/>
        </w:rPr>
      </w:pPr>
      <w:r w:rsidRPr="00B41CFA">
        <w:rPr>
          <w:sz w:val="24"/>
          <w:szCs w:val="24"/>
        </w:rPr>
        <w:t>Demand management anchorage pricing</w:t>
      </w:r>
      <w:r w:rsidRPr="009108AD">
        <w:rPr>
          <w:b/>
          <w:sz w:val="24"/>
          <w:szCs w:val="24"/>
        </w:rPr>
        <w:t xml:space="preserve"> </w:t>
      </w:r>
      <w:r w:rsidR="00B41CFA">
        <w:rPr>
          <w:sz w:val="24"/>
          <w:szCs w:val="24"/>
        </w:rPr>
        <w:t>–</w:t>
      </w:r>
      <w:r w:rsidRPr="009108AD">
        <w:rPr>
          <w:sz w:val="24"/>
          <w:szCs w:val="24"/>
        </w:rPr>
        <w:t xml:space="preserve"> Restriction on the level of ship arrivals using pricing disincentives</w:t>
      </w:r>
    </w:p>
    <w:p w:rsidR="00905CF3" w:rsidRPr="009108AD" w:rsidRDefault="00905CF3" w:rsidP="00905CF3">
      <w:pPr>
        <w:pStyle w:val="Bullet"/>
        <w:numPr>
          <w:ilvl w:val="0"/>
          <w:numId w:val="0"/>
        </w:numPr>
        <w:ind w:left="360"/>
        <w:rPr>
          <w:sz w:val="24"/>
          <w:szCs w:val="24"/>
        </w:rPr>
      </w:pPr>
      <w:r w:rsidRPr="009108AD">
        <w:rPr>
          <w:sz w:val="24"/>
          <w:szCs w:val="24"/>
        </w:rPr>
        <w:t>The “Demand management anchorage pricing” option is a possible approach to managing future demand for ship anchorages by limiting the length of time at anchor using pricing disincentives (penalties).</w:t>
      </w:r>
    </w:p>
    <w:p w:rsidR="00905CF3" w:rsidRPr="009108AD" w:rsidRDefault="00905CF3" w:rsidP="00905CF3">
      <w:pPr>
        <w:pStyle w:val="Bullet"/>
        <w:numPr>
          <w:ilvl w:val="0"/>
          <w:numId w:val="0"/>
        </w:numPr>
        <w:ind w:left="360"/>
        <w:rPr>
          <w:sz w:val="24"/>
          <w:szCs w:val="24"/>
        </w:rPr>
      </w:pPr>
      <w:r w:rsidRPr="009108AD">
        <w:rPr>
          <w:sz w:val="24"/>
          <w:szCs w:val="24"/>
        </w:rPr>
        <w:lastRenderedPageBreak/>
        <w:t>Demand management practices can be implemented through pricing regimes on the use of anchorages.</w:t>
      </w:r>
    </w:p>
    <w:p w:rsidR="00905CF3" w:rsidRPr="009108AD" w:rsidRDefault="00905CF3" w:rsidP="00905CF3">
      <w:pPr>
        <w:pStyle w:val="Body"/>
        <w:rPr>
          <w:b/>
          <w:sz w:val="24"/>
          <w:szCs w:val="24"/>
        </w:rPr>
      </w:pPr>
      <w:r w:rsidRPr="009108AD">
        <w:rPr>
          <w:b/>
          <w:sz w:val="24"/>
          <w:szCs w:val="24"/>
        </w:rPr>
        <w:t>Project findings</w:t>
      </w:r>
    </w:p>
    <w:p w:rsidR="00905CF3" w:rsidRPr="009108AD" w:rsidRDefault="00905CF3" w:rsidP="00905CF3">
      <w:pPr>
        <w:pStyle w:val="Body"/>
        <w:rPr>
          <w:sz w:val="24"/>
          <w:szCs w:val="24"/>
        </w:rPr>
      </w:pPr>
      <w:r w:rsidRPr="009108AD">
        <w:rPr>
          <w:sz w:val="24"/>
          <w:szCs w:val="24"/>
        </w:rPr>
        <w:t xml:space="preserve">Data which informed the project included recently released forecasts of shipping within Queensland prepared by PGM Environmental (PGM 2012) to estimate future anchorage demand requirements (out to 2032). Maritime Safety Queensland anchor movement records from 2009 to 2012 were also used to inform existing patterns of ship </w:t>
      </w:r>
      <w:r w:rsidR="00BD6DD9" w:rsidRPr="009108AD">
        <w:rPr>
          <w:sz w:val="24"/>
          <w:szCs w:val="24"/>
        </w:rPr>
        <w:t>movements’</w:t>
      </w:r>
      <w:r w:rsidRPr="009108AD">
        <w:rPr>
          <w:sz w:val="24"/>
          <w:szCs w:val="24"/>
        </w:rPr>
        <w:t xml:space="preserve"> average anchor waiting times for each of the ports. To inform the analysis, use of anchorage areas was rated according to a scale that ranged from negligible (&lt;3 per day) to significant (&gt;20 vessels per day).</w:t>
      </w:r>
    </w:p>
    <w:p w:rsidR="00905CF3" w:rsidRPr="009108AD" w:rsidRDefault="00905CF3" w:rsidP="00905CF3">
      <w:pPr>
        <w:pStyle w:val="Body"/>
        <w:rPr>
          <w:sz w:val="24"/>
          <w:szCs w:val="24"/>
        </w:rPr>
      </w:pPr>
      <w:r w:rsidRPr="009108AD">
        <w:rPr>
          <w:sz w:val="24"/>
          <w:szCs w:val="24"/>
        </w:rPr>
        <w:t xml:space="preserve">Findings for each of the five ports of interest from review of all available data are: </w:t>
      </w:r>
    </w:p>
    <w:p w:rsidR="00905CF3" w:rsidRPr="009108AD" w:rsidRDefault="00905CF3" w:rsidP="00905CF3">
      <w:pPr>
        <w:pStyle w:val="Bullet"/>
        <w:numPr>
          <w:ilvl w:val="0"/>
          <w:numId w:val="59"/>
        </w:numPr>
        <w:rPr>
          <w:sz w:val="24"/>
          <w:szCs w:val="24"/>
        </w:rPr>
      </w:pPr>
      <w:r w:rsidRPr="009108AD">
        <w:rPr>
          <w:sz w:val="24"/>
          <w:szCs w:val="24"/>
        </w:rPr>
        <w:t xml:space="preserve">Ship call numbers are forecast to increase slowly at the </w:t>
      </w:r>
      <w:r w:rsidR="001614B6" w:rsidRPr="009108AD">
        <w:rPr>
          <w:sz w:val="24"/>
          <w:szCs w:val="24"/>
        </w:rPr>
        <w:t>Port of Cairns</w:t>
      </w:r>
      <w:r w:rsidRPr="009108AD">
        <w:rPr>
          <w:sz w:val="24"/>
          <w:szCs w:val="24"/>
        </w:rPr>
        <w:t xml:space="preserve">. Despite this, it is likely that the future demand for ship anchorages over this period will decrease if the planned accommodation of large cruise-ships via channel access upgrades occurs. </w:t>
      </w:r>
    </w:p>
    <w:p w:rsidR="00905CF3" w:rsidRPr="009108AD" w:rsidRDefault="00905CF3" w:rsidP="00905CF3">
      <w:pPr>
        <w:pStyle w:val="Bullet"/>
        <w:numPr>
          <w:ilvl w:val="0"/>
          <w:numId w:val="0"/>
        </w:numPr>
        <w:ind w:left="360"/>
        <w:rPr>
          <w:sz w:val="24"/>
          <w:szCs w:val="24"/>
        </w:rPr>
      </w:pPr>
      <w:r w:rsidRPr="009108AD">
        <w:rPr>
          <w:sz w:val="24"/>
          <w:szCs w:val="24"/>
        </w:rPr>
        <w:t>The future scale of the use of ship anchorages at the Port of Cairns over the forecast period can be summarised as possibly becoming negligible from an already minor position. If planned port access does not eventuate, then the future scale will likely continue to be minor.</w:t>
      </w:r>
    </w:p>
    <w:p w:rsidR="00905CF3" w:rsidRPr="009108AD" w:rsidRDefault="00905CF3" w:rsidP="00905CF3">
      <w:pPr>
        <w:pStyle w:val="Bullet"/>
        <w:numPr>
          <w:ilvl w:val="0"/>
          <w:numId w:val="0"/>
        </w:numPr>
        <w:ind w:left="360"/>
        <w:rPr>
          <w:sz w:val="24"/>
          <w:szCs w:val="24"/>
        </w:rPr>
      </w:pPr>
      <w:r w:rsidRPr="009108AD">
        <w:rPr>
          <w:sz w:val="24"/>
          <w:szCs w:val="24"/>
        </w:rPr>
        <w:t>It is anticipated that the very limited future growth in anchorage demand for Cairns can be accommodated by the existing anchorages. As this location has existing designated anchorages improved management options were not considered to be required.</w:t>
      </w:r>
    </w:p>
    <w:p w:rsidR="00905CF3" w:rsidRPr="009108AD" w:rsidRDefault="00905CF3" w:rsidP="00905CF3">
      <w:pPr>
        <w:pStyle w:val="Bullet"/>
        <w:numPr>
          <w:ilvl w:val="0"/>
          <w:numId w:val="59"/>
        </w:numPr>
        <w:rPr>
          <w:sz w:val="24"/>
          <w:szCs w:val="24"/>
        </w:rPr>
      </w:pPr>
      <w:r w:rsidRPr="009108AD">
        <w:rPr>
          <w:sz w:val="24"/>
          <w:szCs w:val="24"/>
        </w:rPr>
        <w:t xml:space="preserve">Ship call numbers are forecast to increase slowly at the Port of Townsville. It is likely that the future demand for ship anchorages over the forecast period will increase at a </w:t>
      </w:r>
      <w:r w:rsidR="00897CED" w:rsidRPr="009108AD">
        <w:rPr>
          <w:sz w:val="24"/>
          <w:szCs w:val="24"/>
        </w:rPr>
        <w:t>rate similar to the increase forecast in ship call numbers</w:t>
      </w:r>
      <w:r w:rsidRPr="009108AD">
        <w:rPr>
          <w:sz w:val="24"/>
          <w:szCs w:val="24"/>
        </w:rPr>
        <w:t xml:space="preserve">. In addition, as port infrastructure is upgraded and expanded, it is likely that certain types of ships will not to have to wait at anchor for a berth (i.e. container ships, vehicle carriers and some general cargo ships). This will have the effect of a lower growth rate in the demand for anchorage over the study period. </w:t>
      </w:r>
    </w:p>
    <w:p w:rsidR="00905CF3" w:rsidRPr="009108AD" w:rsidRDefault="00905CF3" w:rsidP="00905CF3">
      <w:pPr>
        <w:pStyle w:val="Bullet"/>
        <w:numPr>
          <w:ilvl w:val="0"/>
          <w:numId w:val="0"/>
        </w:numPr>
        <w:ind w:left="360"/>
        <w:rPr>
          <w:sz w:val="24"/>
          <w:szCs w:val="24"/>
        </w:rPr>
      </w:pPr>
      <w:r w:rsidRPr="009108AD">
        <w:rPr>
          <w:sz w:val="24"/>
          <w:szCs w:val="24"/>
        </w:rPr>
        <w:t>The future scale of the use of ship anchorages at the Port of Townsville can be summarised as possibly remaining minor with demand possibly increasing by approximately one third between now and 2032. This equates to less than two ship calls per day requiring the use of anchorage by 2032.</w:t>
      </w:r>
    </w:p>
    <w:p w:rsidR="00905CF3" w:rsidRPr="009108AD" w:rsidRDefault="00905CF3" w:rsidP="00905CF3">
      <w:pPr>
        <w:pStyle w:val="Bullet"/>
        <w:numPr>
          <w:ilvl w:val="0"/>
          <w:numId w:val="0"/>
        </w:numPr>
        <w:ind w:left="360"/>
        <w:rPr>
          <w:sz w:val="24"/>
          <w:szCs w:val="24"/>
        </w:rPr>
      </w:pPr>
      <w:r w:rsidRPr="009108AD">
        <w:rPr>
          <w:sz w:val="24"/>
          <w:szCs w:val="24"/>
        </w:rPr>
        <w:t>Townsville does not currently have a designated anchorage area. A conservative area of anchorage was assessed (in consultation with the Regional Harbour Master) within this report. It is anticipated that the limited future growth in anchorage demand for Townsville can be accommodated in the existing anchorage area (assessed herein), particularly if more designated anchorages and/or more densely organised anchorages are used. The improvement of implementing organised designated areas is likely to produce the least cost for the desired net environmental outcome over the next 30 years at this site.</w:t>
      </w:r>
    </w:p>
    <w:p w:rsidR="00905CF3" w:rsidRPr="009108AD" w:rsidRDefault="00905CF3" w:rsidP="00905CF3">
      <w:pPr>
        <w:pStyle w:val="Bullet"/>
        <w:numPr>
          <w:ilvl w:val="0"/>
          <w:numId w:val="59"/>
        </w:numPr>
        <w:rPr>
          <w:sz w:val="24"/>
          <w:szCs w:val="24"/>
        </w:rPr>
      </w:pPr>
      <w:r w:rsidRPr="009108AD">
        <w:rPr>
          <w:sz w:val="24"/>
          <w:szCs w:val="24"/>
        </w:rPr>
        <w:lastRenderedPageBreak/>
        <w:t xml:space="preserve">Forecast ship call numbers are predicted to increase significantly at the Port of Abbot Point. It is likely that the future demand for ship anchorages will increase at a </w:t>
      </w:r>
      <w:r w:rsidR="00897CED" w:rsidRPr="009108AD">
        <w:rPr>
          <w:sz w:val="24"/>
          <w:szCs w:val="24"/>
        </w:rPr>
        <w:t>rate similar to the increase in ship call numbers</w:t>
      </w:r>
      <w:r w:rsidRPr="009108AD">
        <w:rPr>
          <w:sz w:val="24"/>
          <w:szCs w:val="24"/>
        </w:rPr>
        <w:t xml:space="preserve">. Given the historical fluctuations of usage, it is difficult to predict whether in future the number of ships proceeding direct to anchor will change. Some coal producers at Abbot Point will control coal exports from mine to overseas port. This means that they are more able to control the scheduling of their shipping which will facilitate management of anchorage use. </w:t>
      </w:r>
    </w:p>
    <w:p w:rsidR="00905CF3" w:rsidRPr="009108AD" w:rsidRDefault="00905CF3" w:rsidP="00905CF3">
      <w:pPr>
        <w:pStyle w:val="Bullet"/>
        <w:numPr>
          <w:ilvl w:val="0"/>
          <w:numId w:val="0"/>
        </w:numPr>
        <w:ind w:left="360"/>
        <w:rPr>
          <w:sz w:val="24"/>
          <w:szCs w:val="24"/>
        </w:rPr>
      </w:pPr>
      <w:r w:rsidRPr="009108AD">
        <w:rPr>
          <w:sz w:val="24"/>
          <w:szCs w:val="24"/>
        </w:rPr>
        <w:t xml:space="preserve">The future scale of the use of ship anchorages at the port can be summarised as becoming </w:t>
      </w:r>
      <w:r w:rsidR="00686C24" w:rsidRPr="009108AD">
        <w:rPr>
          <w:sz w:val="24"/>
          <w:szCs w:val="24"/>
        </w:rPr>
        <w:t>more significant</w:t>
      </w:r>
      <w:r w:rsidRPr="009108AD">
        <w:rPr>
          <w:sz w:val="24"/>
          <w:szCs w:val="24"/>
        </w:rPr>
        <w:t xml:space="preserve">. Demand could possibly increase by around </w:t>
      </w:r>
      <w:r w:rsidR="001804F2" w:rsidRPr="009108AD">
        <w:rPr>
          <w:sz w:val="24"/>
          <w:szCs w:val="24"/>
        </w:rPr>
        <w:t xml:space="preserve">nine </w:t>
      </w:r>
      <w:r w:rsidRPr="009108AD">
        <w:rPr>
          <w:sz w:val="24"/>
          <w:szCs w:val="24"/>
        </w:rPr>
        <w:t xml:space="preserve">times between now and 2032. </w:t>
      </w:r>
      <w:r w:rsidR="00791A25" w:rsidRPr="009108AD">
        <w:rPr>
          <w:sz w:val="24"/>
          <w:szCs w:val="24"/>
        </w:rPr>
        <w:t>This equates to around 2.5 ship calls per day requiring the use of anchorage</w:t>
      </w:r>
      <w:r w:rsidR="00FA782B">
        <w:rPr>
          <w:sz w:val="24"/>
          <w:szCs w:val="24"/>
        </w:rPr>
        <w:t xml:space="preserve">. </w:t>
      </w:r>
      <w:r w:rsidRPr="009108AD">
        <w:rPr>
          <w:sz w:val="24"/>
          <w:szCs w:val="24"/>
        </w:rPr>
        <w:t>Abbot Point does not currently have a designated anchorage area. A conservative area of anchorage was assessed (in consultation with the Regional Harbour Master) within this report and that area is expected to be able to accommodate all future anchorage demands, particularly if designated anchorages and/or densely organised anchorages are used.</w:t>
      </w:r>
    </w:p>
    <w:p w:rsidR="00905CF3" w:rsidRPr="009108AD" w:rsidRDefault="005A7877" w:rsidP="00905CF3">
      <w:pPr>
        <w:pStyle w:val="Bullet"/>
        <w:numPr>
          <w:ilvl w:val="0"/>
          <w:numId w:val="0"/>
        </w:numPr>
        <w:ind w:left="360"/>
        <w:rPr>
          <w:sz w:val="24"/>
          <w:szCs w:val="24"/>
        </w:rPr>
      </w:pPr>
      <w:r w:rsidRPr="009108AD">
        <w:rPr>
          <w:sz w:val="24"/>
          <w:szCs w:val="24"/>
        </w:rPr>
        <w:t xml:space="preserve">Port of Abbot Point does not contain specific designated anchorages; therefore, the existing area used for anchorage was defined in consultation with the port’s Regional Harbour Master. </w:t>
      </w:r>
      <w:r w:rsidR="00905CF3" w:rsidRPr="009108AD">
        <w:rPr>
          <w:sz w:val="24"/>
          <w:szCs w:val="24"/>
        </w:rPr>
        <w:t>If a reduced area of anchorage (to that assessed herein) was desired for Abbot Point consideration could be given to applying a scheduled arrival system to improve management of anchorage demand within this single commodity port.</w:t>
      </w:r>
    </w:p>
    <w:p w:rsidR="00905CF3" w:rsidRPr="009108AD" w:rsidRDefault="00905CF3" w:rsidP="00905CF3">
      <w:pPr>
        <w:pStyle w:val="Bullet"/>
        <w:numPr>
          <w:ilvl w:val="0"/>
          <w:numId w:val="59"/>
        </w:numPr>
        <w:rPr>
          <w:sz w:val="24"/>
          <w:szCs w:val="24"/>
        </w:rPr>
      </w:pPr>
      <w:r w:rsidRPr="009108AD">
        <w:rPr>
          <w:sz w:val="24"/>
          <w:szCs w:val="24"/>
        </w:rPr>
        <w:t>Forecast ship call numbers are predicted to increase significantly at the Port of Hay Point. It is likely that the future demand for ship anchorages over the forecast period will increase at a similar rate such that demand may treble between now and 2032</w:t>
      </w:r>
      <w:r w:rsidR="0067009E" w:rsidRPr="009108AD">
        <w:rPr>
          <w:sz w:val="24"/>
          <w:szCs w:val="24"/>
        </w:rPr>
        <w:t xml:space="preserve"> (i.e. around 6.5 ship calls per day requiring the use of anchorage)</w:t>
      </w:r>
      <w:r w:rsidRPr="009108AD">
        <w:rPr>
          <w:sz w:val="24"/>
          <w:szCs w:val="24"/>
        </w:rPr>
        <w:t>. There is a possibility that coal producers using the planned new terminal at Dudgeon Point will control shipping. This provides better potential to schedule ships to call at a berth direct from sea and improve management of anchorage areas.</w:t>
      </w:r>
    </w:p>
    <w:p w:rsidR="00905CF3" w:rsidRPr="009108AD" w:rsidRDefault="00905CF3" w:rsidP="00905CF3">
      <w:pPr>
        <w:pStyle w:val="Bullet"/>
        <w:numPr>
          <w:ilvl w:val="0"/>
          <w:numId w:val="0"/>
        </w:numPr>
        <w:ind w:left="360"/>
        <w:rPr>
          <w:sz w:val="24"/>
          <w:szCs w:val="24"/>
        </w:rPr>
      </w:pPr>
      <w:r w:rsidRPr="009108AD">
        <w:rPr>
          <w:sz w:val="24"/>
          <w:szCs w:val="24"/>
        </w:rPr>
        <w:t>This future growth in anchorage demand at Hay Point is predicted to outstrip the current capacity of the designated ship anchorages unless the average ship time at anchor is reduced. Modelling identifies that implementation of a scheduled arrivals system could provide the greatest net social welfare gain for management of this anchorage area over the next 30 years. This is principally driven by estimated savings in ship fuel costs.</w:t>
      </w:r>
    </w:p>
    <w:p w:rsidR="00905CF3" w:rsidRPr="009108AD" w:rsidRDefault="00905CF3" w:rsidP="00905CF3">
      <w:pPr>
        <w:pStyle w:val="Bullet"/>
        <w:numPr>
          <w:ilvl w:val="0"/>
          <w:numId w:val="0"/>
        </w:numPr>
        <w:ind w:left="360"/>
        <w:rPr>
          <w:sz w:val="24"/>
          <w:szCs w:val="24"/>
        </w:rPr>
      </w:pPr>
      <w:r w:rsidRPr="009108AD">
        <w:rPr>
          <w:sz w:val="24"/>
          <w:szCs w:val="24"/>
        </w:rPr>
        <w:t xml:space="preserve">Implementation of a scheduled arrivals system for both the ports of Hay Point and </w:t>
      </w:r>
      <w:r w:rsidR="0049628C" w:rsidRPr="009108AD">
        <w:rPr>
          <w:sz w:val="24"/>
          <w:szCs w:val="24"/>
        </w:rPr>
        <w:t>A</w:t>
      </w:r>
      <w:r w:rsidRPr="009108AD">
        <w:rPr>
          <w:sz w:val="24"/>
          <w:szCs w:val="24"/>
        </w:rPr>
        <w:t>bbot Point may have beneficial flow on affects not tested by this project given the commonalities in management governing each location.</w:t>
      </w:r>
    </w:p>
    <w:p w:rsidR="00E26B66" w:rsidRPr="00B41CFA" w:rsidRDefault="00905CF3" w:rsidP="00B41CFA">
      <w:pPr>
        <w:pStyle w:val="Bullet"/>
        <w:numPr>
          <w:ilvl w:val="0"/>
          <w:numId w:val="59"/>
        </w:numPr>
        <w:rPr>
          <w:sz w:val="24"/>
          <w:szCs w:val="24"/>
        </w:rPr>
      </w:pPr>
      <w:r w:rsidRPr="009108AD">
        <w:rPr>
          <w:sz w:val="24"/>
          <w:szCs w:val="24"/>
        </w:rPr>
        <w:t>Forecast ship call numbers are increasing moderately at the Port of Gladstone. It is likely that the future demand for ship anchorages will continue to increase over the forecast period, however at a reduced rate. Dedicated shipping and berthing operations of LNG exports will be able to schedule vessels to call at an LNG berth direct from sea. This would be facilitated by planned channel duplication, which is yet to be assessed.</w:t>
      </w:r>
    </w:p>
    <w:p w:rsidR="00905CF3" w:rsidRPr="009108AD" w:rsidRDefault="00905CF3" w:rsidP="00905CF3">
      <w:pPr>
        <w:pStyle w:val="Bullet"/>
        <w:numPr>
          <w:ilvl w:val="0"/>
          <w:numId w:val="0"/>
        </w:numPr>
        <w:ind w:left="360"/>
        <w:rPr>
          <w:sz w:val="24"/>
          <w:szCs w:val="24"/>
        </w:rPr>
      </w:pPr>
      <w:r w:rsidRPr="009108AD">
        <w:rPr>
          <w:sz w:val="24"/>
          <w:szCs w:val="24"/>
        </w:rPr>
        <w:lastRenderedPageBreak/>
        <w:t>Even with improved management, the future scale of the use of ship anchorages at the Port of Gladstone can be summarised as becoming more si</w:t>
      </w:r>
      <w:r w:rsidR="00FA782B">
        <w:rPr>
          <w:sz w:val="24"/>
          <w:szCs w:val="24"/>
        </w:rPr>
        <w:t xml:space="preserve">gnificant. </w:t>
      </w:r>
      <w:r w:rsidRPr="009108AD">
        <w:rPr>
          <w:sz w:val="24"/>
          <w:szCs w:val="24"/>
        </w:rPr>
        <w:t xml:space="preserve">It is forecast that demand could possibly increase by around 1.8 times between now and 2032. This equates to approximately six ship calls per day requiring the use of anchorage. Based on preliminary observations, this future growth in anchorage demand should be able to be met by the current capacity of the designated ship anchorages assuming that average ship time at anchor does not increase significantly beyond current levels. </w:t>
      </w:r>
    </w:p>
    <w:p w:rsidR="00905CF3" w:rsidRDefault="00905CF3" w:rsidP="00905CF3">
      <w:pPr>
        <w:pStyle w:val="Bullet"/>
        <w:numPr>
          <w:ilvl w:val="0"/>
          <w:numId w:val="0"/>
        </w:numPr>
        <w:ind w:left="360"/>
        <w:rPr>
          <w:sz w:val="24"/>
          <w:szCs w:val="24"/>
        </w:rPr>
      </w:pPr>
      <w:r w:rsidRPr="009108AD">
        <w:rPr>
          <w:sz w:val="24"/>
          <w:szCs w:val="24"/>
        </w:rPr>
        <w:t xml:space="preserve">Results, therefore, suggest that the current practice of anchorage management at the Port of Gladstone is likely to produce the least economic cost for the desired net environmental outcome over the next 30 years. However, this finding is sensitive to the assumed (i.e. current) average waiting times of ships at anchor. If average waiting times increase in future then opportunities to improve anchorage management would need to be considered. Expansion of the existing designated anchorages would not be considered an environmentally beneficial solution to increased demand management. Consideration could be given to designating specific anchorages for coal vessels and adopting a VAS for only those anchorages. </w:t>
      </w:r>
    </w:p>
    <w:p w:rsidR="00B41CFA" w:rsidRPr="00B41CFA" w:rsidRDefault="00B41CFA" w:rsidP="00B41CFA">
      <w:pPr>
        <w:pStyle w:val="Body"/>
        <w:spacing w:before="240"/>
        <w:rPr>
          <w:sz w:val="24"/>
          <w:szCs w:val="24"/>
        </w:rPr>
      </w:pPr>
      <w:r w:rsidRPr="00B41CFA">
        <w:rPr>
          <w:sz w:val="24"/>
          <w:szCs w:val="24"/>
        </w:rPr>
        <w:t xml:space="preserve">The results of the CBA modelling suggested that physical expansions of anchorages at the Ports of Cairns, Townsville, Abbot Point and Gladstone would not be required over the period 2012-2032 based on PGM Environment’s “probable” forecasts for each of the give ports. This implies that current anchorage practices (with some improvements for the Ports of Townsville and Abbot Point) remain appropriate to the management of environmental, social and economic risks under increased shipping forecasts. The data used to support modelling is, however, sensitive to future changes in average ship waiting times and has used a conservative anchorage area at each location for assessment. Adopting improved management strategies at the Ports of Townsville and Abbot Point, including designation of anchorage areas and considering use of a scheduled arrivals system at Abbot Point, may provide beneficial outcomes in environmental performance of those anchorages beyond that assessed by the economic appraisal completed here. </w:t>
      </w:r>
    </w:p>
    <w:p w:rsidR="00B41CFA" w:rsidRPr="00B41CFA" w:rsidRDefault="00B41CFA" w:rsidP="00B41CFA">
      <w:pPr>
        <w:pStyle w:val="Body"/>
        <w:rPr>
          <w:sz w:val="24"/>
          <w:szCs w:val="24"/>
        </w:rPr>
      </w:pPr>
      <w:r w:rsidRPr="00B41CFA">
        <w:rPr>
          <w:sz w:val="24"/>
          <w:szCs w:val="24"/>
        </w:rPr>
        <w:t>Unlike the other locations modelled, the anchorage at the Port of Hay Point is predicted to require expansion by around 30 per cent by 2032 unless more efficient use is made of current anchorages. Expansion of the existing anchorage would result in environmental and socio-economic impacts. Therefore alternative anchorage management options to avoid expanding the anchorage area were considered through iterative modelling.</w:t>
      </w:r>
    </w:p>
    <w:p w:rsidR="00B41CFA" w:rsidRDefault="00B41CFA" w:rsidP="00B41CFA">
      <w:pPr>
        <w:pStyle w:val="Body"/>
        <w:rPr>
          <w:sz w:val="24"/>
          <w:szCs w:val="24"/>
        </w:rPr>
      </w:pPr>
      <w:r w:rsidRPr="00B41CFA">
        <w:rPr>
          <w:sz w:val="24"/>
          <w:szCs w:val="24"/>
        </w:rPr>
        <w:t xml:space="preserve">Use of a scheduled arrivals management strategy in conjunction with organised anchorages is predicted, for Hay Point, to provide the greatest net societal gain. However, this result should be set in the context of emerging concerns relating to some potential flow-on impacts of scheduled arrivals that would require further evaluation prior to implementation of a VAS. </w:t>
      </w:r>
    </w:p>
    <w:p w:rsidR="0008333A" w:rsidRPr="00B41CFA" w:rsidRDefault="0008333A" w:rsidP="00B41CFA">
      <w:pPr>
        <w:pStyle w:val="Body"/>
        <w:rPr>
          <w:sz w:val="24"/>
          <w:szCs w:val="24"/>
        </w:rPr>
      </w:pPr>
      <w:r w:rsidRPr="00166B45">
        <w:rPr>
          <w:sz w:val="24"/>
          <w:szCs w:val="24"/>
        </w:rPr>
        <w:t xml:space="preserve">A summary for each of the five ports is included in </w:t>
      </w:r>
      <w:r w:rsidRPr="00166B45">
        <w:rPr>
          <w:sz w:val="24"/>
          <w:szCs w:val="24"/>
        </w:rPr>
        <w:fldChar w:fldCharType="begin"/>
      </w:r>
      <w:r w:rsidRPr="00166B45">
        <w:rPr>
          <w:sz w:val="24"/>
          <w:szCs w:val="24"/>
        </w:rPr>
        <w:instrText xml:space="preserve"> REF _Ref340232460 \h  \* MERGEFORMAT </w:instrText>
      </w:r>
      <w:r w:rsidRPr="00166B45">
        <w:rPr>
          <w:sz w:val="24"/>
          <w:szCs w:val="24"/>
        </w:rPr>
      </w:r>
      <w:r w:rsidRPr="00166B45">
        <w:rPr>
          <w:sz w:val="24"/>
          <w:szCs w:val="24"/>
        </w:rPr>
        <w:fldChar w:fldCharType="separate"/>
      </w:r>
      <w:r w:rsidR="004442F4">
        <w:rPr>
          <w:sz w:val="24"/>
          <w:szCs w:val="24"/>
        </w:rPr>
        <w:t>t</w:t>
      </w:r>
      <w:r w:rsidRPr="00C54A3F">
        <w:rPr>
          <w:sz w:val="24"/>
          <w:szCs w:val="24"/>
        </w:rPr>
        <w:t>able E</w:t>
      </w:r>
      <w:r w:rsidRPr="00C54A3F">
        <w:rPr>
          <w:sz w:val="24"/>
          <w:szCs w:val="24"/>
        </w:rPr>
        <w:noBreakHyphen/>
      </w:r>
      <w:r>
        <w:rPr>
          <w:sz w:val="24"/>
          <w:szCs w:val="24"/>
        </w:rPr>
        <w:t>1</w:t>
      </w:r>
      <w:r w:rsidRPr="00166B45">
        <w:rPr>
          <w:sz w:val="24"/>
          <w:szCs w:val="24"/>
        </w:rPr>
        <w:fldChar w:fldCharType="end"/>
      </w:r>
      <w:r>
        <w:rPr>
          <w:sz w:val="24"/>
          <w:szCs w:val="24"/>
        </w:rPr>
        <w:t>.</w:t>
      </w:r>
    </w:p>
    <w:p w:rsidR="00B41CFA" w:rsidRPr="009108AD" w:rsidRDefault="00B41CFA" w:rsidP="00905CF3">
      <w:pPr>
        <w:pStyle w:val="Bullet"/>
        <w:numPr>
          <w:ilvl w:val="0"/>
          <w:numId w:val="0"/>
        </w:numPr>
        <w:ind w:left="360"/>
        <w:rPr>
          <w:sz w:val="24"/>
          <w:szCs w:val="24"/>
        </w:rPr>
      </w:pPr>
    </w:p>
    <w:p w:rsidR="00657C24" w:rsidRDefault="00657C24" w:rsidP="00905CF3">
      <w:pPr>
        <w:pStyle w:val="Bullet"/>
        <w:numPr>
          <w:ilvl w:val="0"/>
          <w:numId w:val="0"/>
        </w:numPr>
        <w:ind w:left="360"/>
        <w:sectPr w:rsidR="00657C24" w:rsidSect="009320D6">
          <w:footerReference w:type="default" r:id="rId13"/>
          <w:type w:val="oddPage"/>
          <w:pgSz w:w="11906" w:h="16838" w:code="9"/>
          <w:pgMar w:top="1418" w:right="1701" w:bottom="1701" w:left="1418" w:header="709" w:footer="709" w:gutter="0"/>
          <w:pgNumType w:fmt="lowerRoman"/>
          <w:cols w:space="720"/>
          <w:docGrid w:linePitch="273"/>
        </w:sectPr>
      </w:pPr>
    </w:p>
    <w:p w:rsidR="00657C24" w:rsidRPr="00477627" w:rsidRDefault="00477627" w:rsidP="00E26B66">
      <w:pPr>
        <w:pStyle w:val="Caption"/>
        <w:rPr>
          <w:b w:val="0"/>
          <w:sz w:val="24"/>
          <w:szCs w:val="24"/>
        </w:rPr>
      </w:pPr>
      <w:bookmarkStart w:id="4" w:name="_Ref340232460"/>
      <w:r w:rsidRPr="00C54A3F">
        <w:rPr>
          <w:sz w:val="24"/>
          <w:szCs w:val="24"/>
        </w:rPr>
        <w:lastRenderedPageBreak/>
        <w:t>Table E</w:t>
      </w:r>
      <w:r w:rsidRPr="00C54A3F">
        <w:rPr>
          <w:sz w:val="24"/>
          <w:szCs w:val="24"/>
        </w:rPr>
        <w:noBreakHyphen/>
      </w:r>
      <w:r w:rsidRPr="00C54A3F">
        <w:rPr>
          <w:sz w:val="24"/>
          <w:szCs w:val="24"/>
        </w:rPr>
        <w:fldChar w:fldCharType="begin"/>
      </w:r>
      <w:r w:rsidRPr="00C54A3F">
        <w:rPr>
          <w:sz w:val="24"/>
          <w:szCs w:val="24"/>
        </w:rPr>
        <w:instrText xml:space="preserve"> STYLEREF 1 \s </w:instrText>
      </w:r>
      <w:r w:rsidRPr="00C54A3F">
        <w:rPr>
          <w:sz w:val="24"/>
          <w:szCs w:val="24"/>
        </w:rPr>
        <w:fldChar w:fldCharType="separate"/>
      </w:r>
      <w:r>
        <w:rPr>
          <w:noProof/>
          <w:sz w:val="24"/>
          <w:szCs w:val="24"/>
        </w:rPr>
        <w:t>1</w:t>
      </w:r>
      <w:r w:rsidRPr="00C54A3F">
        <w:rPr>
          <w:noProof/>
          <w:sz w:val="24"/>
          <w:szCs w:val="24"/>
        </w:rPr>
        <w:fldChar w:fldCharType="end"/>
      </w:r>
      <w:bookmarkEnd w:id="4"/>
      <w:r w:rsidRPr="00C54A3F">
        <w:rPr>
          <w:sz w:val="24"/>
          <w:szCs w:val="24"/>
        </w:rPr>
        <w:t xml:space="preserve">: </w:t>
      </w:r>
      <w:r w:rsidR="00657C24" w:rsidRPr="00477627">
        <w:rPr>
          <w:b w:val="0"/>
          <w:sz w:val="24"/>
          <w:szCs w:val="24"/>
        </w:rPr>
        <w:t>Overview of anchorages for the Reef’s five main ports</w:t>
      </w:r>
      <w:r w:rsidR="009108AD" w:rsidRPr="00477627">
        <w:rPr>
          <w:b w:val="0"/>
          <w:sz w:val="24"/>
          <w:szCs w:val="24"/>
        </w:rPr>
        <w:t xml:space="preserve"> (* source: GHD 2013 as at year 2032.)</w:t>
      </w:r>
    </w:p>
    <w:tbl>
      <w:tblPr>
        <w:tblStyle w:val="TableGrid"/>
        <w:tblW w:w="5190" w:type="pct"/>
        <w:tblInd w:w="113" w:type="dxa"/>
        <w:tblLayout w:type="fixed"/>
        <w:tblLook w:val="04A0" w:firstRow="1" w:lastRow="0" w:firstColumn="1" w:lastColumn="0" w:noHBand="0" w:noVBand="1"/>
        <w:tblCaption w:val="Overview of current and future anchorage demand for the five major ports"/>
        <w:tblDescription w:val="A summary of the current and future anchorage demand, with separate columns for each port assessed and further split into current and future periods. Rows are the number or per cent of vessels, number of anchors and average waiting days."/>
      </w:tblPr>
      <w:tblGrid>
        <w:gridCol w:w="1680"/>
        <w:gridCol w:w="1246"/>
        <w:gridCol w:w="1369"/>
        <w:gridCol w:w="1176"/>
        <w:gridCol w:w="1303"/>
        <w:gridCol w:w="1176"/>
        <w:gridCol w:w="1303"/>
        <w:gridCol w:w="1303"/>
        <w:gridCol w:w="1303"/>
        <w:gridCol w:w="1303"/>
        <w:gridCol w:w="1303"/>
      </w:tblGrid>
      <w:tr w:rsidR="00657C24" w:rsidRPr="00B41CFA" w:rsidTr="00657C24">
        <w:trPr>
          <w:trHeight w:val="375"/>
          <w:tblHeader/>
        </w:trPr>
        <w:tc>
          <w:tcPr>
            <w:tcW w:w="1085" w:type="dxa"/>
            <w:vMerge w:val="restart"/>
            <w:tcBorders>
              <w:top w:val="single" w:sz="4" w:space="0" w:color="auto"/>
              <w:left w:val="nil"/>
              <w:bottom w:val="single" w:sz="4" w:space="0" w:color="auto"/>
              <w:right w:val="nil"/>
            </w:tcBorders>
            <w:shd w:val="clear" w:color="auto" w:fill="FFFFFF" w:themeFill="background1"/>
          </w:tcPr>
          <w:p w:rsidR="00657C24" w:rsidRPr="00B41CFA" w:rsidRDefault="00657C24" w:rsidP="00657C24">
            <w:pPr>
              <w:pStyle w:val="Body"/>
              <w:rPr>
                <w:b/>
                <w:sz w:val="24"/>
                <w:szCs w:val="24"/>
              </w:rPr>
            </w:pPr>
            <w:r w:rsidRPr="00B41CFA">
              <w:rPr>
                <w:b/>
                <w:sz w:val="24"/>
                <w:szCs w:val="24"/>
              </w:rPr>
              <w:t>Ports:</w:t>
            </w:r>
          </w:p>
        </w:tc>
        <w:tc>
          <w:tcPr>
            <w:tcW w:w="1688" w:type="dxa"/>
            <w:gridSpan w:val="2"/>
            <w:tcBorders>
              <w:top w:val="single" w:sz="4" w:space="0" w:color="auto"/>
              <w:left w:val="nil"/>
              <w:bottom w:val="single" w:sz="4" w:space="0" w:color="auto"/>
              <w:right w:val="nil"/>
            </w:tcBorders>
            <w:shd w:val="clear" w:color="auto" w:fill="FFFFFF" w:themeFill="background1"/>
          </w:tcPr>
          <w:p w:rsidR="00657C24" w:rsidRPr="00B41CFA" w:rsidRDefault="00657C24" w:rsidP="009108AD">
            <w:pPr>
              <w:pStyle w:val="Body"/>
              <w:jc w:val="center"/>
              <w:rPr>
                <w:b/>
                <w:sz w:val="24"/>
                <w:szCs w:val="24"/>
              </w:rPr>
            </w:pPr>
            <w:r w:rsidRPr="00B41CFA">
              <w:rPr>
                <w:b/>
                <w:sz w:val="24"/>
                <w:szCs w:val="24"/>
              </w:rPr>
              <w:t>Cairns</w:t>
            </w:r>
          </w:p>
        </w:tc>
        <w:tc>
          <w:tcPr>
            <w:tcW w:w="1602" w:type="dxa"/>
            <w:gridSpan w:val="2"/>
            <w:tcBorders>
              <w:top w:val="single" w:sz="4" w:space="0" w:color="auto"/>
              <w:left w:val="nil"/>
              <w:bottom w:val="single" w:sz="4" w:space="0" w:color="auto"/>
              <w:right w:val="nil"/>
            </w:tcBorders>
            <w:shd w:val="clear" w:color="auto" w:fill="FFFFFF" w:themeFill="background1"/>
          </w:tcPr>
          <w:p w:rsidR="00657C24" w:rsidRPr="00B41CFA" w:rsidRDefault="00657C24" w:rsidP="009108AD">
            <w:pPr>
              <w:pStyle w:val="Body"/>
              <w:jc w:val="center"/>
              <w:rPr>
                <w:b/>
                <w:sz w:val="24"/>
                <w:szCs w:val="24"/>
              </w:rPr>
            </w:pPr>
            <w:r w:rsidRPr="00B41CFA">
              <w:rPr>
                <w:b/>
                <w:sz w:val="24"/>
                <w:szCs w:val="24"/>
              </w:rPr>
              <w:t>Townsville</w:t>
            </w:r>
          </w:p>
        </w:tc>
        <w:tc>
          <w:tcPr>
            <w:tcW w:w="1602" w:type="dxa"/>
            <w:gridSpan w:val="2"/>
            <w:tcBorders>
              <w:top w:val="single" w:sz="4" w:space="0" w:color="auto"/>
              <w:left w:val="nil"/>
              <w:bottom w:val="single" w:sz="4" w:space="0" w:color="auto"/>
              <w:right w:val="nil"/>
            </w:tcBorders>
            <w:shd w:val="clear" w:color="auto" w:fill="FFFFFF" w:themeFill="background1"/>
          </w:tcPr>
          <w:p w:rsidR="00657C24" w:rsidRPr="00B41CFA" w:rsidRDefault="00657C24" w:rsidP="009108AD">
            <w:pPr>
              <w:pStyle w:val="Body"/>
              <w:jc w:val="center"/>
              <w:rPr>
                <w:b/>
                <w:sz w:val="24"/>
                <w:szCs w:val="24"/>
              </w:rPr>
            </w:pPr>
            <w:r w:rsidRPr="00B41CFA">
              <w:rPr>
                <w:b/>
                <w:sz w:val="24"/>
                <w:szCs w:val="24"/>
              </w:rPr>
              <w:t>Abbot Point</w:t>
            </w:r>
          </w:p>
        </w:tc>
        <w:tc>
          <w:tcPr>
            <w:tcW w:w="1684" w:type="dxa"/>
            <w:gridSpan w:val="2"/>
            <w:tcBorders>
              <w:top w:val="single" w:sz="4" w:space="0" w:color="auto"/>
              <w:left w:val="nil"/>
              <w:bottom w:val="single" w:sz="4" w:space="0" w:color="auto"/>
              <w:right w:val="nil"/>
            </w:tcBorders>
            <w:shd w:val="clear" w:color="auto" w:fill="FFFFFF" w:themeFill="background1"/>
          </w:tcPr>
          <w:p w:rsidR="00657C24" w:rsidRPr="00B41CFA" w:rsidRDefault="00657C24" w:rsidP="009108AD">
            <w:pPr>
              <w:pStyle w:val="Body"/>
              <w:jc w:val="center"/>
              <w:rPr>
                <w:b/>
                <w:sz w:val="24"/>
                <w:szCs w:val="24"/>
              </w:rPr>
            </w:pPr>
            <w:r w:rsidRPr="00B41CFA">
              <w:rPr>
                <w:b/>
                <w:sz w:val="24"/>
                <w:szCs w:val="24"/>
              </w:rPr>
              <w:t>Hay Point</w:t>
            </w:r>
          </w:p>
        </w:tc>
        <w:tc>
          <w:tcPr>
            <w:tcW w:w="1684" w:type="dxa"/>
            <w:gridSpan w:val="2"/>
            <w:tcBorders>
              <w:top w:val="single" w:sz="4" w:space="0" w:color="auto"/>
              <w:left w:val="nil"/>
              <w:bottom w:val="single" w:sz="4" w:space="0" w:color="auto"/>
              <w:right w:val="nil"/>
            </w:tcBorders>
            <w:shd w:val="clear" w:color="auto" w:fill="FFFFFF" w:themeFill="background1"/>
          </w:tcPr>
          <w:p w:rsidR="00657C24" w:rsidRPr="00B41CFA" w:rsidRDefault="00657C24" w:rsidP="009108AD">
            <w:pPr>
              <w:pStyle w:val="Body"/>
              <w:jc w:val="center"/>
              <w:rPr>
                <w:b/>
                <w:sz w:val="24"/>
                <w:szCs w:val="24"/>
              </w:rPr>
            </w:pPr>
            <w:r w:rsidRPr="00B41CFA">
              <w:rPr>
                <w:b/>
                <w:sz w:val="24"/>
                <w:szCs w:val="24"/>
              </w:rPr>
              <w:t>Gladstone</w:t>
            </w:r>
          </w:p>
        </w:tc>
      </w:tr>
      <w:tr w:rsidR="00657C24" w:rsidRPr="00B41CFA" w:rsidTr="009108AD">
        <w:trPr>
          <w:trHeight w:val="420"/>
          <w:tblHeader/>
        </w:trPr>
        <w:tc>
          <w:tcPr>
            <w:tcW w:w="1085" w:type="dxa"/>
            <w:vMerge/>
            <w:tcBorders>
              <w:top w:val="single" w:sz="4" w:space="0" w:color="auto"/>
              <w:left w:val="nil"/>
              <w:bottom w:val="single" w:sz="4" w:space="0" w:color="auto"/>
              <w:right w:val="nil"/>
            </w:tcBorders>
            <w:shd w:val="clear" w:color="auto" w:fill="FFFFFF" w:themeFill="background1"/>
          </w:tcPr>
          <w:p w:rsidR="00657C24" w:rsidRPr="00B41CFA" w:rsidRDefault="00657C24" w:rsidP="00657C24">
            <w:pPr>
              <w:pStyle w:val="Body"/>
              <w:rPr>
                <w:sz w:val="24"/>
                <w:szCs w:val="24"/>
              </w:rPr>
            </w:pPr>
          </w:p>
        </w:tc>
        <w:tc>
          <w:tcPr>
            <w:tcW w:w="804" w:type="dxa"/>
            <w:tcBorders>
              <w:top w:val="single" w:sz="4" w:space="0" w:color="auto"/>
              <w:left w:val="nil"/>
              <w:bottom w:val="single" w:sz="4" w:space="0" w:color="auto"/>
              <w:right w:val="nil"/>
            </w:tcBorders>
            <w:shd w:val="clear" w:color="auto" w:fill="FFFFFF" w:themeFill="background1"/>
          </w:tcPr>
          <w:p w:rsidR="00657C24" w:rsidRPr="00B41CFA" w:rsidRDefault="00657C24" w:rsidP="00657C24">
            <w:pPr>
              <w:pStyle w:val="Body"/>
              <w:rPr>
                <w:b/>
                <w:sz w:val="24"/>
                <w:szCs w:val="24"/>
              </w:rPr>
            </w:pPr>
            <w:r w:rsidRPr="00B41CFA">
              <w:rPr>
                <w:b/>
                <w:sz w:val="24"/>
                <w:szCs w:val="24"/>
              </w:rPr>
              <w:t>Current</w:t>
            </w:r>
          </w:p>
        </w:tc>
        <w:tc>
          <w:tcPr>
            <w:tcW w:w="884" w:type="dxa"/>
            <w:tcBorders>
              <w:top w:val="single" w:sz="4" w:space="0" w:color="auto"/>
              <w:left w:val="nil"/>
              <w:bottom w:val="single" w:sz="4" w:space="0" w:color="auto"/>
              <w:right w:val="nil"/>
            </w:tcBorders>
            <w:shd w:val="clear" w:color="auto" w:fill="FFFFFF" w:themeFill="background1"/>
          </w:tcPr>
          <w:p w:rsidR="00657C24" w:rsidRPr="00B41CFA" w:rsidRDefault="00657C24" w:rsidP="00657C24">
            <w:pPr>
              <w:pStyle w:val="Body"/>
              <w:rPr>
                <w:b/>
                <w:sz w:val="24"/>
                <w:szCs w:val="24"/>
              </w:rPr>
            </w:pPr>
            <w:r w:rsidRPr="00B41CFA">
              <w:rPr>
                <w:b/>
                <w:sz w:val="24"/>
                <w:szCs w:val="24"/>
              </w:rPr>
              <w:t>Future*</w:t>
            </w:r>
          </w:p>
        </w:tc>
        <w:tc>
          <w:tcPr>
            <w:tcW w:w="760" w:type="dxa"/>
            <w:tcBorders>
              <w:top w:val="single" w:sz="4" w:space="0" w:color="auto"/>
              <w:left w:val="nil"/>
              <w:bottom w:val="single" w:sz="4" w:space="0" w:color="auto"/>
              <w:right w:val="nil"/>
            </w:tcBorders>
            <w:shd w:val="clear" w:color="auto" w:fill="FFFFFF" w:themeFill="background1"/>
          </w:tcPr>
          <w:p w:rsidR="00657C24" w:rsidRPr="00B41CFA" w:rsidRDefault="00657C24" w:rsidP="00657C24">
            <w:pPr>
              <w:pStyle w:val="Body"/>
              <w:rPr>
                <w:b/>
                <w:sz w:val="24"/>
                <w:szCs w:val="24"/>
              </w:rPr>
            </w:pPr>
            <w:r w:rsidRPr="00B41CFA">
              <w:rPr>
                <w:b/>
                <w:sz w:val="24"/>
                <w:szCs w:val="24"/>
              </w:rPr>
              <w:t>Current</w:t>
            </w:r>
          </w:p>
        </w:tc>
        <w:tc>
          <w:tcPr>
            <w:tcW w:w="842" w:type="dxa"/>
            <w:tcBorders>
              <w:top w:val="single" w:sz="4" w:space="0" w:color="auto"/>
              <w:left w:val="nil"/>
              <w:bottom w:val="single" w:sz="4" w:space="0" w:color="auto"/>
              <w:right w:val="nil"/>
            </w:tcBorders>
            <w:shd w:val="clear" w:color="auto" w:fill="FFFFFF" w:themeFill="background1"/>
          </w:tcPr>
          <w:p w:rsidR="00657C24" w:rsidRPr="00B41CFA" w:rsidRDefault="00657C24" w:rsidP="00657C24">
            <w:pPr>
              <w:pStyle w:val="Body"/>
              <w:rPr>
                <w:b/>
                <w:sz w:val="24"/>
                <w:szCs w:val="24"/>
              </w:rPr>
            </w:pPr>
            <w:r w:rsidRPr="00B41CFA">
              <w:rPr>
                <w:b/>
                <w:sz w:val="24"/>
                <w:szCs w:val="24"/>
              </w:rPr>
              <w:t>Future*</w:t>
            </w:r>
          </w:p>
        </w:tc>
        <w:tc>
          <w:tcPr>
            <w:tcW w:w="760" w:type="dxa"/>
            <w:tcBorders>
              <w:top w:val="single" w:sz="4" w:space="0" w:color="auto"/>
              <w:left w:val="nil"/>
              <w:bottom w:val="single" w:sz="4" w:space="0" w:color="auto"/>
              <w:right w:val="nil"/>
            </w:tcBorders>
            <w:shd w:val="clear" w:color="auto" w:fill="FFFFFF" w:themeFill="background1"/>
          </w:tcPr>
          <w:p w:rsidR="00657C24" w:rsidRPr="00B41CFA" w:rsidRDefault="00657C24" w:rsidP="00657C24">
            <w:pPr>
              <w:pStyle w:val="Body"/>
              <w:rPr>
                <w:b/>
                <w:sz w:val="24"/>
                <w:szCs w:val="24"/>
              </w:rPr>
            </w:pPr>
            <w:r w:rsidRPr="00B41CFA">
              <w:rPr>
                <w:b/>
                <w:sz w:val="24"/>
                <w:szCs w:val="24"/>
              </w:rPr>
              <w:t>Current</w:t>
            </w:r>
          </w:p>
        </w:tc>
        <w:tc>
          <w:tcPr>
            <w:tcW w:w="842" w:type="dxa"/>
            <w:tcBorders>
              <w:top w:val="single" w:sz="4" w:space="0" w:color="auto"/>
              <w:left w:val="nil"/>
              <w:bottom w:val="single" w:sz="4" w:space="0" w:color="auto"/>
              <w:right w:val="nil"/>
            </w:tcBorders>
            <w:shd w:val="clear" w:color="auto" w:fill="FFFFFF" w:themeFill="background1"/>
          </w:tcPr>
          <w:p w:rsidR="00657C24" w:rsidRPr="00B41CFA" w:rsidRDefault="00657C24" w:rsidP="00657C24">
            <w:pPr>
              <w:pStyle w:val="Body"/>
              <w:rPr>
                <w:b/>
                <w:sz w:val="24"/>
                <w:szCs w:val="24"/>
              </w:rPr>
            </w:pPr>
            <w:r w:rsidRPr="00B41CFA">
              <w:rPr>
                <w:b/>
                <w:sz w:val="24"/>
                <w:szCs w:val="24"/>
              </w:rPr>
              <w:t>Future*</w:t>
            </w:r>
          </w:p>
        </w:tc>
        <w:tc>
          <w:tcPr>
            <w:tcW w:w="842" w:type="dxa"/>
            <w:tcBorders>
              <w:top w:val="single" w:sz="4" w:space="0" w:color="auto"/>
              <w:left w:val="nil"/>
              <w:bottom w:val="single" w:sz="4" w:space="0" w:color="auto"/>
              <w:right w:val="nil"/>
            </w:tcBorders>
            <w:shd w:val="clear" w:color="auto" w:fill="FFFFFF" w:themeFill="background1"/>
          </w:tcPr>
          <w:p w:rsidR="00657C24" w:rsidRPr="00B41CFA" w:rsidRDefault="00657C24" w:rsidP="00657C24">
            <w:pPr>
              <w:pStyle w:val="Body"/>
              <w:rPr>
                <w:b/>
                <w:sz w:val="24"/>
                <w:szCs w:val="24"/>
              </w:rPr>
            </w:pPr>
            <w:r w:rsidRPr="00B41CFA">
              <w:rPr>
                <w:b/>
                <w:sz w:val="24"/>
                <w:szCs w:val="24"/>
              </w:rPr>
              <w:t>Current</w:t>
            </w:r>
          </w:p>
        </w:tc>
        <w:tc>
          <w:tcPr>
            <w:tcW w:w="842" w:type="dxa"/>
            <w:tcBorders>
              <w:top w:val="single" w:sz="4" w:space="0" w:color="auto"/>
              <w:left w:val="nil"/>
              <w:bottom w:val="single" w:sz="4" w:space="0" w:color="auto"/>
              <w:right w:val="nil"/>
            </w:tcBorders>
            <w:shd w:val="clear" w:color="auto" w:fill="FFFFFF" w:themeFill="background1"/>
          </w:tcPr>
          <w:p w:rsidR="00657C24" w:rsidRPr="00B41CFA" w:rsidRDefault="00657C24" w:rsidP="00657C24">
            <w:pPr>
              <w:pStyle w:val="Body"/>
              <w:rPr>
                <w:b/>
                <w:sz w:val="24"/>
                <w:szCs w:val="24"/>
              </w:rPr>
            </w:pPr>
            <w:r w:rsidRPr="00B41CFA">
              <w:rPr>
                <w:b/>
                <w:sz w:val="24"/>
                <w:szCs w:val="24"/>
              </w:rPr>
              <w:t>Future*</w:t>
            </w:r>
          </w:p>
        </w:tc>
        <w:tc>
          <w:tcPr>
            <w:tcW w:w="842" w:type="dxa"/>
            <w:tcBorders>
              <w:top w:val="single" w:sz="4" w:space="0" w:color="auto"/>
              <w:left w:val="nil"/>
              <w:bottom w:val="single" w:sz="4" w:space="0" w:color="auto"/>
              <w:right w:val="nil"/>
            </w:tcBorders>
            <w:shd w:val="clear" w:color="auto" w:fill="FFFFFF" w:themeFill="background1"/>
          </w:tcPr>
          <w:p w:rsidR="00657C24" w:rsidRPr="00B41CFA" w:rsidRDefault="00657C24" w:rsidP="00657C24">
            <w:pPr>
              <w:pStyle w:val="Body"/>
              <w:rPr>
                <w:b/>
                <w:sz w:val="24"/>
                <w:szCs w:val="24"/>
              </w:rPr>
            </w:pPr>
            <w:r w:rsidRPr="00B41CFA">
              <w:rPr>
                <w:b/>
                <w:sz w:val="24"/>
                <w:szCs w:val="24"/>
              </w:rPr>
              <w:t>Current</w:t>
            </w:r>
          </w:p>
        </w:tc>
        <w:tc>
          <w:tcPr>
            <w:tcW w:w="842" w:type="dxa"/>
            <w:tcBorders>
              <w:top w:val="single" w:sz="4" w:space="0" w:color="auto"/>
              <w:left w:val="nil"/>
              <w:bottom w:val="single" w:sz="4" w:space="0" w:color="auto"/>
              <w:right w:val="nil"/>
            </w:tcBorders>
            <w:shd w:val="clear" w:color="auto" w:fill="FFFFFF" w:themeFill="background1"/>
          </w:tcPr>
          <w:p w:rsidR="00657C24" w:rsidRPr="00B41CFA" w:rsidRDefault="00657C24" w:rsidP="00657C24">
            <w:pPr>
              <w:pStyle w:val="Body"/>
              <w:rPr>
                <w:b/>
                <w:sz w:val="24"/>
                <w:szCs w:val="24"/>
              </w:rPr>
            </w:pPr>
            <w:r w:rsidRPr="00B41CFA">
              <w:rPr>
                <w:b/>
                <w:sz w:val="24"/>
                <w:szCs w:val="24"/>
              </w:rPr>
              <w:t>Future*</w:t>
            </w:r>
          </w:p>
        </w:tc>
      </w:tr>
      <w:tr w:rsidR="00657C24" w:rsidRPr="00B41CFA" w:rsidTr="009108AD">
        <w:tc>
          <w:tcPr>
            <w:tcW w:w="1085" w:type="dxa"/>
            <w:tcBorders>
              <w:top w:val="single" w:sz="4" w:space="0" w:color="auto"/>
              <w:left w:val="nil"/>
              <w:bottom w:val="single" w:sz="4" w:space="0" w:color="auto"/>
              <w:right w:val="nil"/>
            </w:tcBorders>
            <w:shd w:val="clear" w:color="auto" w:fill="auto"/>
          </w:tcPr>
          <w:p w:rsidR="00657C24" w:rsidRPr="00B41CFA" w:rsidRDefault="00657C24" w:rsidP="00657C24">
            <w:pPr>
              <w:pStyle w:val="Body"/>
              <w:rPr>
                <w:sz w:val="24"/>
                <w:szCs w:val="24"/>
              </w:rPr>
            </w:pPr>
            <w:r w:rsidRPr="00B41CFA">
              <w:rPr>
                <w:sz w:val="24"/>
                <w:szCs w:val="24"/>
              </w:rPr>
              <w:t>Ship calls per year</w:t>
            </w:r>
          </w:p>
        </w:tc>
        <w:tc>
          <w:tcPr>
            <w:tcW w:w="804" w:type="dxa"/>
            <w:tcBorders>
              <w:top w:val="single" w:sz="4" w:space="0" w:color="auto"/>
              <w:left w:val="nil"/>
              <w:bottom w:val="single" w:sz="4" w:space="0" w:color="auto"/>
              <w:right w:val="nil"/>
            </w:tcBorders>
            <w:shd w:val="clear" w:color="auto" w:fill="auto"/>
          </w:tcPr>
          <w:p w:rsidR="00657C24" w:rsidRPr="00B41CFA" w:rsidRDefault="00657C24" w:rsidP="00657C24">
            <w:pPr>
              <w:pStyle w:val="Body"/>
              <w:rPr>
                <w:sz w:val="24"/>
                <w:szCs w:val="24"/>
              </w:rPr>
            </w:pPr>
            <w:r w:rsidRPr="00B41CFA">
              <w:rPr>
                <w:sz w:val="24"/>
                <w:szCs w:val="24"/>
              </w:rPr>
              <w:t>476</w:t>
            </w:r>
          </w:p>
        </w:tc>
        <w:tc>
          <w:tcPr>
            <w:tcW w:w="884" w:type="dxa"/>
            <w:tcBorders>
              <w:top w:val="single" w:sz="4" w:space="0" w:color="auto"/>
              <w:left w:val="nil"/>
              <w:bottom w:val="single" w:sz="4" w:space="0" w:color="auto"/>
              <w:right w:val="nil"/>
            </w:tcBorders>
            <w:shd w:val="clear" w:color="auto" w:fill="auto"/>
          </w:tcPr>
          <w:p w:rsidR="00657C24" w:rsidRPr="00B41CFA" w:rsidRDefault="00657C24" w:rsidP="00657C24">
            <w:pPr>
              <w:pStyle w:val="Body"/>
              <w:rPr>
                <w:sz w:val="24"/>
                <w:szCs w:val="24"/>
              </w:rPr>
            </w:pPr>
            <w:r w:rsidRPr="00B41CFA">
              <w:rPr>
                <w:sz w:val="24"/>
                <w:szCs w:val="24"/>
              </w:rPr>
              <w:t>501</w:t>
            </w:r>
          </w:p>
        </w:tc>
        <w:tc>
          <w:tcPr>
            <w:tcW w:w="760" w:type="dxa"/>
            <w:tcBorders>
              <w:top w:val="single" w:sz="4" w:space="0" w:color="auto"/>
              <w:left w:val="nil"/>
              <w:bottom w:val="single" w:sz="4" w:space="0" w:color="auto"/>
              <w:right w:val="nil"/>
            </w:tcBorders>
            <w:shd w:val="clear" w:color="auto" w:fill="auto"/>
          </w:tcPr>
          <w:p w:rsidR="00657C24" w:rsidRPr="00B41CFA" w:rsidRDefault="00657C24" w:rsidP="00657C24">
            <w:pPr>
              <w:pStyle w:val="Body"/>
              <w:rPr>
                <w:sz w:val="24"/>
                <w:szCs w:val="24"/>
              </w:rPr>
            </w:pPr>
            <w:r w:rsidRPr="00B41CFA">
              <w:rPr>
                <w:sz w:val="24"/>
                <w:szCs w:val="24"/>
              </w:rPr>
              <w:t>726</w:t>
            </w:r>
          </w:p>
        </w:tc>
        <w:tc>
          <w:tcPr>
            <w:tcW w:w="842" w:type="dxa"/>
            <w:tcBorders>
              <w:top w:val="single" w:sz="4" w:space="0" w:color="auto"/>
              <w:left w:val="nil"/>
              <w:bottom w:val="single" w:sz="4" w:space="0" w:color="auto"/>
              <w:right w:val="nil"/>
            </w:tcBorders>
            <w:shd w:val="clear" w:color="auto" w:fill="auto"/>
          </w:tcPr>
          <w:p w:rsidR="00657C24" w:rsidRPr="00B41CFA" w:rsidRDefault="00657C24" w:rsidP="00657C24">
            <w:pPr>
              <w:pStyle w:val="Body"/>
              <w:rPr>
                <w:sz w:val="24"/>
                <w:szCs w:val="24"/>
              </w:rPr>
            </w:pPr>
            <w:r w:rsidRPr="00B41CFA">
              <w:rPr>
                <w:sz w:val="24"/>
                <w:szCs w:val="24"/>
              </w:rPr>
              <w:t>1161</w:t>
            </w:r>
          </w:p>
        </w:tc>
        <w:tc>
          <w:tcPr>
            <w:tcW w:w="760" w:type="dxa"/>
            <w:tcBorders>
              <w:top w:val="single" w:sz="4" w:space="0" w:color="auto"/>
              <w:left w:val="nil"/>
              <w:bottom w:val="single" w:sz="4" w:space="0" w:color="auto"/>
              <w:right w:val="nil"/>
            </w:tcBorders>
          </w:tcPr>
          <w:p w:rsidR="00657C24" w:rsidRPr="00B41CFA" w:rsidRDefault="00657C24" w:rsidP="00657C24">
            <w:pPr>
              <w:pStyle w:val="Body"/>
              <w:rPr>
                <w:sz w:val="24"/>
                <w:szCs w:val="24"/>
              </w:rPr>
            </w:pPr>
            <w:r w:rsidRPr="00B41CFA">
              <w:rPr>
                <w:sz w:val="24"/>
                <w:szCs w:val="24"/>
              </w:rPr>
              <w:t>179</w:t>
            </w:r>
          </w:p>
        </w:tc>
        <w:tc>
          <w:tcPr>
            <w:tcW w:w="842" w:type="dxa"/>
            <w:tcBorders>
              <w:top w:val="single" w:sz="4" w:space="0" w:color="auto"/>
              <w:left w:val="nil"/>
              <w:bottom w:val="single" w:sz="4" w:space="0" w:color="auto"/>
              <w:right w:val="nil"/>
            </w:tcBorders>
          </w:tcPr>
          <w:p w:rsidR="00657C24" w:rsidRPr="00B41CFA" w:rsidRDefault="00657C24" w:rsidP="00657C24">
            <w:pPr>
              <w:pStyle w:val="Body"/>
              <w:rPr>
                <w:sz w:val="24"/>
                <w:szCs w:val="24"/>
              </w:rPr>
            </w:pPr>
            <w:r w:rsidRPr="00B41CFA">
              <w:rPr>
                <w:sz w:val="24"/>
                <w:szCs w:val="24"/>
              </w:rPr>
              <w:t>1640</w:t>
            </w:r>
          </w:p>
        </w:tc>
        <w:tc>
          <w:tcPr>
            <w:tcW w:w="842" w:type="dxa"/>
            <w:tcBorders>
              <w:top w:val="single" w:sz="4" w:space="0" w:color="auto"/>
              <w:left w:val="nil"/>
              <w:bottom w:val="single" w:sz="4" w:space="0" w:color="auto"/>
              <w:right w:val="nil"/>
            </w:tcBorders>
          </w:tcPr>
          <w:p w:rsidR="00657C24" w:rsidRPr="00B41CFA" w:rsidRDefault="00657C24" w:rsidP="00657C24">
            <w:pPr>
              <w:pStyle w:val="Body"/>
              <w:rPr>
                <w:sz w:val="24"/>
                <w:szCs w:val="24"/>
              </w:rPr>
            </w:pPr>
            <w:r w:rsidRPr="00B41CFA">
              <w:rPr>
                <w:sz w:val="24"/>
                <w:szCs w:val="24"/>
              </w:rPr>
              <w:t>796</w:t>
            </w:r>
          </w:p>
        </w:tc>
        <w:tc>
          <w:tcPr>
            <w:tcW w:w="842" w:type="dxa"/>
            <w:tcBorders>
              <w:top w:val="single" w:sz="4" w:space="0" w:color="auto"/>
              <w:left w:val="nil"/>
              <w:bottom w:val="single" w:sz="4" w:space="0" w:color="auto"/>
              <w:right w:val="nil"/>
            </w:tcBorders>
          </w:tcPr>
          <w:p w:rsidR="00657C24" w:rsidRPr="00B41CFA" w:rsidRDefault="00657C24" w:rsidP="00657C24">
            <w:pPr>
              <w:pStyle w:val="Body"/>
              <w:rPr>
                <w:sz w:val="24"/>
                <w:szCs w:val="24"/>
              </w:rPr>
            </w:pPr>
            <w:r w:rsidRPr="00B41CFA">
              <w:rPr>
                <w:sz w:val="24"/>
                <w:szCs w:val="24"/>
              </w:rPr>
              <w:t>2380</w:t>
            </w:r>
          </w:p>
        </w:tc>
        <w:tc>
          <w:tcPr>
            <w:tcW w:w="842" w:type="dxa"/>
            <w:tcBorders>
              <w:top w:val="single" w:sz="4" w:space="0" w:color="auto"/>
              <w:left w:val="nil"/>
              <w:bottom w:val="single" w:sz="4" w:space="0" w:color="auto"/>
              <w:right w:val="nil"/>
            </w:tcBorders>
          </w:tcPr>
          <w:p w:rsidR="00657C24" w:rsidRPr="00B41CFA" w:rsidRDefault="00657C24" w:rsidP="00657C24">
            <w:pPr>
              <w:pStyle w:val="Body"/>
              <w:rPr>
                <w:sz w:val="24"/>
                <w:szCs w:val="24"/>
              </w:rPr>
            </w:pPr>
            <w:r w:rsidRPr="00B41CFA">
              <w:rPr>
                <w:sz w:val="24"/>
                <w:szCs w:val="24"/>
              </w:rPr>
              <w:t>1510</w:t>
            </w:r>
          </w:p>
        </w:tc>
        <w:tc>
          <w:tcPr>
            <w:tcW w:w="842" w:type="dxa"/>
            <w:tcBorders>
              <w:top w:val="single" w:sz="4" w:space="0" w:color="auto"/>
              <w:left w:val="nil"/>
              <w:bottom w:val="single" w:sz="4" w:space="0" w:color="auto"/>
              <w:right w:val="nil"/>
            </w:tcBorders>
          </w:tcPr>
          <w:p w:rsidR="00657C24" w:rsidRPr="00B41CFA" w:rsidRDefault="00657C24" w:rsidP="00657C24">
            <w:pPr>
              <w:pStyle w:val="Body"/>
              <w:rPr>
                <w:sz w:val="24"/>
                <w:szCs w:val="24"/>
              </w:rPr>
            </w:pPr>
            <w:r w:rsidRPr="00B41CFA">
              <w:rPr>
                <w:sz w:val="24"/>
                <w:szCs w:val="24"/>
              </w:rPr>
              <w:t>3029</w:t>
            </w:r>
          </w:p>
        </w:tc>
      </w:tr>
      <w:tr w:rsidR="00657C24" w:rsidRPr="00B41CFA" w:rsidTr="00657C24">
        <w:tc>
          <w:tcPr>
            <w:tcW w:w="1085" w:type="dxa"/>
            <w:tcBorders>
              <w:top w:val="single" w:sz="4" w:space="0" w:color="auto"/>
              <w:left w:val="nil"/>
              <w:bottom w:val="single" w:sz="4" w:space="0" w:color="auto"/>
              <w:right w:val="nil"/>
            </w:tcBorders>
            <w:shd w:val="clear" w:color="auto" w:fill="auto"/>
          </w:tcPr>
          <w:p w:rsidR="00657C24" w:rsidRPr="00B41CFA" w:rsidRDefault="00657C24" w:rsidP="00657C24">
            <w:pPr>
              <w:pStyle w:val="Body"/>
              <w:rPr>
                <w:sz w:val="24"/>
                <w:szCs w:val="24"/>
              </w:rPr>
            </w:pPr>
            <w:r w:rsidRPr="00B41CFA">
              <w:rPr>
                <w:sz w:val="24"/>
                <w:szCs w:val="24"/>
              </w:rPr>
              <w:t>Average per cent direct to berth</w:t>
            </w:r>
          </w:p>
        </w:tc>
        <w:tc>
          <w:tcPr>
            <w:tcW w:w="804" w:type="dxa"/>
            <w:tcBorders>
              <w:top w:val="single" w:sz="4" w:space="0" w:color="auto"/>
              <w:left w:val="nil"/>
              <w:bottom w:val="single" w:sz="4" w:space="0" w:color="auto"/>
              <w:right w:val="nil"/>
            </w:tcBorders>
            <w:shd w:val="clear" w:color="auto" w:fill="auto"/>
          </w:tcPr>
          <w:p w:rsidR="00657C24" w:rsidRPr="00B41CFA" w:rsidRDefault="006E0266" w:rsidP="00657C24">
            <w:pPr>
              <w:pStyle w:val="Body"/>
              <w:rPr>
                <w:sz w:val="24"/>
                <w:szCs w:val="24"/>
              </w:rPr>
            </w:pPr>
            <w:r>
              <w:rPr>
                <w:sz w:val="24"/>
                <w:szCs w:val="24"/>
              </w:rPr>
              <w:t>85</w:t>
            </w:r>
            <w:r w:rsidR="00657C24" w:rsidRPr="00B41CFA">
              <w:rPr>
                <w:sz w:val="24"/>
                <w:szCs w:val="24"/>
              </w:rPr>
              <w:t>%</w:t>
            </w:r>
          </w:p>
        </w:tc>
        <w:tc>
          <w:tcPr>
            <w:tcW w:w="884" w:type="dxa"/>
            <w:tcBorders>
              <w:top w:val="single" w:sz="4" w:space="0" w:color="auto"/>
              <w:left w:val="nil"/>
              <w:bottom w:val="single" w:sz="4" w:space="0" w:color="auto"/>
              <w:right w:val="nil"/>
            </w:tcBorders>
            <w:shd w:val="clear" w:color="auto" w:fill="auto"/>
          </w:tcPr>
          <w:p w:rsidR="00657C24" w:rsidRPr="00B41CFA" w:rsidRDefault="006E0266" w:rsidP="00657C24">
            <w:pPr>
              <w:pStyle w:val="Body"/>
              <w:rPr>
                <w:sz w:val="24"/>
                <w:szCs w:val="24"/>
              </w:rPr>
            </w:pPr>
            <w:r>
              <w:rPr>
                <w:sz w:val="24"/>
                <w:szCs w:val="24"/>
              </w:rPr>
              <w:t>&gt;85</w:t>
            </w:r>
            <w:r w:rsidR="00657C24" w:rsidRPr="00B41CFA">
              <w:rPr>
                <w:sz w:val="24"/>
                <w:szCs w:val="24"/>
              </w:rPr>
              <w:t>%</w:t>
            </w:r>
          </w:p>
        </w:tc>
        <w:tc>
          <w:tcPr>
            <w:tcW w:w="760" w:type="dxa"/>
            <w:tcBorders>
              <w:top w:val="single" w:sz="4" w:space="0" w:color="auto"/>
              <w:left w:val="nil"/>
              <w:bottom w:val="single" w:sz="4" w:space="0" w:color="auto"/>
              <w:right w:val="nil"/>
            </w:tcBorders>
            <w:shd w:val="clear" w:color="auto" w:fill="auto"/>
          </w:tcPr>
          <w:p w:rsidR="00657C24" w:rsidRPr="00B41CFA" w:rsidRDefault="006E0266" w:rsidP="00657C24">
            <w:pPr>
              <w:pStyle w:val="Body"/>
              <w:rPr>
                <w:sz w:val="24"/>
                <w:szCs w:val="24"/>
              </w:rPr>
            </w:pPr>
            <w:r>
              <w:rPr>
                <w:sz w:val="24"/>
                <w:szCs w:val="24"/>
              </w:rPr>
              <w:t>44</w:t>
            </w:r>
            <w:r w:rsidR="00657C24" w:rsidRPr="00B41CFA">
              <w:rPr>
                <w:sz w:val="24"/>
                <w:szCs w:val="24"/>
              </w:rPr>
              <w:t>%</w:t>
            </w:r>
          </w:p>
        </w:tc>
        <w:tc>
          <w:tcPr>
            <w:tcW w:w="842" w:type="dxa"/>
            <w:tcBorders>
              <w:top w:val="single" w:sz="4" w:space="0" w:color="auto"/>
              <w:left w:val="nil"/>
              <w:bottom w:val="single" w:sz="4" w:space="0" w:color="auto"/>
              <w:right w:val="nil"/>
            </w:tcBorders>
            <w:shd w:val="clear" w:color="auto" w:fill="auto"/>
          </w:tcPr>
          <w:p w:rsidR="00657C24" w:rsidRPr="00B41CFA" w:rsidRDefault="00657C24" w:rsidP="00657C24">
            <w:pPr>
              <w:pStyle w:val="Body"/>
              <w:rPr>
                <w:sz w:val="24"/>
                <w:szCs w:val="24"/>
              </w:rPr>
            </w:pPr>
            <w:r w:rsidRPr="00B41CFA">
              <w:rPr>
                <w:sz w:val="24"/>
                <w:szCs w:val="24"/>
              </w:rPr>
              <w:t>Uncertain</w:t>
            </w:r>
          </w:p>
        </w:tc>
        <w:tc>
          <w:tcPr>
            <w:tcW w:w="760" w:type="dxa"/>
            <w:tcBorders>
              <w:top w:val="single" w:sz="4" w:space="0" w:color="auto"/>
              <w:left w:val="nil"/>
              <w:bottom w:val="single" w:sz="4" w:space="0" w:color="auto"/>
              <w:right w:val="nil"/>
            </w:tcBorders>
          </w:tcPr>
          <w:p w:rsidR="00657C24" w:rsidRPr="00B41CFA" w:rsidRDefault="006E0266" w:rsidP="00657C24">
            <w:pPr>
              <w:pStyle w:val="Body"/>
              <w:rPr>
                <w:sz w:val="24"/>
                <w:szCs w:val="24"/>
              </w:rPr>
            </w:pPr>
            <w:r>
              <w:rPr>
                <w:sz w:val="24"/>
                <w:szCs w:val="24"/>
              </w:rPr>
              <w:t>20</w:t>
            </w:r>
            <w:r w:rsidR="00657C24" w:rsidRPr="00B41CFA">
              <w:rPr>
                <w:sz w:val="24"/>
                <w:szCs w:val="24"/>
              </w:rPr>
              <w:t>%</w:t>
            </w:r>
          </w:p>
        </w:tc>
        <w:tc>
          <w:tcPr>
            <w:tcW w:w="842" w:type="dxa"/>
            <w:tcBorders>
              <w:top w:val="single" w:sz="4" w:space="0" w:color="auto"/>
              <w:left w:val="nil"/>
              <w:bottom w:val="single" w:sz="4" w:space="0" w:color="auto"/>
              <w:right w:val="nil"/>
            </w:tcBorders>
          </w:tcPr>
          <w:p w:rsidR="00657C24" w:rsidRPr="00B41CFA" w:rsidRDefault="00657C24" w:rsidP="00657C24">
            <w:pPr>
              <w:pStyle w:val="Body"/>
              <w:rPr>
                <w:sz w:val="24"/>
                <w:szCs w:val="24"/>
              </w:rPr>
            </w:pPr>
            <w:r w:rsidRPr="00B41CFA">
              <w:rPr>
                <w:sz w:val="24"/>
                <w:szCs w:val="24"/>
              </w:rPr>
              <w:t>Uncertain</w:t>
            </w:r>
          </w:p>
        </w:tc>
        <w:tc>
          <w:tcPr>
            <w:tcW w:w="842" w:type="dxa"/>
            <w:tcBorders>
              <w:top w:val="single" w:sz="4" w:space="0" w:color="auto"/>
              <w:left w:val="nil"/>
              <w:bottom w:val="single" w:sz="4" w:space="0" w:color="auto"/>
              <w:right w:val="nil"/>
            </w:tcBorders>
          </w:tcPr>
          <w:p w:rsidR="00657C24" w:rsidRPr="00B41CFA" w:rsidRDefault="006E0266" w:rsidP="00657C24">
            <w:pPr>
              <w:pStyle w:val="Body"/>
              <w:rPr>
                <w:sz w:val="24"/>
                <w:szCs w:val="24"/>
              </w:rPr>
            </w:pPr>
            <w:r>
              <w:rPr>
                <w:sz w:val="24"/>
                <w:szCs w:val="24"/>
              </w:rPr>
              <w:t>1</w:t>
            </w:r>
            <w:r w:rsidR="00657C24" w:rsidRPr="00B41CFA">
              <w:rPr>
                <w:sz w:val="24"/>
                <w:szCs w:val="24"/>
              </w:rPr>
              <w:t>%</w:t>
            </w:r>
          </w:p>
        </w:tc>
        <w:tc>
          <w:tcPr>
            <w:tcW w:w="842" w:type="dxa"/>
            <w:tcBorders>
              <w:top w:val="single" w:sz="4" w:space="0" w:color="auto"/>
              <w:left w:val="nil"/>
              <w:bottom w:val="single" w:sz="4" w:space="0" w:color="auto"/>
              <w:right w:val="nil"/>
            </w:tcBorders>
          </w:tcPr>
          <w:p w:rsidR="00657C24" w:rsidRPr="00B41CFA" w:rsidRDefault="006E0266" w:rsidP="00657C24">
            <w:pPr>
              <w:pStyle w:val="Body"/>
              <w:rPr>
                <w:sz w:val="24"/>
                <w:szCs w:val="24"/>
              </w:rPr>
            </w:pPr>
            <w:r>
              <w:rPr>
                <w:sz w:val="24"/>
                <w:szCs w:val="24"/>
              </w:rPr>
              <w:t>1</w:t>
            </w:r>
            <w:r w:rsidR="00657C24" w:rsidRPr="00B41CFA">
              <w:rPr>
                <w:sz w:val="24"/>
                <w:szCs w:val="24"/>
              </w:rPr>
              <w:t>%</w:t>
            </w:r>
          </w:p>
        </w:tc>
        <w:tc>
          <w:tcPr>
            <w:tcW w:w="842" w:type="dxa"/>
            <w:tcBorders>
              <w:top w:val="single" w:sz="4" w:space="0" w:color="auto"/>
              <w:left w:val="nil"/>
              <w:bottom w:val="single" w:sz="4" w:space="0" w:color="auto"/>
              <w:right w:val="nil"/>
            </w:tcBorders>
          </w:tcPr>
          <w:p w:rsidR="00657C24" w:rsidRPr="00B41CFA" w:rsidRDefault="006E0266" w:rsidP="00657C24">
            <w:pPr>
              <w:pStyle w:val="Body"/>
              <w:rPr>
                <w:sz w:val="24"/>
                <w:szCs w:val="24"/>
              </w:rPr>
            </w:pPr>
            <w:r>
              <w:rPr>
                <w:sz w:val="24"/>
                <w:szCs w:val="24"/>
              </w:rPr>
              <w:t>20</w:t>
            </w:r>
            <w:r w:rsidR="00657C24" w:rsidRPr="00B41CFA">
              <w:rPr>
                <w:sz w:val="24"/>
                <w:szCs w:val="24"/>
              </w:rPr>
              <w:t>%</w:t>
            </w:r>
          </w:p>
        </w:tc>
        <w:tc>
          <w:tcPr>
            <w:tcW w:w="842" w:type="dxa"/>
            <w:tcBorders>
              <w:top w:val="single" w:sz="4" w:space="0" w:color="auto"/>
              <w:left w:val="nil"/>
              <w:bottom w:val="single" w:sz="4" w:space="0" w:color="auto"/>
              <w:right w:val="nil"/>
            </w:tcBorders>
          </w:tcPr>
          <w:p w:rsidR="00657C24" w:rsidRPr="00B41CFA" w:rsidRDefault="00657C24" w:rsidP="00657C24">
            <w:pPr>
              <w:pStyle w:val="Body"/>
              <w:rPr>
                <w:sz w:val="24"/>
                <w:szCs w:val="24"/>
              </w:rPr>
            </w:pPr>
            <w:r w:rsidRPr="00B41CFA">
              <w:rPr>
                <w:sz w:val="24"/>
                <w:szCs w:val="24"/>
              </w:rPr>
              <w:t>Uncertain</w:t>
            </w:r>
          </w:p>
        </w:tc>
      </w:tr>
      <w:tr w:rsidR="00657C24" w:rsidRPr="00B41CFA" w:rsidTr="00657C24">
        <w:tc>
          <w:tcPr>
            <w:tcW w:w="1085" w:type="dxa"/>
            <w:tcBorders>
              <w:top w:val="single" w:sz="4" w:space="0" w:color="auto"/>
              <w:left w:val="nil"/>
              <w:bottom w:val="single" w:sz="4" w:space="0" w:color="auto"/>
              <w:right w:val="nil"/>
            </w:tcBorders>
            <w:shd w:val="clear" w:color="auto" w:fill="auto"/>
          </w:tcPr>
          <w:p w:rsidR="00657C24" w:rsidRPr="00B41CFA" w:rsidRDefault="00657C24" w:rsidP="00657C24">
            <w:pPr>
              <w:pStyle w:val="Body"/>
              <w:rPr>
                <w:sz w:val="24"/>
                <w:szCs w:val="24"/>
              </w:rPr>
            </w:pPr>
            <w:r w:rsidRPr="00B41CFA">
              <w:rPr>
                <w:sz w:val="24"/>
                <w:szCs w:val="24"/>
              </w:rPr>
              <w:t>Average per cent direct to anchor</w:t>
            </w:r>
          </w:p>
        </w:tc>
        <w:tc>
          <w:tcPr>
            <w:tcW w:w="804" w:type="dxa"/>
            <w:tcBorders>
              <w:top w:val="single" w:sz="4" w:space="0" w:color="auto"/>
              <w:left w:val="nil"/>
              <w:bottom w:val="single" w:sz="4" w:space="0" w:color="auto"/>
              <w:right w:val="nil"/>
            </w:tcBorders>
            <w:shd w:val="clear" w:color="auto" w:fill="auto"/>
          </w:tcPr>
          <w:p w:rsidR="00657C24" w:rsidRPr="00B41CFA" w:rsidRDefault="006E0266" w:rsidP="00657C24">
            <w:pPr>
              <w:pStyle w:val="Body"/>
              <w:rPr>
                <w:sz w:val="24"/>
                <w:szCs w:val="24"/>
              </w:rPr>
            </w:pPr>
            <w:r>
              <w:rPr>
                <w:sz w:val="24"/>
                <w:szCs w:val="24"/>
              </w:rPr>
              <w:t>15</w:t>
            </w:r>
            <w:r w:rsidR="00657C24" w:rsidRPr="00B41CFA">
              <w:rPr>
                <w:sz w:val="24"/>
                <w:szCs w:val="24"/>
              </w:rPr>
              <w:t>%</w:t>
            </w:r>
          </w:p>
        </w:tc>
        <w:tc>
          <w:tcPr>
            <w:tcW w:w="884" w:type="dxa"/>
            <w:tcBorders>
              <w:top w:val="single" w:sz="4" w:space="0" w:color="auto"/>
              <w:left w:val="nil"/>
              <w:bottom w:val="single" w:sz="4" w:space="0" w:color="auto"/>
              <w:right w:val="nil"/>
            </w:tcBorders>
            <w:shd w:val="clear" w:color="auto" w:fill="auto"/>
          </w:tcPr>
          <w:p w:rsidR="00657C24" w:rsidRPr="00B41CFA" w:rsidRDefault="006E0266" w:rsidP="00657C24">
            <w:pPr>
              <w:pStyle w:val="Body"/>
              <w:rPr>
                <w:sz w:val="24"/>
                <w:szCs w:val="24"/>
              </w:rPr>
            </w:pPr>
            <w:r>
              <w:rPr>
                <w:sz w:val="24"/>
                <w:szCs w:val="24"/>
              </w:rPr>
              <w:t>&lt;15</w:t>
            </w:r>
            <w:r w:rsidR="00657C24" w:rsidRPr="00B41CFA">
              <w:rPr>
                <w:sz w:val="24"/>
                <w:szCs w:val="24"/>
              </w:rPr>
              <w:t>%</w:t>
            </w:r>
          </w:p>
        </w:tc>
        <w:tc>
          <w:tcPr>
            <w:tcW w:w="760" w:type="dxa"/>
            <w:tcBorders>
              <w:top w:val="single" w:sz="4" w:space="0" w:color="auto"/>
              <w:left w:val="nil"/>
              <w:bottom w:val="single" w:sz="4" w:space="0" w:color="auto"/>
              <w:right w:val="nil"/>
            </w:tcBorders>
            <w:shd w:val="clear" w:color="auto" w:fill="auto"/>
          </w:tcPr>
          <w:p w:rsidR="00657C24" w:rsidRPr="00B41CFA" w:rsidRDefault="006E0266" w:rsidP="00657C24">
            <w:pPr>
              <w:pStyle w:val="Body"/>
              <w:rPr>
                <w:sz w:val="24"/>
                <w:szCs w:val="24"/>
              </w:rPr>
            </w:pPr>
            <w:r>
              <w:rPr>
                <w:sz w:val="24"/>
                <w:szCs w:val="24"/>
              </w:rPr>
              <w:t>56</w:t>
            </w:r>
            <w:r w:rsidR="00657C24" w:rsidRPr="00B41CFA">
              <w:rPr>
                <w:sz w:val="24"/>
                <w:szCs w:val="24"/>
              </w:rPr>
              <w:t>%</w:t>
            </w:r>
          </w:p>
        </w:tc>
        <w:tc>
          <w:tcPr>
            <w:tcW w:w="842" w:type="dxa"/>
            <w:tcBorders>
              <w:top w:val="single" w:sz="4" w:space="0" w:color="auto"/>
              <w:left w:val="nil"/>
              <w:bottom w:val="single" w:sz="4" w:space="0" w:color="auto"/>
              <w:right w:val="nil"/>
            </w:tcBorders>
            <w:shd w:val="clear" w:color="auto" w:fill="auto"/>
          </w:tcPr>
          <w:p w:rsidR="00657C24" w:rsidRPr="00B41CFA" w:rsidRDefault="00657C24" w:rsidP="00657C24">
            <w:pPr>
              <w:pStyle w:val="Body"/>
              <w:rPr>
                <w:sz w:val="24"/>
                <w:szCs w:val="24"/>
              </w:rPr>
            </w:pPr>
            <w:r w:rsidRPr="00B41CFA">
              <w:rPr>
                <w:sz w:val="24"/>
                <w:szCs w:val="24"/>
              </w:rPr>
              <w:t>Uncertain</w:t>
            </w:r>
          </w:p>
        </w:tc>
        <w:tc>
          <w:tcPr>
            <w:tcW w:w="760" w:type="dxa"/>
            <w:tcBorders>
              <w:top w:val="single" w:sz="4" w:space="0" w:color="auto"/>
              <w:left w:val="nil"/>
              <w:bottom w:val="single" w:sz="4" w:space="0" w:color="auto"/>
              <w:right w:val="nil"/>
            </w:tcBorders>
          </w:tcPr>
          <w:p w:rsidR="00657C24" w:rsidRPr="00B41CFA" w:rsidRDefault="006E0266" w:rsidP="00657C24">
            <w:pPr>
              <w:pStyle w:val="Body"/>
              <w:rPr>
                <w:sz w:val="24"/>
                <w:szCs w:val="24"/>
              </w:rPr>
            </w:pPr>
            <w:r>
              <w:rPr>
                <w:sz w:val="24"/>
                <w:szCs w:val="24"/>
              </w:rPr>
              <w:t>80</w:t>
            </w:r>
            <w:r w:rsidR="00657C24" w:rsidRPr="00B41CFA">
              <w:rPr>
                <w:sz w:val="24"/>
                <w:szCs w:val="24"/>
              </w:rPr>
              <w:t>%</w:t>
            </w:r>
          </w:p>
        </w:tc>
        <w:tc>
          <w:tcPr>
            <w:tcW w:w="842" w:type="dxa"/>
            <w:tcBorders>
              <w:top w:val="single" w:sz="4" w:space="0" w:color="auto"/>
              <w:left w:val="nil"/>
              <w:bottom w:val="single" w:sz="4" w:space="0" w:color="auto"/>
              <w:right w:val="nil"/>
            </w:tcBorders>
          </w:tcPr>
          <w:p w:rsidR="00657C24" w:rsidRPr="00B41CFA" w:rsidRDefault="00657C24" w:rsidP="00657C24">
            <w:pPr>
              <w:pStyle w:val="Body"/>
              <w:rPr>
                <w:sz w:val="24"/>
                <w:szCs w:val="24"/>
              </w:rPr>
            </w:pPr>
            <w:r w:rsidRPr="00B41CFA">
              <w:rPr>
                <w:sz w:val="24"/>
                <w:szCs w:val="24"/>
              </w:rPr>
              <w:t>Uncertain</w:t>
            </w:r>
          </w:p>
        </w:tc>
        <w:tc>
          <w:tcPr>
            <w:tcW w:w="842" w:type="dxa"/>
            <w:tcBorders>
              <w:top w:val="single" w:sz="4" w:space="0" w:color="auto"/>
              <w:left w:val="nil"/>
              <w:bottom w:val="single" w:sz="4" w:space="0" w:color="auto"/>
              <w:right w:val="nil"/>
            </w:tcBorders>
          </w:tcPr>
          <w:p w:rsidR="00657C24" w:rsidRPr="00B41CFA" w:rsidRDefault="006E0266" w:rsidP="00657C24">
            <w:pPr>
              <w:pStyle w:val="Body"/>
              <w:rPr>
                <w:sz w:val="24"/>
                <w:szCs w:val="24"/>
              </w:rPr>
            </w:pPr>
            <w:r>
              <w:rPr>
                <w:sz w:val="24"/>
                <w:szCs w:val="24"/>
              </w:rPr>
              <w:t>99</w:t>
            </w:r>
            <w:r w:rsidR="00657C24" w:rsidRPr="00B41CFA">
              <w:rPr>
                <w:sz w:val="24"/>
                <w:szCs w:val="24"/>
              </w:rPr>
              <w:t>%</w:t>
            </w:r>
          </w:p>
        </w:tc>
        <w:tc>
          <w:tcPr>
            <w:tcW w:w="842" w:type="dxa"/>
            <w:tcBorders>
              <w:top w:val="single" w:sz="4" w:space="0" w:color="auto"/>
              <w:left w:val="nil"/>
              <w:bottom w:val="single" w:sz="4" w:space="0" w:color="auto"/>
              <w:right w:val="nil"/>
            </w:tcBorders>
          </w:tcPr>
          <w:p w:rsidR="00657C24" w:rsidRPr="00B41CFA" w:rsidRDefault="006E0266" w:rsidP="00657C24">
            <w:pPr>
              <w:pStyle w:val="Body"/>
              <w:rPr>
                <w:sz w:val="24"/>
                <w:szCs w:val="24"/>
              </w:rPr>
            </w:pPr>
            <w:r>
              <w:rPr>
                <w:sz w:val="24"/>
                <w:szCs w:val="24"/>
              </w:rPr>
              <w:t>99</w:t>
            </w:r>
            <w:r w:rsidR="00657C24" w:rsidRPr="00B41CFA">
              <w:rPr>
                <w:sz w:val="24"/>
                <w:szCs w:val="24"/>
              </w:rPr>
              <w:t>%</w:t>
            </w:r>
          </w:p>
        </w:tc>
        <w:tc>
          <w:tcPr>
            <w:tcW w:w="842" w:type="dxa"/>
            <w:tcBorders>
              <w:top w:val="single" w:sz="4" w:space="0" w:color="auto"/>
              <w:left w:val="nil"/>
              <w:bottom w:val="single" w:sz="4" w:space="0" w:color="auto"/>
              <w:right w:val="nil"/>
            </w:tcBorders>
          </w:tcPr>
          <w:p w:rsidR="00657C24" w:rsidRPr="00B41CFA" w:rsidRDefault="006E0266" w:rsidP="00657C24">
            <w:pPr>
              <w:pStyle w:val="Body"/>
              <w:rPr>
                <w:sz w:val="24"/>
                <w:szCs w:val="24"/>
              </w:rPr>
            </w:pPr>
            <w:r>
              <w:rPr>
                <w:sz w:val="24"/>
                <w:szCs w:val="24"/>
              </w:rPr>
              <w:t>80</w:t>
            </w:r>
            <w:r w:rsidR="00657C24" w:rsidRPr="00B41CFA">
              <w:rPr>
                <w:sz w:val="24"/>
                <w:szCs w:val="24"/>
              </w:rPr>
              <w:t>%</w:t>
            </w:r>
          </w:p>
        </w:tc>
        <w:tc>
          <w:tcPr>
            <w:tcW w:w="842" w:type="dxa"/>
            <w:tcBorders>
              <w:top w:val="single" w:sz="4" w:space="0" w:color="auto"/>
              <w:left w:val="nil"/>
              <w:bottom w:val="single" w:sz="4" w:space="0" w:color="auto"/>
              <w:right w:val="nil"/>
            </w:tcBorders>
          </w:tcPr>
          <w:p w:rsidR="00657C24" w:rsidRPr="00B41CFA" w:rsidRDefault="00657C24" w:rsidP="00657C24">
            <w:pPr>
              <w:pStyle w:val="Body"/>
              <w:rPr>
                <w:sz w:val="24"/>
                <w:szCs w:val="24"/>
              </w:rPr>
            </w:pPr>
            <w:r w:rsidRPr="00B41CFA">
              <w:rPr>
                <w:sz w:val="24"/>
                <w:szCs w:val="24"/>
              </w:rPr>
              <w:t>Uncertain</w:t>
            </w:r>
          </w:p>
        </w:tc>
      </w:tr>
      <w:tr w:rsidR="00657C24" w:rsidRPr="00B41CFA" w:rsidTr="00657C24">
        <w:tc>
          <w:tcPr>
            <w:tcW w:w="1085" w:type="dxa"/>
            <w:tcBorders>
              <w:top w:val="single" w:sz="4" w:space="0" w:color="auto"/>
              <w:left w:val="nil"/>
              <w:bottom w:val="single" w:sz="4" w:space="0" w:color="auto"/>
              <w:right w:val="nil"/>
            </w:tcBorders>
            <w:shd w:val="clear" w:color="auto" w:fill="auto"/>
          </w:tcPr>
          <w:p w:rsidR="00657C24" w:rsidRPr="00B41CFA" w:rsidRDefault="00657C24" w:rsidP="00657C24">
            <w:pPr>
              <w:pStyle w:val="Body"/>
              <w:rPr>
                <w:sz w:val="24"/>
                <w:szCs w:val="24"/>
              </w:rPr>
            </w:pPr>
            <w:r w:rsidRPr="00B41CFA">
              <w:rPr>
                <w:sz w:val="24"/>
                <w:szCs w:val="24"/>
              </w:rPr>
              <w:t>Number of anchor locations (if designated)</w:t>
            </w:r>
          </w:p>
        </w:tc>
        <w:tc>
          <w:tcPr>
            <w:tcW w:w="804" w:type="dxa"/>
            <w:tcBorders>
              <w:top w:val="single" w:sz="4" w:space="0" w:color="auto"/>
              <w:left w:val="nil"/>
              <w:bottom w:val="single" w:sz="4" w:space="0" w:color="auto"/>
              <w:right w:val="nil"/>
            </w:tcBorders>
            <w:shd w:val="clear" w:color="auto" w:fill="auto"/>
          </w:tcPr>
          <w:p w:rsidR="00657C24" w:rsidRPr="00B41CFA" w:rsidRDefault="00657C24" w:rsidP="00657C24">
            <w:pPr>
              <w:pStyle w:val="Body"/>
              <w:rPr>
                <w:sz w:val="24"/>
                <w:szCs w:val="24"/>
              </w:rPr>
            </w:pPr>
            <w:r w:rsidRPr="00B41CFA">
              <w:rPr>
                <w:sz w:val="24"/>
                <w:szCs w:val="24"/>
              </w:rPr>
              <w:t>8</w:t>
            </w:r>
          </w:p>
        </w:tc>
        <w:tc>
          <w:tcPr>
            <w:tcW w:w="884" w:type="dxa"/>
            <w:tcBorders>
              <w:top w:val="single" w:sz="4" w:space="0" w:color="auto"/>
              <w:left w:val="nil"/>
              <w:bottom w:val="single" w:sz="4" w:space="0" w:color="auto"/>
              <w:right w:val="nil"/>
            </w:tcBorders>
            <w:shd w:val="clear" w:color="auto" w:fill="auto"/>
          </w:tcPr>
          <w:p w:rsidR="00657C24" w:rsidRPr="00B41CFA" w:rsidRDefault="00566468" w:rsidP="00657C24">
            <w:pPr>
              <w:pStyle w:val="Body"/>
              <w:rPr>
                <w:sz w:val="24"/>
                <w:szCs w:val="24"/>
              </w:rPr>
            </w:pPr>
            <w:r>
              <w:rPr>
                <w:sz w:val="24"/>
                <w:szCs w:val="24"/>
              </w:rPr>
              <w:t>Possibly</w:t>
            </w:r>
            <w:r w:rsidR="00657C24" w:rsidRPr="00B41CFA">
              <w:rPr>
                <w:sz w:val="24"/>
                <w:szCs w:val="24"/>
              </w:rPr>
              <w:t xml:space="preserve"> not &gt; current</w:t>
            </w:r>
          </w:p>
        </w:tc>
        <w:tc>
          <w:tcPr>
            <w:tcW w:w="760" w:type="dxa"/>
            <w:tcBorders>
              <w:top w:val="single" w:sz="4" w:space="0" w:color="auto"/>
              <w:left w:val="nil"/>
              <w:bottom w:val="single" w:sz="4" w:space="0" w:color="auto"/>
              <w:right w:val="nil"/>
            </w:tcBorders>
            <w:shd w:val="clear" w:color="auto" w:fill="auto"/>
            <w:vAlign w:val="center"/>
          </w:tcPr>
          <w:p w:rsidR="00657C24" w:rsidRPr="00B41CFA" w:rsidRDefault="00657C24" w:rsidP="00657C24">
            <w:pPr>
              <w:pStyle w:val="Body"/>
              <w:rPr>
                <w:sz w:val="24"/>
                <w:szCs w:val="24"/>
              </w:rPr>
            </w:pPr>
            <w:r w:rsidRPr="00B41CFA">
              <w:rPr>
                <w:sz w:val="24"/>
                <w:szCs w:val="24"/>
              </w:rPr>
              <w:t>-</w:t>
            </w:r>
          </w:p>
        </w:tc>
        <w:tc>
          <w:tcPr>
            <w:tcW w:w="842" w:type="dxa"/>
            <w:tcBorders>
              <w:top w:val="single" w:sz="4" w:space="0" w:color="auto"/>
              <w:left w:val="nil"/>
              <w:bottom w:val="single" w:sz="4" w:space="0" w:color="auto"/>
              <w:right w:val="nil"/>
            </w:tcBorders>
            <w:shd w:val="clear" w:color="auto" w:fill="auto"/>
          </w:tcPr>
          <w:p w:rsidR="00657C24" w:rsidRPr="00B41CFA" w:rsidRDefault="00657C24" w:rsidP="00657C24">
            <w:pPr>
              <w:pStyle w:val="Body"/>
              <w:rPr>
                <w:sz w:val="24"/>
                <w:szCs w:val="24"/>
              </w:rPr>
            </w:pPr>
            <w:r w:rsidRPr="00B41CFA">
              <w:rPr>
                <w:sz w:val="24"/>
                <w:szCs w:val="24"/>
              </w:rPr>
              <w:t>Possibly not &gt; current</w:t>
            </w:r>
          </w:p>
        </w:tc>
        <w:tc>
          <w:tcPr>
            <w:tcW w:w="760" w:type="dxa"/>
            <w:tcBorders>
              <w:top w:val="single" w:sz="4" w:space="0" w:color="auto"/>
              <w:left w:val="nil"/>
              <w:bottom w:val="single" w:sz="4" w:space="0" w:color="auto"/>
              <w:right w:val="nil"/>
            </w:tcBorders>
            <w:vAlign w:val="center"/>
          </w:tcPr>
          <w:p w:rsidR="00657C24" w:rsidRPr="00B41CFA" w:rsidRDefault="00657C24" w:rsidP="00657C24">
            <w:pPr>
              <w:pStyle w:val="Body"/>
              <w:rPr>
                <w:sz w:val="24"/>
                <w:szCs w:val="24"/>
              </w:rPr>
            </w:pPr>
            <w:r w:rsidRPr="00B41CFA">
              <w:rPr>
                <w:sz w:val="24"/>
                <w:szCs w:val="24"/>
              </w:rPr>
              <w:t>-</w:t>
            </w:r>
          </w:p>
        </w:tc>
        <w:tc>
          <w:tcPr>
            <w:tcW w:w="842" w:type="dxa"/>
            <w:tcBorders>
              <w:top w:val="single" w:sz="4" w:space="0" w:color="auto"/>
              <w:left w:val="nil"/>
              <w:bottom w:val="single" w:sz="4" w:space="0" w:color="auto"/>
              <w:right w:val="nil"/>
            </w:tcBorders>
          </w:tcPr>
          <w:p w:rsidR="00657C24" w:rsidRPr="00B41CFA" w:rsidRDefault="00566468" w:rsidP="00657C24">
            <w:pPr>
              <w:pStyle w:val="Body"/>
              <w:rPr>
                <w:sz w:val="24"/>
                <w:szCs w:val="24"/>
              </w:rPr>
            </w:pPr>
            <w:r>
              <w:rPr>
                <w:sz w:val="24"/>
                <w:szCs w:val="24"/>
              </w:rPr>
              <w:t>Possibly</w:t>
            </w:r>
            <w:r w:rsidR="00657C24" w:rsidRPr="00B41CFA">
              <w:rPr>
                <w:sz w:val="24"/>
                <w:szCs w:val="24"/>
              </w:rPr>
              <w:t xml:space="preserve"> not &gt; current</w:t>
            </w:r>
          </w:p>
        </w:tc>
        <w:tc>
          <w:tcPr>
            <w:tcW w:w="842" w:type="dxa"/>
            <w:tcBorders>
              <w:top w:val="single" w:sz="4" w:space="0" w:color="auto"/>
              <w:left w:val="nil"/>
              <w:bottom w:val="single" w:sz="4" w:space="0" w:color="auto"/>
              <w:right w:val="nil"/>
            </w:tcBorders>
          </w:tcPr>
          <w:p w:rsidR="00657C24" w:rsidRPr="00B41CFA" w:rsidRDefault="00657C24" w:rsidP="00657C24">
            <w:pPr>
              <w:pStyle w:val="Body"/>
              <w:rPr>
                <w:sz w:val="24"/>
                <w:szCs w:val="24"/>
              </w:rPr>
            </w:pPr>
            <w:r w:rsidRPr="00B41CFA">
              <w:rPr>
                <w:sz w:val="24"/>
                <w:szCs w:val="24"/>
              </w:rPr>
              <w:t>102</w:t>
            </w:r>
          </w:p>
        </w:tc>
        <w:tc>
          <w:tcPr>
            <w:tcW w:w="842" w:type="dxa"/>
            <w:tcBorders>
              <w:top w:val="single" w:sz="4" w:space="0" w:color="auto"/>
              <w:left w:val="nil"/>
              <w:bottom w:val="single" w:sz="4" w:space="0" w:color="auto"/>
              <w:right w:val="nil"/>
            </w:tcBorders>
          </w:tcPr>
          <w:p w:rsidR="00657C24" w:rsidRPr="00B41CFA" w:rsidRDefault="00657C24" w:rsidP="00657C24">
            <w:pPr>
              <w:pStyle w:val="Body"/>
              <w:rPr>
                <w:sz w:val="24"/>
                <w:szCs w:val="24"/>
              </w:rPr>
            </w:pPr>
            <w:r w:rsidRPr="00B41CFA">
              <w:rPr>
                <w:sz w:val="24"/>
                <w:szCs w:val="24"/>
              </w:rPr>
              <w:t>Possibly 129</w:t>
            </w:r>
          </w:p>
        </w:tc>
        <w:tc>
          <w:tcPr>
            <w:tcW w:w="842" w:type="dxa"/>
            <w:tcBorders>
              <w:top w:val="single" w:sz="4" w:space="0" w:color="auto"/>
              <w:left w:val="nil"/>
              <w:bottom w:val="single" w:sz="4" w:space="0" w:color="auto"/>
              <w:right w:val="nil"/>
            </w:tcBorders>
          </w:tcPr>
          <w:p w:rsidR="00657C24" w:rsidRPr="00B41CFA" w:rsidRDefault="00657C24" w:rsidP="00657C24">
            <w:pPr>
              <w:pStyle w:val="Body"/>
              <w:rPr>
                <w:sz w:val="24"/>
                <w:szCs w:val="24"/>
              </w:rPr>
            </w:pPr>
            <w:r w:rsidRPr="00B41CFA">
              <w:rPr>
                <w:sz w:val="24"/>
                <w:szCs w:val="24"/>
              </w:rPr>
              <w:t>32</w:t>
            </w:r>
          </w:p>
        </w:tc>
        <w:tc>
          <w:tcPr>
            <w:tcW w:w="842" w:type="dxa"/>
            <w:tcBorders>
              <w:top w:val="single" w:sz="4" w:space="0" w:color="auto"/>
              <w:left w:val="nil"/>
              <w:bottom w:val="single" w:sz="4" w:space="0" w:color="auto"/>
              <w:right w:val="nil"/>
            </w:tcBorders>
          </w:tcPr>
          <w:p w:rsidR="00657C24" w:rsidRPr="00B41CFA" w:rsidRDefault="00566468" w:rsidP="00657C24">
            <w:pPr>
              <w:pStyle w:val="Body"/>
              <w:rPr>
                <w:sz w:val="24"/>
                <w:szCs w:val="24"/>
              </w:rPr>
            </w:pPr>
            <w:r>
              <w:rPr>
                <w:sz w:val="24"/>
                <w:szCs w:val="24"/>
              </w:rPr>
              <w:t>Possibly</w:t>
            </w:r>
            <w:r w:rsidR="00657C24" w:rsidRPr="00B41CFA">
              <w:rPr>
                <w:sz w:val="24"/>
                <w:szCs w:val="24"/>
              </w:rPr>
              <w:t xml:space="preserve"> not &gt; current</w:t>
            </w:r>
          </w:p>
        </w:tc>
      </w:tr>
      <w:tr w:rsidR="00657C24" w:rsidRPr="00B41CFA" w:rsidTr="00657C24">
        <w:tc>
          <w:tcPr>
            <w:tcW w:w="1085" w:type="dxa"/>
            <w:tcBorders>
              <w:top w:val="single" w:sz="4" w:space="0" w:color="auto"/>
              <w:left w:val="nil"/>
              <w:bottom w:val="single" w:sz="4" w:space="0" w:color="auto"/>
              <w:right w:val="nil"/>
            </w:tcBorders>
            <w:shd w:val="clear" w:color="auto" w:fill="auto"/>
          </w:tcPr>
          <w:p w:rsidR="00657C24" w:rsidRPr="00B41CFA" w:rsidRDefault="00657C24" w:rsidP="00657C24">
            <w:pPr>
              <w:pStyle w:val="Body"/>
              <w:rPr>
                <w:sz w:val="24"/>
                <w:szCs w:val="24"/>
              </w:rPr>
            </w:pPr>
            <w:r w:rsidRPr="00B41CFA">
              <w:rPr>
                <w:sz w:val="24"/>
                <w:szCs w:val="24"/>
              </w:rPr>
              <w:t>Average waiting days</w:t>
            </w:r>
          </w:p>
        </w:tc>
        <w:tc>
          <w:tcPr>
            <w:tcW w:w="804" w:type="dxa"/>
            <w:tcBorders>
              <w:top w:val="single" w:sz="4" w:space="0" w:color="auto"/>
              <w:left w:val="nil"/>
              <w:bottom w:val="single" w:sz="4" w:space="0" w:color="auto"/>
              <w:right w:val="nil"/>
            </w:tcBorders>
            <w:shd w:val="clear" w:color="auto" w:fill="auto"/>
          </w:tcPr>
          <w:p w:rsidR="00657C24" w:rsidRPr="00B41CFA" w:rsidRDefault="00657C24" w:rsidP="00657C24">
            <w:pPr>
              <w:pStyle w:val="Body"/>
              <w:rPr>
                <w:sz w:val="24"/>
                <w:szCs w:val="24"/>
              </w:rPr>
            </w:pPr>
            <w:r w:rsidRPr="00B41CFA">
              <w:rPr>
                <w:sz w:val="24"/>
                <w:szCs w:val="24"/>
              </w:rPr>
              <w:t>0.5</w:t>
            </w:r>
          </w:p>
        </w:tc>
        <w:tc>
          <w:tcPr>
            <w:tcW w:w="884" w:type="dxa"/>
            <w:tcBorders>
              <w:top w:val="single" w:sz="4" w:space="0" w:color="auto"/>
              <w:left w:val="nil"/>
              <w:bottom w:val="single" w:sz="4" w:space="0" w:color="auto"/>
              <w:right w:val="nil"/>
            </w:tcBorders>
            <w:shd w:val="clear" w:color="auto" w:fill="auto"/>
          </w:tcPr>
          <w:p w:rsidR="00657C24" w:rsidRPr="00B41CFA" w:rsidRDefault="00657C24" w:rsidP="00657C24">
            <w:pPr>
              <w:pStyle w:val="Body"/>
              <w:rPr>
                <w:sz w:val="24"/>
                <w:szCs w:val="24"/>
              </w:rPr>
            </w:pPr>
            <w:r w:rsidRPr="00B41CFA">
              <w:rPr>
                <w:sz w:val="24"/>
                <w:szCs w:val="24"/>
              </w:rPr>
              <w:t>Uncertain</w:t>
            </w:r>
          </w:p>
        </w:tc>
        <w:tc>
          <w:tcPr>
            <w:tcW w:w="760" w:type="dxa"/>
            <w:tcBorders>
              <w:top w:val="single" w:sz="4" w:space="0" w:color="auto"/>
              <w:left w:val="nil"/>
              <w:bottom w:val="single" w:sz="4" w:space="0" w:color="auto"/>
              <w:right w:val="nil"/>
            </w:tcBorders>
            <w:shd w:val="clear" w:color="auto" w:fill="auto"/>
          </w:tcPr>
          <w:p w:rsidR="00657C24" w:rsidRPr="00B41CFA" w:rsidRDefault="00657C24" w:rsidP="00657C24">
            <w:pPr>
              <w:pStyle w:val="Body"/>
              <w:rPr>
                <w:sz w:val="24"/>
                <w:szCs w:val="24"/>
              </w:rPr>
            </w:pPr>
            <w:r w:rsidRPr="00B41CFA">
              <w:rPr>
                <w:sz w:val="24"/>
                <w:szCs w:val="24"/>
              </w:rPr>
              <w:t>3</w:t>
            </w:r>
          </w:p>
        </w:tc>
        <w:tc>
          <w:tcPr>
            <w:tcW w:w="842" w:type="dxa"/>
            <w:tcBorders>
              <w:top w:val="single" w:sz="4" w:space="0" w:color="auto"/>
              <w:left w:val="nil"/>
              <w:bottom w:val="single" w:sz="4" w:space="0" w:color="auto"/>
              <w:right w:val="nil"/>
            </w:tcBorders>
            <w:shd w:val="clear" w:color="auto" w:fill="auto"/>
          </w:tcPr>
          <w:p w:rsidR="00657C24" w:rsidRPr="00B41CFA" w:rsidRDefault="00657C24" w:rsidP="00657C24">
            <w:pPr>
              <w:pStyle w:val="Body"/>
              <w:rPr>
                <w:sz w:val="24"/>
                <w:szCs w:val="24"/>
              </w:rPr>
            </w:pPr>
            <w:r w:rsidRPr="00B41CFA">
              <w:rPr>
                <w:sz w:val="24"/>
                <w:szCs w:val="24"/>
              </w:rPr>
              <w:t>Uncertain</w:t>
            </w:r>
          </w:p>
        </w:tc>
        <w:tc>
          <w:tcPr>
            <w:tcW w:w="760" w:type="dxa"/>
            <w:tcBorders>
              <w:top w:val="single" w:sz="4" w:space="0" w:color="auto"/>
              <w:left w:val="nil"/>
              <w:bottom w:val="single" w:sz="4" w:space="0" w:color="auto"/>
              <w:right w:val="nil"/>
            </w:tcBorders>
          </w:tcPr>
          <w:p w:rsidR="00657C24" w:rsidRPr="00B41CFA" w:rsidRDefault="00657C24" w:rsidP="00657C24">
            <w:pPr>
              <w:pStyle w:val="Body"/>
              <w:rPr>
                <w:sz w:val="24"/>
                <w:szCs w:val="24"/>
              </w:rPr>
            </w:pPr>
            <w:r w:rsidRPr="00B41CFA">
              <w:rPr>
                <w:sz w:val="24"/>
                <w:szCs w:val="24"/>
              </w:rPr>
              <w:t>3</w:t>
            </w:r>
          </w:p>
        </w:tc>
        <w:tc>
          <w:tcPr>
            <w:tcW w:w="842" w:type="dxa"/>
            <w:tcBorders>
              <w:top w:val="single" w:sz="4" w:space="0" w:color="auto"/>
              <w:left w:val="nil"/>
              <w:bottom w:val="single" w:sz="4" w:space="0" w:color="auto"/>
              <w:right w:val="nil"/>
            </w:tcBorders>
          </w:tcPr>
          <w:p w:rsidR="00657C24" w:rsidRPr="00B41CFA" w:rsidRDefault="00657C24" w:rsidP="00657C24">
            <w:pPr>
              <w:pStyle w:val="Body"/>
              <w:rPr>
                <w:sz w:val="24"/>
                <w:szCs w:val="24"/>
              </w:rPr>
            </w:pPr>
            <w:r w:rsidRPr="00B41CFA">
              <w:rPr>
                <w:sz w:val="24"/>
                <w:szCs w:val="24"/>
              </w:rPr>
              <w:t>Uncertain</w:t>
            </w:r>
          </w:p>
        </w:tc>
        <w:tc>
          <w:tcPr>
            <w:tcW w:w="842" w:type="dxa"/>
            <w:tcBorders>
              <w:top w:val="single" w:sz="4" w:space="0" w:color="auto"/>
              <w:left w:val="nil"/>
              <w:bottom w:val="single" w:sz="4" w:space="0" w:color="auto"/>
              <w:right w:val="nil"/>
            </w:tcBorders>
          </w:tcPr>
          <w:p w:rsidR="00657C24" w:rsidRPr="00B41CFA" w:rsidRDefault="00657C24" w:rsidP="00657C24">
            <w:pPr>
              <w:pStyle w:val="Body"/>
              <w:rPr>
                <w:sz w:val="24"/>
                <w:szCs w:val="24"/>
              </w:rPr>
            </w:pPr>
            <w:r w:rsidRPr="00B41CFA">
              <w:rPr>
                <w:sz w:val="24"/>
                <w:szCs w:val="24"/>
              </w:rPr>
              <w:t>19 (sample)</w:t>
            </w:r>
          </w:p>
        </w:tc>
        <w:tc>
          <w:tcPr>
            <w:tcW w:w="842" w:type="dxa"/>
            <w:tcBorders>
              <w:top w:val="single" w:sz="4" w:space="0" w:color="auto"/>
              <w:left w:val="nil"/>
              <w:bottom w:val="single" w:sz="4" w:space="0" w:color="auto"/>
              <w:right w:val="nil"/>
            </w:tcBorders>
          </w:tcPr>
          <w:p w:rsidR="00657C24" w:rsidRPr="00B41CFA" w:rsidRDefault="00657C24" w:rsidP="00657C24">
            <w:pPr>
              <w:pStyle w:val="Body"/>
              <w:rPr>
                <w:sz w:val="24"/>
                <w:szCs w:val="24"/>
              </w:rPr>
            </w:pPr>
            <w:r w:rsidRPr="00B41CFA">
              <w:rPr>
                <w:sz w:val="24"/>
                <w:szCs w:val="24"/>
              </w:rPr>
              <w:t>Uncertain</w:t>
            </w:r>
          </w:p>
        </w:tc>
        <w:tc>
          <w:tcPr>
            <w:tcW w:w="842" w:type="dxa"/>
            <w:tcBorders>
              <w:top w:val="single" w:sz="4" w:space="0" w:color="auto"/>
              <w:left w:val="nil"/>
              <w:bottom w:val="single" w:sz="4" w:space="0" w:color="auto"/>
              <w:right w:val="nil"/>
            </w:tcBorders>
          </w:tcPr>
          <w:p w:rsidR="00657C24" w:rsidRPr="00B41CFA" w:rsidRDefault="00657C24" w:rsidP="00657C24">
            <w:pPr>
              <w:pStyle w:val="Body"/>
              <w:rPr>
                <w:sz w:val="24"/>
                <w:szCs w:val="24"/>
              </w:rPr>
            </w:pPr>
            <w:r w:rsidRPr="00B41CFA">
              <w:rPr>
                <w:sz w:val="24"/>
                <w:szCs w:val="24"/>
              </w:rPr>
              <w:t>4</w:t>
            </w:r>
          </w:p>
        </w:tc>
        <w:tc>
          <w:tcPr>
            <w:tcW w:w="842" w:type="dxa"/>
            <w:tcBorders>
              <w:top w:val="single" w:sz="4" w:space="0" w:color="auto"/>
              <w:left w:val="nil"/>
              <w:bottom w:val="single" w:sz="4" w:space="0" w:color="auto"/>
              <w:right w:val="nil"/>
            </w:tcBorders>
          </w:tcPr>
          <w:p w:rsidR="00657C24" w:rsidRPr="00B41CFA" w:rsidRDefault="00657C24" w:rsidP="00657C24">
            <w:pPr>
              <w:pStyle w:val="Body"/>
              <w:rPr>
                <w:sz w:val="24"/>
                <w:szCs w:val="24"/>
              </w:rPr>
            </w:pPr>
            <w:r w:rsidRPr="00B41CFA">
              <w:rPr>
                <w:sz w:val="24"/>
                <w:szCs w:val="24"/>
              </w:rPr>
              <w:t>Uncertain</w:t>
            </w:r>
          </w:p>
        </w:tc>
      </w:tr>
    </w:tbl>
    <w:p w:rsidR="00657C24" w:rsidRDefault="00657C24" w:rsidP="00657C24">
      <w:pPr>
        <w:pStyle w:val="Body"/>
        <w:rPr>
          <w:sz w:val="16"/>
          <w:szCs w:val="24"/>
        </w:rPr>
        <w:sectPr w:rsidR="00657C24" w:rsidSect="00657C24">
          <w:headerReference w:type="default" r:id="rId14"/>
          <w:footerReference w:type="default" r:id="rId15"/>
          <w:pgSz w:w="16838" w:h="11906" w:orient="landscape" w:code="9"/>
          <w:pgMar w:top="1418" w:right="1418" w:bottom="1701" w:left="1701" w:header="709" w:footer="709" w:gutter="0"/>
          <w:pgNumType w:fmt="lowerRoman"/>
          <w:cols w:space="720"/>
          <w:docGrid w:linePitch="273"/>
        </w:sectPr>
      </w:pPr>
    </w:p>
    <w:p w:rsidR="00905CF3" w:rsidRPr="00B41CFA" w:rsidRDefault="00905CF3" w:rsidP="00905CF3">
      <w:pPr>
        <w:pStyle w:val="Body"/>
        <w:rPr>
          <w:b/>
          <w:sz w:val="24"/>
          <w:szCs w:val="24"/>
        </w:rPr>
      </w:pPr>
      <w:r w:rsidRPr="00B41CFA">
        <w:rPr>
          <w:b/>
          <w:sz w:val="24"/>
          <w:szCs w:val="24"/>
        </w:rPr>
        <w:lastRenderedPageBreak/>
        <w:t>Conclusions and next steps</w:t>
      </w:r>
    </w:p>
    <w:p w:rsidR="00905CF3" w:rsidRPr="00B41CFA" w:rsidRDefault="00905CF3" w:rsidP="00905CF3">
      <w:pPr>
        <w:pStyle w:val="Body"/>
        <w:rPr>
          <w:sz w:val="24"/>
          <w:szCs w:val="24"/>
        </w:rPr>
      </w:pPr>
      <w:r w:rsidRPr="00B41CFA">
        <w:rPr>
          <w:sz w:val="24"/>
          <w:szCs w:val="24"/>
        </w:rPr>
        <w:t xml:space="preserve">This report provides findings of the CBA phase of this study. This is the second phase of work. The third and final phase of work which will be completed in early 2013 will use information developed within this phase of work and from the impact assessment phase of work to develop potential management strategies for the anchorages at the five main ports. </w:t>
      </w:r>
    </w:p>
    <w:p w:rsidR="00905CF3" w:rsidRPr="00B41CFA" w:rsidRDefault="00905CF3" w:rsidP="00905CF3">
      <w:pPr>
        <w:pStyle w:val="Body"/>
        <w:rPr>
          <w:sz w:val="24"/>
          <w:szCs w:val="24"/>
        </w:rPr>
      </w:pPr>
      <w:r w:rsidRPr="00B41CFA">
        <w:rPr>
          <w:sz w:val="24"/>
          <w:szCs w:val="24"/>
        </w:rPr>
        <w:t>The economic appraisal work reported here has provided some di</w:t>
      </w:r>
      <w:r w:rsidR="00B63F81">
        <w:rPr>
          <w:sz w:val="24"/>
          <w:szCs w:val="24"/>
        </w:rPr>
        <w:t>rection for the development of environmental management s</w:t>
      </w:r>
      <w:r w:rsidRPr="00B41CFA">
        <w:rPr>
          <w:sz w:val="24"/>
          <w:szCs w:val="24"/>
        </w:rPr>
        <w:t>trategies for the five main ports. Key findings of importance in developing up relevant management strategies across the ports are that:</w:t>
      </w:r>
    </w:p>
    <w:p w:rsidR="00905CF3" w:rsidRPr="00B41CFA" w:rsidRDefault="00905CF3" w:rsidP="00905CF3">
      <w:pPr>
        <w:pStyle w:val="Bullet"/>
        <w:numPr>
          <w:ilvl w:val="0"/>
          <w:numId w:val="59"/>
        </w:numPr>
        <w:rPr>
          <w:sz w:val="24"/>
          <w:szCs w:val="24"/>
        </w:rPr>
      </w:pPr>
      <w:r w:rsidRPr="00B41CFA">
        <w:rPr>
          <w:sz w:val="24"/>
          <w:szCs w:val="24"/>
        </w:rPr>
        <w:t>The key port requiring future management intervention to avoid any physical expansions of anchorages will be the Port of Hay Point.</w:t>
      </w:r>
    </w:p>
    <w:p w:rsidR="00905CF3" w:rsidRPr="00B41CFA" w:rsidRDefault="00905CF3" w:rsidP="00905CF3">
      <w:pPr>
        <w:pStyle w:val="Bullet"/>
        <w:numPr>
          <w:ilvl w:val="0"/>
          <w:numId w:val="59"/>
        </w:numPr>
        <w:rPr>
          <w:sz w:val="24"/>
          <w:szCs w:val="24"/>
        </w:rPr>
      </w:pPr>
      <w:r w:rsidRPr="00B41CFA">
        <w:rPr>
          <w:sz w:val="24"/>
          <w:szCs w:val="24"/>
        </w:rPr>
        <w:t>Use of scheduled ship arrivals combined with designated anchorages is a cost effective management strategy for future demand requirements at the Port of Hay Point. Use of scheduled ship arrivals may also benefit management of anchorages at the Ports of Abbot Point and Gladstone.</w:t>
      </w:r>
    </w:p>
    <w:p w:rsidR="00905CF3" w:rsidRPr="00B41CFA" w:rsidRDefault="00905CF3" w:rsidP="00905CF3">
      <w:pPr>
        <w:pStyle w:val="Bullet"/>
        <w:numPr>
          <w:ilvl w:val="0"/>
          <w:numId w:val="59"/>
        </w:numPr>
        <w:rPr>
          <w:sz w:val="24"/>
          <w:szCs w:val="24"/>
        </w:rPr>
      </w:pPr>
      <w:r w:rsidRPr="00B41CFA">
        <w:rPr>
          <w:sz w:val="24"/>
          <w:szCs w:val="24"/>
        </w:rPr>
        <w:t xml:space="preserve">Adoption of any VAS would require further investigation on some emerging concerns regarding transfer of risk. It would also require investigation into the key requirements for successful adoption of such an approach, including with regard to legislative and management jurisdictional requirements, for implementation at any of the ports. </w:t>
      </w:r>
    </w:p>
    <w:p w:rsidR="00905CF3" w:rsidRPr="00B41CFA" w:rsidRDefault="00905CF3" w:rsidP="00905CF3">
      <w:pPr>
        <w:pStyle w:val="Bullet"/>
        <w:numPr>
          <w:ilvl w:val="0"/>
          <w:numId w:val="59"/>
        </w:numPr>
        <w:rPr>
          <w:sz w:val="24"/>
          <w:szCs w:val="24"/>
        </w:rPr>
      </w:pPr>
      <w:r w:rsidRPr="00B41CFA">
        <w:rPr>
          <w:sz w:val="24"/>
          <w:szCs w:val="24"/>
        </w:rPr>
        <w:t xml:space="preserve">Use of designated anchorages at Townsville and Abbot Point will avoid potential increase in environmental risk under increasing shipping forecasts. </w:t>
      </w:r>
    </w:p>
    <w:p w:rsidR="008C148F" w:rsidRDefault="008C148F" w:rsidP="00AE0C0C">
      <w:pPr>
        <w:pStyle w:val="Heading1"/>
        <w:numPr>
          <w:ilvl w:val="0"/>
          <w:numId w:val="0"/>
        </w:numPr>
        <w:ind w:left="567" w:hanging="567"/>
      </w:pPr>
      <w:bookmarkStart w:id="5" w:name="_Toc362274255"/>
      <w:r>
        <w:lastRenderedPageBreak/>
        <w:t>ACKNOWLEDGEMENTS</w:t>
      </w:r>
      <w:bookmarkEnd w:id="5"/>
    </w:p>
    <w:p w:rsidR="006F4DCC" w:rsidRPr="00B41CFA" w:rsidRDefault="006F4DCC" w:rsidP="006F4DCC">
      <w:pPr>
        <w:pStyle w:val="Body"/>
        <w:rPr>
          <w:sz w:val="24"/>
          <w:szCs w:val="24"/>
        </w:rPr>
      </w:pPr>
      <w:r w:rsidRPr="00B41CFA">
        <w:rPr>
          <w:sz w:val="24"/>
          <w:szCs w:val="24"/>
        </w:rPr>
        <w:t>We would like to acknowledge the contributions made by stakeholders w</w:t>
      </w:r>
      <w:r w:rsidR="00F952C1" w:rsidRPr="00B41CFA">
        <w:rPr>
          <w:sz w:val="24"/>
          <w:szCs w:val="24"/>
        </w:rPr>
        <w:t xml:space="preserve">ho agreed to be interviewed, participated in </w:t>
      </w:r>
      <w:r w:rsidRPr="00B41CFA">
        <w:rPr>
          <w:sz w:val="24"/>
          <w:szCs w:val="24"/>
        </w:rPr>
        <w:t>workshop</w:t>
      </w:r>
      <w:r w:rsidR="00F952C1" w:rsidRPr="00B41CFA">
        <w:rPr>
          <w:sz w:val="24"/>
          <w:szCs w:val="24"/>
        </w:rPr>
        <w:t>s</w:t>
      </w:r>
      <w:r w:rsidR="00B25E93" w:rsidRPr="00B41CFA">
        <w:rPr>
          <w:sz w:val="24"/>
          <w:szCs w:val="24"/>
        </w:rPr>
        <w:t>/meetings</w:t>
      </w:r>
      <w:r w:rsidR="00F952C1" w:rsidRPr="00B41CFA">
        <w:rPr>
          <w:sz w:val="24"/>
          <w:szCs w:val="24"/>
        </w:rPr>
        <w:t>, and provided data,</w:t>
      </w:r>
      <w:r w:rsidRPr="00B41CFA">
        <w:rPr>
          <w:sz w:val="24"/>
          <w:szCs w:val="24"/>
        </w:rPr>
        <w:t xml:space="preserve"> to inform the social and economic analyses of ship anchorage management in the Gre</w:t>
      </w:r>
      <w:r w:rsidR="000D21BB" w:rsidRPr="00B41CFA">
        <w:rPr>
          <w:sz w:val="24"/>
          <w:szCs w:val="24"/>
        </w:rPr>
        <w:t>at Barrier Reef World Heritage A</w:t>
      </w:r>
      <w:r w:rsidRPr="00B41CFA">
        <w:rPr>
          <w:sz w:val="24"/>
          <w:szCs w:val="24"/>
        </w:rPr>
        <w:t>rea.</w:t>
      </w:r>
    </w:p>
    <w:p w:rsidR="00867113" w:rsidRDefault="003259DA" w:rsidP="00AE0C0C">
      <w:pPr>
        <w:pStyle w:val="Heading1"/>
        <w:numPr>
          <w:ilvl w:val="0"/>
          <w:numId w:val="0"/>
        </w:numPr>
        <w:ind w:left="567" w:hanging="567"/>
      </w:pPr>
      <w:bookmarkStart w:id="6" w:name="_Toc362274256"/>
      <w:r>
        <w:lastRenderedPageBreak/>
        <w:t>ACRONYMS</w:t>
      </w:r>
      <w:r w:rsidR="009108AD">
        <w:t>/GLOSSARY</w:t>
      </w:r>
      <w:bookmarkEnd w:id="6"/>
    </w:p>
    <w:tbl>
      <w:tblPr>
        <w:tblW w:w="0" w:type="auto"/>
        <w:tblLook w:val="0000" w:firstRow="0" w:lastRow="0" w:firstColumn="0" w:lastColumn="0" w:noHBand="0" w:noVBand="0"/>
        <w:tblCaption w:val="Acronyms and glossary"/>
        <w:tblDescription w:val="Acronyms and glossary table"/>
      </w:tblPr>
      <w:tblGrid>
        <w:gridCol w:w="2518"/>
        <w:gridCol w:w="6485"/>
      </w:tblGrid>
      <w:tr w:rsidR="00DB2D49" w:rsidTr="00DB2D49">
        <w:trPr>
          <w:tblHeader/>
        </w:trPr>
        <w:tc>
          <w:tcPr>
            <w:tcW w:w="2518" w:type="dxa"/>
          </w:tcPr>
          <w:p w:rsidR="00DB2D49" w:rsidRPr="00DB2D49" w:rsidRDefault="00DB2D49" w:rsidP="00DB2D49">
            <w:pPr>
              <w:pStyle w:val="Body"/>
              <w:rPr>
                <w:b/>
                <w:sz w:val="24"/>
                <w:szCs w:val="24"/>
              </w:rPr>
            </w:pPr>
            <w:r w:rsidRPr="00DB2D49">
              <w:rPr>
                <w:b/>
                <w:sz w:val="24"/>
                <w:szCs w:val="24"/>
              </w:rPr>
              <w:t>Acronym/Term</w:t>
            </w:r>
          </w:p>
        </w:tc>
        <w:tc>
          <w:tcPr>
            <w:tcW w:w="6485" w:type="dxa"/>
          </w:tcPr>
          <w:p w:rsidR="00DB2D49" w:rsidRPr="00DB2D49" w:rsidRDefault="00DB2D49" w:rsidP="00DB2D49">
            <w:pPr>
              <w:pStyle w:val="Body"/>
              <w:rPr>
                <w:b/>
                <w:sz w:val="24"/>
                <w:szCs w:val="24"/>
              </w:rPr>
            </w:pPr>
            <w:r w:rsidRPr="00DB2D49">
              <w:rPr>
                <w:b/>
                <w:sz w:val="24"/>
                <w:szCs w:val="24"/>
              </w:rPr>
              <w:t>Meaning</w:t>
            </w:r>
          </w:p>
        </w:tc>
      </w:tr>
      <w:tr w:rsidR="00DB2D49" w:rsidTr="00DB2D49">
        <w:tc>
          <w:tcPr>
            <w:tcW w:w="2518" w:type="dxa"/>
          </w:tcPr>
          <w:p w:rsidR="00DB2D49" w:rsidRPr="00DB2D49" w:rsidRDefault="00DB2D49" w:rsidP="00DB2D49">
            <w:pPr>
              <w:pStyle w:val="Body"/>
            </w:pPr>
            <w:r w:rsidRPr="00DB2D49">
              <w:rPr>
                <w:rFonts w:cs="Arial"/>
                <w:color w:val="000000"/>
                <w:sz w:val="24"/>
                <w:szCs w:val="24"/>
                <w:lang w:eastAsia="en-AU"/>
              </w:rPr>
              <w:t>AMSA</w:t>
            </w:r>
          </w:p>
        </w:tc>
        <w:tc>
          <w:tcPr>
            <w:tcW w:w="6485" w:type="dxa"/>
          </w:tcPr>
          <w:p w:rsidR="00DB2D49" w:rsidRPr="00DB2D49" w:rsidRDefault="00DB2D49" w:rsidP="00DB2D49">
            <w:pPr>
              <w:pStyle w:val="Body"/>
            </w:pPr>
            <w:r w:rsidRPr="00DB2D49">
              <w:rPr>
                <w:rFonts w:eastAsiaTheme="minorHAnsi" w:cs="Arial"/>
                <w:color w:val="000000"/>
                <w:sz w:val="24"/>
                <w:szCs w:val="24"/>
                <w:lang w:eastAsia="en-AU"/>
              </w:rPr>
              <w:t>Australian Maritime Safety Association</w:t>
            </w:r>
          </w:p>
        </w:tc>
      </w:tr>
      <w:tr w:rsidR="00DB2D49" w:rsidTr="00DB2D49">
        <w:tc>
          <w:tcPr>
            <w:tcW w:w="2518" w:type="dxa"/>
          </w:tcPr>
          <w:p w:rsidR="00DB2D49" w:rsidRPr="00DB2D49" w:rsidRDefault="00DB2D49" w:rsidP="00DB2D49">
            <w:pPr>
              <w:pStyle w:val="Body"/>
            </w:pPr>
            <w:r w:rsidRPr="00DB2D49">
              <w:rPr>
                <w:rFonts w:cs="Arial"/>
                <w:color w:val="000000"/>
                <w:sz w:val="24"/>
                <w:szCs w:val="24"/>
                <w:lang w:eastAsia="en-AU"/>
              </w:rPr>
              <w:t>CBA</w:t>
            </w:r>
          </w:p>
        </w:tc>
        <w:tc>
          <w:tcPr>
            <w:tcW w:w="6485" w:type="dxa"/>
          </w:tcPr>
          <w:p w:rsidR="00DB2D49" w:rsidRPr="00DB2D49" w:rsidRDefault="00DB2D49" w:rsidP="00DB2D49">
            <w:pPr>
              <w:pStyle w:val="Body"/>
            </w:pPr>
            <w:r w:rsidRPr="00DB2D49">
              <w:rPr>
                <w:rFonts w:cs="Arial"/>
                <w:color w:val="000000"/>
                <w:sz w:val="24"/>
                <w:szCs w:val="24"/>
                <w:lang w:eastAsia="en-AU"/>
              </w:rPr>
              <w:t>Cost Benefit Analysis</w:t>
            </w:r>
          </w:p>
        </w:tc>
      </w:tr>
      <w:tr w:rsidR="00DB2D49" w:rsidTr="00DB2D49">
        <w:tc>
          <w:tcPr>
            <w:tcW w:w="2518" w:type="dxa"/>
          </w:tcPr>
          <w:p w:rsidR="00DB2D49" w:rsidRPr="00DB2D49" w:rsidRDefault="00DB2D49" w:rsidP="00DB2D49">
            <w:pPr>
              <w:pStyle w:val="Body"/>
            </w:pPr>
            <w:r w:rsidRPr="00DB2D49">
              <w:rPr>
                <w:rFonts w:cs="Arial"/>
                <w:color w:val="000000"/>
                <w:sz w:val="24"/>
                <w:szCs w:val="24"/>
                <w:lang w:eastAsia="en-AU"/>
              </w:rPr>
              <w:t>CEA</w:t>
            </w:r>
          </w:p>
        </w:tc>
        <w:tc>
          <w:tcPr>
            <w:tcW w:w="6485" w:type="dxa"/>
          </w:tcPr>
          <w:p w:rsidR="00DB2D49" w:rsidRPr="00DB2D49" w:rsidRDefault="00DB2D49" w:rsidP="00DB2D49">
            <w:pPr>
              <w:pStyle w:val="Body"/>
            </w:pPr>
            <w:r w:rsidRPr="00DB2D49">
              <w:rPr>
                <w:rFonts w:cs="Arial"/>
                <w:color w:val="000000"/>
                <w:sz w:val="24"/>
                <w:szCs w:val="24"/>
                <w:lang w:eastAsia="en-AU"/>
              </w:rPr>
              <w:t>Cost Effectiveness Analysis</w:t>
            </w:r>
          </w:p>
        </w:tc>
      </w:tr>
      <w:tr w:rsidR="00DB2D49" w:rsidTr="00DB2D49">
        <w:tc>
          <w:tcPr>
            <w:tcW w:w="2518" w:type="dxa"/>
          </w:tcPr>
          <w:p w:rsidR="00DB2D49" w:rsidRPr="00DB2D49" w:rsidRDefault="00DB2D49" w:rsidP="00DB2D49">
            <w:pPr>
              <w:pStyle w:val="Body"/>
            </w:pPr>
            <w:r w:rsidRPr="00DB2D49">
              <w:rPr>
                <w:rFonts w:cs="Arial"/>
                <w:color w:val="000000"/>
                <w:sz w:val="24"/>
                <w:szCs w:val="24"/>
                <w:lang w:eastAsia="en-AU"/>
              </w:rPr>
              <w:t>DAFF</w:t>
            </w:r>
          </w:p>
        </w:tc>
        <w:tc>
          <w:tcPr>
            <w:tcW w:w="6485" w:type="dxa"/>
          </w:tcPr>
          <w:p w:rsidR="00DB2D49" w:rsidRPr="00DB2D49" w:rsidRDefault="00DB2D49" w:rsidP="00DB2D49">
            <w:pPr>
              <w:pStyle w:val="Body"/>
            </w:pPr>
            <w:r w:rsidRPr="00DB2D49">
              <w:rPr>
                <w:rFonts w:cs="Arial"/>
                <w:color w:val="000000"/>
                <w:sz w:val="24"/>
                <w:szCs w:val="24"/>
                <w:lang w:eastAsia="en-AU"/>
              </w:rPr>
              <w:t>Department of Agriculture, Fisheries and Forestry</w:t>
            </w:r>
          </w:p>
        </w:tc>
      </w:tr>
      <w:tr w:rsidR="00DB2D49" w:rsidTr="00DB2D49">
        <w:tc>
          <w:tcPr>
            <w:tcW w:w="2518" w:type="dxa"/>
          </w:tcPr>
          <w:p w:rsidR="00DB2D49" w:rsidRPr="00DB2D49" w:rsidRDefault="00DB2D49" w:rsidP="00DB2D49">
            <w:pPr>
              <w:pStyle w:val="Body"/>
            </w:pPr>
            <w:r w:rsidRPr="00DB2D49">
              <w:rPr>
                <w:rFonts w:cs="Arial"/>
                <w:color w:val="000000"/>
                <w:sz w:val="24"/>
                <w:szCs w:val="24"/>
                <w:lang w:eastAsia="en-AU"/>
              </w:rPr>
              <w:t>DBCT</w:t>
            </w:r>
          </w:p>
        </w:tc>
        <w:tc>
          <w:tcPr>
            <w:tcW w:w="6485" w:type="dxa"/>
          </w:tcPr>
          <w:p w:rsidR="00DB2D49" w:rsidRPr="00DB2D49" w:rsidRDefault="00DB2D49" w:rsidP="00DB2D49">
            <w:pPr>
              <w:pStyle w:val="Body"/>
            </w:pPr>
            <w:r w:rsidRPr="00DB2D49">
              <w:rPr>
                <w:rFonts w:cs="Arial"/>
                <w:color w:val="000000"/>
                <w:sz w:val="24"/>
                <w:szCs w:val="24"/>
                <w:lang w:eastAsia="en-AU"/>
              </w:rPr>
              <w:t>Dalrymple Bay Coal Terminal</w:t>
            </w:r>
          </w:p>
        </w:tc>
      </w:tr>
      <w:tr w:rsidR="00DB2D49" w:rsidTr="00DB2D49">
        <w:tc>
          <w:tcPr>
            <w:tcW w:w="2518" w:type="dxa"/>
          </w:tcPr>
          <w:p w:rsidR="00DB2D49" w:rsidRPr="00DB2D49" w:rsidRDefault="00DB2D49" w:rsidP="00DB2D49">
            <w:pPr>
              <w:pStyle w:val="Body"/>
            </w:pPr>
            <w:r w:rsidRPr="00DB2D49">
              <w:rPr>
                <w:rFonts w:cs="Arial"/>
                <w:color w:val="000000"/>
                <w:sz w:val="24"/>
                <w:szCs w:val="24"/>
                <w:lang w:eastAsia="en-AU"/>
              </w:rPr>
              <w:t>DSA</w:t>
            </w:r>
          </w:p>
        </w:tc>
        <w:tc>
          <w:tcPr>
            <w:tcW w:w="6485" w:type="dxa"/>
          </w:tcPr>
          <w:p w:rsidR="00DB2D49" w:rsidRPr="00DB2D49" w:rsidRDefault="00DB2D49" w:rsidP="00DB2D49">
            <w:pPr>
              <w:pStyle w:val="Body"/>
            </w:pPr>
            <w:r w:rsidRPr="00DB2D49">
              <w:rPr>
                <w:rFonts w:cs="Arial"/>
                <w:color w:val="000000"/>
                <w:sz w:val="24"/>
                <w:szCs w:val="24"/>
                <w:lang w:eastAsia="en-AU"/>
              </w:rPr>
              <w:t>Designated Shipping Area</w:t>
            </w:r>
          </w:p>
        </w:tc>
      </w:tr>
      <w:tr w:rsidR="00DB2D49" w:rsidTr="00DB2D49">
        <w:tc>
          <w:tcPr>
            <w:tcW w:w="2518" w:type="dxa"/>
          </w:tcPr>
          <w:p w:rsidR="00DB2D49" w:rsidRPr="00DB2D49" w:rsidRDefault="00DB2D49" w:rsidP="00DB2D49">
            <w:pPr>
              <w:pStyle w:val="Body"/>
            </w:pPr>
            <w:r w:rsidRPr="00DB2D49">
              <w:rPr>
                <w:rFonts w:cs="Arial"/>
                <w:color w:val="000000"/>
                <w:sz w:val="24"/>
                <w:szCs w:val="24"/>
                <w:lang w:eastAsia="en-AU"/>
              </w:rPr>
              <w:t>DSDIP</w:t>
            </w:r>
          </w:p>
        </w:tc>
        <w:tc>
          <w:tcPr>
            <w:tcW w:w="6485" w:type="dxa"/>
          </w:tcPr>
          <w:p w:rsidR="00DB2D49" w:rsidRPr="00DB2D49" w:rsidRDefault="00DB2D49" w:rsidP="00DB2D49">
            <w:pPr>
              <w:pStyle w:val="Body"/>
            </w:pPr>
            <w:r w:rsidRPr="00DB2D49">
              <w:rPr>
                <w:rFonts w:cs="Arial"/>
                <w:color w:val="000000"/>
                <w:sz w:val="24"/>
                <w:szCs w:val="24"/>
                <w:lang w:eastAsia="en-AU"/>
              </w:rPr>
              <w:t>Department of State Development, Infrastructure and Planning</w:t>
            </w:r>
          </w:p>
        </w:tc>
      </w:tr>
      <w:tr w:rsidR="00DB2D49" w:rsidTr="00DB2D49">
        <w:tc>
          <w:tcPr>
            <w:tcW w:w="2518" w:type="dxa"/>
          </w:tcPr>
          <w:p w:rsidR="00DB2D49" w:rsidRPr="00DB2D49" w:rsidRDefault="00DB2D49" w:rsidP="00DB2D49">
            <w:pPr>
              <w:pStyle w:val="Body"/>
            </w:pPr>
            <w:r w:rsidRPr="00DB2D49">
              <w:rPr>
                <w:rFonts w:cs="Arial"/>
                <w:color w:val="000000"/>
                <w:sz w:val="24"/>
                <w:szCs w:val="24"/>
                <w:lang w:eastAsia="en-AU"/>
              </w:rPr>
              <w:t>DSEWPaC</w:t>
            </w:r>
          </w:p>
        </w:tc>
        <w:tc>
          <w:tcPr>
            <w:tcW w:w="6485" w:type="dxa"/>
          </w:tcPr>
          <w:p w:rsidR="00DB2D49" w:rsidRPr="00DB2D49" w:rsidRDefault="00DB2D49" w:rsidP="00DB2D49">
            <w:pPr>
              <w:pStyle w:val="Body"/>
            </w:pPr>
            <w:r w:rsidRPr="00DB2D49">
              <w:rPr>
                <w:rFonts w:cs="Arial"/>
                <w:color w:val="000000"/>
                <w:sz w:val="24"/>
                <w:szCs w:val="24"/>
                <w:lang w:eastAsia="en-AU"/>
              </w:rPr>
              <w:t>Department of Sustainability, Environment, Water, Population and Communities</w:t>
            </w:r>
          </w:p>
        </w:tc>
      </w:tr>
      <w:tr w:rsidR="00DB2D49" w:rsidTr="00DB2D49">
        <w:tc>
          <w:tcPr>
            <w:tcW w:w="2518" w:type="dxa"/>
          </w:tcPr>
          <w:p w:rsidR="00DB2D49" w:rsidRPr="00DB2D49" w:rsidRDefault="00DB2D49" w:rsidP="00DB2D49">
            <w:pPr>
              <w:pStyle w:val="Body"/>
            </w:pPr>
            <w:r w:rsidRPr="00DB2D49">
              <w:rPr>
                <w:rFonts w:cs="Arial"/>
                <w:color w:val="000000"/>
                <w:sz w:val="24"/>
                <w:szCs w:val="24"/>
                <w:lang w:eastAsia="en-AU"/>
              </w:rPr>
              <w:t>EIA</w:t>
            </w:r>
          </w:p>
        </w:tc>
        <w:tc>
          <w:tcPr>
            <w:tcW w:w="6485" w:type="dxa"/>
          </w:tcPr>
          <w:p w:rsidR="00DB2D49" w:rsidRPr="00DB2D49" w:rsidRDefault="00DB2D49" w:rsidP="00DB2D49">
            <w:pPr>
              <w:pStyle w:val="Body"/>
            </w:pPr>
            <w:r w:rsidRPr="00DB2D49">
              <w:rPr>
                <w:rFonts w:cs="Arial"/>
                <w:color w:val="000000"/>
                <w:sz w:val="24"/>
                <w:szCs w:val="24"/>
                <w:lang w:eastAsia="en-AU"/>
              </w:rPr>
              <w:t>Environmental Impact Assessment</w:t>
            </w:r>
          </w:p>
        </w:tc>
      </w:tr>
      <w:tr w:rsidR="00DB2D49" w:rsidTr="00DB2D49">
        <w:tc>
          <w:tcPr>
            <w:tcW w:w="2518" w:type="dxa"/>
          </w:tcPr>
          <w:p w:rsidR="00DB2D49" w:rsidRPr="00DB2D49" w:rsidRDefault="00DB2D49" w:rsidP="00DB2D49">
            <w:pPr>
              <w:pStyle w:val="Body"/>
            </w:pPr>
            <w:r w:rsidRPr="00DB2D49">
              <w:rPr>
                <w:rFonts w:cs="Arial"/>
                <w:color w:val="000000"/>
                <w:sz w:val="24"/>
                <w:szCs w:val="24"/>
                <w:lang w:eastAsia="en-AU"/>
              </w:rPr>
              <w:t>Environmental</w:t>
            </w:r>
          </w:p>
        </w:tc>
        <w:tc>
          <w:tcPr>
            <w:tcW w:w="6485" w:type="dxa"/>
          </w:tcPr>
          <w:p w:rsidR="00DB2D49" w:rsidRPr="00DB2D49" w:rsidRDefault="00DB2D49" w:rsidP="00DB2D49">
            <w:pPr>
              <w:pStyle w:val="Body"/>
            </w:pPr>
            <w:r w:rsidRPr="00DB2D49">
              <w:rPr>
                <w:rFonts w:cs="Arial"/>
                <w:color w:val="000000"/>
                <w:sz w:val="24"/>
                <w:szCs w:val="24"/>
                <w:lang w:eastAsia="en-AU"/>
              </w:rPr>
              <w:t>the ecosystems and their constituent parts, natural and physical resources; and the qualities and characteristics of locations, places and areas, that contribute to their biodiversity and ecological integrity</w:t>
            </w:r>
          </w:p>
        </w:tc>
      </w:tr>
      <w:tr w:rsidR="00DB2D49" w:rsidTr="00DB2D49">
        <w:tc>
          <w:tcPr>
            <w:tcW w:w="2518" w:type="dxa"/>
          </w:tcPr>
          <w:p w:rsidR="00DB2D49" w:rsidRPr="00DB2D49" w:rsidRDefault="00DB2D49" w:rsidP="00DB2D49">
            <w:pPr>
              <w:pStyle w:val="Body"/>
            </w:pPr>
            <w:r w:rsidRPr="00DB2D49">
              <w:rPr>
                <w:rFonts w:cs="Arial"/>
                <w:color w:val="000000"/>
                <w:sz w:val="24"/>
                <w:szCs w:val="24"/>
                <w:lang w:eastAsia="en-AU"/>
              </w:rPr>
              <w:t>EPBC Act</w:t>
            </w:r>
          </w:p>
        </w:tc>
        <w:tc>
          <w:tcPr>
            <w:tcW w:w="6485" w:type="dxa"/>
          </w:tcPr>
          <w:p w:rsidR="00DB2D49" w:rsidRPr="00DB2D49" w:rsidRDefault="00DB2D49" w:rsidP="00DB2D49">
            <w:pPr>
              <w:pStyle w:val="Body"/>
            </w:pPr>
            <w:r w:rsidRPr="00DB2D49">
              <w:rPr>
                <w:rFonts w:cs="Arial"/>
                <w:color w:val="000000"/>
                <w:sz w:val="24"/>
                <w:szCs w:val="24"/>
                <w:lang w:eastAsia="en-AU"/>
              </w:rPr>
              <w:t>Environment Protection and Biodiversity Conservation Act 1999</w:t>
            </w:r>
          </w:p>
        </w:tc>
      </w:tr>
      <w:tr w:rsidR="00DB2D49" w:rsidTr="00DB2D49">
        <w:tc>
          <w:tcPr>
            <w:tcW w:w="2518" w:type="dxa"/>
          </w:tcPr>
          <w:p w:rsidR="00DB2D49" w:rsidRPr="00DB2D49" w:rsidRDefault="00DB2D49" w:rsidP="00DB2D49">
            <w:pPr>
              <w:pStyle w:val="Body"/>
            </w:pPr>
            <w:r w:rsidRPr="00DB2D49">
              <w:rPr>
                <w:rFonts w:cs="Arial"/>
                <w:color w:val="000000"/>
                <w:sz w:val="24"/>
                <w:szCs w:val="24"/>
                <w:lang w:eastAsia="en-AU"/>
              </w:rPr>
              <w:t>GBRMPA</w:t>
            </w:r>
          </w:p>
        </w:tc>
        <w:tc>
          <w:tcPr>
            <w:tcW w:w="6485" w:type="dxa"/>
          </w:tcPr>
          <w:p w:rsidR="00DB2D49" w:rsidRPr="00DB2D49" w:rsidRDefault="00DB2D49" w:rsidP="00DB2D49">
            <w:pPr>
              <w:pStyle w:val="Body"/>
            </w:pPr>
            <w:r w:rsidRPr="00DB2D49">
              <w:rPr>
                <w:rFonts w:cs="Arial"/>
                <w:color w:val="000000"/>
                <w:sz w:val="24"/>
                <w:szCs w:val="24"/>
                <w:lang w:eastAsia="en-AU"/>
              </w:rPr>
              <w:t>Great Barrier Reef Marine Park Authority</w:t>
            </w:r>
          </w:p>
        </w:tc>
      </w:tr>
      <w:tr w:rsidR="00DB2D49" w:rsidTr="00DB2D49">
        <w:tc>
          <w:tcPr>
            <w:tcW w:w="2518" w:type="dxa"/>
          </w:tcPr>
          <w:p w:rsidR="00DB2D49" w:rsidRPr="00DB2D49" w:rsidRDefault="00DB2D49" w:rsidP="00DB2D49">
            <w:pPr>
              <w:pStyle w:val="Body"/>
            </w:pPr>
            <w:r w:rsidRPr="00DB2D49">
              <w:rPr>
                <w:rFonts w:cs="Arial"/>
                <w:color w:val="000000"/>
                <w:sz w:val="24"/>
                <w:szCs w:val="24"/>
                <w:lang w:eastAsia="en-AU"/>
              </w:rPr>
              <w:t>GPCL</w:t>
            </w:r>
          </w:p>
        </w:tc>
        <w:tc>
          <w:tcPr>
            <w:tcW w:w="6485" w:type="dxa"/>
          </w:tcPr>
          <w:p w:rsidR="00DB2D49" w:rsidRPr="00DB2D49" w:rsidRDefault="00DB2D49" w:rsidP="00DB2D49">
            <w:pPr>
              <w:pStyle w:val="Body"/>
            </w:pPr>
            <w:r w:rsidRPr="00DB2D49">
              <w:rPr>
                <w:rFonts w:cs="Arial"/>
                <w:color w:val="000000"/>
                <w:sz w:val="24"/>
                <w:szCs w:val="24"/>
                <w:lang w:eastAsia="en-AU"/>
              </w:rPr>
              <w:t>Gladstone Ports Corporation Limited</w:t>
            </w:r>
          </w:p>
        </w:tc>
      </w:tr>
      <w:tr w:rsidR="00DB2D49" w:rsidTr="00DB2D49">
        <w:tc>
          <w:tcPr>
            <w:tcW w:w="2518" w:type="dxa"/>
          </w:tcPr>
          <w:p w:rsidR="00DB2D49" w:rsidRPr="00DB2D49" w:rsidRDefault="00DB2D49" w:rsidP="00DB2D49">
            <w:pPr>
              <w:pStyle w:val="Body"/>
            </w:pPr>
            <w:r w:rsidRPr="00DB2D49">
              <w:rPr>
                <w:rFonts w:cs="Arial"/>
                <w:color w:val="000000"/>
                <w:sz w:val="24"/>
                <w:szCs w:val="24"/>
                <w:lang w:eastAsia="en-AU"/>
              </w:rPr>
              <w:t>GPS</w:t>
            </w:r>
          </w:p>
        </w:tc>
        <w:tc>
          <w:tcPr>
            <w:tcW w:w="6485" w:type="dxa"/>
          </w:tcPr>
          <w:p w:rsidR="00DB2D49" w:rsidRPr="00DB2D49" w:rsidRDefault="00DB2D49" w:rsidP="00DB2D49">
            <w:pPr>
              <w:pStyle w:val="Body"/>
            </w:pPr>
            <w:r w:rsidRPr="00DB2D49">
              <w:rPr>
                <w:rFonts w:cs="Arial"/>
                <w:color w:val="000000"/>
                <w:sz w:val="24"/>
                <w:szCs w:val="24"/>
                <w:lang w:eastAsia="en-AU"/>
              </w:rPr>
              <w:t>Global Positioning System</w:t>
            </w:r>
          </w:p>
        </w:tc>
      </w:tr>
      <w:tr w:rsidR="00DB2D49" w:rsidTr="00DB2D49">
        <w:tc>
          <w:tcPr>
            <w:tcW w:w="2518" w:type="dxa"/>
          </w:tcPr>
          <w:p w:rsidR="00DB2D49" w:rsidRPr="00DB2D49" w:rsidRDefault="00DB2D49" w:rsidP="00DB2D49">
            <w:pPr>
              <w:pStyle w:val="Body"/>
            </w:pPr>
            <w:r w:rsidRPr="00DB2D49">
              <w:rPr>
                <w:rFonts w:cs="Arial"/>
                <w:color w:val="000000"/>
                <w:sz w:val="24"/>
                <w:szCs w:val="24"/>
                <w:lang w:eastAsia="en-AU"/>
              </w:rPr>
              <w:t>Fisheries Queensland</w:t>
            </w:r>
          </w:p>
        </w:tc>
        <w:tc>
          <w:tcPr>
            <w:tcW w:w="6485" w:type="dxa"/>
          </w:tcPr>
          <w:p w:rsidR="00DB2D49" w:rsidRPr="00DB2D49" w:rsidRDefault="00DB2D49" w:rsidP="00DB2D49">
            <w:pPr>
              <w:pStyle w:val="Body"/>
            </w:pPr>
            <w:r w:rsidRPr="00DB2D49">
              <w:rPr>
                <w:rFonts w:cs="Arial"/>
                <w:color w:val="000000"/>
                <w:sz w:val="24"/>
                <w:szCs w:val="24"/>
                <w:lang w:eastAsia="en-AU"/>
              </w:rPr>
              <w:t>Department of Agriculture, Fisheries and Forestry</w:t>
            </w:r>
          </w:p>
        </w:tc>
      </w:tr>
      <w:tr w:rsidR="00DB2D49" w:rsidTr="00DB2D49">
        <w:tc>
          <w:tcPr>
            <w:tcW w:w="2518" w:type="dxa"/>
          </w:tcPr>
          <w:p w:rsidR="00DB2D49" w:rsidRPr="00DB2D49" w:rsidRDefault="00DB2D49" w:rsidP="00DB2D49">
            <w:pPr>
              <w:pStyle w:val="Body"/>
            </w:pPr>
            <w:r w:rsidRPr="00DB2D49">
              <w:rPr>
                <w:rFonts w:cs="Arial"/>
                <w:color w:val="000000"/>
                <w:sz w:val="24"/>
                <w:szCs w:val="24"/>
                <w:lang w:eastAsia="en-AU"/>
              </w:rPr>
              <w:t>ha</w:t>
            </w:r>
          </w:p>
        </w:tc>
        <w:tc>
          <w:tcPr>
            <w:tcW w:w="6485" w:type="dxa"/>
          </w:tcPr>
          <w:p w:rsidR="00DB2D49" w:rsidRPr="00DB2D49" w:rsidRDefault="00DB2D49" w:rsidP="00DB2D49">
            <w:pPr>
              <w:pStyle w:val="Body"/>
            </w:pPr>
            <w:r w:rsidRPr="00DB2D49">
              <w:rPr>
                <w:rFonts w:cs="Arial"/>
                <w:color w:val="000000"/>
                <w:sz w:val="24"/>
                <w:szCs w:val="24"/>
                <w:lang w:eastAsia="en-AU"/>
              </w:rPr>
              <w:t>hectares</w:t>
            </w:r>
          </w:p>
        </w:tc>
      </w:tr>
      <w:tr w:rsidR="00DB2D49" w:rsidTr="00DB2D49">
        <w:tc>
          <w:tcPr>
            <w:tcW w:w="2518" w:type="dxa"/>
          </w:tcPr>
          <w:p w:rsidR="00DB2D49" w:rsidRPr="00DB2D49" w:rsidRDefault="00DB2D49" w:rsidP="00DB2D49">
            <w:pPr>
              <w:pStyle w:val="Body"/>
            </w:pPr>
            <w:r w:rsidRPr="00DB2D49">
              <w:rPr>
                <w:rFonts w:cs="Arial"/>
                <w:color w:val="000000"/>
                <w:sz w:val="24"/>
                <w:szCs w:val="24"/>
                <w:lang w:eastAsia="en-AU"/>
              </w:rPr>
              <w:t>HPCT</w:t>
            </w:r>
          </w:p>
        </w:tc>
        <w:tc>
          <w:tcPr>
            <w:tcW w:w="6485" w:type="dxa"/>
          </w:tcPr>
          <w:p w:rsidR="00DB2D49" w:rsidRPr="00DB2D49" w:rsidRDefault="00DB2D49" w:rsidP="00DB2D49">
            <w:pPr>
              <w:pStyle w:val="Body"/>
            </w:pPr>
            <w:r w:rsidRPr="00DB2D49">
              <w:rPr>
                <w:rFonts w:cs="Arial"/>
                <w:color w:val="000000"/>
                <w:sz w:val="24"/>
                <w:szCs w:val="24"/>
                <w:lang w:eastAsia="en-AU"/>
              </w:rPr>
              <w:t>Hay Point Coal Terminal</w:t>
            </w:r>
          </w:p>
        </w:tc>
      </w:tr>
      <w:tr w:rsidR="00DB2D49" w:rsidTr="00DB2D49">
        <w:tc>
          <w:tcPr>
            <w:tcW w:w="2518"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HVCSC</w:t>
            </w:r>
          </w:p>
        </w:tc>
        <w:tc>
          <w:tcPr>
            <w:tcW w:w="6485"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Hunter Valley Coal Supply Chain</w:t>
            </w:r>
          </w:p>
        </w:tc>
      </w:tr>
      <w:tr w:rsidR="00DB2D49" w:rsidTr="00DB2D49">
        <w:tc>
          <w:tcPr>
            <w:tcW w:w="2518"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IMO</w:t>
            </w:r>
          </w:p>
        </w:tc>
        <w:tc>
          <w:tcPr>
            <w:tcW w:w="6485"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International Maritime Organisation</w:t>
            </w:r>
          </w:p>
        </w:tc>
      </w:tr>
      <w:tr w:rsidR="00DB2D49" w:rsidTr="00DB2D49">
        <w:tc>
          <w:tcPr>
            <w:tcW w:w="2518"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km</w:t>
            </w:r>
          </w:p>
        </w:tc>
        <w:tc>
          <w:tcPr>
            <w:tcW w:w="6485"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kilometres</w:t>
            </w:r>
          </w:p>
        </w:tc>
      </w:tr>
      <w:tr w:rsidR="00DB2D49" w:rsidTr="00DB2D49">
        <w:tc>
          <w:tcPr>
            <w:tcW w:w="2518"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km</w:t>
            </w:r>
            <w:r w:rsidRPr="00DB2D49">
              <w:rPr>
                <w:rFonts w:cs="Arial"/>
                <w:color w:val="000000"/>
                <w:sz w:val="24"/>
                <w:szCs w:val="24"/>
                <w:vertAlign w:val="superscript"/>
                <w:lang w:eastAsia="en-AU"/>
              </w:rPr>
              <w:t>2</w:t>
            </w:r>
          </w:p>
        </w:tc>
        <w:tc>
          <w:tcPr>
            <w:tcW w:w="6485"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square kilometres</w:t>
            </w:r>
          </w:p>
        </w:tc>
      </w:tr>
      <w:tr w:rsidR="00DB2D49" w:rsidTr="00DB2D49">
        <w:tc>
          <w:tcPr>
            <w:tcW w:w="2518"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LAT</w:t>
            </w:r>
          </w:p>
        </w:tc>
        <w:tc>
          <w:tcPr>
            <w:tcW w:w="6485"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lowest astronomical tide</w:t>
            </w:r>
          </w:p>
        </w:tc>
      </w:tr>
      <w:tr w:rsidR="00DB2D49" w:rsidTr="00DB2D49">
        <w:tc>
          <w:tcPr>
            <w:tcW w:w="2518"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lastRenderedPageBreak/>
              <w:t>LNG</w:t>
            </w:r>
          </w:p>
        </w:tc>
        <w:tc>
          <w:tcPr>
            <w:tcW w:w="6485"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liquefied natural gas</w:t>
            </w:r>
          </w:p>
        </w:tc>
      </w:tr>
      <w:tr w:rsidR="00DB2D49" w:rsidTr="00DB2D49">
        <w:tc>
          <w:tcPr>
            <w:tcW w:w="2518"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LWM</w:t>
            </w:r>
          </w:p>
        </w:tc>
        <w:tc>
          <w:tcPr>
            <w:tcW w:w="6485"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low water mark</w:t>
            </w:r>
          </w:p>
        </w:tc>
      </w:tr>
      <w:tr w:rsidR="00DB2D49" w:rsidTr="00DB2D49">
        <w:tc>
          <w:tcPr>
            <w:tcW w:w="2518"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m</w:t>
            </w:r>
          </w:p>
        </w:tc>
        <w:tc>
          <w:tcPr>
            <w:tcW w:w="6485"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metres</w:t>
            </w:r>
          </w:p>
        </w:tc>
      </w:tr>
      <w:tr w:rsidR="00DB2D49" w:rsidTr="00DB2D49">
        <w:tc>
          <w:tcPr>
            <w:tcW w:w="2518"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MNES</w:t>
            </w:r>
          </w:p>
        </w:tc>
        <w:tc>
          <w:tcPr>
            <w:tcW w:w="6485"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Matters of National Environmental Significance</w:t>
            </w:r>
          </w:p>
        </w:tc>
      </w:tr>
      <w:tr w:rsidR="00DB2D49" w:rsidTr="00DB2D49">
        <w:tc>
          <w:tcPr>
            <w:tcW w:w="2518"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MSQ</w:t>
            </w:r>
          </w:p>
        </w:tc>
        <w:tc>
          <w:tcPr>
            <w:tcW w:w="6485"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Maritime Safety Queensland</w:t>
            </w:r>
          </w:p>
        </w:tc>
      </w:tr>
      <w:tr w:rsidR="00DB2D49" w:rsidTr="00DB2D49">
        <w:tc>
          <w:tcPr>
            <w:tcW w:w="2518"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NPC</w:t>
            </w:r>
          </w:p>
        </w:tc>
        <w:tc>
          <w:tcPr>
            <w:tcW w:w="6485"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Newcastle Port Corporation</w:t>
            </w:r>
          </w:p>
        </w:tc>
      </w:tr>
      <w:tr w:rsidR="00DB2D49" w:rsidTr="00DB2D49">
        <w:tc>
          <w:tcPr>
            <w:tcW w:w="2518"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NPV</w:t>
            </w:r>
          </w:p>
        </w:tc>
        <w:tc>
          <w:tcPr>
            <w:tcW w:w="6485"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Net Present Value</w:t>
            </w:r>
          </w:p>
        </w:tc>
      </w:tr>
      <w:tr w:rsidR="00DB2D49" w:rsidTr="00DB2D49">
        <w:tc>
          <w:tcPr>
            <w:tcW w:w="2518"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OUV</w:t>
            </w:r>
          </w:p>
        </w:tc>
        <w:tc>
          <w:tcPr>
            <w:tcW w:w="6485"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Outstanding Universal Value</w:t>
            </w:r>
          </w:p>
        </w:tc>
      </w:tr>
      <w:tr w:rsidR="00DB2D49" w:rsidTr="00DB2D49">
        <w:tc>
          <w:tcPr>
            <w:tcW w:w="2518"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POTL</w:t>
            </w:r>
          </w:p>
        </w:tc>
        <w:tc>
          <w:tcPr>
            <w:tcW w:w="6485"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Port of Townsville Limited</w:t>
            </w:r>
          </w:p>
        </w:tc>
      </w:tr>
      <w:tr w:rsidR="00DB2D49" w:rsidTr="00DB2D49">
        <w:tc>
          <w:tcPr>
            <w:tcW w:w="2518"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PSSA</w:t>
            </w:r>
          </w:p>
        </w:tc>
        <w:tc>
          <w:tcPr>
            <w:tcW w:w="6485"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Particularly Sensitive Sea Area</w:t>
            </w:r>
          </w:p>
        </w:tc>
      </w:tr>
      <w:tr w:rsidR="00DB2D49" w:rsidTr="00DB2D49">
        <w:tc>
          <w:tcPr>
            <w:tcW w:w="2518"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NQBP</w:t>
            </w:r>
          </w:p>
        </w:tc>
        <w:tc>
          <w:tcPr>
            <w:tcW w:w="6485"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North Queensland Bulk Ports</w:t>
            </w:r>
          </w:p>
        </w:tc>
      </w:tr>
      <w:tr w:rsidR="00DB2D49" w:rsidTr="00DB2D49">
        <w:tc>
          <w:tcPr>
            <w:tcW w:w="2518"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RHM</w:t>
            </w:r>
          </w:p>
        </w:tc>
        <w:tc>
          <w:tcPr>
            <w:tcW w:w="6485"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Regional Harbour Master</w:t>
            </w:r>
          </w:p>
        </w:tc>
      </w:tr>
      <w:tr w:rsidR="00DB2D49" w:rsidTr="00DB2D49">
        <w:tc>
          <w:tcPr>
            <w:tcW w:w="2518"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the Marine Park</w:t>
            </w:r>
          </w:p>
        </w:tc>
        <w:tc>
          <w:tcPr>
            <w:tcW w:w="6485"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the Great Barrier Reef Marine Park</w:t>
            </w:r>
          </w:p>
        </w:tc>
      </w:tr>
      <w:tr w:rsidR="00DB2D49" w:rsidTr="00DB2D49">
        <w:tc>
          <w:tcPr>
            <w:tcW w:w="2518"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the Reef</w:t>
            </w:r>
          </w:p>
        </w:tc>
        <w:tc>
          <w:tcPr>
            <w:tcW w:w="6485"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the Great Barrier Reef</w:t>
            </w:r>
          </w:p>
        </w:tc>
      </w:tr>
      <w:tr w:rsidR="00DB2D49" w:rsidTr="00DB2D49">
        <w:tc>
          <w:tcPr>
            <w:tcW w:w="2518"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VAS</w:t>
            </w:r>
          </w:p>
        </w:tc>
        <w:tc>
          <w:tcPr>
            <w:tcW w:w="6485"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Vessel Arrival System</w:t>
            </w:r>
          </w:p>
        </w:tc>
      </w:tr>
      <w:tr w:rsidR="00DB2D49" w:rsidTr="00DB2D49">
        <w:tc>
          <w:tcPr>
            <w:tcW w:w="2518"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World Heritage Area</w:t>
            </w:r>
          </w:p>
        </w:tc>
        <w:tc>
          <w:tcPr>
            <w:tcW w:w="6485" w:type="dxa"/>
          </w:tcPr>
          <w:p w:rsidR="00DB2D49" w:rsidRPr="00DB2D49" w:rsidRDefault="00DB2D49" w:rsidP="00DB2D49">
            <w:pPr>
              <w:pStyle w:val="Body"/>
              <w:rPr>
                <w:rFonts w:cs="Arial"/>
                <w:color w:val="000000"/>
                <w:sz w:val="24"/>
                <w:szCs w:val="24"/>
                <w:lang w:eastAsia="en-AU"/>
              </w:rPr>
            </w:pPr>
            <w:r w:rsidRPr="00DB2D49">
              <w:rPr>
                <w:rFonts w:cs="Arial"/>
                <w:color w:val="000000"/>
                <w:sz w:val="24"/>
                <w:szCs w:val="24"/>
                <w:lang w:eastAsia="en-AU"/>
              </w:rPr>
              <w:t>Great Barrier Reef World Heritage Area</w:t>
            </w:r>
          </w:p>
        </w:tc>
      </w:tr>
    </w:tbl>
    <w:p w:rsidR="00B0005A" w:rsidRDefault="00B0005A" w:rsidP="00867113">
      <w:pPr>
        <w:pStyle w:val="Body"/>
        <w:sectPr w:rsidR="00B0005A" w:rsidSect="00657C24">
          <w:headerReference w:type="default" r:id="rId16"/>
          <w:footerReference w:type="default" r:id="rId17"/>
          <w:pgSz w:w="11906" w:h="16838" w:code="9"/>
          <w:pgMar w:top="1418" w:right="1701" w:bottom="1701" w:left="1418" w:header="709" w:footer="709" w:gutter="0"/>
          <w:pgNumType w:fmt="lowerRoman"/>
          <w:cols w:space="720"/>
          <w:docGrid w:linePitch="273"/>
        </w:sectPr>
      </w:pPr>
    </w:p>
    <w:p w:rsidR="004C02E0" w:rsidRDefault="003259DA" w:rsidP="00B6174B">
      <w:pPr>
        <w:pStyle w:val="Heading1"/>
        <w:numPr>
          <w:ilvl w:val="0"/>
          <w:numId w:val="3"/>
        </w:numPr>
        <w:tabs>
          <w:tab w:val="clear" w:pos="992"/>
          <w:tab w:val="num" w:pos="567"/>
        </w:tabs>
        <w:ind w:left="567" w:hanging="1134"/>
      </w:pPr>
      <w:bookmarkStart w:id="7" w:name="_Toc362274257"/>
      <w:r>
        <w:lastRenderedPageBreak/>
        <w:t>INTRODUCTION</w:t>
      </w:r>
      <w:bookmarkEnd w:id="7"/>
      <w:r w:rsidR="00564A59">
        <w:t xml:space="preserve"> </w:t>
      </w:r>
    </w:p>
    <w:p w:rsidR="00564A59" w:rsidRPr="00B41CFA" w:rsidRDefault="004C02E0" w:rsidP="00B22C15">
      <w:pPr>
        <w:pStyle w:val="Heading2"/>
        <w:rPr>
          <w:sz w:val="24"/>
        </w:rPr>
      </w:pPr>
      <w:bookmarkStart w:id="8" w:name="_Toc362274258"/>
      <w:r w:rsidRPr="00B41CFA">
        <w:rPr>
          <w:sz w:val="24"/>
        </w:rPr>
        <w:t>Relationship of this project to the comprehensive Strategic Assessment</w:t>
      </w:r>
      <w:bookmarkEnd w:id="8"/>
    </w:p>
    <w:p w:rsidR="004C02E0" w:rsidRPr="00BE4CDE" w:rsidRDefault="004C02E0" w:rsidP="004C02E0">
      <w:pPr>
        <w:pStyle w:val="Body"/>
        <w:rPr>
          <w:sz w:val="24"/>
          <w:szCs w:val="24"/>
        </w:rPr>
      </w:pPr>
      <w:r w:rsidRPr="00BE4CDE">
        <w:rPr>
          <w:sz w:val="24"/>
          <w:szCs w:val="24"/>
        </w:rPr>
        <w:t>The Great Barrier Reef Marine Park Authority (GBRMPA) is the principal advisor to the Commonwealth Government on the conservation, care and utilisation of the Great Barrier Reef Marine Park (the Marine Park). The Marine Park is a multiple-use marine park that supports a range of activities, industries, communities and businesses. The GBRMPA’s goal is to provide for the long-term protection, ecologically sustainable use, understanding and enjoyment of the Great Barrier Reef (the Reef) for all Australians and the international community through the care and development of the Marine Park.</w:t>
      </w:r>
    </w:p>
    <w:p w:rsidR="004C02E0" w:rsidRPr="00BE4CDE" w:rsidRDefault="004C02E0" w:rsidP="004C02E0">
      <w:pPr>
        <w:pStyle w:val="Body"/>
        <w:rPr>
          <w:sz w:val="24"/>
          <w:szCs w:val="24"/>
        </w:rPr>
      </w:pPr>
      <w:r w:rsidRPr="00BE4CDE">
        <w:rPr>
          <w:sz w:val="24"/>
          <w:szCs w:val="24"/>
        </w:rPr>
        <w:t>The Australian and Queensland Governments are working together on a comprehensive Strategic Assessment of the Great Barrier Reef World Heritage Area (World Heritage Area) and the nearby coastal zone. The Strategic Assessment is an overall assessment of the effectiveness of management arrangements to protect the environmental values of the World Heritage Area. The goal is to ensure the World Heritage values of the Reef are protected while creating a long-term plan for sustainable development in the region.</w:t>
      </w:r>
    </w:p>
    <w:p w:rsidR="004C02E0" w:rsidRPr="00BE4CDE" w:rsidRDefault="004C02E0" w:rsidP="004C02E0">
      <w:pPr>
        <w:pStyle w:val="Body"/>
        <w:rPr>
          <w:sz w:val="24"/>
          <w:szCs w:val="24"/>
        </w:rPr>
      </w:pPr>
      <w:r w:rsidRPr="00BE4CDE">
        <w:rPr>
          <w:sz w:val="24"/>
          <w:szCs w:val="24"/>
        </w:rPr>
        <w:t xml:space="preserve">The Strategic Assessment will identify planned and potential future development that could impact on the World Heritage Area’s Outstanding Universal Value (OUV) and inform long-term planning for sustainable development. The Strategic Assessment will examine the pressures, including the cumulative impacts of actions, such as shipping, on the World Heritage Area, other relevant </w:t>
      </w:r>
      <w:r w:rsidR="00F04D97" w:rsidRPr="00BE4CDE">
        <w:rPr>
          <w:sz w:val="24"/>
          <w:szCs w:val="24"/>
        </w:rPr>
        <w:t>M</w:t>
      </w:r>
      <w:r w:rsidRPr="00BE4CDE">
        <w:rPr>
          <w:sz w:val="24"/>
          <w:szCs w:val="24"/>
        </w:rPr>
        <w:t xml:space="preserve">atters of </w:t>
      </w:r>
      <w:r w:rsidR="00F04D97" w:rsidRPr="00BE4CDE">
        <w:rPr>
          <w:sz w:val="24"/>
          <w:szCs w:val="24"/>
        </w:rPr>
        <w:t>N</w:t>
      </w:r>
      <w:r w:rsidRPr="00BE4CDE">
        <w:rPr>
          <w:sz w:val="24"/>
          <w:szCs w:val="24"/>
        </w:rPr>
        <w:t xml:space="preserve">ational </w:t>
      </w:r>
      <w:r w:rsidR="00F04D97" w:rsidRPr="00BE4CDE">
        <w:rPr>
          <w:sz w:val="24"/>
          <w:szCs w:val="24"/>
        </w:rPr>
        <w:t>E</w:t>
      </w:r>
      <w:r w:rsidRPr="00BE4CDE">
        <w:rPr>
          <w:sz w:val="24"/>
          <w:szCs w:val="24"/>
        </w:rPr>
        <w:t xml:space="preserve">nvironmental </w:t>
      </w:r>
      <w:r w:rsidR="00F04D97" w:rsidRPr="00BE4CDE">
        <w:rPr>
          <w:sz w:val="24"/>
          <w:szCs w:val="24"/>
        </w:rPr>
        <w:t>S</w:t>
      </w:r>
      <w:r w:rsidRPr="00BE4CDE">
        <w:rPr>
          <w:sz w:val="24"/>
          <w:szCs w:val="24"/>
        </w:rPr>
        <w:t xml:space="preserve">ignificance (MNES), and the management arrangements to deal with such impacts. </w:t>
      </w:r>
    </w:p>
    <w:p w:rsidR="004C02E0" w:rsidRPr="00BE4CDE" w:rsidRDefault="004C02E0" w:rsidP="004C02E0">
      <w:pPr>
        <w:pStyle w:val="Body"/>
        <w:rPr>
          <w:sz w:val="24"/>
          <w:szCs w:val="24"/>
        </w:rPr>
      </w:pPr>
      <w:r w:rsidRPr="00BE4CDE">
        <w:rPr>
          <w:sz w:val="24"/>
          <w:szCs w:val="24"/>
        </w:rPr>
        <w:t>The Strategic Assessment comprises two elements: The Great Barrier Reef Coastal Zone Strategic Assessment to be undertaken by the Queensland Government; and The Great Barrier Reef Marine Strategic Assessment to be undertaken by the GBRMPA.</w:t>
      </w:r>
    </w:p>
    <w:p w:rsidR="00564A59" w:rsidRPr="00BE4CDE" w:rsidRDefault="004C02E0" w:rsidP="004C02E0">
      <w:pPr>
        <w:pStyle w:val="Body"/>
        <w:rPr>
          <w:sz w:val="24"/>
          <w:szCs w:val="24"/>
        </w:rPr>
      </w:pPr>
      <w:r w:rsidRPr="00BE4CDE">
        <w:rPr>
          <w:sz w:val="24"/>
          <w:szCs w:val="24"/>
        </w:rPr>
        <w:t>The marine assessment will examine the uses of the Marine Park and the impacts of these uses as well as examining the controls on those uses and policies and assessing the effectiveness of those controls. Of the activities in the Marine Park, ports and shipping is one area where concern about impacts has been expressed. This project supports the marine assessment by completing works to achieve the “</w:t>
      </w:r>
      <w:r w:rsidRPr="00BE4CDE">
        <w:rPr>
          <w:i/>
          <w:sz w:val="24"/>
          <w:szCs w:val="24"/>
        </w:rPr>
        <w:t>identification of impacts and proposed management strategies associated with ship anchorages in the Great Barrier Reef World Heritage Area</w:t>
      </w:r>
      <w:r w:rsidRPr="00BE4CDE">
        <w:rPr>
          <w:sz w:val="24"/>
          <w:szCs w:val="24"/>
        </w:rPr>
        <w:t>”. Findings from the project will inform the comprehensive strategic assessment of the Reef and associated regional sustainability planning.</w:t>
      </w:r>
    </w:p>
    <w:p w:rsidR="004C02E0" w:rsidRPr="00B41CFA" w:rsidRDefault="004C02E0" w:rsidP="00B22C15">
      <w:pPr>
        <w:pStyle w:val="Heading2"/>
        <w:rPr>
          <w:sz w:val="24"/>
        </w:rPr>
      </w:pPr>
      <w:bookmarkStart w:id="9" w:name="_Ref337112322"/>
      <w:bookmarkStart w:id="10" w:name="_Toc337815389"/>
      <w:bookmarkStart w:id="11" w:name="_Toc362274259"/>
      <w:r w:rsidRPr="00B41CFA">
        <w:rPr>
          <w:sz w:val="24"/>
        </w:rPr>
        <w:t>Background to this project</w:t>
      </w:r>
      <w:bookmarkEnd w:id="9"/>
      <w:bookmarkEnd w:id="10"/>
      <w:bookmarkEnd w:id="11"/>
    </w:p>
    <w:p w:rsidR="004C02E0" w:rsidRPr="00BE4CDE" w:rsidRDefault="004C02E0" w:rsidP="004C02E0">
      <w:pPr>
        <w:pStyle w:val="Body"/>
        <w:rPr>
          <w:sz w:val="24"/>
          <w:szCs w:val="24"/>
        </w:rPr>
      </w:pPr>
      <w:r w:rsidRPr="00BE4CDE">
        <w:rPr>
          <w:sz w:val="24"/>
          <w:szCs w:val="24"/>
        </w:rPr>
        <w:t xml:space="preserve">There is a predicted increase in shipping traffic within the Marine Park and World Heritage Area over the next 10 years, primarily driven by bulk commodity exports. This increase is focused around existing and future port expansions at Queensland ports between Cairns and Gladstone. The proposed port expansions </w:t>
      </w:r>
      <w:r w:rsidRPr="00BE4CDE">
        <w:rPr>
          <w:sz w:val="24"/>
          <w:szCs w:val="24"/>
        </w:rPr>
        <w:lastRenderedPageBreak/>
        <w:t xml:space="preserve">may have far reaching and long-lasting implications for the health of the Marine Park and in particular the in-shore biodiversity of the Great Barrier Reef Region. </w:t>
      </w:r>
    </w:p>
    <w:p w:rsidR="004C02E0" w:rsidRPr="00BE4CDE" w:rsidRDefault="004C02E0" w:rsidP="004C02E0">
      <w:pPr>
        <w:pStyle w:val="Body"/>
        <w:rPr>
          <w:sz w:val="24"/>
          <w:szCs w:val="24"/>
        </w:rPr>
      </w:pPr>
      <w:r w:rsidRPr="00BE4CDE">
        <w:rPr>
          <w:sz w:val="24"/>
          <w:szCs w:val="24"/>
        </w:rPr>
        <w:t xml:space="preserve">The International Maritime Organisation (IMO) designated the Reef as a Particularly Sensitive Sea Area (PSSA) in 1990. This confirms that the Reef was considered particularly vulnerable to the impacts of international shipping. With this declaration, the Australian Government was able to implement a number of measures to protect the Reef, including ship routing, traffic management, shore based monitoring, emergency response arrangements and pilotage. </w:t>
      </w:r>
    </w:p>
    <w:p w:rsidR="004C02E0" w:rsidRPr="00BE4CDE" w:rsidRDefault="004C02E0" w:rsidP="004C02E0">
      <w:pPr>
        <w:pStyle w:val="Body"/>
        <w:rPr>
          <w:sz w:val="24"/>
          <w:szCs w:val="24"/>
        </w:rPr>
      </w:pPr>
      <w:r w:rsidRPr="00BE4CDE">
        <w:rPr>
          <w:sz w:val="24"/>
          <w:szCs w:val="24"/>
        </w:rPr>
        <w:t xml:space="preserve">The </w:t>
      </w:r>
      <w:r w:rsidRPr="00BE4CDE">
        <w:rPr>
          <w:i/>
          <w:sz w:val="24"/>
          <w:szCs w:val="24"/>
        </w:rPr>
        <w:t>Great Barrier Reef Marine Park Zoning Plan 2003</w:t>
      </w:r>
      <w:r w:rsidRPr="00BE4CDE">
        <w:rPr>
          <w:sz w:val="24"/>
          <w:szCs w:val="24"/>
        </w:rPr>
        <w:t xml:space="preserve"> designates where ships may navigate; which is only within the Designated Shipping Areas (DSA) and the General Use Zone. The definition of navigate includes moor, or anchor, in the course of navigation. This indicates that ships are allowed to navigate (including anchor) in the DSA and the General Use Zone in the Marine Park. </w:t>
      </w:r>
    </w:p>
    <w:p w:rsidR="00D1653C" w:rsidRPr="00BE4CDE" w:rsidRDefault="00D1653C" w:rsidP="00841C56">
      <w:pPr>
        <w:pStyle w:val="Body"/>
        <w:rPr>
          <w:sz w:val="24"/>
          <w:szCs w:val="24"/>
        </w:rPr>
      </w:pPr>
      <w:r w:rsidRPr="00BE4CDE">
        <w:rPr>
          <w:sz w:val="24"/>
          <w:szCs w:val="24"/>
        </w:rPr>
        <w:t xml:space="preserve">The projected increase in shipping has the potential to increase both the number and size of anchorage areas adjacent to ports with potential environmental impacts (such as </w:t>
      </w:r>
      <w:r w:rsidR="00841C56" w:rsidRPr="00BE4CDE">
        <w:rPr>
          <w:sz w:val="24"/>
          <w:szCs w:val="24"/>
        </w:rPr>
        <w:t xml:space="preserve">turbidity plumes and </w:t>
      </w:r>
      <w:r w:rsidRPr="00BE4CDE">
        <w:rPr>
          <w:sz w:val="24"/>
          <w:szCs w:val="24"/>
        </w:rPr>
        <w:t>seabed damage caused by anchor drops and chain dragging</w:t>
      </w:r>
      <w:r w:rsidR="00841C56" w:rsidRPr="00BE4CDE">
        <w:rPr>
          <w:sz w:val="24"/>
          <w:szCs w:val="24"/>
        </w:rPr>
        <w:t>, disturbance to fauna from noise and light impacts, and increase risk of pest species introductions</w:t>
      </w:r>
      <w:r w:rsidRPr="00BE4CDE">
        <w:rPr>
          <w:sz w:val="24"/>
          <w:szCs w:val="24"/>
        </w:rPr>
        <w:t>) and potential impacts to other users (</w:t>
      </w:r>
      <w:r w:rsidR="00F04D97" w:rsidRPr="00BE4CDE">
        <w:rPr>
          <w:sz w:val="24"/>
          <w:szCs w:val="24"/>
        </w:rPr>
        <w:t xml:space="preserve">for example </w:t>
      </w:r>
      <w:r w:rsidRPr="00BE4CDE">
        <w:rPr>
          <w:sz w:val="24"/>
          <w:szCs w:val="24"/>
        </w:rPr>
        <w:t xml:space="preserve">fishing, tourism and recreational). </w:t>
      </w:r>
      <w:r w:rsidR="00841C56" w:rsidRPr="00BE4CDE">
        <w:rPr>
          <w:sz w:val="24"/>
          <w:szCs w:val="24"/>
        </w:rPr>
        <w:t xml:space="preserve">Potential impacts caused by ship anchorages are explored in the Environmental Impact Assessment Report (EIA) delivered as phase one of this project (GHD, 2012a). </w:t>
      </w:r>
      <w:r w:rsidRPr="00BE4CDE">
        <w:rPr>
          <w:sz w:val="24"/>
          <w:szCs w:val="24"/>
        </w:rPr>
        <w:t>Existing arrangements for anchorage placement in the Great Barrier Reef Region are undertaken through a process where the Queensland Department of Transport and Main Roads, through Maritime Safety Queensland (MSQ), provide guidance to mariners to ensure orderly management of shipping in areas adjacent to ports, with the focus on safety and navigation. Environmental and multiple-use considerations for those areas are not formally considered as part of the process.</w:t>
      </w:r>
    </w:p>
    <w:p w:rsidR="00564A59" w:rsidRPr="00B41CFA" w:rsidRDefault="004C02E0" w:rsidP="00B22C15">
      <w:pPr>
        <w:pStyle w:val="Heading2"/>
        <w:rPr>
          <w:sz w:val="24"/>
        </w:rPr>
      </w:pPr>
      <w:bookmarkStart w:id="12" w:name="_Toc362274260"/>
      <w:r w:rsidRPr="00B41CFA">
        <w:rPr>
          <w:sz w:val="24"/>
        </w:rPr>
        <w:t>This project</w:t>
      </w:r>
      <w:bookmarkEnd w:id="12"/>
    </w:p>
    <w:p w:rsidR="00D1653C" w:rsidRPr="00BE4CDE" w:rsidRDefault="00D1653C" w:rsidP="00D1653C">
      <w:pPr>
        <w:pStyle w:val="Body"/>
        <w:rPr>
          <w:sz w:val="24"/>
          <w:szCs w:val="24"/>
        </w:rPr>
      </w:pPr>
      <w:r w:rsidRPr="00BE4CDE">
        <w:rPr>
          <w:sz w:val="24"/>
          <w:szCs w:val="24"/>
        </w:rPr>
        <w:t xml:space="preserve">The current project will develop understanding of the environmental impacts, risks, costs and benefits of ship anchorages adjacent to major ports operating in the Reef and synthesise relevant strategies for managing these anchorages to reduce potential impacts. The project will provide information to support best practice environmental management of ship anchoring in the Reef and inform future policy and planning outcomes, including the Strategic Assessment, Regional Sustainability Planning and the North East Shipping Management Plan. </w:t>
      </w:r>
    </w:p>
    <w:p w:rsidR="004C02E0" w:rsidRPr="00BE4CDE" w:rsidRDefault="004C02E0" w:rsidP="004C02E0">
      <w:pPr>
        <w:pStyle w:val="Body"/>
        <w:rPr>
          <w:sz w:val="24"/>
          <w:szCs w:val="24"/>
        </w:rPr>
      </w:pPr>
      <w:r w:rsidRPr="00BE4CDE">
        <w:rPr>
          <w:sz w:val="24"/>
          <w:szCs w:val="24"/>
        </w:rPr>
        <w:t>This project is being delivered across three phases of work:</w:t>
      </w:r>
    </w:p>
    <w:p w:rsidR="004C02E0" w:rsidRPr="00BE4CDE" w:rsidRDefault="004C02E0" w:rsidP="00BA5ADE">
      <w:pPr>
        <w:pStyle w:val="Bullet"/>
        <w:numPr>
          <w:ilvl w:val="0"/>
          <w:numId w:val="11"/>
        </w:numPr>
        <w:rPr>
          <w:sz w:val="24"/>
          <w:szCs w:val="24"/>
        </w:rPr>
      </w:pPr>
      <w:r w:rsidRPr="00BE4CDE">
        <w:rPr>
          <w:sz w:val="24"/>
          <w:szCs w:val="24"/>
        </w:rPr>
        <w:t xml:space="preserve">Identification of the environmental impacts of anchoring associated with the five major ports in the World Heritage Area: Cairns, Townsville, Abbot Point, Hay Point, and Gladstone. </w:t>
      </w:r>
    </w:p>
    <w:p w:rsidR="004C02E0" w:rsidRPr="00BE4CDE" w:rsidRDefault="004C02E0" w:rsidP="00BA5ADE">
      <w:pPr>
        <w:pStyle w:val="Bullet"/>
        <w:numPr>
          <w:ilvl w:val="0"/>
          <w:numId w:val="11"/>
        </w:numPr>
        <w:rPr>
          <w:sz w:val="24"/>
          <w:szCs w:val="24"/>
        </w:rPr>
      </w:pPr>
      <w:r w:rsidRPr="00BE4CDE">
        <w:rPr>
          <w:sz w:val="24"/>
          <w:szCs w:val="24"/>
        </w:rPr>
        <w:t>Socio-economic costs and benefits associated with different anchorage strategies.</w:t>
      </w:r>
    </w:p>
    <w:p w:rsidR="004C02E0" w:rsidRPr="00BE4CDE" w:rsidRDefault="004C02E0" w:rsidP="00BA5ADE">
      <w:pPr>
        <w:pStyle w:val="Bullet"/>
        <w:numPr>
          <w:ilvl w:val="0"/>
          <w:numId w:val="11"/>
        </w:numPr>
        <w:rPr>
          <w:sz w:val="24"/>
          <w:szCs w:val="24"/>
        </w:rPr>
      </w:pPr>
      <w:r w:rsidRPr="00BE4CDE">
        <w:rPr>
          <w:sz w:val="24"/>
          <w:szCs w:val="24"/>
        </w:rPr>
        <w:t>Anchorage management strategies that could be used to avoid, mitigate, offset or adaptively manage identified impacts.</w:t>
      </w:r>
    </w:p>
    <w:p w:rsidR="004C02E0" w:rsidRPr="00BE4CDE" w:rsidRDefault="004C02E0" w:rsidP="004C02E0">
      <w:pPr>
        <w:pStyle w:val="Body"/>
        <w:rPr>
          <w:sz w:val="24"/>
          <w:szCs w:val="24"/>
        </w:rPr>
      </w:pPr>
      <w:r w:rsidRPr="00BE4CDE">
        <w:rPr>
          <w:sz w:val="24"/>
          <w:szCs w:val="24"/>
        </w:rPr>
        <w:lastRenderedPageBreak/>
        <w:t>This project will directly inform the following Strategic Assessment deliverables, as set out under the Terms of Reference for the Great Barrier Reef Region Strategic Assessment:</w:t>
      </w:r>
    </w:p>
    <w:p w:rsidR="004C02E0" w:rsidRPr="00BE4CDE" w:rsidRDefault="004C02E0" w:rsidP="004C02E0">
      <w:pPr>
        <w:pStyle w:val="Bullet"/>
        <w:rPr>
          <w:sz w:val="24"/>
          <w:szCs w:val="24"/>
        </w:rPr>
      </w:pPr>
      <w:r w:rsidRPr="00BE4CDE">
        <w:rPr>
          <w:sz w:val="24"/>
          <w:szCs w:val="24"/>
        </w:rPr>
        <w:t>Item 3.1 Assessment of actual and potential impacts including direct, indirect, consequential and cumulative impacts</w:t>
      </w:r>
    </w:p>
    <w:p w:rsidR="004C02E0" w:rsidRPr="00BE4CDE" w:rsidRDefault="004C02E0" w:rsidP="004C02E0">
      <w:pPr>
        <w:pStyle w:val="Bullet"/>
        <w:rPr>
          <w:sz w:val="24"/>
          <w:szCs w:val="24"/>
        </w:rPr>
      </w:pPr>
      <w:r w:rsidRPr="00BE4CDE">
        <w:rPr>
          <w:sz w:val="24"/>
          <w:szCs w:val="24"/>
        </w:rPr>
        <w:t>Item 4.1.1 (c) Consider environmental, social, cultural and economic issues</w:t>
      </w:r>
    </w:p>
    <w:p w:rsidR="004C02E0" w:rsidRPr="00BE4CDE" w:rsidRDefault="004C02E0" w:rsidP="004C02E0">
      <w:pPr>
        <w:pStyle w:val="Bullet"/>
        <w:rPr>
          <w:sz w:val="24"/>
          <w:szCs w:val="24"/>
        </w:rPr>
      </w:pPr>
      <w:r w:rsidRPr="00BE4CDE">
        <w:rPr>
          <w:sz w:val="24"/>
          <w:szCs w:val="24"/>
        </w:rPr>
        <w:t>Item 4.1.1 (d) Avoid, mitigate, offset and adaptively manage impacts</w:t>
      </w:r>
    </w:p>
    <w:p w:rsidR="004C02E0" w:rsidRPr="00BE4CDE" w:rsidRDefault="004C02E0" w:rsidP="004C02E0">
      <w:pPr>
        <w:pStyle w:val="Bullet"/>
        <w:rPr>
          <w:sz w:val="24"/>
          <w:szCs w:val="24"/>
        </w:rPr>
      </w:pPr>
      <w:r w:rsidRPr="00BE4CDE">
        <w:rPr>
          <w:sz w:val="24"/>
          <w:szCs w:val="24"/>
        </w:rPr>
        <w:t>Item 4.1.1 (e) Address uncertainty and risk</w:t>
      </w:r>
    </w:p>
    <w:p w:rsidR="004C02E0" w:rsidRPr="00BE4CDE" w:rsidRDefault="004C02E0" w:rsidP="004C02E0">
      <w:pPr>
        <w:pStyle w:val="Bullet"/>
        <w:rPr>
          <w:sz w:val="24"/>
          <w:szCs w:val="24"/>
        </w:rPr>
      </w:pPr>
      <w:r w:rsidRPr="00BE4CDE">
        <w:rPr>
          <w:sz w:val="24"/>
          <w:szCs w:val="24"/>
        </w:rPr>
        <w:t>Item 4.1.1 (f) Provide certainty regarding where uses may occur etc.</w:t>
      </w:r>
    </w:p>
    <w:p w:rsidR="004C02E0" w:rsidRPr="00BE4CDE" w:rsidRDefault="004C02E0" w:rsidP="004C02E0">
      <w:pPr>
        <w:pStyle w:val="Bullet"/>
        <w:rPr>
          <w:sz w:val="24"/>
          <w:szCs w:val="24"/>
        </w:rPr>
      </w:pPr>
      <w:r w:rsidRPr="00BE4CDE">
        <w:rPr>
          <w:sz w:val="24"/>
          <w:szCs w:val="24"/>
        </w:rPr>
        <w:t xml:space="preserve">Item 4.2 </w:t>
      </w:r>
      <w:r w:rsidR="00F04D97" w:rsidRPr="00BE4CDE">
        <w:rPr>
          <w:sz w:val="24"/>
          <w:szCs w:val="24"/>
        </w:rPr>
        <w:t>R</w:t>
      </w:r>
      <w:r w:rsidRPr="00BE4CDE">
        <w:rPr>
          <w:sz w:val="24"/>
          <w:szCs w:val="24"/>
        </w:rPr>
        <w:t xml:space="preserve">elevant Demonstration Cases </w:t>
      </w:r>
    </w:p>
    <w:p w:rsidR="004C02E0" w:rsidRPr="00BE4CDE" w:rsidRDefault="004C02E0" w:rsidP="004C02E0">
      <w:pPr>
        <w:pStyle w:val="Bullet"/>
        <w:rPr>
          <w:sz w:val="24"/>
          <w:szCs w:val="24"/>
        </w:rPr>
      </w:pPr>
      <w:r w:rsidRPr="00BE4CDE">
        <w:rPr>
          <w:sz w:val="24"/>
          <w:szCs w:val="24"/>
        </w:rPr>
        <w:t xml:space="preserve">Item 5 Describe projected condition of relevant </w:t>
      </w:r>
      <w:r w:rsidR="00F04D97" w:rsidRPr="00BE4CDE">
        <w:rPr>
          <w:sz w:val="24"/>
          <w:szCs w:val="24"/>
        </w:rPr>
        <w:t>M</w:t>
      </w:r>
      <w:r w:rsidRPr="00BE4CDE">
        <w:rPr>
          <w:sz w:val="24"/>
          <w:szCs w:val="24"/>
        </w:rPr>
        <w:t xml:space="preserve">atters of </w:t>
      </w:r>
      <w:r w:rsidR="00F04D97" w:rsidRPr="00BE4CDE">
        <w:rPr>
          <w:sz w:val="24"/>
          <w:szCs w:val="24"/>
        </w:rPr>
        <w:t>N</w:t>
      </w:r>
      <w:r w:rsidRPr="00BE4CDE">
        <w:rPr>
          <w:sz w:val="24"/>
          <w:szCs w:val="24"/>
        </w:rPr>
        <w:t xml:space="preserve">ational </w:t>
      </w:r>
      <w:r w:rsidR="00F04D97" w:rsidRPr="00BE4CDE">
        <w:rPr>
          <w:sz w:val="24"/>
          <w:szCs w:val="24"/>
        </w:rPr>
        <w:t>E</w:t>
      </w:r>
      <w:r w:rsidRPr="00BE4CDE">
        <w:rPr>
          <w:sz w:val="24"/>
          <w:szCs w:val="24"/>
        </w:rPr>
        <w:t xml:space="preserve">nvironmental </w:t>
      </w:r>
      <w:r w:rsidR="00F04D97" w:rsidRPr="00BE4CDE">
        <w:rPr>
          <w:sz w:val="24"/>
          <w:szCs w:val="24"/>
        </w:rPr>
        <w:t>S</w:t>
      </w:r>
      <w:r w:rsidRPr="00BE4CDE">
        <w:rPr>
          <w:sz w:val="24"/>
          <w:szCs w:val="24"/>
        </w:rPr>
        <w:t>ignificance</w:t>
      </w:r>
    </w:p>
    <w:p w:rsidR="004C02E0" w:rsidRPr="00BE4CDE" w:rsidRDefault="004C02E0" w:rsidP="004C02E0">
      <w:pPr>
        <w:pStyle w:val="Bullet"/>
        <w:rPr>
          <w:sz w:val="24"/>
          <w:szCs w:val="24"/>
        </w:rPr>
      </w:pPr>
      <w:r w:rsidRPr="00BE4CDE">
        <w:rPr>
          <w:sz w:val="24"/>
          <w:szCs w:val="24"/>
        </w:rPr>
        <w:t>Item 6 Recommendations for changes to the Program</w:t>
      </w:r>
    </w:p>
    <w:p w:rsidR="004C02E0" w:rsidRPr="00BE4CDE" w:rsidRDefault="004C02E0" w:rsidP="004C02E0">
      <w:pPr>
        <w:pStyle w:val="Body"/>
        <w:rPr>
          <w:sz w:val="24"/>
          <w:szCs w:val="24"/>
        </w:rPr>
      </w:pPr>
      <w:r w:rsidRPr="00BE4CDE">
        <w:rPr>
          <w:sz w:val="24"/>
          <w:szCs w:val="24"/>
        </w:rPr>
        <w:t>Key benefits of the project are identified to be:</w:t>
      </w:r>
    </w:p>
    <w:p w:rsidR="004C02E0" w:rsidRPr="00BE4CDE" w:rsidRDefault="004C02E0" w:rsidP="004C02E0">
      <w:pPr>
        <w:pStyle w:val="BulletNumber"/>
        <w:rPr>
          <w:sz w:val="24"/>
          <w:szCs w:val="24"/>
        </w:rPr>
      </w:pPr>
      <w:r w:rsidRPr="00BE4CDE">
        <w:rPr>
          <w:sz w:val="24"/>
          <w:szCs w:val="24"/>
        </w:rPr>
        <w:t>Assist the GBRMPA and the Department of Sustainability, Environment, Water, Population and Communities (DSEWPaC) in providing high level scientific and environmental advice and strategies for improved ship anchorage management for the Great Barrier Reef Region</w:t>
      </w:r>
      <w:r w:rsidR="00A748A4" w:rsidRPr="00BE4CDE">
        <w:rPr>
          <w:sz w:val="24"/>
          <w:szCs w:val="24"/>
        </w:rPr>
        <w:t xml:space="preserve">. </w:t>
      </w:r>
    </w:p>
    <w:p w:rsidR="004C02E0" w:rsidRPr="00BE4CDE" w:rsidRDefault="004C02E0" w:rsidP="004C02E0">
      <w:pPr>
        <w:pStyle w:val="BulletNumber"/>
        <w:rPr>
          <w:sz w:val="24"/>
          <w:szCs w:val="24"/>
        </w:rPr>
      </w:pPr>
      <w:r w:rsidRPr="00BE4CDE">
        <w:rPr>
          <w:sz w:val="24"/>
          <w:szCs w:val="24"/>
        </w:rPr>
        <w:t>Assist with addressing potential environmental issues related to anchoring, including cumulative impacts, due to increases in ports and shipping activities in the Great Barrier Reef Region (i.e. port expansions and associated increases in shipping volumes).</w:t>
      </w:r>
    </w:p>
    <w:p w:rsidR="00D1653C" w:rsidRPr="00BE4CDE" w:rsidRDefault="00D1653C" w:rsidP="00D1653C">
      <w:pPr>
        <w:pStyle w:val="BulletNumber"/>
        <w:rPr>
          <w:sz w:val="24"/>
          <w:szCs w:val="24"/>
        </w:rPr>
      </w:pPr>
      <w:r w:rsidRPr="00BE4CDE">
        <w:rPr>
          <w:sz w:val="24"/>
          <w:szCs w:val="24"/>
        </w:rPr>
        <w:t>Assist in the identification of improved management and protective measures to protect values that underpin Matters of National Environmental Significance (MNES) (such as the Marine Park) and those values identified in the GBRMPA Outlook Report (GBRMPA 2009), which include biodiversity, ecosystem health, heritage values, human use and aesthetics.</w:t>
      </w:r>
    </w:p>
    <w:p w:rsidR="004C02E0" w:rsidRPr="00BE4CDE" w:rsidRDefault="004C02E0" w:rsidP="004C02E0">
      <w:pPr>
        <w:pStyle w:val="BulletNumber"/>
        <w:rPr>
          <w:sz w:val="24"/>
          <w:szCs w:val="24"/>
        </w:rPr>
      </w:pPr>
      <w:r w:rsidRPr="00BE4CDE">
        <w:rPr>
          <w:sz w:val="24"/>
          <w:szCs w:val="24"/>
        </w:rPr>
        <w:t>Improved guidance for ports and mariners concerning anchoring arrangements and selection of future anchoring areas that support the orderly management of shipping through safety, navigation, environmental and multiple-use considerations.</w:t>
      </w:r>
    </w:p>
    <w:p w:rsidR="004C02E0" w:rsidRPr="00BE4CDE" w:rsidRDefault="004C02E0" w:rsidP="004C02E0">
      <w:pPr>
        <w:pStyle w:val="BulletNumber"/>
        <w:rPr>
          <w:sz w:val="24"/>
          <w:szCs w:val="24"/>
        </w:rPr>
      </w:pPr>
      <w:r w:rsidRPr="00BE4CDE">
        <w:rPr>
          <w:sz w:val="24"/>
          <w:szCs w:val="24"/>
        </w:rPr>
        <w:t>Likely administrative reductions for the GBRMPA, other regulatory agencies and ports due to improved guidance and through the development of policies that streamline environmental assessment processes.</w:t>
      </w:r>
    </w:p>
    <w:p w:rsidR="004C02E0" w:rsidRPr="00BE4CDE" w:rsidRDefault="004C02E0" w:rsidP="004C02E0">
      <w:pPr>
        <w:pStyle w:val="BulletNumber"/>
        <w:rPr>
          <w:sz w:val="24"/>
          <w:szCs w:val="24"/>
        </w:rPr>
      </w:pPr>
      <w:r w:rsidRPr="00BE4CDE">
        <w:rPr>
          <w:sz w:val="24"/>
          <w:szCs w:val="24"/>
        </w:rPr>
        <w:t>The project's expected outputs have potential to support the interests of other commercial and non-commercial users of the Marine Park by reducing the risk of user conflict.</w:t>
      </w:r>
    </w:p>
    <w:p w:rsidR="004C02E0" w:rsidRPr="00BE4CDE" w:rsidRDefault="004C02E0" w:rsidP="004C02E0">
      <w:pPr>
        <w:pStyle w:val="Body"/>
        <w:rPr>
          <w:sz w:val="24"/>
          <w:szCs w:val="24"/>
        </w:rPr>
      </w:pPr>
      <w:r w:rsidRPr="00BE4CDE">
        <w:rPr>
          <w:sz w:val="24"/>
          <w:szCs w:val="24"/>
        </w:rPr>
        <w:t xml:space="preserve">The project, in its entirety, will complement other projects being delivered in support of the Strategic Assessment, including development of improved information upon which to base decisions in relation to dredge spoil management. This report prescriptively pertains to the </w:t>
      </w:r>
      <w:r w:rsidR="00A500A9" w:rsidRPr="00BE4CDE">
        <w:rPr>
          <w:sz w:val="24"/>
          <w:szCs w:val="24"/>
        </w:rPr>
        <w:t>Cost Benefit Analysis</w:t>
      </w:r>
      <w:r w:rsidR="00353ECC" w:rsidRPr="00BE4CDE">
        <w:rPr>
          <w:sz w:val="24"/>
          <w:szCs w:val="24"/>
        </w:rPr>
        <w:t xml:space="preserve"> (CBA)</w:t>
      </w:r>
      <w:r w:rsidR="00A500A9" w:rsidRPr="00BE4CDE">
        <w:rPr>
          <w:sz w:val="24"/>
          <w:szCs w:val="24"/>
        </w:rPr>
        <w:t xml:space="preserve"> </w:t>
      </w:r>
      <w:r w:rsidRPr="00BE4CDE">
        <w:rPr>
          <w:sz w:val="24"/>
          <w:szCs w:val="24"/>
        </w:rPr>
        <w:t>phase of the project. Additional reports relating to the remainder of the project will be developed over the course of the project and provided at a later date.</w:t>
      </w:r>
    </w:p>
    <w:p w:rsidR="004C02E0" w:rsidRPr="00B41CFA" w:rsidRDefault="004C02E0" w:rsidP="00B22C15">
      <w:pPr>
        <w:pStyle w:val="Heading2"/>
        <w:rPr>
          <w:sz w:val="24"/>
        </w:rPr>
      </w:pPr>
      <w:bookmarkStart w:id="13" w:name="_Ref347727992"/>
      <w:bookmarkStart w:id="14" w:name="_Ref347733279"/>
      <w:bookmarkStart w:id="15" w:name="_Toc362274261"/>
      <w:r w:rsidRPr="00B41CFA">
        <w:rPr>
          <w:sz w:val="24"/>
        </w:rPr>
        <w:lastRenderedPageBreak/>
        <w:t>Study area</w:t>
      </w:r>
      <w:bookmarkEnd w:id="13"/>
      <w:bookmarkEnd w:id="14"/>
      <w:bookmarkEnd w:id="15"/>
    </w:p>
    <w:p w:rsidR="004C02E0" w:rsidRPr="00BE4CDE" w:rsidRDefault="004C02E0" w:rsidP="004C02E0">
      <w:pPr>
        <w:pStyle w:val="Body"/>
        <w:rPr>
          <w:sz w:val="24"/>
          <w:szCs w:val="24"/>
        </w:rPr>
      </w:pPr>
      <w:r w:rsidRPr="00BE4CDE">
        <w:rPr>
          <w:sz w:val="24"/>
          <w:szCs w:val="24"/>
        </w:rPr>
        <w:t>In 1975 the Great Barrier Reef Region was established and today provides for the long-term protection and conservation of the environment, biodiversity and heritage values of the Great Barrier Reef. Australia's Reef is the largest coral reef ecosystem on earth</w:t>
      </w:r>
      <w:r w:rsidR="00F04D97" w:rsidRPr="00BE4CDE">
        <w:rPr>
          <w:sz w:val="24"/>
          <w:szCs w:val="24"/>
        </w:rPr>
        <w:t>. T</w:t>
      </w:r>
      <w:r w:rsidRPr="00BE4CDE">
        <w:rPr>
          <w:sz w:val="24"/>
          <w:szCs w:val="24"/>
        </w:rPr>
        <w:t>he Great Barrier Reef Region extend</w:t>
      </w:r>
      <w:r w:rsidR="00F04D97" w:rsidRPr="00BE4CDE">
        <w:rPr>
          <w:sz w:val="24"/>
          <w:szCs w:val="24"/>
        </w:rPr>
        <w:t>s</w:t>
      </w:r>
      <w:r w:rsidRPr="00BE4CDE">
        <w:rPr>
          <w:sz w:val="24"/>
          <w:szCs w:val="24"/>
        </w:rPr>
        <w:t xml:space="preserve"> more than 2300 kilometres (km) along the Queensland coastline and cover</w:t>
      </w:r>
      <w:r w:rsidR="00F04D97" w:rsidRPr="00BE4CDE">
        <w:rPr>
          <w:sz w:val="24"/>
          <w:szCs w:val="24"/>
        </w:rPr>
        <w:t>s an area of</w:t>
      </w:r>
      <w:r w:rsidRPr="00BE4CDE">
        <w:rPr>
          <w:sz w:val="24"/>
          <w:szCs w:val="24"/>
        </w:rPr>
        <w:t xml:space="preserve"> 346,000 square kilometres (km</w:t>
      </w:r>
      <w:r w:rsidRPr="00BE4CDE">
        <w:rPr>
          <w:sz w:val="24"/>
          <w:szCs w:val="24"/>
          <w:vertAlign w:val="superscript"/>
        </w:rPr>
        <w:t>2</w:t>
      </w:r>
      <w:r w:rsidRPr="00BE4CDE">
        <w:rPr>
          <w:sz w:val="24"/>
          <w:szCs w:val="24"/>
        </w:rPr>
        <w:t xml:space="preserve">). </w:t>
      </w:r>
    </w:p>
    <w:p w:rsidR="004C02E0" w:rsidRPr="00BE4CDE" w:rsidRDefault="004C02E0" w:rsidP="004C02E0">
      <w:pPr>
        <w:pStyle w:val="Body"/>
        <w:rPr>
          <w:sz w:val="24"/>
          <w:szCs w:val="24"/>
        </w:rPr>
      </w:pPr>
      <w:r w:rsidRPr="00BE4CDE">
        <w:rPr>
          <w:sz w:val="24"/>
          <w:szCs w:val="24"/>
        </w:rPr>
        <w:t>In 1981 the area was listed as a World Heritage property for its OUV and in 2007 it was listed as a National Heritage property. The property was the first coral reef ecosystem in the world to be nominated on the basis of all four natural criteria. The Great Barrier Reef Region and World Heritage Area have the same outer boundary. However, the Great Barrier Reef Region does not include internal waters of Queensland or Queensland islands, which are includ</w:t>
      </w:r>
      <w:r w:rsidR="000D0EC1" w:rsidRPr="00BE4CDE">
        <w:rPr>
          <w:sz w:val="24"/>
          <w:szCs w:val="24"/>
        </w:rPr>
        <w:t>ed in the World Heritage Area.</w:t>
      </w:r>
    </w:p>
    <w:p w:rsidR="004C02E0" w:rsidRPr="00BE4CDE" w:rsidRDefault="004C02E0" w:rsidP="004C02E0">
      <w:pPr>
        <w:pStyle w:val="Body"/>
        <w:rPr>
          <w:sz w:val="24"/>
          <w:szCs w:val="24"/>
        </w:rPr>
      </w:pPr>
      <w:r w:rsidRPr="00BE4CDE">
        <w:rPr>
          <w:sz w:val="24"/>
          <w:szCs w:val="24"/>
        </w:rPr>
        <w:t>The Marine Park was declared in sections (between 1979 and 2001) and today covers the majority (99.5 per cent) of the Great Barrier Reef Region (or just under 99 per cent of the World Heritage Area). As sections of the Marine Park were declared, various ports and harbours were not included</w:t>
      </w:r>
      <w:r w:rsidR="009C0510" w:rsidRPr="00BE4CDE">
        <w:rPr>
          <w:sz w:val="24"/>
          <w:szCs w:val="24"/>
        </w:rPr>
        <w:t>.</w:t>
      </w:r>
      <w:r w:rsidRPr="00BE4CDE">
        <w:rPr>
          <w:sz w:val="24"/>
          <w:szCs w:val="24"/>
        </w:rPr>
        <w:t xml:space="preserve"> </w:t>
      </w:r>
      <w:r w:rsidR="009C0510" w:rsidRPr="00BE4CDE">
        <w:rPr>
          <w:sz w:val="24"/>
          <w:szCs w:val="24"/>
        </w:rPr>
        <w:t>T</w:t>
      </w:r>
      <w:r w:rsidRPr="00BE4CDE">
        <w:rPr>
          <w:sz w:val="24"/>
          <w:szCs w:val="24"/>
        </w:rPr>
        <w:t xml:space="preserve">oday </w:t>
      </w:r>
      <w:r w:rsidR="008A6347" w:rsidRPr="00BE4CDE">
        <w:rPr>
          <w:sz w:val="24"/>
          <w:szCs w:val="24"/>
        </w:rPr>
        <w:t xml:space="preserve">12 </w:t>
      </w:r>
      <w:r w:rsidRPr="00BE4CDE">
        <w:rPr>
          <w:sz w:val="24"/>
          <w:szCs w:val="24"/>
        </w:rPr>
        <w:t xml:space="preserve">ports are </w:t>
      </w:r>
      <w:r w:rsidR="009C0510" w:rsidRPr="00BE4CDE">
        <w:rPr>
          <w:sz w:val="24"/>
          <w:szCs w:val="24"/>
        </w:rPr>
        <w:t>loc</w:t>
      </w:r>
      <w:r w:rsidR="001154F5">
        <w:rPr>
          <w:sz w:val="24"/>
          <w:szCs w:val="24"/>
        </w:rPr>
        <w:t xml:space="preserve">ated in the World Heritage Area </w:t>
      </w:r>
      <w:r w:rsidRPr="00BE4CDE">
        <w:rPr>
          <w:sz w:val="24"/>
          <w:szCs w:val="24"/>
        </w:rPr>
        <w:t>(</w:t>
      </w:r>
      <w:r w:rsidR="00CD38ED" w:rsidRPr="00BE4CDE">
        <w:rPr>
          <w:sz w:val="24"/>
          <w:szCs w:val="24"/>
        </w:rPr>
        <w:fldChar w:fldCharType="begin"/>
      </w:r>
      <w:r w:rsidR="00E47A48" w:rsidRPr="00BE4CDE">
        <w:rPr>
          <w:sz w:val="24"/>
          <w:szCs w:val="24"/>
        </w:rPr>
        <w:instrText xml:space="preserve"> REF  _Ref342390258 \* Lower \h </w:instrText>
      </w:r>
      <w:r w:rsidR="00BE4CDE">
        <w:rPr>
          <w:sz w:val="24"/>
          <w:szCs w:val="24"/>
        </w:rPr>
        <w:instrText xml:space="preserve"> \* MERGEFORMAT </w:instrText>
      </w:r>
      <w:r w:rsidR="00CD38ED" w:rsidRPr="00BE4CDE">
        <w:rPr>
          <w:sz w:val="24"/>
          <w:szCs w:val="24"/>
        </w:rPr>
      </w:r>
      <w:r w:rsidR="00CD38ED" w:rsidRPr="00BE4CDE">
        <w:rPr>
          <w:sz w:val="24"/>
          <w:szCs w:val="24"/>
        </w:rPr>
        <w:fldChar w:fldCharType="separate"/>
      </w:r>
      <w:r w:rsidR="005F6E51" w:rsidRPr="0065723C">
        <w:rPr>
          <w:sz w:val="24"/>
          <w:szCs w:val="24"/>
        </w:rPr>
        <w:t xml:space="preserve">figure </w:t>
      </w:r>
      <w:r w:rsidR="005F6E51">
        <w:rPr>
          <w:noProof/>
          <w:sz w:val="24"/>
          <w:szCs w:val="24"/>
        </w:rPr>
        <w:t>1</w:t>
      </w:r>
      <w:r w:rsidR="005F6E51" w:rsidRPr="0065723C">
        <w:rPr>
          <w:noProof/>
          <w:sz w:val="24"/>
          <w:szCs w:val="24"/>
        </w:rPr>
        <w:noBreakHyphen/>
      </w:r>
      <w:r w:rsidR="005F6E51">
        <w:rPr>
          <w:noProof/>
          <w:sz w:val="24"/>
          <w:szCs w:val="24"/>
        </w:rPr>
        <w:t>1</w:t>
      </w:r>
      <w:r w:rsidR="00CD38ED" w:rsidRPr="00BE4CDE">
        <w:rPr>
          <w:sz w:val="24"/>
          <w:szCs w:val="24"/>
        </w:rPr>
        <w:fldChar w:fldCharType="end"/>
      </w:r>
      <w:r w:rsidRPr="00BE4CDE">
        <w:rPr>
          <w:sz w:val="24"/>
          <w:szCs w:val="24"/>
        </w:rPr>
        <w:t>,</w:t>
      </w:r>
      <w:r w:rsidR="00F97467" w:rsidRPr="00BE4CDE">
        <w:rPr>
          <w:sz w:val="24"/>
          <w:szCs w:val="24"/>
        </w:rPr>
        <w:t xml:space="preserve"> </w:t>
      </w:r>
      <w:r w:rsidR="00CD38ED" w:rsidRPr="00BE4CDE">
        <w:rPr>
          <w:sz w:val="24"/>
          <w:szCs w:val="24"/>
        </w:rPr>
        <w:fldChar w:fldCharType="begin"/>
      </w:r>
      <w:r w:rsidR="00E47A48" w:rsidRPr="00BE4CDE">
        <w:rPr>
          <w:sz w:val="24"/>
          <w:szCs w:val="24"/>
        </w:rPr>
        <w:instrText xml:space="preserve"> REF  _Ref342390268 \* Lower \h </w:instrText>
      </w:r>
      <w:r w:rsidR="00BE4CDE">
        <w:rPr>
          <w:sz w:val="24"/>
          <w:szCs w:val="24"/>
        </w:rPr>
        <w:instrText xml:space="preserve"> \* MERGEFORMAT </w:instrText>
      </w:r>
      <w:r w:rsidR="00CD38ED" w:rsidRPr="00BE4CDE">
        <w:rPr>
          <w:sz w:val="24"/>
          <w:szCs w:val="24"/>
        </w:rPr>
      </w:r>
      <w:r w:rsidR="00CD38ED" w:rsidRPr="00BE4CDE">
        <w:rPr>
          <w:sz w:val="24"/>
          <w:szCs w:val="24"/>
        </w:rPr>
        <w:fldChar w:fldCharType="separate"/>
      </w:r>
      <w:r w:rsidR="005F6E51" w:rsidRPr="00BE4CDE">
        <w:rPr>
          <w:sz w:val="24"/>
          <w:szCs w:val="24"/>
        </w:rPr>
        <w:t xml:space="preserve">table </w:t>
      </w:r>
      <w:r w:rsidR="005F6E51">
        <w:rPr>
          <w:noProof/>
          <w:sz w:val="24"/>
          <w:szCs w:val="24"/>
        </w:rPr>
        <w:t>1</w:t>
      </w:r>
      <w:r w:rsidR="005F6E51" w:rsidRPr="00BE4CDE">
        <w:rPr>
          <w:noProof/>
          <w:sz w:val="24"/>
          <w:szCs w:val="24"/>
        </w:rPr>
        <w:noBreakHyphen/>
      </w:r>
      <w:r w:rsidR="005F6E51">
        <w:rPr>
          <w:noProof/>
          <w:sz w:val="24"/>
          <w:szCs w:val="24"/>
        </w:rPr>
        <w:t>1</w:t>
      </w:r>
      <w:r w:rsidR="00CD38ED" w:rsidRPr="00BE4CDE">
        <w:rPr>
          <w:sz w:val="24"/>
          <w:szCs w:val="24"/>
        </w:rPr>
        <w:fldChar w:fldCharType="end"/>
      </w:r>
      <w:r w:rsidRPr="00BE4CDE">
        <w:rPr>
          <w:sz w:val="24"/>
          <w:szCs w:val="24"/>
        </w:rPr>
        <w:t>).</w:t>
      </w:r>
    </w:p>
    <w:p w:rsidR="004C02E0" w:rsidRPr="00BE4CDE" w:rsidRDefault="00F97467" w:rsidP="000C215D">
      <w:pPr>
        <w:pStyle w:val="CaptionTable"/>
        <w:rPr>
          <w:sz w:val="24"/>
          <w:szCs w:val="24"/>
        </w:rPr>
      </w:pPr>
      <w:bookmarkStart w:id="16" w:name="_Ref342390268"/>
      <w:bookmarkStart w:id="17" w:name="_Toc343582061"/>
      <w:bookmarkStart w:id="18" w:name="_Toc362274356"/>
      <w:r w:rsidRPr="00BE4CDE">
        <w:rPr>
          <w:sz w:val="24"/>
          <w:szCs w:val="24"/>
        </w:rPr>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1</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1</w:t>
      </w:r>
      <w:r w:rsidR="00542883">
        <w:rPr>
          <w:sz w:val="24"/>
          <w:szCs w:val="24"/>
        </w:rPr>
        <w:fldChar w:fldCharType="end"/>
      </w:r>
      <w:bookmarkEnd w:id="16"/>
      <w:r w:rsidR="0065723C">
        <w:rPr>
          <w:sz w:val="24"/>
          <w:szCs w:val="24"/>
        </w:rPr>
        <w:t>:</w:t>
      </w:r>
      <w:r w:rsidR="00B6174B" w:rsidRPr="00BE4CDE">
        <w:rPr>
          <w:sz w:val="24"/>
          <w:szCs w:val="24"/>
        </w:rPr>
        <w:t xml:space="preserve"> </w:t>
      </w:r>
      <w:r w:rsidRPr="00BE4CDE">
        <w:rPr>
          <w:b w:val="0"/>
          <w:sz w:val="24"/>
          <w:szCs w:val="24"/>
        </w:rPr>
        <w:t>Great Barrier Reef Region vs Marine Park vs World Heritage Area</w:t>
      </w:r>
      <w:bookmarkEnd w:id="17"/>
      <w:bookmarkEnd w:id="18"/>
    </w:p>
    <w:tbl>
      <w:tblPr>
        <w:tblStyle w:val="TableGrid"/>
        <w:tblW w:w="5000"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firstRow="1" w:lastRow="0" w:firstColumn="1" w:lastColumn="0" w:noHBand="0" w:noVBand="1"/>
        <w:tblCaption w:val="Great Barrier Reef Region vs Marine Park vs World Heritage Area"/>
        <w:tblDescription w:val="Information on the zoning boundaries of the Great Barrier Reef including date established, size and general description. Columns represent the zoning boundaries."/>
      </w:tblPr>
      <w:tblGrid>
        <w:gridCol w:w="3001"/>
        <w:gridCol w:w="3001"/>
        <w:gridCol w:w="3001"/>
      </w:tblGrid>
      <w:tr w:rsidR="004C02E0" w:rsidRPr="00BE4CDE" w:rsidTr="00B6174B">
        <w:trPr>
          <w:tblHeader/>
        </w:trPr>
        <w:tc>
          <w:tcPr>
            <w:tcW w:w="3001" w:type="dxa"/>
            <w:tcBorders>
              <w:top w:val="single" w:sz="4" w:space="0" w:color="auto"/>
            </w:tcBorders>
            <w:shd w:val="clear" w:color="auto" w:fill="FFFFFF" w:themeFill="background1"/>
          </w:tcPr>
          <w:p w:rsidR="004C02E0" w:rsidRPr="00BE4CDE" w:rsidRDefault="004C02E0" w:rsidP="003F4660">
            <w:pPr>
              <w:pStyle w:val="TableHead"/>
              <w:rPr>
                <w:sz w:val="24"/>
                <w:szCs w:val="24"/>
              </w:rPr>
            </w:pPr>
            <w:r w:rsidRPr="00BE4CDE">
              <w:rPr>
                <w:sz w:val="24"/>
                <w:szCs w:val="24"/>
              </w:rPr>
              <w:t>Great Barrier Reef Region</w:t>
            </w:r>
          </w:p>
        </w:tc>
        <w:tc>
          <w:tcPr>
            <w:tcW w:w="3001" w:type="dxa"/>
            <w:tcBorders>
              <w:top w:val="single" w:sz="4" w:space="0" w:color="auto"/>
            </w:tcBorders>
            <w:shd w:val="clear" w:color="auto" w:fill="FFFFFF" w:themeFill="background1"/>
          </w:tcPr>
          <w:p w:rsidR="004C02E0" w:rsidRPr="00BE4CDE" w:rsidRDefault="004C02E0" w:rsidP="003F4660">
            <w:pPr>
              <w:pStyle w:val="TableHead"/>
              <w:rPr>
                <w:sz w:val="24"/>
                <w:szCs w:val="24"/>
              </w:rPr>
            </w:pPr>
            <w:r w:rsidRPr="00BE4CDE">
              <w:rPr>
                <w:sz w:val="24"/>
                <w:szCs w:val="24"/>
              </w:rPr>
              <w:t>Marine Park</w:t>
            </w:r>
          </w:p>
        </w:tc>
        <w:tc>
          <w:tcPr>
            <w:tcW w:w="3001" w:type="dxa"/>
            <w:tcBorders>
              <w:top w:val="single" w:sz="4" w:space="0" w:color="auto"/>
            </w:tcBorders>
            <w:shd w:val="clear" w:color="auto" w:fill="FFFFFF" w:themeFill="background1"/>
          </w:tcPr>
          <w:p w:rsidR="004C02E0" w:rsidRPr="00BE4CDE" w:rsidRDefault="004C02E0" w:rsidP="003F4660">
            <w:pPr>
              <w:pStyle w:val="TableHead"/>
              <w:rPr>
                <w:sz w:val="24"/>
                <w:szCs w:val="24"/>
              </w:rPr>
            </w:pPr>
            <w:r w:rsidRPr="00BE4CDE">
              <w:rPr>
                <w:sz w:val="24"/>
                <w:szCs w:val="24"/>
              </w:rPr>
              <w:t>World Heritage Area</w:t>
            </w:r>
          </w:p>
        </w:tc>
      </w:tr>
      <w:tr w:rsidR="004C02E0" w:rsidRPr="00BE4CDE" w:rsidTr="003F4660">
        <w:tc>
          <w:tcPr>
            <w:tcW w:w="3001" w:type="dxa"/>
            <w:shd w:val="clear" w:color="auto" w:fill="auto"/>
          </w:tcPr>
          <w:p w:rsidR="004C02E0" w:rsidRPr="00BE4CDE" w:rsidRDefault="004C02E0" w:rsidP="003F4660">
            <w:pPr>
              <w:pStyle w:val="TableBody"/>
              <w:rPr>
                <w:sz w:val="24"/>
                <w:szCs w:val="24"/>
              </w:rPr>
            </w:pPr>
            <w:r w:rsidRPr="00BE4CDE">
              <w:rPr>
                <w:sz w:val="24"/>
                <w:szCs w:val="24"/>
              </w:rPr>
              <w:t>Proclaimed 1975</w:t>
            </w:r>
          </w:p>
        </w:tc>
        <w:tc>
          <w:tcPr>
            <w:tcW w:w="3001" w:type="dxa"/>
            <w:shd w:val="clear" w:color="auto" w:fill="auto"/>
          </w:tcPr>
          <w:p w:rsidR="004C02E0" w:rsidRPr="00BE4CDE" w:rsidRDefault="004C02E0" w:rsidP="003F4660">
            <w:pPr>
              <w:pStyle w:val="TableBody"/>
              <w:rPr>
                <w:sz w:val="24"/>
                <w:szCs w:val="24"/>
              </w:rPr>
            </w:pPr>
            <w:r w:rsidRPr="00BE4CDE">
              <w:rPr>
                <w:sz w:val="24"/>
                <w:szCs w:val="24"/>
              </w:rPr>
              <w:t>Declared in sections between 1979 and 2001; made into one amalgamated section in 2004</w:t>
            </w:r>
          </w:p>
        </w:tc>
        <w:tc>
          <w:tcPr>
            <w:tcW w:w="3001" w:type="dxa"/>
            <w:shd w:val="clear" w:color="auto" w:fill="auto"/>
          </w:tcPr>
          <w:p w:rsidR="004C02E0" w:rsidRPr="00BE4CDE" w:rsidRDefault="004C02E0" w:rsidP="003F4660">
            <w:pPr>
              <w:pStyle w:val="TableBody"/>
              <w:rPr>
                <w:sz w:val="24"/>
                <w:szCs w:val="24"/>
              </w:rPr>
            </w:pPr>
            <w:r w:rsidRPr="00BE4CDE">
              <w:rPr>
                <w:sz w:val="24"/>
                <w:szCs w:val="24"/>
              </w:rPr>
              <w:t>Inscribed 1981</w:t>
            </w:r>
          </w:p>
        </w:tc>
      </w:tr>
      <w:tr w:rsidR="004C02E0" w:rsidRPr="00BE4CDE" w:rsidTr="003F4660">
        <w:tc>
          <w:tcPr>
            <w:tcW w:w="3001" w:type="dxa"/>
            <w:shd w:val="clear" w:color="auto" w:fill="auto"/>
          </w:tcPr>
          <w:p w:rsidR="004C02E0" w:rsidRPr="00BE4CDE" w:rsidRDefault="004C02E0" w:rsidP="003F4660">
            <w:pPr>
              <w:pStyle w:val="TableBody"/>
              <w:rPr>
                <w:sz w:val="24"/>
                <w:szCs w:val="24"/>
                <w:vertAlign w:val="superscript"/>
              </w:rPr>
            </w:pPr>
            <w:r w:rsidRPr="00BE4CDE">
              <w:rPr>
                <w:sz w:val="24"/>
                <w:szCs w:val="24"/>
              </w:rPr>
              <w:t>346,000 km</w:t>
            </w:r>
            <w:r w:rsidRPr="00BE4CDE">
              <w:rPr>
                <w:sz w:val="24"/>
                <w:szCs w:val="24"/>
                <w:vertAlign w:val="superscript"/>
              </w:rPr>
              <w:t>2</w:t>
            </w:r>
          </w:p>
        </w:tc>
        <w:tc>
          <w:tcPr>
            <w:tcW w:w="3001" w:type="dxa"/>
            <w:shd w:val="clear" w:color="auto" w:fill="auto"/>
          </w:tcPr>
          <w:p w:rsidR="004C02E0" w:rsidRPr="00BE4CDE" w:rsidRDefault="004C02E0" w:rsidP="003F4660">
            <w:pPr>
              <w:pStyle w:val="TableBody"/>
              <w:rPr>
                <w:sz w:val="24"/>
                <w:szCs w:val="24"/>
                <w:vertAlign w:val="superscript"/>
              </w:rPr>
            </w:pPr>
            <w:r w:rsidRPr="00BE4CDE">
              <w:rPr>
                <w:sz w:val="24"/>
                <w:szCs w:val="24"/>
              </w:rPr>
              <w:t>344,400 km</w:t>
            </w:r>
            <w:r w:rsidRPr="00BE4CDE">
              <w:rPr>
                <w:sz w:val="24"/>
                <w:szCs w:val="24"/>
                <w:vertAlign w:val="superscript"/>
              </w:rPr>
              <w:t>2</w:t>
            </w:r>
          </w:p>
        </w:tc>
        <w:tc>
          <w:tcPr>
            <w:tcW w:w="3001" w:type="dxa"/>
            <w:shd w:val="clear" w:color="auto" w:fill="auto"/>
          </w:tcPr>
          <w:p w:rsidR="004C02E0" w:rsidRPr="00BE4CDE" w:rsidRDefault="004C02E0" w:rsidP="003F4660">
            <w:pPr>
              <w:pStyle w:val="TableBody"/>
              <w:rPr>
                <w:sz w:val="24"/>
                <w:szCs w:val="24"/>
                <w:vertAlign w:val="superscript"/>
              </w:rPr>
            </w:pPr>
            <w:r w:rsidRPr="00BE4CDE">
              <w:rPr>
                <w:sz w:val="24"/>
                <w:szCs w:val="24"/>
              </w:rPr>
              <w:t>348,000 km</w:t>
            </w:r>
            <w:r w:rsidRPr="00BE4CDE">
              <w:rPr>
                <w:sz w:val="24"/>
                <w:szCs w:val="24"/>
                <w:vertAlign w:val="superscript"/>
              </w:rPr>
              <w:t>2</w:t>
            </w:r>
          </w:p>
        </w:tc>
      </w:tr>
      <w:tr w:rsidR="004C02E0" w:rsidRPr="00BE4CDE" w:rsidTr="003F4660">
        <w:tc>
          <w:tcPr>
            <w:tcW w:w="3001" w:type="dxa"/>
            <w:shd w:val="clear" w:color="auto" w:fill="auto"/>
          </w:tcPr>
          <w:p w:rsidR="004C02E0" w:rsidRPr="00BE4CDE" w:rsidRDefault="004C02E0" w:rsidP="003F4660">
            <w:pPr>
              <w:pStyle w:val="TableBody"/>
              <w:rPr>
                <w:sz w:val="24"/>
                <w:szCs w:val="24"/>
              </w:rPr>
            </w:pPr>
            <w:r w:rsidRPr="00BE4CDE">
              <w:rPr>
                <w:sz w:val="24"/>
                <w:szCs w:val="24"/>
              </w:rPr>
              <w:t xml:space="preserve">Great Barrier Reef Region does </w:t>
            </w:r>
            <w:r w:rsidRPr="000F302A">
              <w:rPr>
                <w:sz w:val="24"/>
                <w:szCs w:val="24"/>
              </w:rPr>
              <w:t>not</w:t>
            </w:r>
            <w:r w:rsidRPr="00BE4CDE">
              <w:rPr>
                <w:sz w:val="24"/>
                <w:szCs w:val="24"/>
              </w:rPr>
              <w:t xml:space="preserve"> include:</w:t>
            </w:r>
          </w:p>
          <w:p w:rsidR="004C02E0" w:rsidRPr="00BE4CDE" w:rsidRDefault="004C02E0" w:rsidP="003F4660">
            <w:pPr>
              <w:pStyle w:val="Bullet"/>
              <w:rPr>
                <w:rFonts w:cs="Arial"/>
                <w:color w:val="000000"/>
                <w:sz w:val="24"/>
                <w:szCs w:val="24"/>
              </w:rPr>
            </w:pPr>
            <w:r w:rsidRPr="00BE4CDE">
              <w:rPr>
                <w:sz w:val="24"/>
                <w:szCs w:val="24"/>
              </w:rPr>
              <w:t>Internal waters of Queensland</w:t>
            </w:r>
          </w:p>
          <w:p w:rsidR="004C02E0" w:rsidRPr="00BE4CDE" w:rsidRDefault="004C02E0" w:rsidP="003F4660">
            <w:pPr>
              <w:pStyle w:val="Bullet"/>
              <w:rPr>
                <w:rFonts w:cs="Arial"/>
                <w:color w:val="000000"/>
                <w:sz w:val="24"/>
                <w:szCs w:val="24"/>
              </w:rPr>
            </w:pPr>
            <w:r w:rsidRPr="00BE4CDE">
              <w:rPr>
                <w:sz w:val="24"/>
                <w:szCs w:val="24"/>
              </w:rPr>
              <w:t>980 Queensland islands</w:t>
            </w:r>
          </w:p>
        </w:tc>
        <w:tc>
          <w:tcPr>
            <w:tcW w:w="3001" w:type="dxa"/>
            <w:shd w:val="clear" w:color="auto" w:fill="auto"/>
          </w:tcPr>
          <w:p w:rsidR="004C02E0" w:rsidRPr="00BE4CDE" w:rsidRDefault="004C02E0" w:rsidP="003F4660">
            <w:pPr>
              <w:pStyle w:val="TableBody"/>
              <w:rPr>
                <w:sz w:val="24"/>
                <w:szCs w:val="24"/>
              </w:rPr>
            </w:pPr>
            <w:r w:rsidRPr="00BE4CDE">
              <w:rPr>
                <w:sz w:val="24"/>
                <w:szCs w:val="24"/>
              </w:rPr>
              <w:t>Marine Park does include 70 Commonwealth owned islands</w:t>
            </w:r>
          </w:p>
          <w:p w:rsidR="004C02E0" w:rsidRPr="00BE4CDE" w:rsidRDefault="004C02E0" w:rsidP="003F4660">
            <w:pPr>
              <w:pStyle w:val="TableBody"/>
              <w:rPr>
                <w:sz w:val="24"/>
                <w:szCs w:val="24"/>
              </w:rPr>
            </w:pPr>
            <w:r w:rsidRPr="00BE4CDE">
              <w:rPr>
                <w:sz w:val="24"/>
                <w:szCs w:val="24"/>
              </w:rPr>
              <w:t xml:space="preserve">Marine Park does </w:t>
            </w:r>
            <w:r w:rsidR="000F302A">
              <w:rPr>
                <w:sz w:val="24"/>
                <w:szCs w:val="24"/>
              </w:rPr>
              <w:t>not</w:t>
            </w:r>
            <w:r w:rsidRPr="00BE4CDE">
              <w:rPr>
                <w:sz w:val="24"/>
                <w:szCs w:val="24"/>
              </w:rPr>
              <w:t xml:space="preserve"> include:</w:t>
            </w:r>
          </w:p>
          <w:p w:rsidR="004C02E0" w:rsidRPr="00BE4CDE" w:rsidRDefault="004C02E0" w:rsidP="003F4660">
            <w:pPr>
              <w:pStyle w:val="Bullet"/>
              <w:rPr>
                <w:rFonts w:cs="Arial"/>
                <w:color w:val="000000"/>
                <w:sz w:val="24"/>
                <w:szCs w:val="24"/>
              </w:rPr>
            </w:pPr>
            <w:r w:rsidRPr="00BE4CDE">
              <w:rPr>
                <w:sz w:val="24"/>
                <w:szCs w:val="24"/>
              </w:rPr>
              <w:t>Internal waters of Queensland</w:t>
            </w:r>
          </w:p>
          <w:p w:rsidR="004C02E0" w:rsidRPr="00BE4CDE" w:rsidRDefault="004C02E0" w:rsidP="003F4660">
            <w:pPr>
              <w:pStyle w:val="Bullet"/>
              <w:rPr>
                <w:rFonts w:cs="Arial"/>
                <w:color w:val="000000"/>
                <w:sz w:val="24"/>
                <w:szCs w:val="24"/>
              </w:rPr>
            </w:pPr>
            <w:r w:rsidRPr="00BE4CDE">
              <w:rPr>
                <w:sz w:val="24"/>
                <w:szCs w:val="24"/>
              </w:rPr>
              <w:t xml:space="preserve">980 Queensland islands  </w:t>
            </w:r>
          </w:p>
          <w:p w:rsidR="004C02E0" w:rsidRPr="00BE4CDE" w:rsidRDefault="00B63F04" w:rsidP="003F4660">
            <w:pPr>
              <w:pStyle w:val="Bullet"/>
              <w:rPr>
                <w:rFonts w:cs="Arial"/>
                <w:color w:val="000000"/>
                <w:sz w:val="24"/>
                <w:szCs w:val="24"/>
              </w:rPr>
            </w:pPr>
            <w:r w:rsidRPr="00BE4CDE">
              <w:rPr>
                <w:sz w:val="24"/>
                <w:szCs w:val="24"/>
              </w:rPr>
              <w:t>10 ports</w:t>
            </w:r>
          </w:p>
        </w:tc>
        <w:tc>
          <w:tcPr>
            <w:tcW w:w="3001" w:type="dxa"/>
            <w:shd w:val="clear" w:color="auto" w:fill="auto"/>
          </w:tcPr>
          <w:p w:rsidR="004C02E0" w:rsidRPr="00BE4CDE" w:rsidRDefault="004C02E0" w:rsidP="003F4660">
            <w:pPr>
              <w:pStyle w:val="TableBody"/>
              <w:rPr>
                <w:sz w:val="24"/>
                <w:szCs w:val="24"/>
              </w:rPr>
            </w:pPr>
            <w:r w:rsidRPr="00BE4CDE">
              <w:rPr>
                <w:sz w:val="24"/>
                <w:szCs w:val="24"/>
              </w:rPr>
              <w:t>Does include:</w:t>
            </w:r>
          </w:p>
          <w:p w:rsidR="004C02E0" w:rsidRPr="00BE4CDE" w:rsidRDefault="004C02E0" w:rsidP="003F4660">
            <w:pPr>
              <w:pStyle w:val="Bullet"/>
              <w:rPr>
                <w:rFonts w:cs="Arial"/>
                <w:color w:val="000000"/>
                <w:sz w:val="24"/>
                <w:szCs w:val="24"/>
              </w:rPr>
            </w:pPr>
            <w:r w:rsidRPr="00BE4CDE">
              <w:rPr>
                <w:sz w:val="24"/>
                <w:szCs w:val="24"/>
              </w:rPr>
              <w:t xml:space="preserve">All islands within outer boundary (1050) </w:t>
            </w:r>
          </w:p>
          <w:p w:rsidR="004C02E0" w:rsidRPr="00BE4CDE" w:rsidRDefault="004C02E0" w:rsidP="003F4660">
            <w:pPr>
              <w:pStyle w:val="Bullet"/>
              <w:rPr>
                <w:rFonts w:cs="Arial"/>
                <w:color w:val="000000"/>
                <w:sz w:val="24"/>
                <w:szCs w:val="24"/>
              </w:rPr>
            </w:pPr>
            <w:r w:rsidRPr="00BE4CDE">
              <w:rPr>
                <w:sz w:val="24"/>
                <w:szCs w:val="24"/>
              </w:rPr>
              <w:t>All waters seaward of low water mark (LWM) of coast (including internal waters of Queensland and port waters)</w:t>
            </w:r>
          </w:p>
          <w:p w:rsidR="00B63F04" w:rsidRPr="00BE4CDE" w:rsidRDefault="00B63F04" w:rsidP="003F4660">
            <w:pPr>
              <w:pStyle w:val="Bullet"/>
              <w:rPr>
                <w:rFonts w:cs="Arial"/>
                <w:color w:val="000000"/>
                <w:sz w:val="24"/>
                <w:szCs w:val="24"/>
              </w:rPr>
            </w:pPr>
            <w:r w:rsidRPr="00BE4CDE">
              <w:rPr>
                <w:sz w:val="24"/>
                <w:szCs w:val="24"/>
              </w:rPr>
              <w:t xml:space="preserve">2 ports </w:t>
            </w:r>
          </w:p>
        </w:tc>
      </w:tr>
    </w:tbl>
    <w:p w:rsidR="005947E3" w:rsidRDefault="005947E3" w:rsidP="004C02E0">
      <w:pPr>
        <w:rPr>
          <w:rFonts w:ascii="Arial" w:hAnsi="Arial"/>
          <w:b w:val="0"/>
          <w:color w:val="auto"/>
          <w:u w:val="single"/>
        </w:rPr>
        <w:sectPr w:rsidR="005947E3" w:rsidSect="00564A59">
          <w:pgSz w:w="11906" w:h="16838" w:code="9"/>
          <w:pgMar w:top="1418" w:right="1701" w:bottom="1701" w:left="1418" w:header="709" w:footer="709" w:gutter="0"/>
          <w:pgNumType w:start="1"/>
          <w:cols w:space="720"/>
          <w:docGrid w:linePitch="273"/>
        </w:sectPr>
      </w:pPr>
    </w:p>
    <w:p w:rsidR="004C02E0" w:rsidRDefault="005947E3" w:rsidP="004C02E0">
      <w:pPr>
        <w:pStyle w:val="Body"/>
      </w:pPr>
      <w:r>
        <w:rPr>
          <w:noProof/>
          <w:lang w:eastAsia="en-AU"/>
        </w:rPr>
        <w:lastRenderedPageBreak/>
        <w:drawing>
          <wp:inline distT="0" distB="0" distL="0" distR="0">
            <wp:extent cx="5974818" cy="8640000"/>
            <wp:effectExtent l="0" t="0" r="6985" b="8890"/>
            <wp:docPr id="6" name="Picture 6" descr="Locations of the 12 ports in the World Heritage Area, including the five major ports assessed in this study, and the outer boundary of Great Barrier Reef Marine Park and World Heritage Area." title="Overview of ports in the Great Barrier Reef Marine Park and World Heritage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25379_000_Overview_Rev0_syn.jpg"/>
                    <pic:cNvPicPr/>
                  </pic:nvPicPr>
                  <pic:blipFill rotWithShape="1">
                    <a:blip r:embed="rId18" cstate="print">
                      <a:extLst>
                        <a:ext uri="{28A0092B-C50C-407E-A947-70E740481C1C}">
                          <a14:useLocalDpi xmlns:a14="http://schemas.microsoft.com/office/drawing/2010/main" val="0"/>
                        </a:ext>
                      </a:extLst>
                    </a:blip>
                    <a:srcRect l="3316" t="1356" r="1222" b="1161"/>
                    <a:stretch/>
                  </pic:blipFill>
                  <pic:spPr bwMode="auto">
                    <a:xfrm>
                      <a:off x="0" y="0"/>
                      <a:ext cx="5974818" cy="8640000"/>
                    </a:xfrm>
                    <a:prstGeom prst="rect">
                      <a:avLst/>
                    </a:prstGeom>
                    <a:ln>
                      <a:noFill/>
                    </a:ln>
                    <a:extLst>
                      <a:ext uri="{53640926-AAD7-44D8-BBD7-CCE9431645EC}">
                        <a14:shadowObscured xmlns:a14="http://schemas.microsoft.com/office/drawing/2010/main"/>
                      </a:ext>
                    </a:extLst>
                  </pic:spPr>
                </pic:pic>
              </a:graphicData>
            </a:graphic>
          </wp:inline>
        </w:drawing>
      </w:r>
    </w:p>
    <w:p w:rsidR="004C02E0" w:rsidRDefault="00E1347D" w:rsidP="00BE4CDE">
      <w:pPr>
        <w:pStyle w:val="Caption"/>
        <w:rPr>
          <w:b w:val="0"/>
          <w:sz w:val="24"/>
          <w:szCs w:val="24"/>
        </w:rPr>
      </w:pPr>
      <w:bookmarkStart w:id="19" w:name="_Ref342390258"/>
      <w:bookmarkStart w:id="20" w:name="_Toc362274379"/>
      <w:r w:rsidRPr="0065723C">
        <w:rPr>
          <w:sz w:val="24"/>
          <w:szCs w:val="24"/>
        </w:rPr>
        <w:t xml:space="preserve">Figure </w:t>
      </w:r>
      <w:r w:rsidR="009108AD" w:rsidRPr="0065723C">
        <w:rPr>
          <w:sz w:val="24"/>
          <w:szCs w:val="24"/>
        </w:rPr>
        <w:fldChar w:fldCharType="begin"/>
      </w:r>
      <w:r w:rsidR="009108AD" w:rsidRPr="0065723C">
        <w:rPr>
          <w:sz w:val="24"/>
          <w:szCs w:val="24"/>
        </w:rPr>
        <w:instrText xml:space="preserve"> STYLEREF 1 \s </w:instrText>
      </w:r>
      <w:r w:rsidR="009108AD" w:rsidRPr="0065723C">
        <w:rPr>
          <w:sz w:val="24"/>
          <w:szCs w:val="24"/>
        </w:rPr>
        <w:fldChar w:fldCharType="separate"/>
      </w:r>
      <w:r w:rsidR="005F6E51">
        <w:rPr>
          <w:noProof/>
          <w:sz w:val="24"/>
          <w:szCs w:val="24"/>
        </w:rPr>
        <w:t>1</w:t>
      </w:r>
      <w:r w:rsidR="009108AD" w:rsidRPr="0065723C">
        <w:rPr>
          <w:noProof/>
          <w:sz w:val="24"/>
          <w:szCs w:val="24"/>
        </w:rPr>
        <w:fldChar w:fldCharType="end"/>
      </w:r>
      <w:r w:rsidRPr="0065723C">
        <w:rPr>
          <w:sz w:val="24"/>
          <w:szCs w:val="24"/>
        </w:rPr>
        <w:noBreakHyphen/>
      </w:r>
      <w:r w:rsidR="009108AD" w:rsidRPr="0065723C">
        <w:rPr>
          <w:sz w:val="24"/>
          <w:szCs w:val="24"/>
        </w:rPr>
        <w:fldChar w:fldCharType="begin"/>
      </w:r>
      <w:r w:rsidR="009108AD" w:rsidRPr="0065723C">
        <w:rPr>
          <w:sz w:val="24"/>
          <w:szCs w:val="24"/>
        </w:rPr>
        <w:instrText xml:space="preserve"> SEQ Figure \* ARABIC \s 1 </w:instrText>
      </w:r>
      <w:r w:rsidR="009108AD" w:rsidRPr="0065723C">
        <w:rPr>
          <w:sz w:val="24"/>
          <w:szCs w:val="24"/>
        </w:rPr>
        <w:fldChar w:fldCharType="separate"/>
      </w:r>
      <w:r w:rsidR="005F6E51">
        <w:rPr>
          <w:noProof/>
          <w:sz w:val="24"/>
          <w:szCs w:val="24"/>
        </w:rPr>
        <w:t>1</w:t>
      </w:r>
      <w:r w:rsidR="009108AD" w:rsidRPr="0065723C">
        <w:rPr>
          <w:noProof/>
          <w:sz w:val="24"/>
          <w:szCs w:val="24"/>
        </w:rPr>
        <w:fldChar w:fldCharType="end"/>
      </w:r>
      <w:bookmarkEnd w:id="19"/>
      <w:r w:rsidR="0065723C">
        <w:rPr>
          <w:sz w:val="24"/>
          <w:szCs w:val="24"/>
        </w:rPr>
        <w:t>:</w:t>
      </w:r>
      <w:r w:rsidRPr="0065723C">
        <w:rPr>
          <w:sz w:val="24"/>
          <w:szCs w:val="24"/>
        </w:rPr>
        <w:t xml:space="preserve"> </w:t>
      </w:r>
      <w:r w:rsidRPr="0065723C">
        <w:rPr>
          <w:b w:val="0"/>
          <w:sz w:val="24"/>
          <w:szCs w:val="24"/>
        </w:rPr>
        <w:t>Overview of ports in the Great Barrier Reef Marine Park and World Heritage Area</w:t>
      </w:r>
      <w:bookmarkEnd w:id="20"/>
    </w:p>
    <w:p w:rsidR="005947E3" w:rsidRDefault="005947E3" w:rsidP="005947E3">
      <w:pPr>
        <w:pStyle w:val="Body"/>
        <w:rPr>
          <w:highlight w:val="yellow"/>
        </w:rPr>
        <w:sectPr w:rsidR="005947E3" w:rsidSect="0041066E">
          <w:pgSz w:w="11906" w:h="16838" w:code="9"/>
          <w:pgMar w:top="1134" w:right="1418" w:bottom="1134" w:left="1418" w:header="709" w:footer="709" w:gutter="0"/>
          <w:cols w:space="720"/>
          <w:docGrid w:linePitch="273"/>
        </w:sectPr>
      </w:pPr>
    </w:p>
    <w:p w:rsidR="00D1653C" w:rsidRPr="00BE4CDE" w:rsidRDefault="00D1653C" w:rsidP="00D1653C">
      <w:pPr>
        <w:pStyle w:val="Body"/>
        <w:rPr>
          <w:sz w:val="24"/>
          <w:szCs w:val="24"/>
        </w:rPr>
      </w:pPr>
      <w:bookmarkStart w:id="21" w:name="_Toc337815392"/>
      <w:r w:rsidRPr="00BE4CDE">
        <w:rPr>
          <w:sz w:val="24"/>
          <w:szCs w:val="24"/>
        </w:rPr>
        <w:lastRenderedPageBreak/>
        <w:t xml:space="preserve">As noted under </w:t>
      </w:r>
      <w:r w:rsidR="00A12ED9" w:rsidRPr="00BE4CDE">
        <w:rPr>
          <w:sz w:val="24"/>
          <w:szCs w:val="24"/>
        </w:rPr>
        <w:t>s</w:t>
      </w:r>
      <w:r w:rsidRPr="00BE4CDE">
        <w:rPr>
          <w:sz w:val="24"/>
          <w:szCs w:val="24"/>
        </w:rPr>
        <w:t xml:space="preserve">ection </w:t>
      </w:r>
      <w:r w:rsidR="00CD38ED" w:rsidRPr="00BE4CDE">
        <w:rPr>
          <w:sz w:val="24"/>
          <w:szCs w:val="24"/>
        </w:rPr>
        <w:fldChar w:fldCharType="begin"/>
      </w:r>
      <w:r w:rsidRPr="00BE4CDE">
        <w:rPr>
          <w:sz w:val="24"/>
          <w:szCs w:val="24"/>
        </w:rPr>
        <w:instrText xml:space="preserve"> REF _Ref337112322 \n \h </w:instrText>
      </w:r>
      <w:r w:rsidR="00BE4CDE">
        <w:rPr>
          <w:sz w:val="24"/>
          <w:szCs w:val="24"/>
        </w:rPr>
        <w:instrText xml:space="preserve"> \* MERGEFORMAT </w:instrText>
      </w:r>
      <w:r w:rsidR="00CD38ED" w:rsidRPr="00BE4CDE">
        <w:rPr>
          <w:sz w:val="24"/>
          <w:szCs w:val="24"/>
        </w:rPr>
      </w:r>
      <w:r w:rsidR="00CD38ED" w:rsidRPr="00BE4CDE">
        <w:rPr>
          <w:sz w:val="24"/>
          <w:szCs w:val="24"/>
        </w:rPr>
        <w:fldChar w:fldCharType="separate"/>
      </w:r>
      <w:r w:rsidR="005F6E51">
        <w:rPr>
          <w:sz w:val="24"/>
          <w:szCs w:val="24"/>
        </w:rPr>
        <w:t>1.2</w:t>
      </w:r>
      <w:r w:rsidR="00CD38ED" w:rsidRPr="00BE4CDE">
        <w:rPr>
          <w:sz w:val="24"/>
          <w:szCs w:val="24"/>
        </w:rPr>
        <w:fldChar w:fldCharType="end"/>
      </w:r>
      <w:r w:rsidRPr="00BE4CDE">
        <w:rPr>
          <w:sz w:val="24"/>
          <w:szCs w:val="24"/>
        </w:rPr>
        <w:t>, the predicted increase in shipping traffic within the Marine Park and World Heritage Area in coming years is driven primarily by bulk commodity exports with contribution from other trade developments from ports located between (and including) Cairns and Gladstone</w:t>
      </w:r>
      <w:r w:rsidR="00A748A4" w:rsidRPr="00BE4CDE">
        <w:rPr>
          <w:sz w:val="24"/>
          <w:szCs w:val="24"/>
        </w:rPr>
        <w:t xml:space="preserve">. </w:t>
      </w:r>
      <w:r w:rsidRPr="00BE4CDE">
        <w:rPr>
          <w:sz w:val="24"/>
          <w:szCs w:val="24"/>
        </w:rPr>
        <w:t xml:space="preserve">These other trade developments concern increased demand for imported commodities (driven by increasing population in Queensland) and increasing agricultural exports. Accordingly, to inform the GBRMPA Strategic Assessment, this project is considering the risks from trading vessel anchorages associated with the five major Queensland ports of: </w:t>
      </w:r>
    </w:p>
    <w:p w:rsidR="00D1653C" w:rsidRPr="00BE4CDE" w:rsidRDefault="00D1653C" w:rsidP="00D1653C">
      <w:pPr>
        <w:pStyle w:val="Bullet"/>
        <w:rPr>
          <w:sz w:val="24"/>
          <w:szCs w:val="24"/>
        </w:rPr>
      </w:pPr>
      <w:r w:rsidRPr="00BE4CDE">
        <w:rPr>
          <w:sz w:val="24"/>
          <w:szCs w:val="24"/>
        </w:rPr>
        <w:t>Port of Cairns</w:t>
      </w:r>
    </w:p>
    <w:p w:rsidR="00D1653C" w:rsidRPr="00BE4CDE" w:rsidRDefault="00D1653C" w:rsidP="00D1653C">
      <w:pPr>
        <w:pStyle w:val="Bullet"/>
        <w:rPr>
          <w:sz w:val="24"/>
          <w:szCs w:val="24"/>
        </w:rPr>
      </w:pPr>
      <w:r w:rsidRPr="00BE4CDE">
        <w:rPr>
          <w:sz w:val="24"/>
          <w:szCs w:val="24"/>
        </w:rPr>
        <w:t>Port of Townsville</w:t>
      </w:r>
    </w:p>
    <w:p w:rsidR="00D1653C" w:rsidRPr="00BE4CDE" w:rsidRDefault="00D1653C" w:rsidP="00D1653C">
      <w:pPr>
        <w:pStyle w:val="Bullet"/>
        <w:rPr>
          <w:sz w:val="24"/>
          <w:szCs w:val="24"/>
        </w:rPr>
      </w:pPr>
      <w:r w:rsidRPr="00BE4CDE">
        <w:rPr>
          <w:sz w:val="24"/>
          <w:szCs w:val="24"/>
        </w:rPr>
        <w:t>Port of Abbot Point</w:t>
      </w:r>
    </w:p>
    <w:p w:rsidR="00D1653C" w:rsidRPr="00BE4CDE" w:rsidRDefault="00D1653C" w:rsidP="00D1653C">
      <w:pPr>
        <w:pStyle w:val="Bullet"/>
        <w:rPr>
          <w:sz w:val="24"/>
          <w:szCs w:val="24"/>
        </w:rPr>
      </w:pPr>
      <w:r w:rsidRPr="00BE4CDE">
        <w:rPr>
          <w:sz w:val="24"/>
          <w:szCs w:val="24"/>
        </w:rPr>
        <w:t>Port of Hay Point</w:t>
      </w:r>
    </w:p>
    <w:p w:rsidR="00D1653C" w:rsidRPr="00BE4CDE" w:rsidRDefault="00D1653C" w:rsidP="00D1653C">
      <w:pPr>
        <w:pStyle w:val="Bullet"/>
        <w:rPr>
          <w:sz w:val="24"/>
          <w:szCs w:val="24"/>
        </w:rPr>
      </w:pPr>
      <w:r w:rsidRPr="00BE4CDE">
        <w:rPr>
          <w:sz w:val="24"/>
          <w:szCs w:val="24"/>
        </w:rPr>
        <w:t>Port of Gladstone.</w:t>
      </w:r>
    </w:p>
    <w:p w:rsidR="00D1653C" w:rsidRPr="00BE4CDE" w:rsidRDefault="00D1653C" w:rsidP="00D1653C">
      <w:pPr>
        <w:pStyle w:val="Body"/>
        <w:rPr>
          <w:sz w:val="24"/>
          <w:szCs w:val="24"/>
        </w:rPr>
      </w:pPr>
      <w:r w:rsidRPr="00BE4CDE">
        <w:rPr>
          <w:sz w:val="24"/>
          <w:szCs w:val="24"/>
        </w:rPr>
        <w:t>Anchorage areas are designated on navigational charts for only three of these locations; Cairns, Hay Point and Gladstone. Vessels may also anchor outside of designated areas at the discretion of the ship’s Master as long as they are compliant with relevant zoning and legislative protection measures for the World Heritage Area. Management and direction for anchorage within the vicinity of each of the ports is provided to bulk cargo and other trading vessels by the Regional Harbour Master (RHM).</w:t>
      </w:r>
    </w:p>
    <w:p w:rsidR="001E4BC8" w:rsidRPr="001E4BC8" w:rsidRDefault="00D1653C" w:rsidP="001E4BC8">
      <w:pPr>
        <w:pStyle w:val="Body"/>
        <w:rPr>
          <w:sz w:val="24"/>
          <w:szCs w:val="24"/>
        </w:rPr>
      </w:pPr>
      <w:r w:rsidRPr="00BE4CDE">
        <w:rPr>
          <w:sz w:val="24"/>
          <w:szCs w:val="24"/>
        </w:rPr>
        <w:t>This project involves investigation of impacts associated with anchorages of the five major ports. A key step, therefore, has been to define the existing areas being used for anchorage by trading vessels working to each of the nominated ports. This was achieved through consultation with each port’s RHM to confirm designated areas and, for locations without charted anchorages</w:t>
      </w:r>
      <w:r w:rsidR="00995CCB" w:rsidRPr="00BE4CDE">
        <w:rPr>
          <w:sz w:val="24"/>
          <w:szCs w:val="24"/>
        </w:rPr>
        <w:t xml:space="preserve"> (i.e. Townsville and Abbot Point)</w:t>
      </w:r>
      <w:r w:rsidRPr="00BE4CDE">
        <w:rPr>
          <w:sz w:val="24"/>
          <w:szCs w:val="24"/>
        </w:rPr>
        <w:t xml:space="preserve">, to define an area within which vessels are known or directed to anchor. Where specific designated anchorages are mapped </w:t>
      </w:r>
      <w:r w:rsidR="00995CCB" w:rsidRPr="00BE4CDE">
        <w:rPr>
          <w:sz w:val="24"/>
          <w:szCs w:val="24"/>
        </w:rPr>
        <w:t xml:space="preserve">(i.e. Cairns, Hay Point and Gladstone) </w:t>
      </w:r>
      <w:r w:rsidRPr="00BE4CDE">
        <w:rPr>
          <w:sz w:val="24"/>
          <w:szCs w:val="24"/>
        </w:rPr>
        <w:t xml:space="preserve">a conservative approach of considering the entire area across which anchor drop may occur has been used to define the anchorage area of a port. This has provided an area of seabed adjacent to each of the five ports within which anchorage currently occurs (refer </w:t>
      </w:r>
      <w:r w:rsidR="007F412E" w:rsidRPr="00BE4CDE">
        <w:rPr>
          <w:sz w:val="24"/>
          <w:szCs w:val="24"/>
        </w:rPr>
        <w:t xml:space="preserve">the maps presented in </w:t>
      </w:r>
      <w:r w:rsidR="00A12ED9" w:rsidRPr="00BE4CDE">
        <w:rPr>
          <w:sz w:val="24"/>
          <w:szCs w:val="24"/>
        </w:rPr>
        <w:t>s</w:t>
      </w:r>
      <w:r w:rsidRPr="00BE4CDE">
        <w:rPr>
          <w:sz w:val="24"/>
          <w:szCs w:val="24"/>
        </w:rPr>
        <w:t xml:space="preserve">ection </w:t>
      </w:r>
      <w:r w:rsidR="00CD38ED" w:rsidRPr="00BE4CDE">
        <w:rPr>
          <w:sz w:val="24"/>
          <w:szCs w:val="24"/>
        </w:rPr>
        <w:fldChar w:fldCharType="begin"/>
      </w:r>
      <w:r w:rsidR="007F412E" w:rsidRPr="00BE4CDE">
        <w:rPr>
          <w:sz w:val="24"/>
          <w:szCs w:val="24"/>
        </w:rPr>
        <w:instrText xml:space="preserve"> REF _Ref347764805 \r \h </w:instrText>
      </w:r>
      <w:r w:rsidR="00BE4CDE">
        <w:rPr>
          <w:sz w:val="24"/>
          <w:szCs w:val="24"/>
        </w:rPr>
        <w:instrText xml:space="preserve"> \* MERGEFORMAT </w:instrText>
      </w:r>
      <w:r w:rsidR="00CD38ED" w:rsidRPr="00BE4CDE">
        <w:rPr>
          <w:sz w:val="24"/>
          <w:szCs w:val="24"/>
        </w:rPr>
      </w:r>
      <w:r w:rsidR="00CD38ED" w:rsidRPr="00BE4CDE">
        <w:rPr>
          <w:sz w:val="24"/>
          <w:szCs w:val="24"/>
        </w:rPr>
        <w:fldChar w:fldCharType="separate"/>
      </w:r>
      <w:r w:rsidR="005F6E51">
        <w:rPr>
          <w:sz w:val="24"/>
          <w:szCs w:val="24"/>
        </w:rPr>
        <w:t>4</w:t>
      </w:r>
      <w:r w:rsidR="00CD38ED" w:rsidRPr="00BE4CDE">
        <w:rPr>
          <w:sz w:val="24"/>
          <w:szCs w:val="24"/>
        </w:rPr>
        <w:fldChar w:fldCharType="end"/>
      </w:r>
      <w:r w:rsidRPr="00BE4CDE">
        <w:rPr>
          <w:sz w:val="24"/>
          <w:szCs w:val="24"/>
        </w:rPr>
        <w:t xml:space="preserve">). </w:t>
      </w:r>
      <w:r w:rsidR="001E4BC8" w:rsidRPr="001E4BC8">
        <w:rPr>
          <w:sz w:val="24"/>
          <w:szCs w:val="24"/>
        </w:rPr>
        <w:t>This approach enables the project to take into account direct impacts from anchor drop in addition to indirect impacts that can be experienced by designating a network of drop points, such as habitat fragmentation or impact to habitat continuity/integrity.</w:t>
      </w:r>
    </w:p>
    <w:p w:rsidR="00D1653C" w:rsidRPr="00BE4CDE" w:rsidRDefault="00D1653C" w:rsidP="00D1653C">
      <w:pPr>
        <w:pStyle w:val="Body"/>
        <w:rPr>
          <w:sz w:val="24"/>
          <w:szCs w:val="24"/>
        </w:rPr>
      </w:pPr>
      <w:r w:rsidRPr="00BE4CDE">
        <w:rPr>
          <w:sz w:val="24"/>
          <w:szCs w:val="24"/>
        </w:rPr>
        <w:t xml:space="preserve">The bounds of the ship anchorage areas (global positioning system (GPS) coordinates) at each of the ports and the total area (in hectares (ha)) of each ship anchorage are provided for reference </w:t>
      </w:r>
      <w:r w:rsidR="00CB6D81" w:rsidRPr="00BE4CDE">
        <w:rPr>
          <w:sz w:val="24"/>
          <w:szCs w:val="24"/>
        </w:rPr>
        <w:t>(</w:t>
      </w:r>
      <w:r w:rsidR="00CD38ED" w:rsidRPr="00BE4CDE">
        <w:rPr>
          <w:sz w:val="24"/>
          <w:szCs w:val="24"/>
        </w:rPr>
        <w:fldChar w:fldCharType="begin"/>
      </w:r>
      <w:r w:rsidR="00C739BD" w:rsidRPr="00BE4CDE">
        <w:rPr>
          <w:sz w:val="24"/>
          <w:szCs w:val="24"/>
        </w:rPr>
        <w:instrText xml:space="preserve"> REF  _Ref343590614 \* Lower \h </w:instrText>
      </w:r>
      <w:r w:rsidR="00BE4CDE">
        <w:rPr>
          <w:sz w:val="24"/>
          <w:szCs w:val="24"/>
        </w:rPr>
        <w:instrText xml:space="preserve"> \* MERGEFORMAT </w:instrText>
      </w:r>
      <w:r w:rsidR="00CD38ED" w:rsidRPr="00BE4CDE">
        <w:rPr>
          <w:sz w:val="24"/>
          <w:szCs w:val="24"/>
        </w:rPr>
      </w:r>
      <w:r w:rsidR="00CD38ED" w:rsidRPr="00BE4CDE">
        <w:rPr>
          <w:sz w:val="24"/>
          <w:szCs w:val="24"/>
        </w:rPr>
        <w:fldChar w:fldCharType="separate"/>
      </w:r>
      <w:r w:rsidR="005F6E51" w:rsidRPr="00BE4CDE">
        <w:rPr>
          <w:sz w:val="24"/>
          <w:szCs w:val="24"/>
        </w:rPr>
        <w:t xml:space="preserve">table </w:t>
      </w:r>
      <w:r w:rsidR="005F6E51">
        <w:rPr>
          <w:noProof/>
          <w:sz w:val="24"/>
          <w:szCs w:val="24"/>
        </w:rPr>
        <w:t>1</w:t>
      </w:r>
      <w:r w:rsidR="005F6E51" w:rsidRPr="00BE4CDE">
        <w:rPr>
          <w:noProof/>
          <w:sz w:val="24"/>
          <w:szCs w:val="24"/>
        </w:rPr>
        <w:noBreakHyphen/>
      </w:r>
      <w:r w:rsidR="005F6E51">
        <w:rPr>
          <w:noProof/>
          <w:sz w:val="24"/>
          <w:szCs w:val="24"/>
        </w:rPr>
        <w:t>2</w:t>
      </w:r>
      <w:r w:rsidR="00CD38ED" w:rsidRPr="00BE4CDE">
        <w:rPr>
          <w:sz w:val="24"/>
          <w:szCs w:val="24"/>
        </w:rPr>
        <w:fldChar w:fldCharType="end"/>
      </w:r>
      <w:r w:rsidR="00CB6D81" w:rsidRPr="00BE4CDE">
        <w:rPr>
          <w:sz w:val="24"/>
          <w:szCs w:val="24"/>
        </w:rPr>
        <w:t xml:space="preserve">) </w:t>
      </w:r>
      <w:r w:rsidRPr="00BE4CDE">
        <w:rPr>
          <w:sz w:val="24"/>
          <w:szCs w:val="24"/>
        </w:rPr>
        <w:t>and for the purpose</w:t>
      </w:r>
      <w:r w:rsidR="00995CCB" w:rsidRPr="00BE4CDE">
        <w:rPr>
          <w:sz w:val="24"/>
          <w:szCs w:val="24"/>
        </w:rPr>
        <w:t>s</w:t>
      </w:r>
      <w:r w:rsidRPr="00BE4CDE">
        <w:rPr>
          <w:sz w:val="24"/>
          <w:szCs w:val="24"/>
        </w:rPr>
        <w:t xml:space="preserve"> of informing the Economic Appraisal work.</w:t>
      </w:r>
    </w:p>
    <w:p w:rsidR="00BE4CDE" w:rsidRDefault="00D1653C" w:rsidP="00BE4CDE">
      <w:pPr>
        <w:pStyle w:val="Body"/>
        <w:rPr>
          <w:sz w:val="24"/>
          <w:szCs w:val="24"/>
        </w:rPr>
      </w:pPr>
      <w:r w:rsidRPr="00BE4CDE">
        <w:rPr>
          <w:sz w:val="24"/>
          <w:szCs w:val="24"/>
        </w:rPr>
        <w:t xml:space="preserve">It should be noted that these spatial areas defined above </w:t>
      </w:r>
      <w:r w:rsidR="00A943EC" w:rsidRPr="00BE4CDE">
        <w:rPr>
          <w:sz w:val="24"/>
          <w:szCs w:val="24"/>
        </w:rPr>
        <w:t xml:space="preserve">and in </w:t>
      </w:r>
      <w:r w:rsidR="00CD38ED" w:rsidRPr="00BE4CDE">
        <w:rPr>
          <w:sz w:val="24"/>
          <w:szCs w:val="24"/>
        </w:rPr>
        <w:fldChar w:fldCharType="begin"/>
      </w:r>
      <w:r w:rsidR="00A943EC" w:rsidRPr="00BE4CDE">
        <w:rPr>
          <w:sz w:val="24"/>
          <w:szCs w:val="24"/>
        </w:rPr>
        <w:instrText xml:space="preserve"> REF  _Ref343590614 \* Lower \h </w:instrText>
      </w:r>
      <w:r w:rsidR="00BE4CDE">
        <w:rPr>
          <w:sz w:val="24"/>
          <w:szCs w:val="24"/>
        </w:rPr>
        <w:instrText xml:space="preserve"> \* MERGEFORMAT </w:instrText>
      </w:r>
      <w:r w:rsidR="00CD38ED" w:rsidRPr="00BE4CDE">
        <w:rPr>
          <w:sz w:val="24"/>
          <w:szCs w:val="24"/>
        </w:rPr>
      </w:r>
      <w:r w:rsidR="00CD38ED" w:rsidRPr="00BE4CDE">
        <w:rPr>
          <w:sz w:val="24"/>
          <w:szCs w:val="24"/>
        </w:rPr>
        <w:fldChar w:fldCharType="separate"/>
      </w:r>
      <w:r w:rsidR="005F6E51" w:rsidRPr="00BE4CDE">
        <w:rPr>
          <w:sz w:val="24"/>
          <w:szCs w:val="24"/>
        </w:rPr>
        <w:t xml:space="preserve">table </w:t>
      </w:r>
      <w:r w:rsidR="005F6E51">
        <w:rPr>
          <w:noProof/>
          <w:sz w:val="24"/>
          <w:szCs w:val="24"/>
        </w:rPr>
        <w:t>1</w:t>
      </w:r>
      <w:r w:rsidR="005F6E51" w:rsidRPr="00BE4CDE">
        <w:rPr>
          <w:noProof/>
          <w:sz w:val="24"/>
          <w:szCs w:val="24"/>
        </w:rPr>
        <w:noBreakHyphen/>
      </w:r>
      <w:r w:rsidR="005F6E51">
        <w:rPr>
          <w:noProof/>
          <w:sz w:val="24"/>
          <w:szCs w:val="24"/>
        </w:rPr>
        <w:t>2</w:t>
      </w:r>
      <w:r w:rsidR="00CD38ED" w:rsidRPr="00BE4CDE">
        <w:rPr>
          <w:sz w:val="24"/>
          <w:szCs w:val="24"/>
        </w:rPr>
        <w:fldChar w:fldCharType="end"/>
      </w:r>
      <w:r w:rsidR="00A943EC" w:rsidRPr="00BE4CDE">
        <w:rPr>
          <w:sz w:val="24"/>
          <w:szCs w:val="24"/>
        </w:rPr>
        <w:t xml:space="preserve"> </w:t>
      </w:r>
      <w:r w:rsidRPr="00BE4CDE">
        <w:rPr>
          <w:sz w:val="24"/>
          <w:szCs w:val="24"/>
        </w:rPr>
        <w:t>provide the footprint of investigation adjacent to each port addressed by both the associated preceding EIA (GHD 2012</w:t>
      </w:r>
      <w:r w:rsidR="0047666F" w:rsidRPr="00BE4CDE">
        <w:rPr>
          <w:sz w:val="24"/>
          <w:szCs w:val="24"/>
        </w:rPr>
        <w:t>a</w:t>
      </w:r>
      <w:r w:rsidRPr="00BE4CDE">
        <w:rPr>
          <w:sz w:val="24"/>
          <w:szCs w:val="24"/>
        </w:rPr>
        <w:t xml:space="preserve">) and this social economic study. </w:t>
      </w:r>
    </w:p>
    <w:p w:rsidR="00BE4CDE" w:rsidRDefault="00BE4CDE" w:rsidP="00BE4CDE">
      <w:pPr>
        <w:pStyle w:val="Body"/>
      </w:pPr>
      <w:r>
        <w:br w:type="page"/>
      </w:r>
    </w:p>
    <w:p w:rsidR="00CB6D81" w:rsidRPr="00BE4CDE" w:rsidRDefault="00CB6D81" w:rsidP="00CA6902">
      <w:pPr>
        <w:pStyle w:val="CaptionTable"/>
        <w:rPr>
          <w:sz w:val="24"/>
          <w:szCs w:val="24"/>
        </w:rPr>
      </w:pPr>
      <w:bookmarkStart w:id="22" w:name="_Ref343590614"/>
      <w:bookmarkStart w:id="23" w:name="_Toc362274357"/>
      <w:r w:rsidRPr="00BE4CDE">
        <w:rPr>
          <w:sz w:val="24"/>
          <w:szCs w:val="24"/>
        </w:rPr>
        <w:lastRenderedPageBreak/>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1</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2</w:t>
      </w:r>
      <w:r w:rsidR="00542883">
        <w:rPr>
          <w:sz w:val="24"/>
          <w:szCs w:val="24"/>
        </w:rPr>
        <w:fldChar w:fldCharType="end"/>
      </w:r>
      <w:bookmarkEnd w:id="22"/>
      <w:r w:rsidR="0065723C">
        <w:rPr>
          <w:noProof/>
          <w:sz w:val="24"/>
          <w:szCs w:val="24"/>
        </w:rPr>
        <w:t>:</w:t>
      </w:r>
      <w:r w:rsidRPr="00BE4CDE">
        <w:rPr>
          <w:sz w:val="24"/>
          <w:szCs w:val="24"/>
        </w:rPr>
        <w:t xml:space="preserve"> </w:t>
      </w:r>
      <w:r w:rsidRPr="00BE4CDE">
        <w:rPr>
          <w:b w:val="0"/>
          <w:sz w:val="24"/>
          <w:szCs w:val="24"/>
        </w:rPr>
        <w:t>Bounds (latitude and longitude) and area (in ha) of the anchorage areas at each of the five major ports</w:t>
      </w:r>
      <w:r w:rsidR="00BE4CDE">
        <w:rPr>
          <w:b w:val="0"/>
          <w:sz w:val="24"/>
          <w:szCs w:val="24"/>
        </w:rPr>
        <w:t xml:space="preserve"> (</w:t>
      </w:r>
      <w:r w:rsidR="00BE4CDE" w:rsidRPr="00BE4CDE">
        <w:rPr>
          <w:b w:val="0"/>
          <w:sz w:val="24"/>
          <w:szCs w:val="24"/>
        </w:rPr>
        <w:t>Latitudes and longitudes are provided by point number. Point 1 is top left corner, Point 2 is top right corner, Point 3 is bottom left corner and Point 4 is bottom</w:t>
      </w:r>
      <w:r w:rsidR="00BE4CDE">
        <w:rPr>
          <w:b w:val="0"/>
          <w:sz w:val="24"/>
          <w:szCs w:val="24"/>
        </w:rPr>
        <w:t xml:space="preserve"> right corner of a bounded area)</w:t>
      </w:r>
      <w:bookmarkEnd w:id="23"/>
    </w:p>
    <w:tbl>
      <w:tblPr>
        <w:tblW w:w="9322" w:type="dxa"/>
        <w:tblBorders>
          <w:top w:val="single" w:sz="2" w:space="0" w:color="auto"/>
          <w:bottom w:val="single" w:sz="2" w:space="0" w:color="auto"/>
          <w:insideH w:val="single" w:sz="2" w:space="0" w:color="auto"/>
        </w:tblBorders>
        <w:tblLook w:val="0000" w:firstRow="0" w:lastRow="0" w:firstColumn="0" w:lastColumn="0" w:noHBand="0" w:noVBand="0"/>
        <w:tblCaption w:val="Bounds (latitude and longitude) and area (in ha) of the anchorage areas at each of the five major ports "/>
        <w:tblDescription w:val="The coordinates and area in hectares of each anchorage area across the five ports assessed. Columns are the latitude and longitude of each point of a bounded area and the total area of the bounded region."/>
      </w:tblPr>
      <w:tblGrid>
        <w:gridCol w:w="2126"/>
        <w:gridCol w:w="1440"/>
        <w:gridCol w:w="1439"/>
        <w:gridCol w:w="1439"/>
        <w:gridCol w:w="1439"/>
        <w:gridCol w:w="1439"/>
      </w:tblGrid>
      <w:tr w:rsidR="00CB6D81" w:rsidRPr="00BE4CDE" w:rsidTr="005F6E51">
        <w:trPr>
          <w:tblHeader/>
        </w:trPr>
        <w:tc>
          <w:tcPr>
            <w:tcW w:w="2093" w:type="dxa"/>
          </w:tcPr>
          <w:p w:rsidR="00CB6D81" w:rsidRPr="00BE4CDE" w:rsidRDefault="00CB6D81" w:rsidP="003C6D77">
            <w:pPr>
              <w:pStyle w:val="Body"/>
              <w:rPr>
                <w:b/>
                <w:sz w:val="24"/>
                <w:szCs w:val="24"/>
              </w:rPr>
            </w:pPr>
            <w:r w:rsidRPr="00BE4CDE">
              <w:rPr>
                <w:b/>
                <w:sz w:val="24"/>
                <w:szCs w:val="24"/>
              </w:rPr>
              <w:t>Port</w:t>
            </w:r>
          </w:p>
        </w:tc>
        <w:tc>
          <w:tcPr>
            <w:tcW w:w="1418" w:type="dxa"/>
          </w:tcPr>
          <w:p w:rsidR="00CB6D81" w:rsidRPr="00BE4CDE" w:rsidRDefault="00CB6D81" w:rsidP="003C6D77">
            <w:pPr>
              <w:pStyle w:val="Body"/>
              <w:rPr>
                <w:b/>
                <w:sz w:val="24"/>
                <w:szCs w:val="24"/>
              </w:rPr>
            </w:pPr>
            <w:r w:rsidRPr="00BE4CDE">
              <w:rPr>
                <w:b/>
                <w:sz w:val="24"/>
                <w:szCs w:val="24"/>
              </w:rPr>
              <w:t>Point 1</w:t>
            </w:r>
          </w:p>
        </w:tc>
        <w:tc>
          <w:tcPr>
            <w:tcW w:w="1418" w:type="dxa"/>
          </w:tcPr>
          <w:p w:rsidR="00CB6D81" w:rsidRPr="00BE4CDE" w:rsidRDefault="00CB6D81" w:rsidP="003C6D77">
            <w:pPr>
              <w:pStyle w:val="Body"/>
              <w:rPr>
                <w:b/>
                <w:sz w:val="24"/>
                <w:szCs w:val="24"/>
              </w:rPr>
            </w:pPr>
            <w:r w:rsidRPr="00BE4CDE">
              <w:rPr>
                <w:b/>
                <w:sz w:val="24"/>
                <w:szCs w:val="24"/>
              </w:rPr>
              <w:t>Point 2</w:t>
            </w:r>
          </w:p>
        </w:tc>
        <w:tc>
          <w:tcPr>
            <w:tcW w:w="1418" w:type="dxa"/>
          </w:tcPr>
          <w:p w:rsidR="00CB6D81" w:rsidRPr="00BE4CDE" w:rsidRDefault="00CB6D81" w:rsidP="003C6D77">
            <w:pPr>
              <w:pStyle w:val="Body"/>
              <w:rPr>
                <w:b/>
                <w:sz w:val="24"/>
                <w:szCs w:val="24"/>
              </w:rPr>
            </w:pPr>
            <w:r w:rsidRPr="00BE4CDE">
              <w:rPr>
                <w:b/>
                <w:sz w:val="24"/>
                <w:szCs w:val="24"/>
              </w:rPr>
              <w:t>Point 3</w:t>
            </w:r>
          </w:p>
        </w:tc>
        <w:tc>
          <w:tcPr>
            <w:tcW w:w="1418" w:type="dxa"/>
          </w:tcPr>
          <w:p w:rsidR="00CB6D81" w:rsidRPr="00BE4CDE" w:rsidRDefault="00CB6D81" w:rsidP="003C6D77">
            <w:pPr>
              <w:pStyle w:val="Body"/>
              <w:rPr>
                <w:b/>
                <w:sz w:val="24"/>
                <w:szCs w:val="24"/>
              </w:rPr>
            </w:pPr>
            <w:r w:rsidRPr="00BE4CDE">
              <w:rPr>
                <w:b/>
                <w:sz w:val="24"/>
                <w:szCs w:val="24"/>
              </w:rPr>
              <w:t>Point 4</w:t>
            </w:r>
          </w:p>
        </w:tc>
        <w:tc>
          <w:tcPr>
            <w:tcW w:w="1418" w:type="dxa"/>
          </w:tcPr>
          <w:p w:rsidR="00CB6D81" w:rsidRPr="00BE4CDE" w:rsidRDefault="00CB6D81" w:rsidP="003C6D77">
            <w:pPr>
              <w:pStyle w:val="Body"/>
              <w:rPr>
                <w:b/>
                <w:sz w:val="24"/>
                <w:szCs w:val="24"/>
              </w:rPr>
            </w:pPr>
            <w:r w:rsidRPr="00BE4CDE">
              <w:rPr>
                <w:b/>
                <w:sz w:val="24"/>
                <w:szCs w:val="24"/>
              </w:rPr>
              <w:t>Area (ha)</w:t>
            </w:r>
          </w:p>
        </w:tc>
      </w:tr>
      <w:tr w:rsidR="00CB6D81" w:rsidRPr="00BE4CDE" w:rsidTr="005F6E51">
        <w:trPr>
          <w:trHeight w:val="825"/>
        </w:trPr>
        <w:tc>
          <w:tcPr>
            <w:tcW w:w="2093" w:type="dxa"/>
          </w:tcPr>
          <w:p w:rsidR="00CB6D81" w:rsidRPr="00BE4CDE" w:rsidRDefault="00CB6D81" w:rsidP="003C6D77">
            <w:pPr>
              <w:pStyle w:val="Body"/>
              <w:rPr>
                <w:sz w:val="24"/>
                <w:szCs w:val="24"/>
              </w:rPr>
            </w:pPr>
            <w:r w:rsidRPr="00BE4CDE">
              <w:rPr>
                <w:sz w:val="24"/>
                <w:szCs w:val="24"/>
              </w:rPr>
              <w:t>Cairns</w:t>
            </w:r>
          </w:p>
        </w:tc>
        <w:tc>
          <w:tcPr>
            <w:tcW w:w="1418" w:type="dxa"/>
          </w:tcPr>
          <w:p w:rsidR="00CB6D81" w:rsidRPr="00BE4CDE" w:rsidRDefault="00CB6D81" w:rsidP="003C6D77">
            <w:pPr>
              <w:pStyle w:val="Body"/>
              <w:rPr>
                <w:sz w:val="24"/>
                <w:szCs w:val="24"/>
              </w:rPr>
            </w:pPr>
            <w:r w:rsidRPr="00BE4CDE">
              <w:rPr>
                <w:sz w:val="24"/>
                <w:szCs w:val="24"/>
              </w:rPr>
              <w:t>-16.809302</w:t>
            </w:r>
          </w:p>
          <w:p w:rsidR="00CB6D81" w:rsidRPr="00BE4CDE" w:rsidRDefault="00CB6D81" w:rsidP="003C6D77">
            <w:pPr>
              <w:pStyle w:val="Body"/>
              <w:rPr>
                <w:sz w:val="24"/>
                <w:szCs w:val="24"/>
              </w:rPr>
            </w:pPr>
            <w:r w:rsidRPr="00BE4CDE">
              <w:rPr>
                <w:sz w:val="24"/>
                <w:szCs w:val="24"/>
              </w:rPr>
              <w:t>145.77560</w:t>
            </w:r>
          </w:p>
        </w:tc>
        <w:tc>
          <w:tcPr>
            <w:tcW w:w="1418" w:type="dxa"/>
          </w:tcPr>
          <w:p w:rsidR="00CB6D81" w:rsidRPr="00BE4CDE" w:rsidRDefault="00CB6D81" w:rsidP="003C6D77">
            <w:pPr>
              <w:pStyle w:val="Body"/>
              <w:rPr>
                <w:sz w:val="24"/>
                <w:szCs w:val="24"/>
              </w:rPr>
            </w:pPr>
            <w:r w:rsidRPr="00BE4CDE">
              <w:rPr>
                <w:sz w:val="24"/>
                <w:szCs w:val="24"/>
              </w:rPr>
              <w:t>-16.75466</w:t>
            </w:r>
          </w:p>
          <w:p w:rsidR="00CB6D81" w:rsidRPr="00BE4CDE" w:rsidRDefault="00CB6D81" w:rsidP="003C6D77">
            <w:pPr>
              <w:pStyle w:val="Body"/>
              <w:rPr>
                <w:sz w:val="24"/>
                <w:szCs w:val="24"/>
              </w:rPr>
            </w:pPr>
            <w:r w:rsidRPr="00BE4CDE">
              <w:rPr>
                <w:sz w:val="24"/>
                <w:szCs w:val="24"/>
              </w:rPr>
              <w:t>145.86635</w:t>
            </w:r>
          </w:p>
        </w:tc>
        <w:tc>
          <w:tcPr>
            <w:tcW w:w="1418" w:type="dxa"/>
          </w:tcPr>
          <w:p w:rsidR="00CB6D81" w:rsidRPr="00BE4CDE" w:rsidRDefault="00CB6D81" w:rsidP="003C6D77">
            <w:pPr>
              <w:pStyle w:val="Body"/>
              <w:rPr>
                <w:sz w:val="24"/>
                <w:szCs w:val="24"/>
              </w:rPr>
            </w:pPr>
            <w:r w:rsidRPr="00BE4CDE">
              <w:rPr>
                <w:sz w:val="24"/>
                <w:szCs w:val="24"/>
              </w:rPr>
              <w:t>-16.97995</w:t>
            </w:r>
          </w:p>
          <w:p w:rsidR="00CB6D81" w:rsidRPr="00BE4CDE" w:rsidRDefault="00CB6D81" w:rsidP="003C6D77">
            <w:pPr>
              <w:pStyle w:val="Body"/>
              <w:rPr>
                <w:sz w:val="24"/>
                <w:szCs w:val="24"/>
              </w:rPr>
            </w:pPr>
            <w:r w:rsidRPr="00BE4CDE">
              <w:rPr>
                <w:sz w:val="24"/>
                <w:szCs w:val="24"/>
              </w:rPr>
              <w:t>145.96195</w:t>
            </w:r>
          </w:p>
        </w:tc>
        <w:tc>
          <w:tcPr>
            <w:tcW w:w="1418" w:type="dxa"/>
          </w:tcPr>
          <w:p w:rsidR="00CB6D81" w:rsidRPr="00BE4CDE" w:rsidRDefault="00CB6D81" w:rsidP="003C6D77">
            <w:pPr>
              <w:pStyle w:val="Body"/>
              <w:rPr>
                <w:sz w:val="24"/>
                <w:szCs w:val="24"/>
              </w:rPr>
            </w:pPr>
            <w:r w:rsidRPr="00BE4CDE">
              <w:rPr>
                <w:sz w:val="24"/>
                <w:szCs w:val="24"/>
              </w:rPr>
              <w:t>-16.95247</w:t>
            </w:r>
          </w:p>
          <w:p w:rsidR="00CB6D81" w:rsidRPr="00BE4CDE" w:rsidRDefault="00CB6D81" w:rsidP="003C6D77">
            <w:pPr>
              <w:pStyle w:val="Body"/>
              <w:rPr>
                <w:sz w:val="24"/>
                <w:szCs w:val="24"/>
              </w:rPr>
            </w:pPr>
            <w:r w:rsidRPr="00BE4CDE">
              <w:rPr>
                <w:sz w:val="24"/>
                <w:szCs w:val="24"/>
              </w:rPr>
              <w:t>146.01798</w:t>
            </w:r>
          </w:p>
        </w:tc>
        <w:tc>
          <w:tcPr>
            <w:tcW w:w="1418" w:type="dxa"/>
          </w:tcPr>
          <w:p w:rsidR="00CB6D81" w:rsidRPr="00BE4CDE" w:rsidRDefault="00CB6D81" w:rsidP="003C6D77">
            <w:pPr>
              <w:pStyle w:val="Body"/>
              <w:rPr>
                <w:sz w:val="24"/>
                <w:szCs w:val="24"/>
              </w:rPr>
            </w:pPr>
            <w:r w:rsidRPr="00BE4CDE">
              <w:rPr>
                <w:sz w:val="24"/>
                <w:szCs w:val="24"/>
              </w:rPr>
              <w:t>24,118</w:t>
            </w:r>
          </w:p>
        </w:tc>
      </w:tr>
      <w:tr w:rsidR="00CB6D81" w:rsidRPr="00BE4CDE" w:rsidTr="005F6E51">
        <w:trPr>
          <w:trHeight w:val="825"/>
        </w:trPr>
        <w:tc>
          <w:tcPr>
            <w:tcW w:w="2093" w:type="dxa"/>
          </w:tcPr>
          <w:p w:rsidR="00CB6D81" w:rsidRPr="00BE4CDE" w:rsidRDefault="00CB6D81" w:rsidP="003C6D77">
            <w:pPr>
              <w:pStyle w:val="Body"/>
              <w:rPr>
                <w:sz w:val="24"/>
                <w:szCs w:val="24"/>
              </w:rPr>
            </w:pPr>
            <w:r w:rsidRPr="00BE4CDE">
              <w:rPr>
                <w:sz w:val="24"/>
                <w:szCs w:val="24"/>
              </w:rPr>
              <w:t>Townsville</w:t>
            </w:r>
          </w:p>
        </w:tc>
        <w:tc>
          <w:tcPr>
            <w:tcW w:w="1418" w:type="dxa"/>
          </w:tcPr>
          <w:p w:rsidR="00CB6D81" w:rsidRPr="00BE4CDE" w:rsidRDefault="00CB6D81" w:rsidP="003C6D77">
            <w:pPr>
              <w:pStyle w:val="Body"/>
              <w:rPr>
                <w:sz w:val="24"/>
                <w:szCs w:val="24"/>
              </w:rPr>
            </w:pPr>
            <w:r w:rsidRPr="00BE4CDE">
              <w:rPr>
                <w:sz w:val="24"/>
                <w:szCs w:val="24"/>
              </w:rPr>
              <w:t>-19.01963</w:t>
            </w:r>
          </w:p>
          <w:p w:rsidR="00CB6D81" w:rsidRPr="00BE4CDE" w:rsidRDefault="00CB6D81" w:rsidP="003C6D77">
            <w:pPr>
              <w:pStyle w:val="Body"/>
              <w:rPr>
                <w:sz w:val="24"/>
                <w:szCs w:val="24"/>
              </w:rPr>
            </w:pPr>
            <w:r w:rsidRPr="00BE4CDE">
              <w:rPr>
                <w:sz w:val="24"/>
                <w:szCs w:val="24"/>
              </w:rPr>
              <w:t>146.80780</w:t>
            </w:r>
          </w:p>
        </w:tc>
        <w:tc>
          <w:tcPr>
            <w:tcW w:w="1418" w:type="dxa"/>
          </w:tcPr>
          <w:p w:rsidR="00CB6D81" w:rsidRPr="00BE4CDE" w:rsidRDefault="00CB6D81" w:rsidP="003C6D77">
            <w:pPr>
              <w:pStyle w:val="Body"/>
              <w:rPr>
                <w:sz w:val="24"/>
                <w:szCs w:val="24"/>
              </w:rPr>
            </w:pPr>
            <w:r w:rsidRPr="00BE4CDE">
              <w:rPr>
                <w:sz w:val="24"/>
                <w:szCs w:val="24"/>
              </w:rPr>
              <w:t>-19.02737</w:t>
            </w:r>
          </w:p>
          <w:p w:rsidR="00CB6D81" w:rsidRPr="00BE4CDE" w:rsidRDefault="00CB6D81" w:rsidP="003C6D77">
            <w:pPr>
              <w:pStyle w:val="Body"/>
              <w:rPr>
                <w:sz w:val="24"/>
                <w:szCs w:val="24"/>
              </w:rPr>
            </w:pPr>
            <w:r w:rsidRPr="00BE4CDE">
              <w:rPr>
                <w:sz w:val="24"/>
                <w:szCs w:val="24"/>
              </w:rPr>
              <w:t>147.03623</w:t>
            </w:r>
          </w:p>
        </w:tc>
        <w:tc>
          <w:tcPr>
            <w:tcW w:w="1418" w:type="dxa"/>
          </w:tcPr>
          <w:p w:rsidR="00CB6D81" w:rsidRPr="00BE4CDE" w:rsidRDefault="00CB6D81" w:rsidP="003C6D77">
            <w:pPr>
              <w:pStyle w:val="Body"/>
              <w:rPr>
                <w:sz w:val="24"/>
                <w:szCs w:val="24"/>
              </w:rPr>
            </w:pPr>
            <w:r w:rsidRPr="00BE4CDE">
              <w:rPr>
                <w:sz w:val="24"/>
                <w:szCs w:val="24"/>
              </w:rPr>
              <w:t>-19.13087</w:t>
            </w:r>
          </w:p>
          <w:p w:rsidR="00CB6D81" w:rsidRPr="00BE4CDE" w:rsidRDefault="00CB6D81" w:rsidP="003C6D77">
            <w:pPr>
              <w:pStyle w:val="Body"/>
              <w:rPr>
                <w:sz w:val="24"/>
                <w:szCs w:val="24"/>
              </w:rPr>
            </w:pPr>
            <w:r w:rsidRPr="00BE4CDE">
              <w:rPr>
                <w:sz w:val="24"/>
                <w:szCs w:val="24"/>
              </w:rPr>
              <w:t>146.90595</w:t>
            </w:r>
          </w:p>
        </w:tc>
        <w:tc>
          <w:tcPr>
            <w:tcW w:w="1418" w:type="dxa"/>
          </w:tcPr>
          <w:p w:rsidR="00CB6D81" w:rsidRPr="00BE4CDE" w:rsidRDefault="00CB6D81" w:rsidP="003C6D77">
            <w:pPr>
              <w:pStyle w:val="Body"/>
              <w:rPr>
                <w:sz w:val="24"/>
                <w:szCs w:val="24"/>
              </w:rPr>
            </w:pPr>
            <w:r w:rsidRPr="00BE4CDE">
              <w:rPr>
                <w:sz w:val="24"/>
                <w:szCs w:val="24"/>
              </w:rPr>
              <w:t>-19.13266</w:t>
            </w:r>
          </w:p>
          <w:p w:rsidR="00CB6D81" w:rsidRPr="00BE4CDE" w:rsidRDefault="00CB6D81" w:rsidP="003C6D77">
            <w:pPr>
              <w:pStyle w:val="Body"/>
              <w:rPr>
                <w:sz w:val="24"/>
                <w:szCs w:val="24"/>
              </w:rPr>
            </w:pPr>
            <w:r w:rsidRPr="00BE4CDE">
              <w:rPr>
                <w:sz w:val="24"/>
                <w:szCs w:val="24"/>
              </w:rPr>
              <w:t>147.06002</w:t>
            </w:r>
          </w:p>
        </w:tc>
        <w:tc>
          <w:tcPr>
            <w:tcW w:w="1418" w:type="dxa"/>
          </w:tcPr>
          <w:p w:rsidR="00CB6D81" w:rsidRPr="00BE4CDE" w:rsidRDefault="00CB6D81" w:rsidP="003C6D77">
            <w:pPr>
              <w:pStyle w:val="Body"/>
              <w:rPr>
                <w:sz w:val="24"/>
                <w:szCs w:val="24"/>
              </w:rPr>
            </w:pPr>
            <w:r w:rsidRPr="00BE4CDE">
              <w:rPr>
                <w:sz w:val="24"/>
                <w:szCs w:val="24"/>
              </w:rPr>
              <w:t>23,762</w:t>
            </w:r>
          </w:p>
        </w:tc>
      </w:tr>
      <w:tr w:rsidR="00CB6D81" w:rsidRPr="00BE4CDE" w:rsidTr="005F6E51">
        <w:trPr>
          <w:trHeight w:val="825"/>
        </w:trPr>
        <w:tc>
          <w:tcPr>
            <w:tcW w:w="2093" w:type="dxa"/>
          </w:tcPr>
          <w:p w:rsidR="00CB6D81" w:rsidRPr="00BE4CDE" w:rsidRDefault="00CB6D81" w:rsidP="003C6D77">
            <w:pPr>
              <w:pStyle w:val="Body"/>
              <w:rPr>
                <w:sz w:val="24"/>
                <w:szCs w:val="24"/>
              </w:rPr>
            </w:pPr>
            <w:r w:rsidRPr="00BE4CDE">
              <w:rPr>
                <w:sz w:val="24"/>
                <w:szCs w:val="24"/>
              </w:rPr>
              <w:t>Abbot Point</w:t>
            </w:r>
          </w:p>
        </w:tc>
        <w:tc>
          <w:tcPr>
            <w:tcW w:w="1418" w:type="dxa"/>
          </w:tcPr>
          <w:p w:rsidR="00CB6D81" w:rsidRPr="00BE4CDE" w:rsidRDefault="00CB6D81" w:rsidP="003C6D77">
            <w:pPr>
              <w:pStyle w:val="Body"/>
              <w:rPr>
                <w:sz w:val="24"/>
                <w:szCs w:val="24"/>
              </w:rPr>
            </w:pPr>
            <w:r w:rsidRPr="00BE4CDE">
              <w:rPr>
                <w:sz w:val="24"/>
                <w:szCs w:val="24"/>
              </w:rPr>
              <w:t>-19.65923</w:t>
            </w:r>
          </w:p>
          <w:p w:rsidR="00CB6D81" w:rsidRPr="00BE4CDE" w:rsidRDefault="00CB6D81" w:rsidP="003C6D77">
            <w:pPr>
              <w:pStyle w:val="Body"/>
              <w:rPr>
                <w:sz w:val="24"/>
                <w:szCs w:val="24"/>
              </w:rPr>
            </w:pPr>
            <w:r w:rsidRPr="00BE4CDE">
              <w:rPr>
                <w:sz w:val="24"/>
                <w:szCs w:val="24"/>
              </w:rPr>
              <w:t>147.98337</w:t>
            </w:r>
          </w:p>
        </w:tc>
        <w:tc>
          <w:tcPr>
            <w:tcW w:w="1418" w:type="dxa"/>
          </w:tcPr>
          <w:p w:rsidR="00CB6D81" w:rsidRPr="00BE4CDE" w:rsidRDefault="00CB6D81" w:rsidP="003C6D77">
            <w:pPr>
              <w:pStyle w:val="Body"/>
              <w:rPr>
                <w:sz w:val="24"/>
                <w:szCs w:val="24"/>
              </w:rPr>
            </w:pPr>
            <w:r w:rsidRPr="00BE4CDE">
              <w:rPr>
                <w:sz w:val="24"/>
                <w:szCs w:val="24"/>
              </w:rPr>
              <w:t>-19.67425</w:t>
            </w:r>
          </w:p>
          <w:p w:rsidR="00CB6D81" w:rsidRPr="00BE4CDE" w:rsidRDefault="00CB6D81" w:rsidP="003C6D77">
            <w:pPr>
              <w:pStyle w:val="Body"/>
              <w:rPr>
                <w:sz w:val="24"/>
                <w:szCs w:val="24"/>
              </w:rPr>
            </w:pPr>
            <w:r w:rsidRPr="00BE4CDE">
              <w:rPr>
                <w:sz w:val="24"/>
                <w:szCs w:val="24"/>
              </w:rPr>
              <w:t>148.28264</w:t>
            </w:r>
          </w:p>
        </w:tc>
        <w:tc>
          <w:tcPr>
            <w:tcW w:w="1418" w:type="dxa"/>
          </w:tcPr>
          <w:p w:rsidR="00CB6D81" w:rsidRPr="00BE4CDE" w:rsidRDefault="00CB6D81" w:rsidP="003C6D77">
            <w:pPr>
              <w:pStyle w:val="Body"/>
              <w:rPr>
                <w:sz w:val="24"/>
                <w:szCs w:val="24"/>
              </w:rPr>
            </w:pPr>
            <w:r w:rsidRPr="00BE4CDE">
              <w:rPr>
                <w:sz w:val="24"/>
                <w:szCs w:val="24"/>
              </w:rPr>
              <w:t>-19.81606</w:t>
            </w:r>
          </w:p>
          <w:p w:rsidR="00CB6D81" w:rsidRPr="00BE4CDE" w:rsidRDefault="00CB6D81" w:rsidP="003C6D77">
            <w:pPr>
              <w:pStyle w:val="Body"/>
              <w:rPr>
                <w:sz w:val="24"/>
                <w:szCs w:val="24"/>
              </w:rPr>
            </w:pPr>
            <w:r w:rsidRPr="00BE4CDE">
              <w:rPr>
                <w:sz w:val="24"/>
                <w:szCs w:val="24"/>
              </w:rPr>
              <w:t>147.98092</w:t>
            </w:r>
          </w:p>
        </w:tc>
        <w:tc>
          <w:tcPr>
            <w:tcW w:w="1418" w:type="dxa"/>
          </w:tcPr>
          <w:p w:rsidR="00CB6D81" w:rsidRPr="00BE4CDE" w:rsidRDefault="00CB6D81" w:rsidP="003C6D77">
            <w:pPr>
              <w:pStyle w:val="Body"/>
              <w:rPr>
                <w:sz w:val="24"/>
                <w:szCs w:val="24"/>
              </w:rPr>
            </w:pPr>
            <w:r w:rsidRPr="00BE4CDE">
              <w:rPr>
                <w:sz w:val="24"/>
                <w:szCs w:val="24"/>
              </w:rPr>
              <w:t>19.87983</w:t>
            </w:r>
          </w:p>
          <w:p w:rsidR="00CB6D81" w:rsidRPr="00BE4CDE" w:rsidRDefault="00CB6D81" w:rsidP="003C6D77">
            <w:pPr>
              <w:pStyle w:val="Body"/>
              <w:rPr>
                <w:sz w:val="24"/>
                <w:szCs w:val="24"/>
              </w:rPr>
            </w:pPr>
            <w:r w:rsidRPr="00BE4CDE">
              <w:rPr>
                <w:sz w:val="24"/>
                <w:szCs w:val="24"/>
              </w:rPr>
              <w:t>148.22934</w:t>
            </w:r>
          </w:p>
        </w:tc>
        <w:tc>
          <w:tcPr>
            <w:tcW w:w="1418" w:type="dxa"/>
          </w:tcPr>
          <w:p w:rsidR="00CB6D81" w:rsidRPr="00BE4CDE" w:rsidRDefault="00CB6D81" w:rsidP="003C6D77">
            <w:pPr>
              <w:pStyle w:val="Body"/>
              <w:rPr>
                <w:sz w:val="24"/>
                <w:szCs w:val="24"/>
              </w:rPr>
            </w:pPr>
            <w:r w:rsidRPr="00BE4CDE">
              <w:rPr>
                <w:sz w:val="24"/>
                <w:szCs w:val="24"/>
              </w:rPr>
              <w:t>58,818</w:t>
            </w:r>
          </w:p>
        </w:tc>
      </w:tr>
      <w:tr w:rsidR="00CB6D81" w:rsidRPr="00BE4CDE" w:rsidTr="005F6E51">
        <w:trPr>
          <w:trHeight w:val="825"/>
        </w:trPr>
        <w:tc>
          <w:tcPr>
            <w:tcW w:w="2093" w:type="dxa"/>
          </w:tcPr>
          <w:p w:rsidR="00CB6D81" w:rsidRPr="00BE4CDE" w:rsidRDefault="00CB6D81" w:rsidP="003C6D77">
            <w:pPr>
              <w:pStyle w:val="Body"/>
              <w:rPr>
                <w:sz w:val="24"/>
                <w:szCs w:val="24"/>
              </w:rPr>
            </w:pPr>
            <w:r w:rsidRPr="00BE4CDE">
              <w:rPr>
                <w:sz w:val="24"/>
                <w:szCs w:val="24"/>
              </w:rPr>
              <w:t>Hay Point</w:t>
            </w:r>
          </w:p>
        </w:tc>
        <w:tc>
          <w:tcPr>
            <w:tcW w:w="1418" w:type="dxa"/>
          </w:tcPr>
          <w:p w:rsidR="00CB6D81" w:rsidRPr="00BE4CDE" w:rsidRDefault="00CB6D81" w:rsidP="003C6D77">
            <w:pPr>
              <w:pStyle w:val="Body"/>
              <w:rPr>
                <w:sz w:val="24"/>
                <w:szCs w:val="24"/>
              </w:rPr>
            </w:pPr>
            <w:r w:rsidRPr="00BE4CDE">
              <w:rPr>
                <w:sz w:val="24"/>
                <w:szCs w:val="24"/>
              </w:rPr>
              <w:t>-21.17225</w:t>
            </w:r>
          </w:p>
          <w:p w:rsidR="00CB6D81" w:rsidRPr="00BE4CDE" w:rsidRDefault="00CB6D81" w:rsidP="003C6D77">
            <w:pPr>
              <w:pStyle w:val="Body"/>
              <w:rPr>
                <w:sz w:val="24"/>
                <w:szCs w:val="24"/>
              </w:rPr>
            </w:pPr>
            <w:r w:rsidRPr="00BE4CDE">
              <w:rPr>
                <w:sz w:val="24"/>
                <w:szCs w:val="24"/>
              </w:rPr>
              <w:t>149.31492</w:t>
            </w:r>
          </w:p>
        </w:tc>
        <w:tc>
          <w:tcPr>
            <w:tcW w:w="1418" w:type="dxa"/>
          </w:tcPr>
          <w:p w:rsidR="00CB6D81" w:rsidRPr="00BE4CDE" w:rsidRDefault="00CB6D81" w:rsidP="003C6D77">
            <w:pPr>
              <w:pStyle w:val="Body"/>
              <w:rPr>
                <w:sz w:val="24"/>
                <w:szCs w:val="24"/>
              </w:rPr>
            </w:pPr>
            <w:r w:rsidRPr="00BE4CDE">
              <w:rPr>
                <w:sz w:val="24"/>
                <w:szCs w:val="24"/>
              </w:rPr>
              <w:t>-20.97303</w:t>
            </w:r>
          </w:p>
          <w:p w:rsidR="00CB6D81" w:rsidRPr="00BE4CDE" w:rsidRDefault="00CB6D81" w:rsidP="003C6D77">
            <w:pPr>
              <w:pStyle w:val="Body"/>
              <w:rPr>
                <w:sz w:val="24"/>
                <w:szCs w:val="24"/>
              </w:rPr>
            </w:pPr>
            <w:r w:rsidRPr="00BE4CDE">
              <w:rPr>
                <w:sz w:val="24"/>
                <w:szCs w:val="24"/>
              </w:rPr>
              <w:t>149.81436</w:t>
            </w:r>
          </w:p>
        </w:tc>
        <w:tc>
          <w:tcPr>
            <w:tcW w:w="1418" w:type="dxa"/>
          </w:tcPr>
          <w:p w:rsidR="00CB6D81" w:rsidRPr="00BE4CDE" w:rsidRDefault="00CB6D81" w:rsidP="003C6D77">
            <w:pPr>
              <w:pStyle w:val="Body"/>
              <w:rPr>
                <w:sz w:val="24"/>
                <w:szCs w:val="24"/>
              </w:rPr>
            </w:pPr>
            <w:r w:rsidRPr="00BE4CDE">
              <w:rPr>
                <w:sz w:val="24"/>
                <w:szCs w:val="24"/>
              </w:rPr>
              <w:t>-21.29850</w:t>
            </w:r>
          </w:p>
          <w:p w:rsidR="00CB6D81" w:rsidRPr="00BE4CDE" w:rsidRDefault="00CB6D81" w:rsidP="003C6D77">
            <w:pPr>
              <w:pStyle w:val="Body"/>
              <w:rPr>
                <w:sz w:val="24"/>
                <w:szCs w:val="24"/>
              </w:rPr>
            </w:pPr>
            <w:r w:rsidRPr="00BE4CDE">
              <w:rPr>
                <w:sz w:val="24"/>
                <w:szCs w:val="24"/>
              </w:rPr>
              <w:t>149.31236</w:t>
            </w:r>
          </w:p>
        </w:tc>
        <w:tc>
          <w:tcPr>
            <w:tcW w:w="1418" w:type="dxa"/>
          </w:tcPr>
          <w:p w:rsidR="00CB6D81" w:rsidRPr="00BE4CDE" w:rsidRDefault="00CB6D81" w:rsidP="003C6D77">
            <w:pPr>
              <w:pStyle w:val="Body"/>
              <w:rPr>
                <w:sz w:val="24"/>
                <w:szCs w:val="24"/>
              </w:rPr>
            </w:pPr>
            <w:r w:rsidRPr="00BE4CDE">
              <w:rPr>
                <w:sz w:val="24"/>
                <w:szCs w:val="24"/>
              </w:rPr>
              <w:t>-21.29862</w:t>
            </w:r>
          </w:p>
          <w:p w:rsidR="00CB6D81" w:rsidRPr="00BE4CDE" w:rsidRDefault="00CB6D81" w:rsidP="003C6D77">
            <w:pPr>
              <w:pStyle w:val="Body"/>
              <w:rPr>
                <w:sz w:val="24"/>
                <w:szCs w:val="24"/>
              </w:rPr>
            </w:pPr>
            <w:r w:rsidRPr="00BE4CDE">
              <w:rPr>
                <w:sz w:val="24"/>
                <w:szCs w:val="24"/>
              </w:rPr>
              <w:t>149.95951</w:t>
            </w:r>
          </w:p>
        </w:tc>
        <w:tc>
          <w:tcPr>
            <w:tcW w:w="1418" w:type="dxa"/>
          </w:tcPr>
          <w:p w:rsidR="00CB6D81" w:rsidRPr="00BE4CDE" w:rsidRDefault="00CB6D81" w:rsidP="003C6D77">
            <w:pPr>
              <w:pStyle w:val="Body"/>
              <w:rPr>
                <w:sz w:val="24"/>
                <w:szCs w:val="24"/>
              </w:rPr>
            </w:pPr>
            <w:r w:rsidRPr="00BE4CDE">
              <w:rPr>
                <w:sz w:val="24"/>
                <w:szCs w:val="24"/>
              </w:rPr>
              <w:t>157,284</w:t>
            </w:r>
          </w:p>
        </w:tc>
      </w:tr>
      <w:tr w:rsidR="00CB6D81" w:rsidRPr="00FF10AE" w:rsidTr="005F6E51">
        <w:trPr>
          <w:trHeight w:val="870"/>
        </w:trPr>
        <w:tc>
          <w:tcPr>
            <w:tcW w:w="2093" w:type="dxa"/>
          </w:tcPr>
          <w:p w:rsidR="00CB6D81" w:rsidRPr="00BE4CDE" w:rsidRDefault="00CB6D81" w:rsidP="003C6D77">
            <w:pPr>
              <w:pStyle w:val="Body"/>
              <w:rPr>
                <w:sz w:val="24"/>
                <w:szCs w:val="24"/>
              </w:rPr>
            </w:pPr>
            <w:r w:rsidRPr="00BE4CDE">
              <w:rPr>
                <w:sz w:val="24"/>
                <w:szCs w:val="24"/>
              </w:rPr>
              <w:t>Gladstone inner anchorage</w:t>
            </w:r>
          </w:p>
        </w:tc>
        <w:tc>
          <w:tcPr>
            <w:tcW w:w="1418" w:type="dxa"/>
          </w:tcPr>
          <w:p w:rsidR="00CB6D81" w:rsidRPr="00BE4CDE" w:rsidRDefault="00CB6D81" w:rsidP="003C6D77">
            <w:pPr>
              <w:pStyle w:val="Body"/>
              <w:rPr>
                <w:sz w:val="24"/>
                <w:szCs w:val="24"/>
              </w:rPr>
            </w:pPr>
            <w:r w:rsidRPr="00BE4CDE">
              <w:rPr>
                <w:sz w:val="24"/>
                <w:szCs w:val="24"/>
              </w:rPr>
              <w:t>-23.83373</w:t>
            </w:r>
          </w:p>
          <w:p w:rsidR="00CB6D81" w:rsidRPr="00BE4CDE" w:rsidRDefault="00CB6D81" w:rsidP="003C6D77">
            <w:pPr>
              <w:pStyle w:val="Body"/>
              <w:rPr>
                <w:sz w:val="24"/>
                <w:szCs w:val="24"/>
              </w:rPr>
            </w:pPr>
            <w:r w:rsidRPr="00BE4CDE">
              <w:rPr>
                <w:sz w:val="24"/>
                <w:szCs w:val="24"/>
              </w:rPr>
              <w:t>151.29568</w:t>
            </w:r>
          </w:p>
        </w:tc>
        <w:tc>
          <w:tcPr>
            <w:tcW w:w="1418" w:type="dxa"/>
          </w:tcPr>
          <w:p w:rsidR="00CB6D81" w:rsidRPr="00BE4CDE" w:rsidRDefault="00CB6D81" w:rsidP="003C6D77">
            <w:pPr>
              <w:pStyle w:val="Body"/>
              <w:rPr>
                <w:sz w:val="24"/>
                <w:szCs w:val="24"/>
              </w:rPr>
            </w:pPr>
            <w:r w:rsidRPr="00BE4CDE">
              <w:rPr>
                <w:sz w:val="24"/>
                <w:szCs w:val="24"/>
              </w:rPr>
              <w:t>-23.82218</w:t>
            </w:r>
          </w:p>
          <w:p w:rsidR="00CB6D81" w:rsidRPr="00BE4CDE" w:rsidRDefault="00CB6D81" w:rsidP="003C6D77">
            <w:pPr>
              <w:pStyle w:val="Body"/>
              <w:rPr>
                <w:sz w:val="24"/>
                <w:szCs w:val="24"/>
              </w:rPr>
            </w:pPr>
            <w:r w:rsidRPr="00BE4CDE">
              <w:rPr>
                <w:sz w:val="24"/>
                <w:szCs w:val="24"/>
              </w:rPr>
              <w:t>151.31167</w:t>
            </w:r>
          </w:p>
        </w:tc>
        <w:tc>
          <w:tcPr>
            <w:tcW w:w="1418" w:type="dxa"/>
          </w:tcPr>
          <w:p w:rsidR="00CB6D81" w:rsidRPr="00BE4CDE" w:rsidRDefault="00CB6D81" w:rsidP="003C6D77">
            <w:pPr>
              <w:pStyle w:val="Body"/>
              <w:rPr>
                <w:sz w:val="24"/>
                <w:szCs w:val="24"/>
              </w:rPr>
            </w:pPr>
            <w:r w:rsidRPr="00BE4CDE">
              <w:rPr>
                <w:sz w:val="24"/>
                <w:szCs w:val="24"/>
              </w:rPr>
              <w:t>-23.87902</w:t>
            </w:r>
          </w:p>
          <w:p w:rsidR="00CB6D81" w:rsidRPr="00BE4CDE" w:rsidRDefault="00CB6D81" w:rsidP="003C6D77">
            <w:pPr>
              <w:pStyle w:val="Body"/>
              <w:rPr>
                <w:sz w:val="24"/>
                <w:szCs w:val="24"/>
              </w:rPr>
            </w:pPr>
            <w:r w:rsidRPr="00BE4CDE">
              <w:rPr>
                <w:sz w:val="24"/>
                <w:szCs w:val="24"/>
              </w:rPr>
              <w:t>151.35518</w:t>
            </w:r>
          </w:p>
        </w:tc>
        <w:tc>
          <w:tcPr>
            <w:tcW w:w="1418" w:type="dxa"/>
          </w:tcPr>
          <w:p w:rsidR="00CB6D81" w:rsidRPr="00BE4CDE" w:rsidRDefault="00CB6D81" w:rsidP="003C6D77">
            <w:pPr>
              <w:pStyle w:val="Body"/>
              <w:rPr>
                <w:sz w:val="24"/>
                <w:szCs w:val="24"/>
              </w:rPr>
            </w:pPr>
            <w:r w:rsidRPr="00BE4CDE">
              <w:rPr>
                <w:sz w:val="24"/>
                <w:szCs w:val="24"/>
              </w:rPr>
              <w:t>-23.86798</w:t>
            </w:r>
          </w:p>
          <w:p w:rsidR="00CB6D81" w:rsidRPr="00BE4CDE" w:rsidRDefault="00CB6D81" w:rsidP="003C6D77">
            <w:pPr>
              <w:pStyle w:val="Body"/>
              <w:rPr>
                <w:sz w:val="24"/>
                <w:szCs w:val="24"/>
              </w:rPr>
            </w:pPr>
            <w:r w:rsidRPr="00BE4CDE">
              <w:rPr>
                <w:sz w:val="24"/>
                <w:szCs w:val="24"/>
              </w:rPr>
              <w:t>151.36551</w:t>
            </w:r>
          </w:p>
        </w:tc>
        <w:tc>
          <w:tcPr>
            <w:tcW w:w="1418" w:type="dxa"/>
          </w:tcPr>
          <w:p w:rsidR="00CB6D81" w:rsidRPr="00BE4CDE" w:rsidRDefault="00CB6D81" w:rsidP="003C6D77">
            <w:pPr>
              <w:pStyle w:val="Body"/>
              <w:rPr>
                <w:sz w:val="24"/>
                <w:szCs w:val="24"/>
              </w:rPr>
            </w:pPr>
            <w:r w:rsidRPr="00BE4CDE">
              <w:rPr>
                <w:sz w:val="24"/>
                <w:szCs w:val="24"/>
              </w:rPr>
              <w:t>1403</w:t>
            </w:r>
          </w:p>
        </w:tc>
      </w:tr>
      <w:tr w:rsidR="00CB6D81" w:rsidRPr="00FF10AE" w:rsidTr="005F6E51">
        <w:trPr>
          <w:trHeight w:val="870"/>
        </w:trPr>
        <w:tc>
          <w:tcPr>
            <w:tcW w:w="2093" w:type="dxa"/>
          </w:tcPr>
          <w:p w:rsidR="00CB6D81" w:rsidRPr="00BE4CDE" w:rsidRDefault="00CB6D81" w:rsidP="003C6D77">
            <w:pPr>
              <w:pStyle w:val="Body"/>
              <w:rPr>
                <w:sz w:val="24"/>
                <w:szCs w:val="24"/>
              </w:rPr>
            </w:pPr>
            <w:r w:rsidRPr="00BE4CDE">
              <w:rPr>
                <w:sz w:val="24"/>
                <w:szCs w:val="24"/>
              </w:rPr>
              <w:t>Gladstone outer anchorage</w:t>
            </w:r>
          </w:p>
        </w:tc>
        <w:tc>
          <w:tcPr>
            <w:tcW w:w="1418" w:type="dxa"/>
          </w:tcPr>
          <w:p w:rsidR="00CB6D81" w:rsidRPr="00BE4CDE" w:rsidRDefault="00CB6D81" w:rsidP="003C6D77">
            <w:pPr>
              <w:pStyle w:val="Body"/>
              <w:rPr>
                <w:sz w:val="24"/>
                <w:szCs w:val="24"/>
              </w:rPr>
            </w:pPr>
            <w:r w:rsidRPr="00BE4CDE">
              <w:rPr>
                <w:sz w:val="24"/>
                <w:szCs w:val="24"/>
              </w:rPr>
              <w:t>-23.83195</w:t>
            </w:r>
          </w:p>
          <w:p w:rsidR="00CB6D81" w:rsidRPr="00BE4CDE" w:rsidRDefault="00CB6D81" w:rsidP="00CB6D81">
            <w:pPr>
              <w:pStyle w:val="Body"/>
              <w:rPr>
                <w:sz w:val="24"/>
                <w:szCs w:val="24"/>
              </w:rPr>
            </w:pPr>
            <w:r w:rsidRPr="00BE4CDE">
              <w:rPr>
                <w:sz w:val="24"/>
                <w:szCs w:val="24"/>
              </w:rPr>
              <w:t>151.42357</w:t>
            </w:r>
          </w:p>
        </w:tc>
        <w:tc>
          <w:tcPr>
            <w:tcW w:w="1418" w:type="dxa"/>
          </w:tcPr>
          <w:p w:rsidR="00CB6D81" w:rsidRPr="00BE4CDE" w:rsidRDefault="00CB6D81" w:rsidP="003C6D77">
            <w:pPr>
              <w:pStyle w:val="Body"/>
              <w:rPr>
                <w:sz w:val="24"/>
                <w:szCs w:val="24"/>
              </w:rPr>
            </w:pPr>
            <w:r w:rsidRPr="00BE4CDE">
              <w:rPr>
                <w:sz w:val="24"/>
                <w:szCs w:val="24"/>
              </w:rPr>
              <w:t>-23.76377</w:t>
            </w:r>
          </w:p>
          <w:p w:rsidR="00CB6D81" w:rsidRPr="00BE4CDE" w:rsidRDefault="00CB6D81" w:rsidP="003C6D77">
            <w:pPr>
              <w:pStyle w:val="Body"/>
              <w:rPr>
                <w:sz w:val="24"/>
                <w:szCs w:val="24"/>
              </w:rPr>
            </w:pPr>
            <w:r w:rsidRPr="00BE4CDE">
              <w:rPr>
                <w:sz w:val="24"/>
                <w:szCs w:val="24"/>
              </w:rPr>
              <w:t>151.49485</w:t>
            </w:r>
          </w:p>
        </w:tc>
        <w:tc>
          <w:tcPr>
            <w:tcW w:w="1418" w:type="dxa"/>
          </w:tcPr>
          <w:p w:rsidR="00CB6D81" w:rsidRPr="00BE4CDE" w:rsidRDefault="00CB6D81" w:rsidP="003C6D77">
            <w:pPr>
              <w:pStyle w:val="Body"/>
              <w:rPr>
                <w:sz w:val="24"/>
                <w:szCs w:val="24"/>
              </w:rPr>
            </w:pPr>
            <w:r w:rsidRPr="00BE4CDE">
              <w:rPr>
                <w:sz w:val="24"/>
                <w:szCs w:val="24"/>
              </w:rPr>
              <w:t>-23.94741</w:t>
            </w:r>
          </w:p>
          <w:p w:rsidR="00CB6D81" w:rsidRPr="00BE4CDE" w:rsidRDefault="00CB6D81" w:rsidP="003C6D77">
            <w:pPr>
              <w:pStyle w:val="Body"/>
              <w:rPr>
                <w:sz w:val="24"/>
                <w:szCs w:val="24"/>
              </w:rPr>
            </w:pPr>
            <w:r w:rsidRPr="00BE4CDE">
              <w:rPr>
                <w:sz w:val="24"/>
                <w:szCs w:val="24"/>
              </w:rPr>
              <w:t>151.59231</w:t>
            </w:r>
          </w:p>
        </w:tc>
        <w:tc>
          <w:tcPr>
            <w:tcW w:w="1418" w:type="dxa"/>
          </w:tcPr>
          <w:p w:rsidR="00CB6D81" w:rsidRPr="00BE4CDE" w:rsidRDefault="00CB6D81" w:rsidP="003C6D77">
            <w:pPr>
              <w:pStyle w:val="Body"/>
              <w:rPr>
                <w:sz w:val="24"/>
                <w:szCs w:val="24"/>
              </w:rPr>
            </w:pPr>
            <w:r w:rsidRPr="00BE4CDE">
              <w:rPr>
                <w:sz w:val="24"/>
                <w:szCs w:val="24"/>
              </w:rPr>
              <w:t>-23.87346</w:t>
            </w:r>
          </w:p>
          <w:p w:rsidR="00CB6D81" w:rsidRPr="00BE4CDE" w:rsidRDefault="00CB6D81" w:rsidP="003C6D77">
            <w:pPr>
              <w:pStyle w:val="Body"/>
              <w:rPr>
                <w:sz w:val="24"/>
                <w:szCs w:val="24"/>
              </w:rPr>
            </w:pPr>
            <w:r w:rsidRPr="00BE4CDE">
              <w:rPr>
                <w:sz w:val="24"/>
                <w:szCs w:val="24"/>
              </w:rPr>
              <w:t>151.66395</w:t>
            </w:r>
          </w:p>
        </w:tc>
        <w:tc>
          <w:tcPr>
            <w:tcW w:w="1418" w:type="dxa"/>
          </w:tcPr>
          <w:p w:rsidR="00CB6D81" w:rsidRPr="00BE4CDE" w:rsidRDefault="00CB6D81" w:rsidP="003C6D77">
            <w:pPr>
              <w:pStyle w:val="Body"/>
              <w:rPr>
                <w:sz w:val="24"/>
                <w:szCs w:val="24"/>
              </w:rPr>
            </w:pPr>
            <w:r w:rsidRPr="00BE4CDE">
              <w:rPr>
                <w:sz w:val="24"/>
                <w:szCs w:val="24"/>
              </w:rPr>
              <w:t>22,722</w:t>
            </w:r>
          </w:p>
        </w:tc>
      </w:tr>
    </w:tbl>
    <w:p w:rsidR="004C02E0" w:rsidRPr="00B41CFA" w:rsidRDefault="004C02E0" w:rsidP="00B22C15">
      <w:pPr>
        <w:pStyle w:val="Heading2"/>
        <w:rPr>
          <w:sz w:val="24"/>
        </w:rPr>
      </w:pPr>
      <w:bookmarkStart w:id="24" w:name="_Toc362274262"/>
      <w:r w:rsidRPr="00B41CFA">
        <w:rPr>
          <w:sz w:val="24"/>
        </w:rPr>
        <w:t>The structure of this report</w:t>
      </w:r>
      <w:bookmarkEnd w:id="21"/>
      <w:bookmarkEnd w:id="24"/>
    </w:p>
    <w:p w:rsidR="004C02E0" w:rsidRPr="00BE4CDE" w:rsidRDefault="00DA6351" w:rsidP="004C02E0">
      <w:pPr>
        <w:pStyle w:val="Body"/>
        <w:rPr>
          <w:sz w:val="24"/>
          <w:szCs w:val="24"/>
        </w:rPr>
      </w:pPr>
      <w:r w:rsidRPr="00BE4CDE">
        <w:rPr>
          <w:sz w:val="24"/>
          <w:szCs w:val="24"/>
        </w:rPr>
        <w:t>The structure of this report comprises sections on:</w:t>
      </w:r>
    </w:p>
    <w:p w:rsidR="00DA6351" w:rsidRPr="00BE4CDE" w:rsidRDefault="006F4DCC" w:rsidP="00BA5ADE">
      <w:pPr>
        <w:pStyle w:val="Body"/>
        <w:numPr>
          <w:ilvl w:val="0"/>
          <w:numId w:val="13"/>
        </w:numPr>
        <w:rPr>
          <w:sz w:val="24"/>
          <w:szCs w:val="24"/>
        </w:rPr>
      </w:pPr>
      <w:r w:rsidRPr="00BE4CDE">
        <w:rPr>
          <w:sz w:val="24"/>
          <w:szCs w:val="24"/>
        </w:rPr>
        <w:t xml:space="preserve">Methodology </w:t>
      </w:r>
      <w:r w:rsidR="0099439E" w:rsidRPr="00BE4CDE">
        <w:rPr>
          <w:sz w:val="24"/>
          <w:szCs w:val="24"/>
        </w:rPr>
        <w:t xml:space="preserve">– </w:t>
      </w:r>
      <w:r w:rsidR="00A943EC" w:rsidRPr="00BE4CDE">
        <w:rPr>
          <w:sz w:val="24"/>
          <w:szCs w:val="24"/>
        </w:rPr>
        <w:t>D</w:t>
      </w:r>
      <w:r w:rsidR="0099439E" w:rsidRPr="00BE4CDE">
        <w:rPr>
          <w:sz w:val="24"/>
          <w:szCs w:val="24"/>
        </w:rPr>
        <w:t xml:space="preserve">escribes the approaches </w:t>
      </w:r>
      <w:r w:rsidRPr="00BE4CDE">
        <w:rPr>
          <w:sz w:val="24"/>
          <w:szCs w:val="24"/>
        </w:rPr>
        <w:t>used for the economic</w:t>
      </w:r>
      <w:r w:rsidR="00807CCC" w:rsidRPr="00BE4CDE">
        <w:rPr>
          <w:sz w:val="24"/>
          <w:szCs w:val="24"/>
        </w:rPr>
        <w:t xml:space="preserve"> and social</w:t>
      </w:r>
      <w:r w:rsidRPr="00BE4CDE">
        <w:rPr>
          <w:sz w:val="24"/>
          <w:szCs w:val="24"/>
        </w:rPr>
        <w:t xml:space="preserve"> </w:t>
      </w:r>
      <w:r w:rsidR="00807CCC" w:rsidRPr="00BE4CDE">
        <w:rPr>
          <w:sz w:val="24"/>
          <w:szCs w:val="24"/>
        </w:rPr>
        <w:t>analyse</w:t>
      </w:r>
      <w:r w:rsidRPr="00BE4CDE">
        <w:rPr>
          <w:sz w:val="24"/>
          <w:szCs w:val="24"/>
        </w:rPr>
        <w:t>s</w:t>
      </w:r>
      <w:r w:rsidR="0099439E" w:rsidRPr="00BE4CDE">
        <w:rPr>
          <w:sz w:val="24"/>
          <w:szCs w:val="24"/>
        </w:rPr>
        <w:t xml:space="preserve"> and the environmen</w:t>
      </w:r>
      <w:r w:rsidR="000D7DBC" w:rsidRPr="00BE4CDE">
        <w:rPr>
          <w:sz w:val="24"/>
          <w:szCs w:val="24"/>
        </w:rPr>
        <w:t>tal inputs to the Economic A</w:t>
      </w:r>
      <w:r w:rsidR="00675272" w:rsidRPr="00BE4CDE">
        <w:rPr>
          <w:sz w:val="24"/>
          <w:szCs w:val="24"/>
        </w:rPr>
        <w:t>ppraisal</w:t>
      </w:r>
      <w:r w:rsidR="004D427B" w:rsidRPr="00BE4CDE">
        <w:rPr>
          <w:sz w:val="24"/>
          <w:szCs w:val="24"/>
        </w:rPr>
        <w:t>.</w:t>
      </w:r>
    </w:p>
    <w:p w:rsidR="00807CCC" w:rsidRPr="00BE4CDE" w:rsidRDefault="009928F7" w:rsidP="00BA5ADE">
      <w:pPr>
        <w:pStyle w:val="Body"/>
        <w:numPr>
          <w:ilvl w:val="0"/>
          <w:numId w:val="13"/>
        </w:numPr>
        <w:rPr>
          <w:sz w:val="24"/>
          <w:szCs w:val="24"/>
        </w:rPr>
      </w:pPr>
      <w:r w:rsidRPr="00BE4CDE">
        <w:rPr>
          <w:sz w:val="24"/>
          <w:szCs w:val="24"/>
        </w:rPr>
        <w:t>Demand for ship anchorages and their operation</w:t>
      </w:r>
      <w:r w:rsidR="00097D4D" w:rsidRPr="00BE4CDE">
        <w:rPr>
          <w:sz w:val="24"/>
          <w:szCs w:val="24"/>
        </w:rPr>
        <w:t xml:space="preserve"> </w:t>
      </w:r>
      <w:r w:rsidRPr="00BE4CDE">
        <w:rPr>
          <w:sz w:val="24"/>
          <w:szCs w:val="24"/>
        </w:rPr>
        <w:t xml:space="preserve">– </w:t>
      </w:r>
      <w:r w:rsidR="00A943EC" w:rsidRPr="00BE4CDE">
        <w:rPr>
          <w:sz w:val="24"/>
          <w:szCs w:val="24"/>
        </w:rPr>
        <w:t>D</w:t>
      </w:r>
      <w:r w:rsidRPr="00BE4CDE">
        <w:rPr>
          <w:sz w:val="24"/>
          <w:szCs w:val="24"/>
        </w:rPr>
        <w:t xml:space="preserve">escribes the current </w:t>
      </w:r>
      <w:r w:rsidR="00097D4D" w:rsidRPr="00BE4CDE">
        <w:rPr>
          <w:sz w:val="24"/>
          <w:szCs w:val="24"/>
        </w:rPr>
        <w:t xml:space="preserve">and expected future </w:t>
      </w:r>
      <w:r w:rsidRPr="00BE4CDE">
        <w:rPr>
          <w:sz w:val="24"/>
          <w:szCs w:val="24"/>
        </w:rPr>
        <w:t xml:space="preserve">demand </w:t>
      </w:r>
      <w:r w:rsidR="00547C85" w:rsidRPr="00BE4CDE">
        <w:rPr>
          <w:sz w:val="24"/>
          <w:szCs w:val="24"/>
        </w:rPr>
        <w:t xml:space="preserve">for each of the five main ports </w:t>
      </w:r>
      <w:r w:rsidR="00097D4D" w:rsidRPr="00BE4CDE">
        <w:rPr>
          <w:sz w:val="24"/>
          <w:szCs w:val="24"/>
        </w:rPr>
        <w:t xml:space="preserve">to frame the scope of and parameters for the cases used in the </w:t>
      </w:r>
      <w:r w:rsidR="000D7DBC" w:rsidRPr="00BE4CDE">
        <w:rPr>
          <w:sz w:val="24"/>
          <w:szCs w:val="24"/>
        </w:rPr>
        <w:t>Economic A</w:t>
      </w:r>
      <w:r w:rsidR="00675272" w:rsidRPr="00BE4CDE">
        <w:rPr>
          <w:sz w:val="24"/>
          <w:szCs w:val="24"/>
        </w:rPr>
        <w:t>ppraisal</w:t>
      </w:r>
      <w:r w:rsidR="004D427B" w:rsidRPr="00BE4CDE">
        <w:rPr>
          <w:sz w:val="24"/>
          <w:szCs w:val="24"/>
        </w:rPr>
        <w:t>.</w:t>
      </w:r>
    </w:p>
    <w:p w:rsidR="00807CCC" w:rsidRPr="00BE4CDE" w:rsidRDefault="00B77D2B" w:rsidP="00BA5ADE">
      <w:pPr>
        <w:pStyle w:val="Body"/>
        <w:numPr>
          <w:ilvl w:val="0"/>
          <w:numId w:val="13"/>
        </w:numPr>
        <w:rPr>
          <w:sz w:val="24"/>
          <w:szCs w:val="24"/>
        </w:rPr>
      </w:pPr>
      <w:r w:rsidRPr="00BE4CDE">
        <w:rPr>
          <w:sz w:val="24"/>
          <w:szCs w:val="24"/>
        </w:rPr>
        <w:t>Range of options for anchorage management</w:t>
      </w:r>
      <w:r w:rsidR="00675272" w:rsidRPr="00BE4CDE">
        <w:rPr>
          <w:sz w:val="24"/>
          <w:szCs w:val="24"/>
        </w:rPr>
        <w:t xml:space="preserve"> – </w:t>
      </w:r>
      <w:r w:rsidR="00A943EC" w:rsidRPr="00BE4CDE">
        <w:rPr>
          <w:sz w:val="24"/>
          <w:szCs w:val="24"/>
        </w:rPr>
        <w:t>I</w:t>
      </w:r>
      <w:r w:rsidR="00675272" w:rsidRPr="00BE4CDE">
        <w:rPr>
          <w:sz w:val="24"/>
          <w:szCs w:val="24"/>
        </w:rPr>
        <w:t xml:space="preserve">dentifies and </w:t>
      </w:r>
      <w:r w:rsidR="00547C85" w:rsidRPr="00BE4CDE">
        <w:rPr>
          <w:sz w:val="24"/>
          <w:szCs w:val="24"/>
        </w:rPr>
        <w:t>assesses</w:t>
      </w:r>
      <w:r w:rsidRPr="00BE4CDE">
        <w:rPr>
          <w:sz w:val="24"/>
          <w:szCs w:val="24"/>
        </w:rPr>
        <w:t xml:space="preserve"> a full range of options</w:t>
      </w:r>
      <w:r w:rsidR="00547C85" w:rsidRPr="00BE4CDE">
        <w:rPr>
          <w:sz w:val="24"/>
          <w:szCs w:val="24"/>
        </w:rPr>
        <w:t xml:space="preserve"> for each of the five main ports and </w:t>
      </w:r>
      <w:r w:rsidR="00353ECC" w:rsidRPr="00BE4CDE">
        <w:rPr>
          <w:sz w:val="24"/>
          <w:szCs w:val="24"/>
        </w:rPr>
        <w:t xml:space="preserve">considers </w:t>
      </w:r>
      <w:r w:rsidR="00547C85" w:rsidRPr="00BE4CDE">
        <w:rPr>
          <w:sz w:val="24"/>
          <w:szCs w:val="24"/>
        </w:rPr>
        <w:t>which options are relevant to each port</w:t>
      </w:r>
      <w:r w:rsidR="004D427B" w:rsidRPr="00BE4CDE">
        <w:rPr>
          <w:sz w:val="24"/>
          <w:szCs w:val="24"/>
        </w:rPr>
        <w:t>.</w:t>
      </w:r>
    </w:p>
    <w:p w:rsidR="00807CCC" w:rsidRPr="00BE4CDE" w:rsidRDefault="00B77D2B" w:rsidP="00BA5ADE">
      <w:pPr>
        <w:pStyle w:val="Body"/>
        <w:numPr>
          <w:ilvl w:val="0"/>
          <w:numId w:val="13"/>
        </w:numPr>
        <w:rPr>
          <w:sz w:val="24"/>
          <w:szCs w:val="24"/>
        </w:rPr>
      </w:pPr>
      <w:r w:rsidRPr="00BE4CDE">
        <w:rPr>
          <w:sz w:val="24"/>
          <w:szCs w:val="24"/>
        </w:rPr>
        <w:t xml:space="preserve">Overview of </w:t>
      </w:r>
      <w:r w:rsidR="007142E5" w:rsidRPr="00BE4CDE">
        <w:rPr>
          <w:sz w:val="24"/>
          <w:szCs w:val="24"/>
        </w:rPr>
        <w:t xml:space="preserve">an </w:t>
      </w:r>
      <w:r w:rsidRPr="00BE4CDE">
        <w:rPr>
          <w:sz w:val="24"/>
          <w:szCs w:val="24"/>
        </w:rPr>
        <w:t>existing vessel arrival management system</w:t>
      </w:r>
      <w:r w:rsidR="007142E5" w:rsidRPr="00BE4CDE">
        <w:rPr>
          <w:sz w:val="24"/>
          <w:szCs w:val="24"/>
        </w:rPr>
        <w:t xml:space="preserve"> – </w:t>
      </w:r>
      <w:r w:rsidR="00A943EC" w:rsidRPr="00BE4CDE">
        <w:rPr>
          <w:sz w:val="24"/>
          <w:szCs w:val="24"/>
        </w:rPr>
        <w:t>D</w:t>
      </w:r>
      <w:r w:rsidR="007142E5" w:rsidRPr="00BE4CDE">
        <w:rPr>
          <w:sz w:val="24"/>
          <w:szCs w:val="24"/>
        </w:rPr>
        <w:t>escribes an example</w:t>
      </w:r>
      <w:r w:rsidRPr="00BE4CDE">
        <w:rPr>
          <w:sz w:val="24"/>
          <w:szCs w:val="24"/>
        </w:rPr>
        <w:t xml:space="preserve"> of </w:t>
      </w:r>
      <w:r w:rsidR="00F82CCE" w:rsidRPr="00BE4CDE">
        <w:rPr>
          <w:sz w:val="24"/>
          <w:szCs w:val="24"/>
        </w:rPr>
        <w:t xml:space="preserve">a current </w:t>
      </w:r>
      <w:r w:rsidRPr="00BE4CDE">
        <w:rPr>
          <w:sz w:val="24"/>
          <w:szCs w:val="24"/>
        </w:rPr>
        <w:t xml:space="preserve">vessel </w:t>
      </w:r>
      <w:r w:rsidR="00F82CCE" w:rsidRPr="00BE4CDE">
        <w:rPr>
          <w:sz w:val="24"/>
          <w:szCs w:val="24"/>
        </w:rPr>
        <w:t>arrival management system in Australia at the Port of Newcastle for coal ships</w:t>
      </w:r>
      <w:r w:rsidR="004D427B" w:rsidRPr="00BE4CDE">
        <w:rPr>
          <w:sz w:val="24"/>
          <w:szCs w:val="24"/>
        </w:rPr>
        <w:t>.</w:t>
      </w:r>
    </w:p>
    <w:p w:rsidR="00807CCC" w:rsidRPr="00BE4CDE" w:rsidRDefault="00547C85" w:rsidP="00BA5ADE">
      <w:pPr>
        <w:pStyle w:val="Body"/>
        <w:numPr>
          <w:ilvl w:val="0"/>
          <w:numId w:val="13"/>
        </w:numPr>
        <w:rPr>
          <w:sz w:val="24"/>
          <w:szCs w:val="24"/>
        </w:rPr>
      </w:pPr>
      <w:r w:rsidRPr="00BE4CDE">
        <w:rPr>
          <w:sz w:val="24"/>
          <w:szCs w:val="24"/>
        </w:rPr>
        <w:t>Stakeholder consultation</w:t>
      </w:r>
      <w:r w:rsidR="001B6C85" w:rsidRPr="00BE4CDE">
        <w:rPr>
          <w:sz w:val="24"/>
          <w:szCs w:val="24"/>
        </w:rPr>
        <w:t>s</w:t>
      </w:r>
      <w:r w:rsidR="003325CB" w:rsidRPr="00BE4CDE">
        <w:rPr>
          <w:sz w:val="24"/>
          <w:szCs w:val="24"/>
        </w:rPr>
        <w:t xml:space="preserve"> – </w:t>
      </w:r>
      <w:r w:rsidR="00A943EC" w:rsidRPr="00BE4CDE">
        <w:rPr>
          <w:sz w:val="24"/>
          <w:szCs w:val="24"/>
        </w:rPr>
        <w:t>P</w:t>
      </w:r>
      <w:r w:rsidR="003325CB" w:rsidRPr="00BE4CDE">
        <w:rPr>
          <w:sz w:val="24"/>
          <w:szCs w:val="24"/>
        </w:rPr>
        <w:t>rese</w:t>
      </w:r>
      <w:r w:rsidR="00353ECC" w:rsidRPr="00BE4CDE">
        <w:rPr>
          <w:sz w:val="24"/>
          <w:szCs w:val="24"/>
        </w:rPr>
        <w:t>nts the findings of stakeholder consultation</w:t>
      </w:r>
      <w:r w:rsidR="003325CB" w:rsidRPr="00BE4CDE">
        <w:rPr>
          <w:sz w:val="24"/>
          <w:szCs w:val="24"/>
        </w:rPr>
        <w:t xml:space="preserve"> (interviews with additional </w:t>
      </w:r>
      <w:r w:rsidR="000401CC" w:rsidRPr="00BE4CDE">
        <w:rPr>
          <w:sz w:val="24"/>
          <w:szCs w:val="24"/>
        </w:rPr>
        <w:t xml:space="preserve">feedback from the </w:t>
      </w:r>
      <w:r w:rsidR="00353ECC" w:rsidRPr="00BE4CDE">
        <w:rPr>
          <w:sz w:val="24"/>
          <w:szCs w:val="24"/>
        </w:rPr>
        <w:t>CBA</w:t>
      </w:r>
      <w:r w:rsidR="003325CB" w:rsidRPr="00BE4CDE">
        <w:rPr>
          <w:sz w:val="24"/>
          <w:szCs w:val="24"/>
        </w:rPr>
        <w:t xml:space="preserve"> workshop)</w:t>
      </w:r>
      <w:r w:rsidR="000401CC" w:rsidRPr="00BE4CDE">
        <w:rPr>
          <w:sz w:val="24"/>
          <w:szCs w:val="24"/>
        </w:rPr>
        <w:t xml:space="preserve"> on possible and voiced</w:t>
      </w:r>
      <w:r w:rsidR="001B6C85" w:rsidRPr="00BE4CDE">
        <w:rPr>
          <w:sz w:val="24"/>
          <w:szCs w:val="24"/>
        </w:rPr>
        <w:t xml:space="preserve"> concerns, issues and </w:t>
      </w:r>
      <w:r w:rsidR="003325CB" w:rsidRPr="00BE4CDE">
        <w:rPr>
          <w:sz w:val="24"/>
          <w:szCs w:val="24"/>
        </w:rPr>
        <w:t>impacts associated with ship anchorages</w:t>
      </w:r>
      <w:r w:rsidR="004D427B" w:rsidRPr="00BE4CDE">
        <w:rPr>
          <w:sz w:val="24"/>
          <w:szCs w:val="24"/>
        </w:rPr>
        <w:t>.</w:t>
      </w:r>
    </w:p>
    <w:p w:rsidR="00D1653C" w:rsidRPr="00BE4CDE" w:rsidRDefault="00D1653C" w:rsidP="00D1653C">
      <w:pPr>
        <w:pStyle w:val="Body"/>
        <w:numPr>
          <w:ilvl w:val="0"/>
          <w:numId w:val="13"/>
        </w:numPr>
        <w:rPr>
          <w:sz w:val="24"/>
          <w:szCs w:val="24"/>
        </w:rPr>
      </w:pPr>
      <w:r w:rsidRPr="00BE4CDE">
        <w:rPr>
          <w:sz w:val="24"/>
          <w:szCs w:val="24"/>
        </w:rPr>
        <w:t xml:space="preserve">Economic Appraisal – </w:t>
      </w:r>
      <w:r w:rsidR="00A943EC" w:rsidRPr="00BE4CDE">
        <w:rPr>
          <w:sz w:val="24"/>
          <w:szCs w:val="24"/>
        </w:rPr>
        <w:t>P</w:t>
      </w:r>
      <w:r w:rsidRPr="00BE4CDE">
        <w:rPr>
          <w:sz w:val="24"/>
          <w:szCs w:val="24"/>
        </w:rPr>
        <w:t>resents the results of the CBA modelling of options.</w:t>
      </w:r>
    </w:p>
    <w:p w:rsidR="00D1653C" w:rsidRPr="00BE4CDE" w:rsidRDefault="00D1653C" w:rsidP="00D1653C">
      <w:pPr>
        <w:pStyle w:val="Body"/>
        <w:numPr>
          <w:ilvl w:val="0"/>
          <w:numId w:val="13"/>
        </w:numPr>
        <w:rPr>
          <w:sz w:val="24"/>
          <w:szCs w:val="24"/>
        </w:rPr>
      </w:pPr>
      <w:r w:rsidRPr="00BE4CDE">
        <w:rPr>
          <w:sz w:val="24"/>
          <w:szCs w:val="24"/>
        </w:rPr>
        <w:t xml:space="preserve">Conclusions – </w:t>
      </w:r>
      <w:r w:rsidR="00A943EC" w:rsidRPr="00BE4CDE">
        <w:rPr>
          <w:sz w:val="24"/>
          <w:szCs w:val="24"/>
        </w:rPr>
        <w:t>D</w:t>
      </w:r>
      <w:r w:rsidRPr="00BE4CDE">
        <w:rPr>
          <w:sz w:val="24"/>
          <w:szCs w:val="24"/>
        </w:rPr>
        <w:t xml:space="preserve">iscusses the possible implications of the Economic Appraisal results for further evaluation of ship anchorage management strategies. </w:t>
      </w:r>
    </w:p>
    <w:p w:rsidR="0084665B" w:rsidRDefault="0084665B" w:rsidP="0084665B">
      <w:pPr>
        <w:pStyle w:val="Body"/>
        <w:sectPr w:rsidR="0084665B" w:rsidSect="0041066E">
          <w:pgSz w:w="11906" w:h="16838" w:code="9"/>
          <w:pgMar w:top="1418" w:right="1701" w:bottom="1701" w:left="1418" w:header="709" w:footer="709" w:gutter="0"/>
          <w:cols w:space="720"/>
          <w:docGrid w:linePitch="273"/>
        </w:sectPr>
      </w:pPr>
    </w:p>
    <w:p w:rsidR="00DA6351" w:rsidRDefault="00DA6351" w:rsidP="001012C3">
      <w:pPr>
        <w:pStyle w:val="Heading1"/>
      </w:pPr>
      <w:bookmarkStart w:id="25" w:name="_Toc362274263"/>
      <w:bookmarkStart w:id="26" w:name="_Ref362438794"/>
      <w:r>
        <w:lastRenderedPageBreak/>
        <w:t>methodology</w:t>
      </w:r>
      <w:bookmarkEnd w:id="25"/>
      <w:bookmarkEnd w:id="26"/>
      <w:r>
        <w:t xml:space="preserve"> </w:t>
      </w:r>
    </w:p>
    <w:p w:rsidR="00AE0C0C" w:rsidRPr="00B41CFA" w:rsidRDefault="00AE0C0C" w:rsidP="00B22C15">
      <w:pPr>
        <w:pStyle w:val="Heading2"/>
        <w:rPr>
          <w:sz w:val="24"/>
        </w:rPr>
      </w:pPr>
      <w:bookmarkStart w:id="27" w:name="_Ref347731636"/>
      <w:bookmarkStart w:id="28" w:name="_Ref347736299"/>
      <w:bookmarkStart w:id="29" w:name="_Toc362274264"/>
      <w:r w:rsidRPr="00B41CFA">
        <w:rPr>
          <w:sz w:val="24"/>
        </w:rPr>
        <w:t>Social Economic Appraisal using a Triple-bottom-line approach</w:t>
      </w:r>
      <w:bookmarkEnd w:id="27"/>
      <w:bookmarkEnd w:id="28"/>
      <w:bookmarkEnd w:id="29"/>
    </w:p>
    <w:p w:rsidR="00781804" w:rsidRPr="00BE4CDE" w:rsidRDefault="00DA6351" w:rsidP="00781804">
      <w:pPr>
        <w:pStyle w:val="Body"/>
        <w:rPr>
          <w:sz w:val="24"/>
          <w:szCs w:val="24"/>
        </w:rPr>
      </w:pPr>
      <w:r w:rsidRPr="00BE4CDE">
        <w:rPr>
          <w:sz w:val="24"/>
          <w:szCs w:val="24"/>
        </w:rPr>
        <w:t>T</w:t>
      </w:r>
      <w:r w:rsidR="000F4468" w:rsidRPr="00BE4CDE">
        <w:rPr>
          <w:sz w:val="24"/>
          <w:szCs w:val="24"/>
        </w:rPr>
        <w:t xml:space="preserve">he methodology adopted for the social economic </w:t>
      </w:r>
      <w:r w:rsidRPr="00BE4CDE">
        <w:rPr>
          <w:sz w:val="24"/>
          <w:szCs w:val="24"/>
        </w:rPr>
        <w:t>work</w:t>
      </w:r>
      <w:r w:rsidR="00111CC0" w:rsidRPr="00BE4CDE">
        <w:rPr>
          <w:sz w:val="24"/>
          <w:szCs w:val="24"/>
        </w:rPr>
        <w:t xml:space="preserve"> is based on a “Triple-bottom-line” </w:t>
      </w:r>
      <w:r w:rsidR="00353ECC" w:rsidRPr="00BE4CDE">
        <w:rPr>
          <w:sz w:val="24"/>
          <w:szCs w:val="24"/>
        </w:rPr>
        <w:t>C</w:t>
      </w:r>
      <w:r w:rsidR="002334D8" w:rsidRPr="00BE4CDE">
        <w:rPr>
          <w:sz w:val="24"/>
          <w:szCs w:val="24"/>
        </w:rPr>
        <w:t>BA</w:t>
      </w:r>
      <w:r w:rsidR="000F4468" w:rsidRPr="00BE4CDE">
        <w:rPr>
          <w:sz w:val="24"/>
          <w:szCs w:val="24"/>
        </w:rPr>
        <w:t xml:space="preserve"> </w:t>
      </w:r>
      <w:r w:rsidR="00675272" w:rsidRPr="00BE4CDE">
        <w:rPr>
          <w:sz w:val="24"/>
          <w:szCs w:val="24"/>
        </w:rPr>
        <w:t>framework</w:t>
      </w:r>
      <w:r w:rsidR="00414F37" w:rsidRPr="00BE4CDE">
        <w:rPr>
          <w:sz w:val="24"/>
          <w:szCs w:val="24"/>
        </w:rPr>
        <w:t>,</w:t>
      </w:r>
      <w:r w:rsidR="00111CC0" w:rsidRPr="00BE4CDE">
        <w:rPr>
          <w:sz w:val="24"/>
          <w:szCs w:val="24"/>
        </w:rPr>
        <w:t xml:space="preserve"> as suggested for use by Australian governments and agencies</w:t>
      </w:r>
      <w:r w:rsidR="00A748A4" w:rsidRPr="00BE4CDE">
        <w:rPr>
          <w:sz w:val="24"/>
          <w:szCs w:val="24"/>
        </w:rPr>
        <w:t xml:space="preserve">. </w:t>
      </w:r>
      <w:r w:rsidR="00CD19B4" w:rsidRPr="00BE4CDE">
        <w:rPr>
          <w:sz w:val="24"/>
          <w:szCs w:val="24"/>
        </w:rPr>
        <w:t xml:space="preserve">This </w:t>
      </w:r>
      <w:r w:rsidR="00781804" w:rsidRPr="00BE4CDE">
        <w:rPr>
          <w:sz w:val="24"/>
          <w:szCs w:val="24"/>
        </w:rPr>
        <w:t xml:space="preserve">CBA draws together findings from </w:t>
      </w:r>
      <w:r w:rsidR="00A943EC" w:rsidRPr="00BE4CDE">
        <w:rPr>
          <w:sz w:val="24"/>
          <w:szCs w:val="24"/>
        </w:rPr>
        <w:t xml:space="preserve">the Environmental Impact Assessment </w:t>
      </w:r>
      <w:r w:rsidR="000F20B5" w:rsidRPr="00BE4CDE">
        <w:rPr>
          <w:sz w:val="24"/>
          <w:szCs w:val="24"/>
        </w:rPr>
        <w:t xml:space="preserve">Report </w:t>
      </w:r>
      <w:r w:rsidR="00A943EC" w:rsidRPr="00BE4CDE">
        <w:rPr>
          <w:sz w:val="24"/>
          <w:szCs w:val="24"/>
        </w:rPr>
        <w:t>delivered as phase one of this project (</w:t>
      </w:r>
      <w:r w:rsidR="00781804" w:rsidRPr="00BE4CDE">
        <w:rPr>
          <w:sz w:val="24"/>
          <w:szCs w:val="24"/>
        </w:rPr>
        <w:t>GHD 2012</w:t>
      </w:r>
      <w:r w:rsidR="0047666F" w:rsidRPr="00BE4CDE">
        <w:rPr>
          <w:sz w:val="24"/>
          <w:szCs w:val="24"/>
        </w:rPr>
        <w:t>a</w:t>
      </w:r>
      <w:r w:rsidR="00781804" w:rsidRPr="00BE4CDE">
        <w:rPr>
          <w:sz w:val="24"/>
          <w:szCs w:val="24"/>
        </w:rPr>
        <w:t xml:space="preserve">), the forecasts of future anchorage demand, </w:t>
      </w:r>
      <w:r w:rsidR="00A943EC" w:rsidRPr="00BE4CDE">
        <w:rPr>
          <w:sz w:val="24"/>
          <w:szCs w:val="24"/>
        </w:rPr>
        <w:t xml:space="preserve">and </w:t>
      </w:r>
      <w:r w:rsidR="00781804" w:rsidRPr="00BE4CDE">
        <w:rPr>
          <w:sz w:val="24"/>
          <w:szCs w:val="24"/>
        </w:rPr>
        <w:t xml:space="preserve">the results of the assessment of the relevance of various ship anchorage management options, together with stakeholder consultation information on social issues for each of the five main ports in the study area. </w:t>
      </w:r>
    </w:p>
    <w:p w:rsidR="00781804" w:rsidRPr="00BE4CDE" w:rsidRDefault="00781804" w:rsidP="00781804">
      <w:pPr>
        <w:pStyle w:val="Body"/>
        <w:rPr>
          <w:sz w:val="24"/>
          <w:szCs w:val="24"/>
        </w:rPr>
      </w:pPr>
      <w:r w:rsidRPr="00BE4CDE">
        <w:rPr>
          <w:sz w:val="24"/>
          <w:szCs w:val="24"/>
        </w:rPr>
        <w:t xml:space="preserve">Where benefits </w:t>
      </w:r>
      <w:r w:rsidR="00CD19B4" w:rsidRPr="00BE4CDE">
        <w:rPr>
          <w:sz w:val="24"/>
          <w:szCs w:val="24"/>
        </w:rPr>
        <w:t xml:space="preserve">for different anchorage management strategies </w:t>
      </w:r>
      <w:r w:rsidRPr="00BE4CDE">
        <w:rPr>
          <w:sz w:val="24"/>
          <w:szCs w:val="24"/>
        </w:rPr>
        <w:t>cannot be quantified (evidenced and monetised) then the Economic Appraisal takes the form of a Cost Effectiveness Analysis (CEA)</w:t>
      </w:r>
      <w:r w:rsidR="00CD19B4" w:rsidRPr="00BE4CDE">
        <w:rPr>
          <w:sz w:val="24"/>
          <w:szCs w:val="24"/>
        </w:rPr>
        <w:t xml:space="preserve">, which estimates </w:t>
      </w:r>
      <w:r w:rsidRPr="00BE4CDE">
        <w:rPr>
          <w:sz w:val="24"/>
          <w:szCs w:val="24"/>
        </w:rPr>
        <w:t>the lowest cost for a desired outcome</w:t>
      </w:r>
      <w:r w:rsidR="00CD19B4" w:rsidRPr="00BE4CDE">
        <w:rPr>
          <w:sz w:val="24"/>
          <w:szCs w:val="24"/>
        </w:rPr>
        <w:t xml:space="preserve">. </w:t>
      </w:r>
    </w:p>
    <w:p w:rsidR="00CE0217" w:rsidRPr="00B41CFA" w:rsidRDefault="00CE0217" w:rsidP="001012C3">
      <w:pPr>
        <w:pStyle w:val="Heading3"/>
        <w:rPr>
          <w:sz w:val="24"/>
        </w:rPr>
      </w:pPr>
      <w:bookmarkStart w:id="30" w:name="_Toc362274265"/>
      <w:r w:rsidRPr="00B41CFA">
        <w:rPr>
          <w:sz w:val="24"/>
        </w:rPr>
        <w:t xml:space="preserve">Cost </w:t>
      </w:r>
      <w:r w:rsidR="005C092B" w:rsidRPr="00B41CFA">
        <w:rPr>
          <w:sz w:val="24"/>
        </w:rPr>
        <w:t>B</w:t>
      </w:r>
      <w:r w:rsidRPr="00B41CFA">
        <w:rPr>
          <w:sz w:val="24"/>
        </w:rPr>
        <w:t xml:space="preserve">enefit </w:t>
      </w:r>
      <w:r w:rsidR="005C092B" w:rsidRPr="00B41CFA">
        <w:rPr>
          <w:sz w:val="24"/>
        </w:rPr>
        <w:t>A</w:t>
      </w:r>
      <w:r w:rsidRPr="00B41CFA">
        <w:rPr>
          <w:sz w:val="24"/>
        </w:rPr>
        <w:t>nalysis framework</w:t>
      </w:r>
      <w:bookmarkEnd w:id="30"/>
    </w:p>
    <w:p w:rsidR="00F952C1" w:rsidRPr="0065723C" w:rsidRDefault="00111CC0" w:rsidP="00DA6351">
      <w:pPr>
        <w:pStyle w:val="Body"/>
        <w:rPr>
          <w:sz w:val="24"/>
          <w:szCs w:val="24"/>
        </w:rPr>
      </w:pPr>
      <w:r w:rsidRPr="0065723C">
        <w:rPr>
          <w:sz w:val="24"/>
          <w:szCs w:val="24"/>
        </w:rPr>
        <w:t xml:space="preserve">The Triple-bottom-line </w:t>
      </w:r>
      <w:r w:rsidR="000F4468" w:rsidRPr="0065723C">
        <w:rPr>
          <w:sz w:val="24"/>
          <w:szCs w:val="24"/>
        </w:rPr>
        <w:t xml:space="preserve">CBA </w:t>
      </w:r>
      <w:r w:rsidRPr="0065723C">
        <w:rPr>
          <w:sz w:val="24"/>
          <w:szCs w:val="24"/>
        </w:rPr>
        <w:t xml:space="preserve">approach recognises and combines </w:t>
      </w:r>
      <w:r w:rsidR="00200261" w:rsidRPr="0065723C">
        <w:rPr>
          <w:sz w:val="24"/>
          <w:szCs w:val="24"/>
        </w:rPr>
        <w:t>the potential</w:t>
      </w:r>
      <w:r w:rsidR="004677B3" w:rsidRPr="0065723C">
        <w:rPr>
          <w:sz w:val="24"/>
          <w:szCs w:val="24"/>
        </w:rPr>
        <w:t xml:space="preserve"> </w:t>
      </w:r>
      <w:r w:rsidR="005605D9" w:rsidRPr="0065723C">
        <w:rPr>
          <w:sz w:val="24"/>
          <w:szCs w:val="24"/>
        </w:rPr>
        <w:t xml:space="preserve">direct </w:t>
      </w:r>
      <w:r w:rsidR="00200261" w:rsidRPr="0065723C">
        <w:rPr>
          <w:sz w:val="24"/>
          <w:szCs w:val="24"/>
        </w:rPr>
        <w:t>social, economic and environmental</w:t>
      </w:r>
      <w:r w:rsidR="004677B3" w:rsidRPr="0065723C">
        <w:rPr>
          <w:sz w:val="24"/>
          <w:szCs w:val="24"/>
        </w:rPr>
        <w:t xml:space="preserve"> impacts of </w:t>
      </w:r>
      <w:r w:rsidR="00200261" w:rsidRPr="0065723C">
        <w:rPr>
          <w:sz w:val="24"/>
          <w:szCs w:val="24"/>
        </w:rPr>
        <w:t xml:space="preserve">changing an anchorage management strategy </w:t>
      </w:r>
      <w:r w:rsidR="005605D9" w:rsidRPr="0065723C">
        <w:rPr>
          <w:sz w:val="24"/>
          <w:szCs w:val="24"/>
        </w:rPr>
        <w:t>at a port</w:t>
      </w:r>
      <w:r w:rsidR="00200261" w:rsidRPr="0065723C">
        <w:rPr>
          <w:sz w:val="24"/>
          <w:szCs w:val="24"/>
        </w:rPr>
        <w:t>.</w:t>
      </w:r>
      <w:r w:rsidR="004677B3" w:rsidRPr="0065723C">
        <w:rPr>
          <w:sz w:val="24"/>
          <w:szCs w:val="24"/>
        </w:rPr>
        <w:t xml:space="preserve"> Each impact </w:t>
      </w:r>
      <w:r w:rsidR="005605D9" w:rsidRPr="0065723C">
        <w:rPr>
          <w:sz w:val="24"/>
          <w:szCs w:val="24"/>
        </w:rPr>
        <w:t xml:space="preserve">of changing a management strategy is identified as either </w:t>
      </w:r>
      <w:r w:rsidR="00353ECC" w:rsidRPr="0065723C">
        <w:rPr>
          <w:sz w:val="24"/>
          <w:szCs w:val="24"/>
        </w:rPr>
        <w:t>a c</w:t>
      </w:r>
      <w:r w:rsidR="004677B3" w:rsidRPr="0065723C">
        <w:rPr>
          <w:sz w:val="24"/>
          <w:szCs w:val="24"/>
        </w:rPr>
        <w:t>ost (wi</w:t>
      </w:r>
      <w:r w:rsidR="00353ECC" w:rsidRPr="0065723C">
        <w:rPr>
          <w:sz w:val="24"/>
          <w:szCs w:val="24"/>
        </w:rPr>
        <w:t>th negative consequences) or a b</w:t>
      </w:r>
      <w:r w:rsidR="004677B3" w:rsidRPr="0065723C">
        <w:rPr>
          <w:sz w:val="24"/>
          <w:szCs w:val="24"/>
        </w:rPr>
        <w:t xml:space="preserve">enefit (with positive consequences) </w:t>
      </w:r>
      <w:r w:rsidR="005605D9" w:rsidRPr="0065723C">
        <w:rPr>
          <w:sz w:val="24"/>
          <w:szCs w:val="24"/>
        </w:rPr>
        <w:t>in comparison</w:t>
      </w:r>
      <w:r w:rsidR="004677B3" w:rsidRPr="0065723C">
        <w:rPr>
          <w:sz w:val="24"/>
          <w:szCs w:val="24"/>
        </w:rPr>
        <w:t xml:space="preserve"> with the current si</w:t>
      </w:r>
      <w:r w:rsidR="00B25E93" w:rsidRPr="0065723C">
        <w:rPr>
          <w:sz w:val="24"/>
          <w:szCs w:val="24"/>
        </w:rPr>
        <w:t>tuation</w:t>
      </w:r>
      <w:r w:rsidR="005605D9" w:rsidRPr="0065723C">
        <w:rPr>
          <w:sz w:val="24"/>
          <w:szCs w:val="24"/>
        </w:rPr>
        <w:t>. Impacts must also be</w:t>
      </w:r>
      <w:r w:rsidR="00B25E93" w:rsidRPr="0065723C">
        <w:rPr>
          <w:sz w:val="24"/>
          <w:szCs w:val="24"/>
        </w:rPr>
        <w:t xml:space="preserve"> quantified (if possible</w:t>
      </w:r>
      <w:r w:rsidR="004677B3" w:rsidRPr="0065723C">
        <w:rPr>
          <w:sz w:val="24"/>
          <w:szCs w:val="24"/>
        </w:rPr>
        <w:t xml:space="preserve">) and </w:t>
      </w:r>
      <w:r w:rsidR="005605D9" w:rsidRPr="0065723C">
        <w:rPr>
          <w:sz w:val="24"/>
          <w:szCs w:val="24"/>
        </w:rPr>
        <w:t xml:space="preserve">be assigned </w:t>
      </w:r>
      <w:r w:rsidR="004677B3" w:rsidRPr="0065723C">
        <w:rPr>
          <w:sz w:val="24"/>
          <w:szCs w:val="24"/>
        </w:rPr>
        <w:t xml:space="preserve">a monetary value (‘monetisation’). </w:t>
      </w:r>
    </w:p>
    <w:p w:rsidR="00F952C1" w:rsidRPr="0065723C" w:rsidRDefault="000F4468" w:rsidP="00DA6351">
      <w:pPr>
        <w:pStyle w:val="Body"/>
        <w:rPr>
          <w:sz w:val="24"/>
          <w:szCs w:val="24"/>
        </w:rPr>
      </w:pPr>
      <w:r w:rsidRPr="0065723C">
        <w:rPr>
          <w:sz w:val="24"/>
          <w:szCs w:val="24"/>
        </w:rPr>
        <w:t xml:space="preserve">Some impacts are termed </w:t>
      </w:r>
      <w:r w:rsidR="008D1963" w:rsidRPr="0065723C">
        <w:rPr>
          <w:sz w:val="24"/>
          <w:szCs w:val="24"/>
        </w:rPr>
        <w:t>‘</w:t>
      </w:r>
      <w:r w:rsidR="00200261" w:rsidRPr="0065723C">
        <w:rPr>
          <w:sz w:val="24"/>
          <w:szCs w:val="24"/>
        </w:rPr>
        <w:t>externalities’. These are</w:t>
      </w:r>
      <w:r w:rsidRPr="0065723C">
        <w:rPr>
          <w:sz w:val="24"/>
          <w:szCs w:val="24"/>
        </w:rPr>
        <w:t xml:space="preserve"> impacts </w:t>
      </w:r>
      <w:r w:rsidR="00200261" w:rsidRPr="0065723C">
        <w:rPr>
          <w:sz w:val="24"/>
          <w:szCs w:val="24"/>
        </w:rPr>
        <w:t xml:space="preserve">that </w:t>
      </w:r>
      <w:r w:rsidRPr="0065723C">
        <w:rPr>
          <w:sz w:val="24"/>
          <w:szCs w:val="24"/>
        </w:rPr>
        <w:t>occur outside of the activity itself but as a direct consequence of the activity</w:t>
      </w:r>
      <w:r w:rsidR="00200261" w:rsidRPr="0065723C">
        <w:rPr>
          <w:sz w:val="24"/>
          <w:szCs w:val="24"/>
        </w:rPr>
        <w:t>. These may include</w:t>
      </w:r>
      <w:r w:rsidRPr="0065723C">
        <w:rPr>
          <w:sz w:val="24"/>
          <w:szCs w:val="24"/>
        </w:rPr>
        <w:t xml:space="preserve"> pollution/emissions (an environmental category)</w:t>
      </w:r>
      <w:r w:rsidR="00200261" w:rsidRPr="0065723C">
        <w:rPr>
          <w:sz w:val="24"/>
          <w:szCs w:val="24"/>
        </w:rPr>
        <w:t xml:space="preserve"> or</w:t>
      </w:r>
      <w:r w:rsidRPr="0065723C">
        <w:rPr>
          <w:sz w:val="24"/>
          <w:szCs w:val="24"/>
        </w:rPr>
        <w:t xml:space="preserve"> deaths/accidents of people (a social/economic category). </w:t>
      </w:r>
    </w:p>
    <w:p w:rsidR="00111CC0" w:rsidRPr="0065723C" w:rsidRDefault="004677B3" w:rsidP="00DA6351">
      <w:pPr>
        <w:pStyle w:val="Body"/>
        <w:rPr>
          <w:sz w:val="24"/>
          <w:szCs w:val="24"/>
        </w:rPr>
      </w:pPr>
      <w:r w:rsidRPr="0065723C">
        <w:rPr>
          <w:sz w:val="24"/>
          <w:szCs w:val="24"/>
        </w:rPr>
        <w:t>Th</w:t>
      </w:r>
      <w:r w:rsidR="00353ECC" w:rsidRPr="0065723C">
        <w:rPr>
          <w:sz w:val="24"/>
          <w:szCs w:val="24"/>
        </w:rPr>
        <w:t>ose costs or b</w:t>
      </w:r>
      <w:r w:rsidR="000F4468" w:rsidRPr="0065723C">
        <w:rPr>
          <w:sz w:val="24"/>
          <w:szCs w:val="24"/>
        </w:rPr>
        <w:t xml:space="preserve">enefits which </w:t>
      </w:r>
      <w:r w:rsidR="005605D9" w:rsidRPr="0065723C">
        <w:rPr>
          <w:sz w:val="24"/>
          <w:szCs w:val="24"/>
        </w:rPr>
        <w:t>may</w:t>
      </w:r>
      <w:r w:rsidR="00200261" w:rsidRPr="0065723C">
        <w:rPr>
          <w:sz w:val="24"/>
          <w:szCs w:val="24"/>
        </w:rPr>
        <w:t xml:space="preserve"> </w:t>
      </w:r>
      <w:r w:rsidR="000F4468" w:rsidRPr="0065723C">
        <w:rPr>
          <w:sz w:val="24"/>
          <w:szCs w:val="24"/>
        </w:rPr>
        <w:t xml:space="preserve">occur but </w:t>
      </w:r>
      <w:r w:rsidR="005605D9" w:rsidRPr="0065723C">
        <w:rPr>
          <w:sz w:val="24"/>
          <w:szCs w:val="24"/>
        </w:rPr>
        <w:t>that</w:t>
      </w:r>
      <w:r w:rsidR="00200261" w:rsidRPr="0065723C">
        <w:rPr>
          <w:sz w:val="24"/>
          <w:szCs w:val="24"/>
        </w:rPr>
        <w:t xml:space="preserve"> </w:t>
      </w:r>
      <w:r w:rsidR="000F4468" w:rsidRPr="0065723C">
        <w:rPr>
          <w:sz w:val="24"/>
          <w:szCs w:val="24"/>
        </w:rPr>
        <w:t>cannot be quantified or monetised are treated as qualitative impacts for assessment</w:t>
      </w:r>
      <w:r w:rsidR="00200261" w:rsidRPr="0065723C">
        <w:rPr>
          <w:sz w:val="24"/>
          <w:szCs w:val="24"/>
        </w:rPr>
        <w:t xml:space="preserve">. </w:t>
      </w:r>
      <w:r w:rsidR="00414F37" w:rsidRPr="0065723C">
        <w:rPr>
          <w:sz w:val="24"/>
          <w:szCs w:val="24"/>
        </w:rPr>
        <w:t>F</w:t>
      </w:r>
      <w:r w:rsidR="000F4468" w:rsidRPr="0065723C">
        <w:rPr>
          <w:sz w:val="24"/>
          <w:szCs w:val="24"/>
        </w:rPr>
        <w:t>or</w:t>
      </w:r>
      <w:r w:rsidR="00F952C1" w:rsidRPr="0065723C">
        <w:rPr>
          <w:sz w:val="24"/>
          <w:szCs w:val="24"/>
        </w:rPr>
        <w:t xml:space="preserve"> example,</w:t>
      </w:r>
      <w:r w:rsidR="000F4468" w:rsidRPr="0065723C">
        <w:rPr>
          <w:sz w:val="24"/>
          <w:szCs w:val="24"/>
        </w:rPr>
        <w:t xml:space="preserve"> the ‘aesthetics’ of a </w:t>
      </w:r>
      <w:r w:rsidR="00F952C1" w:rsidRPr="0065723C">
        <w:rPr>
          <w:sz w:val="24"/>
          <w:szCs w:val="24"/>
        </w:rPr>
        <w:t xml:space="preserve">natural panorama being changed by the construction or enlargement of a </w:t>
      </w:r>
      <w:r w:rsidR="00CD5CA2" w:rsidRPr="0065723C">
        <w:rPr>
          <w:sz w:val="24"/>
          <w:szCs w:val="24"/>
        </w:rPr>
        <w:t>‘</w:t>
      </w:r>
      <w:r w:rsidR="00F952C1" w:rsidRPr="0065723C">
        <w:rPr>
          <w:sz w:val="24"/>
          <w:szCs w:val="24"/>
        </w:rPr>
        <w:t>man</w:t>
      </w:r>
      <w:r w:rsidR="00CD5CA2" w:rsidRPr="0065723C">
        <w:rPr>
          <w:sz w:val="24"/>
          <w:szCs w:val="24"/>
        </w:rPr>
        <w:t>-</w:t>
      </w:r>
      <w:r w:rsidR="00F952C1" w:rsidRPr="0065723C">
        <w:rPr>
          <w:sz w:val="24"/>
          <w:szCs w:val="24"/>
        </w:rPr>
        <w:t>made</w:t>
      </w:r>
      <w:r w:rsidR="00CD5CA2" w:rsidRPr="0065723C">
        <w:rPr>
          <w:sz w:val="24"/>
          <w:szCs w:val="24"/>
        </w:rPr>
        <w:t>’</w:t>
      </w:r>
      <w:r w:rsidR="00F952C1" w:rsidRPr="0065723C">
        <w:rPr>
          <w:sz w:val="24"/>
          <w:szCs w:val="24"/>
        </w:rPr>
        <w:t xml:space="preserve"> object is di</w:t>
      </w:r>
      <w:r w:rsidR="00414F37" w:rsidRPr="0065723C">
        <w:rPr>
          <w:sz w:val="24"/>
          <w:szCs w:val="24"/>
        </w:rPr>
        <w:t>fficult to financially quantify</w:t>
      </w:r>
      <w:r w:rsidR="00C34635" w:rsidRPr="0065723C">
        <w:rPr>
          <w:sz w:val="24"/>
          <w:szCs w:val="24"/>
        </w:rPr>
        <w:t>.</w:t>
      </w:r>
      <w:r w:rsidR="00F952C1" w:rsidRPr="0065723C">
        <w:rPr>
          <w:sz w:val="24"/>
          <w:szCs w:val="24"/>
        </w:rPr>
        <w:t xml:space="preserve"> The weighting of qualitative impacts</w:t>
      </w:r>
      <w:r w:rsidR="009E0397" w:rsidRPr="0065723C">
        <w:rPr>
          <w:sz w:val="24"/>
          <w:szCs w:val="24"/>
        </w:rPr>
        <w:t xml:space="preserve"> </w:t>
      </w:r>
      <w:r w:rsidR="00F952C1" w:rsidRPr="0065723C">
        <w:rPr>
          <w:sz w:val="24"/>
          <w:szCs w:val="24"/>
        </w:rPr>
        <w:t xml:space="preserve">depends on the goals of the project </w:t>
      </w:r>
      <w:r w:rsidR="00B25E93" w:rsidRPr="0065723C">
        <w:rPr>
          <w:sz w:val="24"/>
          <w:szCs w:val="24"/>
        </w:rPr>
        <w:t>and/</w:t>
      </w:r>
      <w:r w:rsidR="00F952C1" w:rsidRPr="0065723C">
        <w:rPr>
          <w:sz w:val="24"/>
          <w:szCs w:val="24"/>
        </w:rPr>
        <w:t>or the proponents of the project.</w:t>
      </w:r>
      <w:r w:rsidR="004B5B21" w:rsidRPr="0065723C">
        <w:rPr>
          <w:sz w:val="24"/>
          <w:szCs w:val="24"/>
        </w:rPr>
        <w:t xml:space="preserve"> </w:t>
      </w:r>
      <w:r w:rsidR="005605D9" w:rsidRPr="0065723C">
        <w:rPr>
          <w:sz w:val="24"/>
          <w:szCs w:val="24"/>
        </w:rPr>
        <w:t>For this</w:t>
      </w:r>
      <w:r w:rsidR="004B5B21" w:rsidRPr="0065723C">
        <w:rPr>
          <w:sz w:val="24"/>
          <w:szCs w:val="24"/>
        </w:rPr>
        <w:t xml:space="preserve"> study, the CBA needs to take account of the net environmental gain of a change option versus the current practice</w:t>
      </w:r>
      <w:r w:rsidR="009E0397" w:rsidRPr="0065723C">
        <w:rPr>
          <w:sz w:val="24"/>
          <w:szCs w:val="24"/>
        </w:rPr>
        <w:t xml:space="preserve"> for ship anchorages</w:t>
      </w:r>
      <w:r w:rsidR="005605D9" w:rsidRPr="0065723C">
        <w:rPr>
          <w:sz w:val="24"/>
          <w:szCs w:val="24"/>
        </w:rPr>
        <w:t xml:space="preserve">. In this regard </w:t>
      </w:r>
      <w:r w:rsidR="004B5B21" w:rsidRPr="0065723C">
        <w:rPr>
          <w:sz w:val="24"/>
          <w:szCs w:val="24"/>
        </w:rPr>
        <w:t xml:space="preserve">a positive result is </w:t>
      </w:r>
      <w:r w:rsidR="005605D9" w:rsidRPr="0065723C">
        <w:rPr>
          <w:sz w:val="24"/>
          <w:szCs w:val="24"/>
        </w:rPr>
        <w:t xml:space="preserve">considered to be </w:t>
      </w:r>
      <w:r w:rsidR="004B5B21" w:rsidRPr="0065723C">
        <w:rPr>
          <w:sz w:val="24"/>
          <w:szCs w:val="24"/>
        </w:rPr>
        <w:t>one in which a change option produces both a net monetised benefit and a net environmental gain.</w:t>
      </w:r>
    </w:p>
    <w:p w:rsidR="004677B3" w:rsidRPr="0065723C" w:rsidRDefault="004B5B21" w:rsidP="00DA6351">
      <w:pPr>
        <w:pStyle w:val="Body"/>
        <w:rPr>
          <w:sz w:val="24"/>
          <w:szCs w:val="24"/>
        </w:rPr>
      </w:pPr>
      <w:r w:rsidRPr="0065723C">
        <w:rPr>
          <w:sz w:val="24"/>
          <w:szCs w:val="24"/>
        </w:rPr>
        <w:t xml:space="preserve">Direct social impacts </w:t>
      </w:r>
      <w:r w:rsidR="00C74613" w:rsidRPr="0065723C">
        <w:rPr>
          <w:sz w:val="24"/>
          <w:szCs w:val="24"/>
        </w:rPr>
        <w:t>are typically items such as changes to the conduct of leisure activities, changes to health via pollutant emissions, accidents and fatalities, increased light pollution and noise and changed aesthetics of a landscape.</w:t>
      </w:r>
      <w:r w:rsidR="009E61F8" w:rsidRPr="0065723C">
        <w:rPr>
          <w:sz w:val="24"/>
          <w:szCs w:val="24"/>
        </w:rPr>
        <w:t xml:space="preserve"> However, there can also be beneficial impacts with a positive change to a social amenity or leisure activity or a reduction in a negative impact.</w:t>
      </w:r>
    </w:p>
    <w:p w:rsidR="004677B3" w:rsidRPr="0065723C" w:rsidRDefault="00C74613" w:rsidP="00DA6351">
      <w:pPr>
        <w:pStyle w:val="Body"/>
        <w:rPr>
          <w:sz w:val="24"/>
          <w:szCs w:val="24"/>
        </w:rPr>
      </w:pPr>
      <w:r w:rsidRPr="0065723C">
        <w:rPr>
          <w:sz w:val="24"/>
          <w:szCs w:val="24"/>
        </w:rPr>
        <w:t>Direct economic impacts are typically items such as the commercial operations of industries and businesses</w:t>
      </w:r>
      <w:r w:rsidR="009E0397" w:rsidRPr="0065723C">
        <w:rPr>
          <w:sz w:val="24"/>
          <w:szCs w:val="24"/>
        </w:rPr>
        <w:t>,</w:t>
      </w:r>
      <w:r w:rsidRPr="0065723C">
        <w:rPr>
          <w:sz w:val="24"/>
          <w:szCs w:val="24"/>
        </w:rPr>
        <w:t xml:space="preserve"> both involved in the change activity </w:t>
      </w:r>
      <w:r w:rsidR="009E0397" w:rsidRPr="0065723C">
        <w:rPr>
          <w:sz w:val="24"/>
          <w:szCs w:val="24"/>
        </w:rPr>
        <w:t>and/</w:t>
      </w:r>
      <w:r w:rsidRPr="0065723C">
        <w:rPr>
          <w:sz w:val="24"/>
          <w:szCs w:val="24"/>
        </w:rPr>
        <w:t xml:space="preserve">or directly </w:t>
      </w:r>
      <w:r w:rsidRPr="0065723C">
        <w:rPr>
          <w:sz w:val="24"/>
          <w:szCs w:val="24"/>
        </w:rPr>
        <w:lastRenderedPageBreak/>
        <w:t>affected by the change activity.</w:t>
      </w:r>
      <w:r w:rsidR="009E61F8" w:rsidRPr="0065723C">
        <w:rPr>
          <w:sz w:val="24"/>
          <w:szCs w:val="24"/>
        </w:rPr>
        <w:t xml:space="preserve"> These items can be both positive (gains in productivity and efficiency) and negative (increased cost of doing business).</w:t>
      </w:r>
    </w:p>
    <w:p w:rsidR="00F97467" w:rsidRPr="0065723C" w:rsidRDefault="00C74613" w:rsidP="00DA6351">
      <w:pPr>
        <w:pStyle w:val="Body"/>
        <w:rPr>
          <w:sz w:val="24"/>
          <w:szCs w:val="24"/>
        </w:rPr>
      </w:pPr>
      <w:r w:rsidRPr="0065723C">
        <w:rPr>
          <w:sz w:val="24"/>
          <w:szCs w:val="24"/>
        </w:rPr>
        <w:t xml:space="preserve">Direct environmental impacts </w:t>
      </w:r>
      <w:r w:rsidR="00E255A3" w:rsidRPr="0065723C">
        <w:rPr>
          <w:sz w:val="24"/>
          <w:szCs w:val="24"/>
        </w:rPr>
        <w:t>are typically items which relate to the surrounding ecology, flora and fauna and ecosystems of the activity, both land</w:t>
      </w:r>
      <w:r w:rsidR="004C56F7" w:rsidRPr="0065723C">
        <w:rPr>
          <w:sz w:val="24"/>
          <w:szCs w:val="24"/>
        </w:rPr>
        <w:t xml:space="preserve"> </w:t>
      </w:r>
      <w:r w:rsidR="00E255A3" w:rsidRPr="0065723C">
        <w:rPr>
          <w:sz w:val="24"/>
          <w:szCs w:val="24"/>
        </w:rPr>
        <w:t xml:space="preserve">and </w:t>
      </w:r>
      <w:r w:rsidR="001614B6" w:rsidRPr="0065723C">
        <w:rPr>
          <w:sz w:val="24"/>
          <w:szCs w:val="24"/>
        </w:rPr>
        <w:t>marine-based</w:t>
      </w:r>
      <w:r w:rsidR="00E255A3" w:rsidRPr="0065723C">
        <w:rPr>
          <w:sz w:val="24"/>
          <w:szCs w:val="24"/>
        </w:rPr>
        <w:t xml:space="preserve"> (i.e. effects on items deemed to be of state, national or world environmental significance).</w:t>
      </w:r>
      <w:r w:rsidR="002A16D6" w:rsidRPr="0065723C">
        <w:rPr>
          <w:sz w:val="24"/>
          <w:szCs w:val="24"/>
        </w:rPr>
        <w:t xml:space="preserve"> Some of these environmental items can also be directly contributing to the economy (e.g. </w:t>
      </w:r>
      <w:r w:rsidR="00AD1206" w:rsidRPr="0065723C">
        <w:rPr>
          <w:sz w:val="24"/>
          <w:szCs w:val="24"/>
        </w:rPr>
        <w:t>Reef</w:t>
      </w:r>
      <w:r w:rsidR="0000585A" w:rsidRPr="0065723C">
        <w:rPr>
          <w:sz w:val="24"/>
          <w:szCs w:val="24"/>
        </w:rPr>
        <w:t xml:space="preserve"> </w:t>
      </w:r>
      <w:r w:rsidR="002A16D6" w:rsidRPr="0065723C">
        <w:rPr>
          <w:sz w:val="24"/>
          <w:szCs w:val="24"/>
        </w:rPr>
        <w:t>tourism).</w:t>
      </w:r>
    </w:p>
    <w:p w:rsidR="00781804" w:rsidRPr="0065723C" w:rsidRDefault="00781804" w:rsidP="00781804">
      <w:pPr>
        <w:pStyle w:val="Body"/>
        <w:rPr>
          <w:sz w:val="24"/>
          <w:szCs w:val="24"/>
        </w:rPr>
      </w:pPr>
      <w:r w:rsidRPr="0065723C">
        <w:rPr>
          <w:sz w:val="24"/>
          <w:szCs w:val="24"/>
        </w:rPr>
        <w:t>The steps for the Economic Appraisal comprised:</w:t>
      </w:r>
    </w:p>
    <w:p w:rsidR="00781804" w:rsidRPr="0065723C" w:rsidRDefault="00781804" w:rsidP="001012C3">
      <w:pPr>
        <w:pStyle w:val="Bullet"/>
        <w:rPr>
          <w:sz w:val="24"/>
          <w:szCs w:val="24"/>
        </w:rPr>
      </w:pPr>
      <w:r w:rsidRPr="0065723C">
        <w:rPr>
          <w:sz w:val="24"/>
          <w:szCs w:val="24"/>
        </w:rPr>
        <w:t>The identification of relevant options for CBA modelling using a</w:t>
      </w:r>
      <w:r w:rsidR="002334D8" w:rsidRPr="0065723C">
        <w:rPr>
          <w:sz w:val="24"/>
          <w:szCs w:val="24"/>
        </w:rPr>
        <w:t xml:space="preserve"> desktop review and</w:t>
      </w:r>
      <w:r w:rsidRPr="0065723C">
        <w:rPr>
          <w:sz w:val="24"/>
          <w:szCs w:val="24"/>
        </w:rPr>
        <w:t xml:space="preserve"> workshop approach with </w:t>
      </w:r>
      <w:r w:rsidR="002334D8" w:rsidRPr="0065723C">
        <w:rPr>
          <w:sz w:val="24"/>
          <w:szCs w:val="24"/>
        </w:rPr>
        <w:t>targeted</w:t>
      </w:r>
      <w:r w:rsidRPr="0065723C">
        <w:rPr>
          <w:sz w:val="24"/>
          <w:szCs w:val="24"/>
        </w:rPr>
        <w:t xml:space="preserve"> stakeholders</w:t>
      </w:r>
      <w:r w:rsidR="002334D8" w:rsidRPr="0065723C">
        <w:rPr>
          <w:sz w:val="24"/>
          <w:szCs w:val="24"/>
        </w:rPr>
        <w:t xml:space="preserve"> and industry representatives</w:t>
      </w:r>
      <w:r w:rsidRPr="0065723C">
        <w:rPr>
          <w:sz w:val="24"/>
          <w:szCs w:val="24"/>
        </w:rPr>
        <w:t>.</w:t>
      </w:r>
    </w:p>
    <w:p w:rsidR="00781804" w:rsidRPr="0065723C" w:rsidRDefault="00781804" w:rsidP="001012C3">
      <w:pPr>
        <w:pStyle w:val="Bullet"/>
        <w:rPr>
          <w:sz w:val="24"/>
          <w:szCs w:val="24"/>
        </w:rPr>
      </w:pPr>
      <w:r w:rsidRPr="0065723C">
        <w:rPr>
          <w:sz w:val="24"/>
          <w:szCs w:val="24"/>
        </w:rPr>
        <w:t xml:space="preserve">The identification of possible environmental, commercial and social impacts of each option in </w:t>
      </w:r>
      <w:r w:rsidR="002334D8" w:rsidRPr="0065723C">
        <w:rPr>
          <w:sz w:val="24"/>
          <w:szCs w:val="24"/>
        </w:rPr>
        <w:t>considering both</w:t>
      </w:r>
      <w:r w:rsidRPr="0065723C">
        <w:rPr>
          <w:sz w:val="24"/>
          <w:szCs w:val="24"/>
        </w:rPr>
        <w:t xml:space="preserve"> benefits and costs</w:t>
      </w:r>
      <w:r w:rsidR="00540ECC" w:rsidRPr="0065723C">
        <w:rPr>
          <w:sz w:val="24"/>
          <w:szCs w:val="24"/>
        </w:rPr>
        <w:t>. This process also used</w:t>
      </w:r>
      <w:r w:rsidRPr="0065723C">
        <w:rPr>
          <w:sz w:val="24"/>
          <w:szCs w:val="24"/>
        </w:rPr>
        <w:t xml:space="preserve"> the CBA workshop and other stakeholder consultations as </w:t>
      </w:r>
      <w:r w:rsidR="00540ECC" w:rsidRPr="0065723C">
        <w:rPr>
          <w:sz w:val="24"/>
          <w:szCs w:val="24"/>
        </w:rPr>
        <w:t xml:space="preserve">information </w:t>
      </w:r>
      <w:r w:rsidRPr="0065723C">
        <w:rPr>
          <w:sz w:val="24"/>
          <w:szCs w:val="24"/>
        </w:rPr>
        <w:t>sources.</w:t>
      </w:r>
    </w:p>
    <w:p w:rsidR="00781804" w:rsidRPr="0065723C" w:rsidRDefault="00781804" w:rsidP="001012C3">
      <w:pPr>
        <w:pStyle w:val="Bullet"/>
        <w:rPr>
          <w:sz w:val="24"/>
          <w:szCs w:val="24"/>
        </w:rPr>
      </w:pPr>
      <w:r w:rsidRPr="0065723C">
        <w:rPr>
          <w:sz w:val="24"/>
          <w:szCs w:val="24"/>
        </w:rPr>
        <w:t>The quantification and monetisation of the benefits and costs of each option</w:t>
      </w:r>
      <w:r w:rsidR="00540ECC" w:rsidRPr="0065723C">
        <w:rPr>
          <w:sz w:val="24"/>
          <w:szCs w:val="24"/>
        </w:rPr>
        <w:t xml:space="preserve"> using </w:t>
      </w:r>
      <w:r w:rsidR="002334D8" w:rsidRPr="0065723C">
        <w:rPr>
          <w:sz w:val="24"/>
          <w:szCs w:val="24"/>
        </w:rPr>
        <w:t xml:space="preserve">currently </w:t>
      </w:r>
      <w:r w:rsidRPr="0065723C">
        <w:rPr>
          <w:sz w:val="24"/>
          <w:szCs w:val="24"/>
        </w:rPr>
        <w:t>available data.</w:t>
      </w:r>
    </w:p>
    <w:p w:rsidR="00781804" w:rsidRPr="0065723C" w:rsidRDefault="00781804" w:rsidP="001012C3">
      <w:pPr>
        <w:pStyle w:val="Bullet"/>
        <w:rPr>
          <w:sz w:val="24"/>
          <w:szCs w:val="24"/>
        </w:rPr>
      </w:pPr>
      <w:r w:rsidRPr="0065723C">
        <w:rPr>
          <w:sz w:val="24"/>
          <w:szCs w:val="24"/>
        </w:rPr>
        <w:t xml:space="preserve">The development of forecast anchorage demand and supply over the next </w:t>
      </w:r>
      <w:r w:rsidR="00493511" w:rsidRPr="0065723C">
        <w:rPr>
          <w:sz w:val="24"/>
          <w:szCs w:val="24"/>
        </w:rPr>
        <w:t>2</w:t>
      </w:r>
      <w:r w:rsidRPr="0065723C">
        <w:rPr>
          <w:sz w:val="24"/>
          <w:szCs w:val="24"/>
        </w:rPr>
        <w:t>0 years using</w:t>
      </w:r>
      <w:r w:rsidR="00113776" w:rsidRPr="0065723C">
        <w:rPr>
          <w:sz w:val="24"/>
          <w:szCs w:val="24"/>
        </w:rPr>
        <w:t xml:space="preserve"> </w:t>
      </w:r>
      <w:r w:rsidR="002334D8" w:rsidRPr="0065723C">
        <w:rPr>
          <w:sz w:val="24"/>
          <w:szCs w:val="24"/>
        </w:rPr>
        <w:t xml:space="preserve">currently </w:t>
      </w:r>
      <w:r w:rsidRPr="0065723C">
        <w:rPr>
          <w:sz w:val="24"/>
          <w:szCs w:val="24"/>
        </w:rPr>
        <w:t>available data.</w:t>
      </w:r>
    </w:p>
    <w:p w:rsidR="00781804" w:rsidRPr="0065723C" w:rsidRDefault="00781804" w:rsidP="001012C3">
      <w:pPr>
        <w:pStyle w:val="Bullet"/>
        <w:rPr>
          <w:sz w:val="24"/>
          <w:szCs w:val="24"/>
        </w:rPr>
      </w:pPr>
      <w:r w:rsidRPr="0065723C">
        <w:rPr>
          <w:sz w:val="24"/>
          <w:szCs w:val="24"/>
        </w:rPr>
        <w:t xml:space="preserve">The development and running of a CBA model with output as Net Present Value </w:t>
      </w:r>
      <w:r w:rsidR="00493511" w:rsidRPr="0065723C">
        <w:rPr>
          <w:sz w:val="24"/>
          <w:szCs w:val="24"/>
        </w:rPr>
        <w:t xml:space="preserve">(NPV) </w:t>
      </w:r>
      <w:r w:rsidRPr="0065723C">
        <w:rPr>
          <w:sz w:val="24"/>
          <w:szCs w:val="24"/>
        </w:rPr>
        <w:t>of the various modelled options.</w:t>
      </w:r>
    </w:p>
    <w:p w:rsidR="00493511" w:rsidRPr="0065723C" w:rsidRDefault="00493511" w:rsidP="001012C3">
      <w:pPr>
        <w:pStyle w:val="Bullet"/>
        <w:rPr>
          <w:sz w:val="24"/>
          <w:szCs w:val="24"/>
        </w:rPr>
      </w:pPr>
      <w:r w:rsidRPr="0065723C">
        <w:rPr>
          <w:sz w:val="24"/>
          <w:szCs w:val="24"/>
        </w:rPr>
        <w:t>Summarising findings of the CBA model to identify anchorage management strategies that provide net benefits under forecast demand.</w:t>
      </w:r>
    </w:p>
    <w:p w:rsidR="005C092B" w:rsidRPr="00B41CFA" w:rsidRDefault="005C092B" w:rsidP="001012C3">
      <w:pPr>
        <w:pStyle w:val="Heading3"/>
        <w:rPr>
          <w:sz w:val="24"/>
        </w:rPr>
      </w:pPr>
      <w:bookmarkStart w:id="31" w:name="_Toc362274266"/>
      <w:r w:rsidRPr="00B41CFA">
        <w:rPr>
          <w:sz w:val="24"/>
        </w:rPr>
        <w:t>Economic Appraisal assumptions</w:t>
      </w:r>
      <w:bookmarkEnd w:id="31"/>
    </w:p>
    <w:p w:rsidR="0046289C" w:rsidRPr="0065723C" w:rsidRDefault="0046289C" w:rsidP="0046289C">
      <w:pPr>
        <w:pStyle w:val="Body"/>
        <w:rPr>
          <w:sz w:val="24"/>
          <w:szCs w:val="24"/>
        </w:rPr>
      </w:pPr>
      <w:bookmarkStart w:id="32" w:name="_Ref343177811"/>
      <w:r w:rsidRPr="0065723C">
        <w:rPr>
          <w:sz w:val="24"/>
          <w:szCs w:val="24"/>
        </w:rPr>
        <w:t xml:space="preserve">The </w:t>
      </w:r>
      <w:r w:rsidR="00781804" w:rsidRPr="0065723C">
        <w:rPr>
          <w:sz w:val="24"/>
          <w:szCs w:val="24"/>
        </w:rPr>
        <w:t xml:space="preserve">CBA model (Economic Appraisal tool) was developed using a framework capturing environmental, commercial and social impacts, and populated with evidenced data. </w:t>
      </w:r>
      <w:r w:rsidRPr="0065723C">
        <w:rPr>
          <w:sz w:val="24"/>
          <w:szCs w:val="24"/>
        </w:rPr>
        <w:t>The model considered a 30 year future time-horizon (2012-2042 with 2012 as Year 0) where economic data was available for quantification of benefits and costs.</w:t>
      </w:r>
    </w:p>
    <w:p w:rsidR="00781804" w:rsidRPr="0065723C" w:rsidRDefault="0046289C" w:rsidP="00781804">
      <w:pPr>
        <w:pStyle w:val="Body"/>
        <w:rPr>
          <w:sz w:val="24"/>
          <w:szCs w:val="24"/>
        </w:rPr>
      </w:pPr>
      <w:r w:rsidRPr="0065723C">
        <w:rPr>
          <w:sz w:val="24"/>
          <w:szCs w:val="24"/>
        </w:rPr>
        <w:t xml:space="preserve">Future demand for each of the identified anchorage areas (identified in </w:t>
      </w:r>
      <w:r w:rsidR="001E086F" w:rsidRPr="0065723C">
        <w:rPr>
          <w:sz w:val="24"/>
          <w:szCs w:val="24"/>
        </w:rPr>
        <w:t>s</w:t>
      </w:r>
      <w:r w:rsidRPr="0065723C">
        <w:rPr>
          <w:sz w:val="24"/>
          <w:szCs w:val="24"/>
        </w:rPr>
        <w:t xml:space="preserve">ection </w:t>
      </w:r>
      <w:r w:rsidR="00CD38ED" w:rsidRPr="0065723C">
        <w:rPr>
          <w:b/>
          <w:sz w:val="24"/>
          <w:szCs w:val="24"/>
        </w:rPr>
        <w:fldChar w:fldCharType="begin"/>
      </w:r>
      <w:r w:rsidRPr="0065723C">
        <w:rPr>
          <w:sz w:val="24"/>
          <w:szCs w:val="24"/>
        </w:rPr>
        <w:instrText xml:space="preserve"> REF _Ref347727992 \r \h </w:instrText>
      </w:r>
      <w:r w:rsidR="0065723C">
        <w:rPr>
          <w:b/>
          <w:sz w:val="24"/>
          <w:szCs w:val="24"/>
        </w:rPr>
        <w:instrText xml:space="preserve"> \* MERGEFORMAT </w:instrText>
      </w:r>
      <w:r w:rsidR="00CD38ED" w:rsidRPr="0065723C">
        <w:rPr>
          <w:b/>
          <w:sz w:val="24"/>
          <w:szCs w:val="24"/>
        </w:rPr>
      </w:r>
      <w:r w:rsidR="00CD38ED" w:rsidRPr="0065723C">
        <w:rPr>
          <w:b/>
          <w:sz w:val="24"/>
          <w:szCs w:val="24"/>
        </w:rPr>
        <w:fldChar w:fldCharType="separate"/>
      </w:r>
      <w:r w:rsidR="005F6E51">
        <w:rPr>
          <w:sz w:val="24"/>
          <w:szCs w:val="24"/>
        </w:rPr>
        <w:t>1.4</w:t>
      </w:r>
      <w:r w:rsidR="00CD38ED" w:rsidRPr="0065723C">
        <w:rPr>
          <w:b/>
          <w:sz w:val="24"/>
          <w:szCs w:val="24"/>
        </w:rPr>
        <w:fldChar w:fldCharType="end"/>
      </w:r>
      <w:r w:rsidRPr="0065723C">
        <w:rPr>
          <w:sz w:val="24"/>
          <w:szCs w:val="24"/>
        </w:rPr>
        <w:t xml:space="preserve">) was </w:t>
      </w:r>
      <w:r w:rsidR="00781804" w:rsidRPr="0065723C">
        <w:rPr>
          <w:sz w:val="24"/>
          <w:szCs w:val="24"/>
        </w:rPr>
        <w:t>based on PGM Environment’s “probable” forecasts</w:t>
      </w:r>
      <w:r w:rsidRPr="0065723C">
        <w:rPr>
          <w:sz w:val="24"/>
          <w:szCs w:val="24"/>
        </w:rPr>
        <w:t xml:space="preserve"> for each of the five ports. This demand value was</w:t>
      </w:r>
      <w:r w:rsidR="00781804" w:rsidRPr="0065723C">
        <w:rPr>
          <w:sz w:val="24"/>
          <w:szCs w:val="24"/>
        </w:rPr>
        <w:t xml:space="preserve"> adjusted for any assessed changes in direct ship calling to berths versus anchoring for the period 2012-2032</w:t>
      </w:r>
      <w:r w:rsidR="00EC24C1" w:rsidRPr="0065723C">
        <w:rPr>
          <w:sz w:val="24"/>
          <w:szCs w:val="24"/>
        </w:rPr>
        <w:t>. T</w:t>
      </w:r>
      <w:r w:rsidR="00781804" w:rsidRPr="0065723C">
        <w:rPr>
          <w:sz w:val="24"/>
          <w:szCs w:val="24"/>
        </w:rPr>
        <w:t xml:space="preserve">he ten years from 2032-2042 </w:t>
      </w:r>
      <w:r w:rsidR="00EC24C1" w:rsidRPr="0065723C">
        <w:rPr>
          <w:sz w:val="24"/>
          <w:szCs w:val="24"/>
        </w:rPr>
        <w:t xml:space="preserve">were </w:t>
      </w:r>
      <w:r w:rsidR="00781804" w:rsidRPr="0065723C">
        <w:rPr>
          <w:sz w:val="24"/>
          <w:szCs w:val="24"/>
        </w:rPr>
        <w:t>maintained at the same levels as for year 2032 (PGM Environment 2012).</w:t>
      </w:r>
    </w:p>
    <w:p w:rsidR="0046289C" w:rsidRPr="0065723C" w:rsidRDefault="00EC24C1" w:rsidP="0046289C">
      <w:pPr>
        <w:pStyle w:val="Body"/>
        <w:rPr>
          <w:sz w:val="24"/>
          <w:szCs w:val="24"/>
        </w:rPr>
      </w:pPr>
      <w:r w:rsidRPr="0065723C">
        <w:rPr>
          <w:sz w:val="24"/>
          <w:szCs w:val="24"/>
        </w:rPr>
        <w:t>A</w:t>
      </w:r>
      <w:r w:rsidR="0046289C" w:rsidRPr="0065723C">
        <w:rPr>
          <w:sz w:val="24"/>
          <w:szCs w:val="24"/>
        </w:rPr>
        <w:t xml:space="preserve"> discrete set of ship anchorage management options were modelled to identify appropriate anchorage management</w:t>
      </w:r>
      <w:r w:rsidRPr="0065723C">
        <w:rPr>
          <w:sz w:val="24"/>
          <w:szCs w:val="24"/>
        </w:rPr>
        <w:t xml:space="preserve"> in locations where future shipping demands on port anchorage areas was predicted to require a physical expansion of the current anchorage area</w:t>
      </w:r>
      <w:r w:rsidR="0046289C" w:rsidRPr="0065723C">
        <w:rPr>
          <w:sz w:val="24"/>
          <w:szCs w:val="24"/>
        </w:rPr>
        <w:t xml:space="preserve">. </w:t>
      </w:r>
    </w:p>
    <w:p w:rsidR="00781804" w:rsidRPr="0065723C" w:rsidRDefault="00AB4DDF" w:rsidP="00781804">
      <w:pPr>
        <w:pStyle w:val="Body"/>
        <w:rPr>
          <w:sz w:val="24"/>
          <w:szCs w:val="24"/>
        </w:rPr>
      </w:pPr>
      <w:r w:rsidRPr="0065723C">
        <w:rPr>
          <w:sz w:val="24"/>
          <w:szCs w:val="24"/>
        </w:rPr>
        <w:t>For the purposes of the model</w:t>
      </w:r>
      <w:r w:rsidR="00EC24C1" w:rsidRPr="0065723C">
        <w:rPr>
          <w:sz w:val="24"/>
          <w:szCs w:val="24"/>
        </w:rPr>
        <w:t>,</w:t>
      </w:r>
      <w:r w:rsidRPr="0065723C">
        <w:rPr>
          <w:sz w:val="24"/>
          <w:szCs w:val="24"/>
        </w:rPr>
        <w:t xml:space="preserve"> </w:t>
      </w:r>
      <w:r w:rsidR="00781804" w:rsidRPr="0065723C">
        <w:rPr>
          <w:sz w:val="24"/>
          <w:szCs w:val="24"/>
        </w:rPr>
        <w:t xml:space="preserve">the Base Case </w:t>
      </w:r>
      <w:r w:rsidR="00EC24C1" w:rsidRPr="0065723C">
        <w:rPr>
          <w:sz w:val="24"/>
          <w:szCs w:val="24"/>
        </w:rPr>
        <w:t xml:space="preserve">approach </w:t>
      </w:r>
      <w:r w:rsidR="00781804" w:rsidRPr="0065723C">
        <w:rPr>
          <w:sz w:val="24"/>
          <w:szCs w:val="24"/>
        </w:rPr>
        <w:t>(</w:t>
      </w:r>
      <w:r w:rsidR="00001AD8" w:rsidRPr="0065723C">
        <w:rPr>
          <w:sz w:val="24"/>
          <w:szCs w:val="24"/>
        </w:rPr>
        <w:t xml:space="preserve">i.e. </w:t>
      </w:r>
      <w:r w:rsidR="00781804" w:rsidRPr="0065723C">
        <w:rPr>
          <w:sz w:val="24"/>
          <w:szCs w:val="24"/>
        </w:rPr>
        <w:t>current practice</w:t>
      </w:r>
      <w:r w:rsidR="00001AD8" w:rsidRPr="0065723C">
        <w:rPr>
          <w:sz w:val="24"/>
          <w:szCs w:val="24"/>
        </w:rPr>
        <w:t>)</w:t>
      </w:r>
      <w:r w:rsidR="00781804" w:rsidRPr="0065723C">
        <w:rPr>
          <w:sz w:val="24"/>
          <w:szCs w:val="24"/>
        </w:rPr>
        <w:t xml:space="preserve"> to any future shortfall in current anchorage capacity caused by increased demand is to expand the current anchorage area</w:t>
      </w:r>
      <w:r w:rsidR="00EC24C1" w:rsidRPr="0065723C">
        <w:rPr>
          <w:sz w:val="24"/>
          <w:szCs w:val="24"/>
        </w:rPr>
        <w:t xml:space="preserve">. It is assumed that any expansion would be </w:t>
      </w:r>
      <w:r w:rsidR="00781804" w:rsidRPr="0065723C">
        <w:rPr>
          <w:sz w:val="24"/>
          <w:szCs w:val="24"/>
        </w:rPr>
        <w:t xml:space="preserve">into </w:t>
      </w:r>
      <w:r w:rsidR="00001AD8" w:rsidRPr="0065723C">
        <w:rPr>
          <w:sz w:val="24"/>
          <w:szCs w:val="24"/>
        </w:rPr>
        <w:t xml:space="preserve">an area resulting in the </w:t>
      </w:r>
      <w:r w:rsidR="00781804" w:rsidRPr="0065723C">
        <w:rPr>
          <w:sz w:val="24"/>
          <w:szCs w:val="24"/>
        </w:rPr>
        <w:t>least environmental</w:t>
      </w:r>
      <w:r w:rsidR="00001AD8" w:rsidRPr="0065723C">
        <w:rPr>
          <w:sz w:val="24"/>
          <w:szCs w:val="24"/>
        </w:rPr>
        <w:t xml:space="preserve"> and socio-economic</w:t>
      </w:r>
      <w:r w:rsidR="00781804" w:rsidRPr="0065723C">
        <w:rPr>
          <w:sz w:val="24"/>
          <w:szCs w:val="24"/>
        </w:rPr>
        <w:t xml:space="preserve"> impact either </w:t>
      </w:r>
      <w:r w:rsidR="00781804" w:rsidRPr="0065723C">
        <w:rPr>
          <w:sz w:val="24"/>
          <w:szCs w:val="24"/>
        </w:rPr>
        <w:lastRenderedPageBreak/>
        <w:t>within existing port limits or within the Marine Park</w:t>
      </w:r>
      <w:r w:rsidRPr="0065723C">
        <w:rPr>
          <w:sz w:val="24"/>
          <w:szCs w:val="24"/>
        </w:rPr>
        <w:t>, taking into account safe operational and permitting requirements</w:t>
      </w:r>
      <w:r w:rsidR="00781804" w:rsidRPr="0065723C">
        <w:rPr>
          <w:sz w:val="24"/>
          <w:szCs w:val="24"/>
        </w:rPr>
        <w:t xml:space="preserve">. </w:t>
      </w:r>
    </w:p>
    <w:p w:rsidR="00781804" w:rsidRPr="0065723C" w:rsidRDefault="00781804" w:rsidP="00781804">
      <w:pPr>
        <w:pStyle w:val="Body"/>
        <w:rPr>
          <w:sz w:val="24"/>
          <w:szCs w:val="24"/>
        </w:rPr>
      </w:pPr>
      <w:r w:rsidRPr="0065723C">
        <w:rPr>
          <w:sz w:val="24"/>
          <w:szCs w:val="24"/>
        </w:rPr>
        <w:t>Any identified ship anchorage management option (strategy) which avoids the expansion of the current anchorage area</w:t>
      </w:r>
      <w:r w:rsidR="00AB4DDF" w:rsidRPr="0065723C">
        <w:rPr>
          <w:sz w:val="24"/>
          <w:szCs w:val="24"/>
        </w:rPr>
        <w:t xml:space="preserve"> or which reduces the current impacts</w:t>
      </w:r>
      <w:r w:rsidRPr="0065723C">
        <w:rPr>
          <w:sz w:val="24"/>
          <w:szCs w:val="24"/>
        </w:rPr>
        <w:t xml:space="preserve"> is considered an Alternative Scenario for the CBA</w:t>
      </w:r>
      <w:r w:rsidR="006040D3" w:rsidRPr="0065723C">
        <w:rPr>
          <w:sz w:val="24"/>
          <w:szCs w:val="24"/>
        </w:rPr>
        <w:t>. T</w:t>
      </w:r>
      <w:r w:rsidRPr="0065723C">
        <w:rPr>
          <w:sz w:val="24"/>
          <w:szCs w:val="24"/>
        </w:rPr>
        <w:t xml:space="preserve">he incremental benefits and costs and Net Social Welfare Gain (the NPV) of the Alternative Scenario is </w:t>
      </w:r>
      <w:r w:rsidR="006040D3" w:rsidRPr="0065723C">
        <w:rPr>
          <w:sz w:val="24"/>
          <w:szCs w:val="24"/>
        </w:rPr>
        <w:t xml:space="preserve">then </w:t>
      </w:r>
      <w:r w:rsidRPr="0065723C">
        <w:rPr>
          <w:sz w:val="24"/>
          <w:szCs w:val="24"/>
        </w:rPr>
        <w:t xml:space="preserve">compared against the Base Case. </w:t>
      </w:r>
      <w:r w:rsidR="00AB4DDF" w:rsidRPr="0065723C">
        <w:rPr>
          <w:sz w:val="24"/>
          <w:szCs w:val="24"/>
        </w:rPr>
        <w:t>Any location for anchorage which offers net environmental gains over the current anchorage area is also considered an Alternative Scenario for the CBA. T</w:t>
      </w:r>
      <w:r w:rsidRPr="0065723C">
        <w:rPr>
          <w:sz w:val="24"/>
          <w:szCs w:val="24"/>
        </w:rPr>
        <w:t>he evaluation</w:t>
      </w:r>
      <w:r w:rsidR="00AB4DDF" w:rsidRPr="0065723C">
        <w:rPr>
          <w:sz w:val="24"/>
          <w:szCs w:val="24"/>
        </w:rPr>
        <w:t>, therefore,</w:t>
      </w:r>
      <w:r w:rsidRPr="0065723C">
        <w:rPr>
          <w:sz w:val="24"/>
          <w:szCs w:val="24"/>
        </w:rPr>
        <w:t xml:space="preserve"> </w:t>
      </w:r>
      <w:r w:rsidR="00AB4DDF" w:rsidRPr="0065723C">
        <w:rPr>
          <w:sz w:val="24"/>
          <w:szCs w:val="24"/>
        </w:rPr>
        <w:t>assessed</w:t>
      </w:r>
      <w:r w:rsidRPr="0065723C">
        <w:rPr>
          <w:sz w:val="24"/>
          <w:szCs w:val="24"/>
        </w:rPr>
        <w:t xml:space="preserve"> the net benefit of each Alternative Scenario incremental to the Base Case.</w:t>
      </w:r>
    </w:p>
    <w:p w:rsidR="00EC1782" w:rsidRPr="00B41CFA" w:rsidRDefault="00EC1782" w:rsidP="00B22C15">
      <w:pPr>
        <w:pStyle w:val="Heading2"/>
        <w:rPr>
          <w:sz w:val="24"/>
        </w:rPr>
      </w:pPr>
      <w:bookmarkStart w:id="33" w:name="_Ref343580587"/>
      <w:bookmarkStart w:id="34" w:name="_Toc362274267"/>
      <w:r w:rsidRPr="00B41CFA">
        <w:rPr>
          <w:sz w:val="24"/>
        </w:rPr>
        <w:t>S</w:t>
      </w:r>
      <w:r w:rsidR="0099439E" w:rsidRPr="00B41CFA">
        <w:rPr>
          <w:sz w:val="24"/>
        </w:rPr>
        <w:t>takeholder engagement</w:t>
      </w:r>
      <w:bookmarkEnd w:id="32"/>
      <w:bookmarkEnd w:id="33"/>
      <w:bookmarkEnd w:id="34"/>
    </w:p>
    <w:p w:rsidR="00EC1782" w:rsidRPr="00B41CFA" w:rsidRDefault="00EC1782" w:rsidP="00826CD7">
      <w:pPr>
        <w:pStyle w:val="Heading3"/>
        <w:rPr>
          <w:sz w:val="24"/>
        </w:rPr>
      </w:pPr>
      <w:bookmarkStart w:id="35" w:name="_Ref343580600"/>
      <w:bookmarkStart w:id="36" w:name="_Toc362274268"/>
      <w:r w:rsidRPr="00B41CFA">
        <w:rPr>
          <w:sz w:val="24"/>
        </w:rPr>
        <w:t>Background</w:t>
      </w:r>
      <w:bookmarkEnd w:id="35"/>
      <w:bookmarkEnd w:id="36"/>
    </w:p>
    <w:p w:rsidR="00CC0268" w:rsidRPr="0065723C" w:rsidRDefault="00CC0268" w:rsidP="0099439E">
      <w:pPr>
        <w:pStyle w:val="Body"/>
        <w:rPr>
          <w:sz w:val="24"/>
          <w:szCs w:val="24"/>
        </w:rPr>
      </w:pPr>
      <w:r w:rsidRPr="0065723C">
        <w:rPr>
          <w:sz w:val="24"/>
          <w:szCs w:val="24"/>
        </w:rPr>
        <w:t xml:space="preserve">Stakeholders have valuable knowledge regarding the use, management and operation of anchorages associated with </w:t>
      </w:r>
      <w:r w:rsidR="00B81C4F" w:rsidRPr="0065723C">
        <w:rPr>
          <w:sz w:val="24"/>
          <w:szCs w:val="24"/>
        </w:rPr>
        <w:t>the</w:t>
      </w:r>
      <w:r w:rsidRPr="0065723C">
        <w:rPr>
          <w:sz w:val="24"/>
          <w:szCs w:val="24"/>
        </w:rPr>
        <w:t xml:space="preserve"> ports within the World Heritage Area. However, as is often the case, there is </w:t>
      </w:r>
      <w:r w:rsidR="00A85BFA" w:rsidRPr="0065723C">
        <w:rPr>
          <w:sz w:val="24"/>
          <w:szCs w:val="24"/>
        </w:rPr>
        <w:t>limited</w:t>
      </w:r>
      <w:r w:rsidRPr="0065723C">
        <w:rPr>
          <w:sz w:val="24"/>
          <w:szCs w:val="24"/>
        </w:rPr>
        <w:t xml:space="preserve"> </w:t>
      </w:r>
      <w:r w:rsidR="000838C6" w:rsidRPr="0065723C">
        <w:rPr>
          <w:sz w:val="24"/>
          <w:szCs w:val="24"/>
        </w:rPr>
        <w:t>documented resear</w:t>
      </w:r>
      <w:r w:rsidR="00A85BFA" w:rsidRPr="0065723C">
        <w:rPr>
          <w:sz w:val="24"/>
          <w:szCs w:val="24"/>
        </w:rPr>
        <w:t>ch in the public domain which sheds light on the views of</w:t>
      </w:r>
      <w:r w:rsidR="00212D3F" w:rsidRPr="0065723C">
        <w:rPr>
          <w:sz w:val="24"/>
          <w:szCs w:val="24"/>
        </w:rPr>
        <w:t>,</w:t>
      </w:r>
      <w:r w:rsidR="00A85BFA" w:rsidRPr="0065723C">
        <w:rPr>
          <w:sz w:val="24"/>
          <w:szCs w:val="24"/>
        </w:rPr>
        <w:t xml:space="preserve"> and effects to</w:t>
      </w:r>
      <w:r w:rsidR="00212D3F" w:rsidRPr="0065723C">
        <w:rPr>
          <w:sz w:val="24"/>
          <w:szCs w:val="24"/>
        </w:rPr>
        <w:t>,</w:t>
      </w:r>
      <w:r w:rsidR="00A85BFA" w:rsidRPr="0065723C">
        <w:rPr>
          <w:sz w:val="24"/>
          <w:szCs w:val="24"/>
        </w:rPr>
        <w:t xml:space="preserve"> the wider community regarding </w:t>
      </w:r>
      <w:r w:rsidRPr="0065723C">
        <w:rPr>
          <w:sz w:val="24"/>
          <w:szCs w:val="24"/>
        </w:rPr>
        <w:t>ship anchorages at the five subject ports</w:t>
      </w:r>
      <w:r w:rsidR="00A85BFA" w:rsidRPr="0065723C">
        <w:rPr>
          <w:sz w:val="24"/>
          <w:szCs w:val="24"/>
        </w:rPr>
        <w:t xml:space="preserve">. </w:t>
      </w:r>
    </w:p>
    <w:p w:rsidR="00CC0268" w:rsidRPr="0065723C" w:rsidRDefault="00CC0268" w:rsidP="00CC0268">
      <w:pPr>
        <w:pStyle w:val="Body"/>
        <w:rPr>
          <w:sz w:val="24"/>
          <w:szCs w:val="24"/>
        </w:rPr>
      </w:pPr>
      <w:r w:rsidRPr="0065723C">
        <w:rPr>
          <w:sz w:val="24"/>
          <w:szCs w:val="24"/>
        </w:rPr>
        <w:t xml:space="preserve">For the purpose of informing the CBA, selected </w:t>
      </w:r>
      <w:r w:rsidR="009E7351" w:rsidRPr="0065723C">
        <w:rPr>
          <w:sz w:val="24"/>
          <w:szCs w:val="24"/>
        </w:rPr>
        <w:t xml:space="preserve">targeted </w:t>
      </w:r>
      <w:r w:rsidRPr="0065723C">
        <w:rPr>
          <w:sz w:val="24"/>
          <w:szCs w:val="24"/>
        </w:rPr>
        <w:t xml:space="preserve">stakeholders were consulted with the aim to understand </w:t>
      </w:r>
      <w:r w:rsidR="002C0C46" w:rsidRPr="0065723C">
        <w:rPr>
          <w:sz w:val="24"/>
          <w:szCs w:val="24"/>
        </w:rPr>
        <w:t xml:space="preserve">the social implications, costs and benefits of various ship anchorage </w:t>
      </w:r>
      <w:r w:rsidR="00D04336" w:rsidRPr="0065723C">
        <w:rPr>
          <w:sz w:val="24"/>
          <w:szCs w:val="24"/>
        </w:rPr>
        <w:t>management strategies.</w:t>
      </w:r>
      <w:r w:rsidR="003B73E0" w:rsidRPr="0065723C">
        <w:rPr>
          <w:sz w:val="24"/>
          <w:szCs w:val="24"/>
        </w:rPr>
        <w:t xml:space="preserve"> Consultation undertaken included a project specific CBA workshop and one-on-one interviews as described in the following sections.</w:t>
      </w:r>
    </w:p>
    <w:p w:rsidR="00417D2C" w:rsidRPr="0065723C" w:rsidRDefault="00813989" w:rsidP="00B13733">
      <w:pPr>
        <w:pStyle w:val="Body"/>
        <w:rPr>
          <w:sz w:val="24"/>
          <w:szCs w:val="24"/>
        </w:rPr>
      </w:pPr>
      <w:r w:rsidRPr="0065723C">
        <w:rPr>
          <w:sz w:val="24"/>
          <w:szCs w:val="24"/>
        </w:rPr>
        <w:t>C</w:t>
      </w:r>
      <w:r w:rsidR="00A42278" w:rsidRPr="0065723C">
        <w:rPr>
          <w:sz w:val="24"/>
          <w:szCs w:val="24"/>
        </w:rPr>
        <w:t>onsultation achieved within the scope of this study obtain</w:t>
      </w:r>
      <w:r w:rsidRPr="0065723C">
        <w:rPr>
          <w:sz w:val="24"/>
          <w:szCs w:val="24"/>
        </w:rPr>
        <w:t>ed</w:t>
      </w:r>
      <w:r w:rsidR="00A42278" w:rsidRPr="0065723C">
        <w:rPr>
          <w:sz w:val="24"/>
          <w:szCs w:val="24"/>
        </w:rPr>
        <w:t xml:space="preserve"> information </w:t>
      </w:r>
      <w:r w:rsidRPr="0065723C">
        <w:rPr>
          <w:sz w:val="24"/>
          <w:szCs w:val="24"/>
        </w:rPr>
        <w:t xml:space="preserve">from targeted stakeholders </w:t>
      </w:r>
      <w:r w:rsidR="00A42278" w:rsidRPr="0065723C">
        <w:rPr>
          <w:sz w:val="24"/>
          <w:szCs w:val="24"/>
        </w:rPr>
        <w:t xml:space="preserve">regarding impacts to non-shipping users of anchorage areas and relevance of different anchorage management options to industry. Consultation was achieved through </w:t>
      </w:r>
      <w:r w:rsidR="00EF50BC" w:rsidRPr="0065723C">
        <w:rPr>
          <w:sz w:val="24"/>
          <w:szCs w:val="24"/>
        </w:rPr>
        <w:t xml:space="preserve">one-on-one meetings and </w:t>
      </w:r>
      <w:r w:rsidR="00A42278" w:rsidRPr="0065723C">
        <w:rPr>
          <w:sz w:val="24"/>
          <w:szCs w:val="24"/>
        </w:rPr>
        <w:t xml:space="preserve">a workshop. Due to time constraints of the project, stakeholder consultation was </w:t>
      </w:r>
      <w:r w:rsidRPr="0065723C">
        <w:rPr>
          <w:sz w:val="24"/>
          <w:szCs w:val="24"/>
        </w:rPr>
        <w:t>targeted only.</w:t>
      </w:r>
      <w:r w:rsidR="00FA782B">
        <w:rPr>
          <w:sz w:val="24"/>
          <w:szCs w:val="24"/>
        </w:rPr>
        <w:t xml:space="preserve"> </w:t>
      </w:r>
      <w:r w:rsidR="00A42278" w:rsidRPr="0065723C">
        <w:rPr>
          <w:sz w:val="24"/>
          <w:szCs w:val="24"/>
        </w:rPr>
        <w:t>It is recognised that this study did not obtain information about the cultural values and issues of importance to Traditional Owners.</w:t>
      </w:r>
      <w:r w:rsidR="001E4BC8">
        <w:rPr>
          <w:sz w:val="24"/>
          <w:szCs w:val="24"/>
        </w:rPr>
        <w:t xml:space="preserve"> This knowledge gap is acknowledged.</w:t>
      </w:r>
      <w:r w:rsidR="00A42278" w:rsidRPr="0065723C">
        <w:rPr>
          <w:sz w:val="24"/>
          <w:szCs w:val="24"/>
        </w:rPr>
        <w:t xml:space="preserve"> Consultation data informed model parameters and selection of potential anchorage management options for application in the CBA model. </w:t>
      </w:r>
      <w:r w:rsidRPr="0065723C">
        <w:rPr>
          <w:sz w:val="24"/>
          <w:szCs w:val="24"/>
        </w:rPr>
        <w:t>The targeted s</w:t>
      </w:r>
      <w:r w:rsidR="00A42278" w:rsidRPr="0065723C">
        <w:rPr>
          <w:sz w:val="24"/>
          <w:szCs w:val="24"/>
        </w:rPr>
        <w:t>takeholders who participated in the interviews and/or the workshop are listed in</w:t>
      </w:r>
      <w:r w:rsidRPr="0065723C">
        <w:rPr>
          <w:sz w:val="24"/>
          <w:szCs w:val="24"/>
        </w:rPr>
        <w:t xml:space="preserve"> </w:t>
      </w:r>
      <w:r w:rsidR="00ED39F9" w:rsidRPr="0065723C">
        <w:rPr>
          <w:sz w:val="24"/>
          <w:szCs w:val="24"/>
        </w:rPr>
        <w:fldChar w:fldCharType="begin"/>
      </w:r>
      <w:r w:rsidR="00ED39F9" w:rsidRPr="0065723C">
        <w:rPr>
          <w:sz w:val="24"/>
          <w:szCs w:val="24"/>
        </w:rPr>
        <w:instrText xml:space="preserve"> REF  _Ref343175156 \* Lower \h  \* MERGEFORMAT </w:instrText>
      </w:r>
      <w:r w:rsidR="00ED39F9" w:rsidRPr="0065723C">
        <w:rPr>
          <w:sz w:val="24"/>
          <w:szCs w:val="24"/>
        </w:rPr>
      </w:r>
      <w:r w:rsidR="00ED39F9" w:rsidRPr="0065723C">
        <w:rPr>
          <w:sz w:val="24"/>
          <w:szCs w:val="24"/>
        </w:rPr>
        <w:fldChar w:fldCharType="separate"/>
      </w:r>
      <w:r w:rsidR="005F6E51" w:rsidRPr="0065723C">
        <w:rPr>
          <w:sz w:val="24"/>
          <w:szCs w:val="24"/>
        </w:rPr>
        <w:t xml:space="preserve">table </w:t>
      </w:r>
      <w:r w:rsidR="005F6E51">
        <w:rPr>
          <w:noProof/>
          <w:sz w:val="24"/>
          <w:szCs w:val="24"/>
        </w:rPr>
        <w:t>2</w:t>
      </w:r>
      <w:r w:rsidR="005F6E51" w:rsidRPr="0065723C">
        <w:rPr>
          <w:noProof/>
          <w:sz w:val="24"/>
          <w:szCs w:val="24"/>
        </w:rPr>
        <w:noBreakHyphen/>
      </w:r>
      <w:r w:rsidR="005F6E51">
        <w:rPr>
          <w:noProof/>
          <w:sz w:val="24"/>
          <w:szCs w:val="24"/>
        </w:rPr>
        <w:t>1</w:t>
      </w:r>
      <w:r w:rsidR="00ED39F9" w:rsidRPr="0065723C">
        <w:rPr>
          <w:sz w:val="24"/>
          <w:szCs w:val="24"/>
        </w:rPr>
        <w:fldChar w:fldCharType="end"/>
      </w:r>
      <w:r w:rsidRPr="0065723C">
        <w:rPr>
          <w:sz w:val="24"/>
          <w:szCs w:val="24"/>
        </w:rPr>
        <w:t>.</w:t>
      </w:r>
    </w:p>
    <w:p w:rsidR="003B73E0" w:rsidRPr="0065723C" w:rsidRDefault="003B73E0" w:rsidP="00417D2C">
      <w:pPr>
        <w:pStyle w:val="Body"/>
        <w:rPr>
          <w:sz w:val="24"/>
          <w:szCs w:val="24"/>
        </w:rPr>
      </w:pPr>
      <w:r w:rsidRPr="0065723C">
        <w:rPr>
          <w:sz w:val="24"/>
          <w:szCs w:val="24"/>
        </w:rPr>
        <w:t>Information obtained during the one-on-one consultations was used to qualify those elements of the CBA that cannot be costed. The CBA workshop was also used to inform appropriate anchorage management options/strategies and re-confirm earlier information supplied</w:t>
      </w:r>
      <w:r w:rsidR="00A748A4" w:rsidRPr="0065723C">
        <w:rPr>
          <w:sz w:val="24"/>
          <w:szCs w:val="24"/>
        </w:rPr>
        <w:t xml:space="preserve">. </w:t>
      </w:r>
      <w:r w:rsidRPr="0065723C">
        <w:rPr>
          <w:sz w:val="24"/>
          <w:szCs w:val="24"/>
        </w:rPr>
        <w:t xml:space="preserve">Results and findings from the consultations have been used throughout this report, however, the details of individuals have been withheld due </w:t>
      </w:r>
      <w:r w:rsidR="001614B6" w:rsidRPr="0065723C">
        <w:rPr>
          <w:sz w:val="24"/>
          <w:szCs w:val="24"/>
        </w:rPr>
        <w:t>to confidentiality agreements</w:t>
      </w:r>
      <w:r w:rsidRPr="0065723C">
        <w:rPr>
          <w:sz w:val="24"/>
          <w:szCs w:val="24"/>
        </w:rPr>
        <w:t xml:space="preserve">. </w:t>
      </w:r>
    </w:p>
    <w:p w:rsidR="00B13733" w:rsidRPr="0065723C" w:rsidRDefault="00B13733" w:rsidP="00CA6902">
      <w:pPr>
        <w:pStyle w:val="CaptionTable"/>
        <w:rPr>
          <w:sz w:val="24"/>
          <w:szCs w:val="24"/>
        </w:rPr>
      </w:pPr>
      <w:bookmarkStart w:id="37" w:name="_Ref343175156"/>
      <w:bookmarkStart w:id="38" w:name="_Toc343582062"/>
      <w:bookmarkStart w:id="39" w:name="_Toc362274358"/>
      <w:r w:rsidRPr="0065723C">
        <w:rPr>
          <w:sz w:val="24"/>
          <w:szCs w:val="24"/>
        </w:rPr>
        <w:lastRenderedPageBreak/>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2</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1</w:t>
      </w:r>
      <w:r w:rsidR="00542883">
        <w:rPr>
          <w:sz w:val="24"/>
          <w:szCs w:val="24"/>
        </w:rPr>
        <w:fldChar w:fldCharType="end"/>
      </w:r>
      <w:bookmarkEnd w:id="37"/>
      <w:r w:rsidR="0065723C">
        <w:rPr>
          <w:noProof/>
          <w:sz w:val="24"/>
          <w:szCs w:val="24"/>
        </w:rPr>
        <w:t>:</w:t>
      </w:r>
      <w:r w:rsidRPr="0065723C">
        <w:rPr>
          <w:sz w:val="24"/>
          <w:szCs w:val="24"/>
        </w:rPr>
        <w:t xml:space="preserve"> </w:t>
      </w:r>
      <w:r w:rsidRPr="0065723C">
        <w:rPr>
          <w:b w:val="0"/>
          <w:sz w:val="24"/>
          <w:szCs w:val="24"/>
        </w:rPr>
        <w:t>Overview of stakeholders identified for consultation and consulted for the CBA</w:t>
      </w:r>
      <w:bookmarkEnd w:id="38"/>
      <w:r w:rsidR="0065723C">
        <w:rPr>
          <w:b w:val="0"/>
          <w:sz w:val="24"/>
          <w:szCs w:val="24"/>
        </w:rPr>
        <w:t xml:space="preserve"> (</w:t>
      </w:r>
      <w:r w:rsidR="0065723C" w:rsidRPr="0065723C">
        <w:rPr>
          <w:b w:val="0"/>
          <w:sz w:val="24"/>
          <w:szCs w:val="24"/>
        </w:rPr>
        <w:t>* Feedback provided via Shipping Australia Limited</w:t>
      </w:r>
      <w:r w:rsidR="0065723C">
        <w:rPr>
          <w:b w:val="0"/>
          <w:sz w:val="24"/>
          <w:szCs w:val="24"/>
        </w:rPr>
        <w:t>)</w:t>
      </w:r>
      <w:bookmarkEnd w:id="39"/>
    </w:p>
    <w:tbl>
      <w:tblPr>
        <w:tblStyle w:val="TableGrid"/>
        <w:tblW w:w="5000"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firstRow="1" w:lastRow="0" w:firstColumn="1" w:lastColumn="0" w:noHBand="0" w:noVBand="1"/>
        <w:tblCaption w:val="Overview of stakeholders identified for consultation and consulted for the CBA "/>
        <w:tblDescription w:val="Overview of the stakeholders identified for consultation and consulted for the CBA, with columns representing the stakeholder and the consultation activities each stakeholder participated in."/>
      </w:tblPr>
      <w:tblGrid>
        <w:gridCol w:w="4390"/>
        <w:gridCol w:w="2409"/>
        <w:gridCol w:w="2204"/>
      </w:tblGrid>
      <w:tr w:rsidR="00B13733" w:rsidRPr="0065723C" w:rsidTr="002F30A9">
        <w:trPr>
          <w:tblHeader/>
        </w:trPr>
        <w:tc>
          <w:tcPr>
            <w:tcW w:w="4390" w:type="dxa"/>
            <w:vMerge w:val="restart"/>
            <w:tcBorders>
              <w:top w:val="single" w:sz="4" w:space="0" w:color="auto"/>
            </w:tcBorders>
            <w:shd w:val="clear" w:color="auto" w:fill="auto"/>
            <w:vAlign w:val="bottom"/>
          </w:tcPr>
          <w:p w:rsidR="00B13733" w:rsidRPr="0065723C" w:rsidRDefault="00B13733" w:rsidP="001554ED">
            <w:pPr>
              <w:pStyle w:val="TableHead"/>
              <w:rPr>
                <w:sz w:val="24"/>
                <w:szCs w:val="24"/>
              </w:rPr>
            </w:pPr>
            <w:r w:rsidRPr="0065723C">
              <w:rPr>
                <w:sz w:val="24"/>
                <w:szCs w:val="24"/>
              </w:rPr>
              <w:t>Stakeholders identified and invited</w:t>
            </w:r>
          </w:p>
        </w:tc>
        <w:tc>
          <w:tcPr>
            <w:tcW w:w="4613" w:type="dxa"/>
            <w:gridSpan w:val="2"/>
            <w:tcBorders>
              <w:top w:val="single" w:sz="4" w:space="0" w:color="auto"/>
            </w:tcBorders>
            <w:shd w:val="clear" w:color="auto" w:fill="auto"/>
          </w:tcPr>
          <w:p w:rsidR="00B13733" w:rsidRPr="0065723C" w:rsidRDefault="00B13733" w:rsidP="001554ED">
            <w:pPr>
              <w:pStyle w:val="TableHead"/>
              <w:jc w:val="center"/>
              <w:rPr>
                <w:sz w:val="24"/>
                <w:szCs w:val="24"/>
              </w:rPr>
            </w:pPr>
            <w:r w:rsidRPr="0065723C">
              <w:rPr>
                <w:sz w:val="24"/>
                <w:szCs w:val="24"/>
              </w:rPr>
              <w:t>Consultation activities</w:t>
            </w:r>
          </w:p>
        </w:tc>
      </w:tr>
      <w:tr w:rsidR="00B13733" w:rsidRPr="0065723C" w:rsidTr="002F30A9">
        <w:trPr>
          <w:tblHeader/>
        </w:trPr>
        <w:tc>
          <w:tcPr>
            <w:tcW w:w="4390" w:type="dxa"/>
            <w:vMerge/>
            <w:shd w:val="clear" w:color="auto" w:fill="auto"/>
          </w:tcPr>
          <w:p w:rsidR="00B13733" w:rsidRPr="0065723C" w:rsidRDefault="00B13733" w:rsidP="001554ED">
            <w:pPr>
              <w:pStyle w:val="TableHead"/>
              <w:rPr>
                <w:sz w:val="24"/>
                <w:szCs w:val="24"/>
              </w:rPr>
            </w:pPr>
          </w:p>
        </w:tc>
        <w:tc>
          <w:tcPr>
            <w:tcW w:w="2409" w:type="dxa"/>
            <w:shd w:val="clear" w:color="auto" w:fill="auto"/>
          </w:tcPr>
          <w:p w:rsidR="00B13733" w:rsidRPr="0065723C" w:rsidRDefault="002F45C6" w:rsidP="002F45C6">
            <w:pPr>
              <w:pStyle w:val="TableHead"/>
              <w:jc w:val="center"/>
              <w:rPr>
                <w:sz w:val="24"/>
                <w:szCs w:val="24"/>
              </w:rPr>
            </w:pPr>
            <w:r w:rsidRPr="0065723C">
              <w:rPr>
                <w:sz w:val="24"/>
                <w:szCs w:val="24"/>
              </w:rPr>
              <w:t>One-on-o</w:t>
            </w:r>
            <w:r w:rsidR="00B13733" w:rsidRPr="0065723C">
              <w:rPr>
                <w:sz w:val="24"/>
                <w:szCs w:val="24"/>
              </w:rPr>
              <w:t>ne consultations</w:t>
            </w:r>
          </w:p>
        </w:tc>
        <w:tc>
          <w:tcPr>
            <w:tcW w:w="2204" w:type="dxa"/>
            <w:shd w:val="clear" w:color="auto" w:fill="auto"/>
          </w:tcPr>
          <w:p w:rsidR="00B13733" w:rsidRPr="0065723C" w:rsidRDefault="00B13733" w:rsidP="001554ED">
            <w:pPr>
              <w:pStyle w:val="TableHead"/>
              <w:jc w:val="center"/>
              <w:rPr>
                <w:sz w:val="24"/>
                <w:szCs w:val="24"/>
              </w:rPr>
            </w:pPr>
            <w:r w:rsidRPr="0065723C">
              <w:rPr>
                <w:sz w:val="24"/>
                <w:szCs w:val="24"/>
              </w:rPr>
              <w:t>CBA workshop</w:t>
            </w:r>
          </w:p>
        </w:tc>
      </w:tr>
      <w:tr w:rsidR="00A54325" w:rsidRPr="0065723C" w:rsidTr="002F30A9">
        <w:tc>
          <w:tcPr>
            <w:tcW w:w="4390" w:type="dxa"/>
            <w:shd w:val="clear" w:color="auto" w:fill="auto"/>
          </w:tcPr>
          <w:p w:rsidR="00A54325" w:rsidRPr="0065723C" w:rsidRDefault="00A54325" w:rsidP="009930C8">
            <w:pPr>
              <w:pStyle w:val="TableBody"/>
              <w:rPr>
                <w:sz w:val="24"/>
                <w:szCs w:val="24"/>
              </w:rPr>
            </w:pPr>
            <w:r w:rsidRPr="0065723C">
              <w:rPr>
                <w:sz w:val="24"/>
                <w:szCs w:val="24"/>
              </w:rPr>
              <w:t>Association of Marine Park Tourism Operators</w:t>
            </w:r>
          </w:p>
        </w:tc>
        <w:tc>
          <w:tcPr>
            <w:tcW w:w="2409" w:type="dxa"/>
            <w:shd w:val="clear" w:color="auto" w:fill="auto"/>
          </w:tcPr>
          <w:p w:rsidR="00A54325" w:rsidRPr="0065723C" w:rsidRDefault="00AE1349" w:rsidP="00AE1349">
            <w:pPr>
              <w:pStyle w:val="TableBody"/>
              <w:ind w:left="360"/>
              <w:jc w:val="center"/>
              <w:rPr>
                <w:sz w:val="24"/>
                <w:szCs w:val="24"/>
              </w:rPr>
            </w:pPr>
            <w:r>
              <w:rPr>
                <w:rFonts w:ascii="Wingdings" w:hAnsi="Wingdings"/>
                <w:sz w:val="24"/>
                <w:szCs w:val="24"/>
                <w:highlight w:val="lightGray"/>
              </w:rPr>
              <w:sym w:font="Wingdings" w:char="F0FC"/>
            </w:r>
          </w:p>
        </w:tc>
        <w:tc>
          <w:tcPr>
            <w:tcW w:w="2204" w:type="dxa"/>
            <w:shd w:val="clear" w:color="auto" w:fill="auto"/>
          </w:tcPr>
          <w:p w:rsidR="00A54325" w:rsidRPr="0065723C" w:rsidRDefault="00AE1349" w:rsidP="00AE1349">
            <w:pPr>
              <w:pStyle w:val="TableBody"/>
              <w:ind w:left="360"/>
              <w:jc w:val="center"/>
              <w:rPr>
                <w:sz w:val="24"/>
                <w:szCs w:val="24"/>
              </w:rPr>
            </w:pPr>
            <w:r>
              <w:rPr>
                <w:rFonts w:ascii="Wingdings" w:hAnsi="Wingdings"/>
                <w:sz w:val="24"/>
                <w:szCs w:val="24"/>
                <w:highlight w:val="lightGray"/>
              </w:rPr>
              <w:sym w:font="Wingdings" w:char="F0FC"/>
            </w:r>
          </w:p>
        </w:tc>
      </w:tr>
      <w:tr w:rsidR="00B13733" w:rsidRPr="0065723C" w:rsidTr="002F30A9">
        <w:tc>
          <w:tcPr>
            <w:tcW w:w="4390" w:type="dxa"/>
            <w:shd w:val="clear" w:color="auto" w:fill="auto"/>
          </w:tcPr>
          <w:p w:rsidR="00B13733" w:rsidRPr="0065723C" w:rsidRDefault="00B13733" w:rsidP="001554ED">
            <w:pPr>
              <w:pStyle w:val="TableBody"/>
              <w:rPr>
                <w:sz w:val="24"/>
                <w:szCs w:val="24"/>
              </w:rPr>
            </w:pPr>
            <w:r w:rsidRPr="0065723C">
              <w:rPr>
                <w:sz w:val="24"/>
                <w:szCs w:val="24"/>
              </w:rPr>
              <w:t>Australian Maritime Safety Association</w:t>
            </w:r>
            <w:r w:rsidR="000E18FB" w:rsidRPr="0065723C">
              <w:rPr>
                <w:sz w:val="24"/>
                <w:szCs w:val="24"/>
              </w:rPr>
              <w:t xml:space="preserve"> (AMSA)</w:t>
            </w:r>
          </w:p>
        </w:tc>
        <w:tc>
          <w:tcPr>
            <w:tcW w:w="2409" w:type="dxa"/>
            <w:shd w:val="clear" w:color="auto" w:fill="auto"/>
          </w:tcPr>
          <w:p w:rsidR="00B13733" w:rsidRPr="0065723C" w:rsidRDefault="00B13733" w:rsidP="001554ED">
            <w:pPr>
              <w:pStyle w:val="TableBody"/>
              <w:jc w:val="center"/>
              <w:rPr>
                <w:sz w:val="24"/>
                <w:szCs w:val="24"/>
              </w:rPr>
            </w:pPr>
            <w:r w:rsidRPr="0065723C">
              <w:rPr>
                <w:sz w:val="24"/>
                <w:szCs w:val="24"/>
              </w:rPr>
              <w:t>-</w:t>
            </w:r>
          </w:p>
        </w:tc>
        <w:tc>
          <w:tcPr>
            <w:tcW w:w="2204" w:type="dxa"/>
            <w:shd w:val="clear" w:color="auto" w:fill="auto"/>
          </w:tcPr>
          <w:p w:rsidR="00B13733" w:rsidRPr="0065723C" w:rsidRDefault="00AE1349" w:rsidP="00AE1349">
            <w:pPr>
              <w:pStyle w:val="TableBody"/>
              <w:ind w:left="360"/>
              <w:jc w:val="center"/>
              <w:rPr>
                <w:sz w:val="24"/>
                <w:szCs w:val="24"/>
              </w:rPr>
            </w:pPr>
            <w:r>
              <w:rPr>
                <w:rFonts w:ascii="Wingdings" w:hAnsi="Wingdings"/>
                <w:sz w:val="24"/>
                <w:szCs w:val="24"/>
                <w:highlight w:val="lightGray"/>
              </w:rPr>
              <w:sym w:font="Wingdings" w:char="F0FC"/>
            </w:r>
          </w:p>
        </w:tc>
      </w:tr>
      <w:tr w:rsidR="000E18FB" w:rsidRPr="0065723C" w:rsidTr="002F30A9">
        <w:tc>
          <w:tcPr>
            <w:tcW w:w="4390" w:type="dxa"/>
            <w:shd w:val="clear" w:color="auto" w:fill="auto"/>
          </w:tcPr>
          <w:p w:rsidR="000E18FB" w:rsidRPr="0065723C" w:rsidRDefault="000E18FB" w:rsidP="008F2D6C">
            <w:pPr>
              <w:pStyle w:val="TableBody"/>
              <w:rPr>
                <w:sz w:val="24"/>
                <w:szCs w:val="24"/>
              </w:rPr>
            </w:pPr>
            <w:r w:rsidRPr="0065723C">
              <w:rPr>
                <w:sz w:val="24"/>
                <w:szCs w:val="24"/>
              </w:rPr>
              <w:t>Cairns Regional Council</w:t>
            </w:r>
          </w:p>
        </w:tc>
        <w:tc>
          <w:tcPr>
            <w:tcW w:w="2409" w:type="dxa"/>
            <w:shd w:val="clear" w:color="auto" w:fill="auto"/>
          </w:tcPr>
          <w:p w:rsidR="000E18FB" w:rsidRPr="0065723C" w:rsidRDefault="00114796" w:rsidP="008F2D6C">
            <w:pPr>
              <w:pStyle w:val="TableBody"/>
              <w:jc w:val="center"/>
              <w:rPr>
                <w:sz w:val="24"/>
                <w:szCs w:val="24"/>
              </w:rPr>
            </w:pPr>
            <w:r w:rsidRPr="0065723C">
              <w:rPr>
                <w:sz w:val="24"/>
                <w:szCs w:val="24"/>
              </w:rPr>
              <w:t>-</w:t>
            </w:r>
          </w:p>
        </w:tc>
        <w:tc>
          <w:tcPr>
            <w:tcW w:w="2204" w:type="dxa"/>
            <w:shd w:val="clear" w:color="auto" w:fill="auto"/>
          </w:tcPr>
          <w:p w:rsidR="000E18FB" w:rsidRPr="0065723C" w:rsidRDefault="000E18FB" w:rsidP="008F2D6C">
            <w:pPr>
              <w:pStyle w:val="TableBody"/>
              <w:jc w:val="center"/>
              <w:rPr>
                <w:sz w:val="24"/>
                <w:szCs w:val="24"/>
              </w:rPr>
            </w:pPr>
            <w:r w:rsidRPr="0065723C">
              <w:rPr>
                <w:sz w:val="24"/>
                <w:szCs w:val="24"/>
              </w:rPr>
              <w:t>-</w:t>
            </w:r>
          </w:p>
        </w:tc>
      </w:tr>
      <w:tr w:rsidR="003B1A86" w:rsidRPr="0065723C" w:rsidTr="002F30A9">
        <w:tc>
          <w:tcPr>
            <w:tcW w:w="4390" w:type="dxa"/>
            <w:shd w:val="clear" w:color="auto" w:fill="auto"/>
          </w:tcPr>
          <w:p w:rsidR="003B1A86" w:rsidRPr="0065723C" w:rsidRDefault="003B1A86" w:rsidP="00045C91">
            <w:pPr>
              <w:pStyle w:val="TableBody"/>
              <w:rPr>
                <w:sz w:val="24"/>
                <w:szCs w:val="24"/>
              </w:rPr>
            </w:pPr>
            <w:r w:rsidRPr="0065723C">
              <w:rPr>
                <w:sz w:val="24"/>
                <w:szCs w:val="24"/>
              </w:rPr>
              <w:t>Dalrymple Bay Coal Terminal and Integrated Supply Logistics Chain</w:t>
            </w:r>
          </w:p>
        </w:tc>
        <w:tc>
          <w:tcPr>
            <w:tcW w:w="2409" w:type="dxa"/>
            <w:shd w:val="clear" w:color="auto" w:fill="auto"/>
          </w:tcPr>
          <w:p w:rsidR="003B1A86" w:rsidRPr="0065723C" w:rsidRDefault="00AE1349" w:rsidP="00AE1349">
            <w:pPr>
              <w:pStyle w:val="TableBody"/>
              <w:ind w:left="360"/>
              <w:jc w:val="center"/>
              <w:rPr>
                <w:sz w:val="24"/>
                <w:szCs w:val="24"/>
              </w:rPr>
            </w:pPr>
            <w:r>
              <w:rPr>
                <w:rFonts w:ascii="Wingdings" w:hAnsi="Wingdings"/>
                <w:sz w:val="24"/>
                <w:szCs w:val="24"/>
                <w:highlight w:val="lightGray"/>
              </w:rPr>
              <w:sym w:font="Wingdings" w:char="F0FC"/>
            </w:r>
          </w:p>
        </w:tc>
        <w:tc>
          <w:tcPr>
            <w:tcW w:w="2204" w:type="dxa"/>
            <w:shd w:val="clear" w:color="auto" w:fill="auto"/>
          </w:tcPr>
          <w:p w:rsidR="003B1A86" w:rsidRPr="0065723C" w:rsidRDefault="003B1A86" w:rsidP="00045C91">
            <w:pPr>
              <w:pStyle w:val="TableBody"/>
              <w:jc w:val="center"/>
              <w:rPr>
                <w:sz w:val="24"/>
                <w:szCs w:val="24"/>
              </w:rPr>
            </w:pPr>
            <w:r w:rsidRPr="0065723C">
              <w:rPr>
                <w:sz w:val="24"/>
                <w:szCs w:val="24"/>
              </w:rPr>
              <w:t>-</w:t>
            </w:r>
          </w:p>
        </w:tc>
      </w:tr>
      <w:tr w:rsidR="00493D6B" w:rsidRPr="0065723C" w:rsidTr="002F30A9">
        <w:tc>
          <w:tcPr>
            <w:tcW w:w="4390" w:type="dxa"/>
            <w:shd w:val="clear" w:color="auto" w:fill="auto"/>
          </w:tcPr>
          <w:p w:rsidR="00493D6B" w:rsidRPr="0065723C" w:rsidRDefault="00493D6B" w:rsidP="00C13F4D">
            <w:pPr>
              <w:pStyle w:val="TableBody"/>
              <w:rPr>
                <w:sz w:val="24"/>
                <w:szCs w:val="24"/>
              </w:rPr>
            </w:pPr>
            <w:r w:rsidRPr="0065723C">
              <w:rPr>
                <w:sz w:val="24"/>
                <w:szCs w:val="24"/>
              </w:rPr>
              <w:t>Department of Agriculture, Fisheries and Forestry (Fisheries Queensland)</w:t>
            </w:r>
          </w:p>
        </w:tc>
        <w:tc>
          <w:tcPr>
            <w:tcW w:w="2409" w:type="dxa"/>
            <w:shd w:val="clear" w:color="auto" w:fill="auto"/>
          </w:tcPr>
          <w:p w:rsidR="00493D6B" w:rsidRPr="0065723C" w:rsidRDefault="00AE1349" w:rsidP="00AE1349">
            <w:pPr>
              <w:pStyle w:val="TableBody"/>
              <w:ind w:left="360"/>
              <w:jc w:val="center"/>
              <w:rPr>
                <w:sz w:val="24"/>
                <w:szCs w:val="24"/>
              </w:rPr>
            </w:pPr>
            <w:r>
              <w:rPr>
                <w:rFonts w:ascii="Wingdings" w:hAnsi="Wingdings"/>
                <w:sz w:val="24"/>
                <w:szCs w:val="24"/>
                <w:highlight w:val="lightGray"/>
              </w:rPr>
              <w:sym w:font="Wingdings" w:char="F0FC"/>
            </w:r>
          </w:p>
        </w:tc>
        <w:tc>
          <w:tcPr>
            <w:tcW w:w="2204" w:type="dxa"/>
            <w:shd w:val="clear" w:color="auto" w:fill="auto"/>
          </w:tcPr>
          <w:p w:rsidR="00493D6B" w:rsidRPr="0065723C" w:rsidRDefault="00AE1349" w:rsidP="00AE1349">
            <w:pPr>
              <w:pStyle w:val="TableBody"/>
              <w:ind w:left="360"/>
              <w:jc w:val="center"/>
              <w:rPr>
                <w:sz w:val="24"/>
                <w:szCs w:val="24"/>
              </w:rPr>
            </w:pPr>
            <w:r>
              <w:rPr>
                <w:rFonts w:ascii="Wingdings" w:hAnsi="Wingdings"/>
                <w:sz w:val="24"/>
                <w:szCs w:val="24"/>
                <w:highlight w:val="lightGray"/>
              </w:rPr>
              <w:sym w:font="Wingdings" w:char="F0FC"/>
            </w:r>
          </w:p>
        </w:tc>
      </w:tr>
      <w:tr w:rsidR="000E18FB" w:rsidRPr="0065723C" w:rsidTr="002F30A9">
        <w:tc>
          <w:tcPr>
            <w:tcW w:w="4390" w:type="dxa"/>
            <w:shd w:val="clear" w:color="auto" w:fill="auto"/>
          </w:tcPr>
          <w:p w:rsidR="000E18FB" w:rsidRPr="0065723C" w:rsidRDefault="000E18FB" w:rsidP="000E18FB">
            <w:pPr>
              <w:pStyle w:val="TableBody"/>
              <w:rPr>
                <w:sz w:val="24"/>
                <w:szCs w:val="24"/>
              </w:rPr>
            </w:pPr>
            <w:r w:rsidRPr="0065723C">
              <w:rPr>
                <w:sz w:val="24"/>
                <w:szCs w:val="24"/>
              </w:rPr>
              <w:t>Department of Sustainability, Environment, Water Population and Communities (DSEWPaC)</w:t>
            </w:r>
          </w:p>
        </w:tc>
        <w:tc>
          <w:tcPr>
            <w:tcW w:w="2409" w:type="dxa"/>
            <w:shd w:val="clear" w:color="auto" w:fill="auto"/>
          </w:tcPr>
          <w:p w:rsidR="000E18FB" w:rsidRPr="0065723C" w:rsidRDefault="000E18FB" w:rsidP="008F2D6C">
            <w:pPr>
              <w:pStyle w:val="TableBody"/>
              <w:jc w:val="center"/>
              <w:rPr>
                <w:sz w:val="24"/>
                <w:szCs w:val="24"/>
              </w:rPr>
            </w:pPr>
            <w:r w:rsidRPr="0065723C">
              <w:rPr>
                <w:sz w:val="24"/>
                <w:szCs w:val="24"/>
              </w:rPr>
              <w:t>-</w:t>
            </w:r>
          </w:p>
        </w:tc>
        <w:tc>
          <w:tcPr>
            <w:tcW w:w="2204" w:type="dxa"/>
            <w:shd w:val="clear" w:color="auto" w:fill="auto"/>
          </w:tcPr>
          <w:p w:rsidR="000E18FB" w:rsidRPr="0065723C" w:rsidRDefault="00AE1349" w:rsidP="00AE1349">
            <w:pPr>
              <w:pStyle w:val="TableBody"/>
              <w:ind w:left="360"/>
              <w:jc w:val="center"/>
              <w:rPr>
                <w:sz w:val="24"/>
                <w:szCs w:val="24"/>
              </w:rPr>
            </w:pPr>
            <w:r>
              <w:rPr>
                <w:rFonts w:ascii="Wingdings" w:hAnsi="Wingdings"/>
                <w:sz w:val="24"/>
                <w:szCs w:val="24"/>
                <w:highlight w:val="lightGray"/>
              </w:rPr>
              <w:sym w:font="Wingdings" w:char="F0FC"/>
            </w:r>
          </w:p>
        </w:tc>
      </w:tr>
      <w:tr w:rsidR="00493D6B" w:rsidRPr="0065723C" w:rsidTr="002F30A9">
        <w:tc>
          <w:tcPr>
            <w:tcW w:w="4390" w:type="dxa"/>
            <w:shd w:val="clear" w:color="auto" w:fill="auto"/>
          </w:tcPr>
          <w:p w:rsidR="00493D6B" w:rsidRPr="0065723C" w:rsidRDefault="00493D6B" w:rsidP="00C13F4D">
            <w:pPr>
              <w:pStyle w:val="TableBody"/>
              <w:rPr>
                <w:sz w:val="24"/>
                <w:szCs w:val="24"/>
              </w:rPr>
            </w:pPr>
            <w:r w:rsidRPr="0065723C">
              <w:rPr>
                <w:sz w:val="24"/>
                <w:szCs w:val="24"/>
              </w:rPr>
              <w:t>Department of Transport and Main Roads</w:t>
            </w:r>
          </w:p>
        </w:tc>
        <w:tc>
          <w:tcPr>
            <w:tcW w:w="2409" w:type="dxa"/>
            <w:shd w:val="clear" w:color="auto" w:fill="auto"/>
          </w:tcPr>
          <w:p w:rsidR="00493D6B" w:rsidRPr="0065723C" w:rsidRDefault="00493D6B" w:rsidP="00C13F4D">
            <w:pPr>
              <w:pStyle w:val="TableBody"/>
              <w:jc w:val="center"/>
              <w:rPr>
                <w:sz w:val="24"/>
                <w:szCs w:val="24"/>
              </w:rPr>
            </w:pPr>
            <w:r w:rsidRPr="0065723C">
              <w:rPr>
                <w:sz w:val="24"/>
                <w:szCs w:val="24"/>
              </w:rPr>
              <w:t>-</w:t>
            </w:r>
          </w:p>
        </w:tc>
        <w:tc>
          <w:tcPr>
            <w:tcW w:w="2204" w:type="dxa"/>
            <w:shd w:val="clear" w:color="auto" w:fill="auto"/>
          </w:tcPr>
          <w:p w:rsidR="00493D6B" w:rsidRPr="0065723C" w:rsidRDefault="00AE1349" w:rsidP="00AE1349">
            <w:pPr>
              <w:pStyle w:val="TableBody"/>
              <w:ind w:left="360"/>
              <w:jc w:val="center"/>
              <w:rPr>
                <w:sz w:val="24"/>
                <w:szCs w:val="24"/>
              </w:rPr>
            </w:pPr>
            <w:r>
              <w:rPr>
                <w:rFonts w:ascii="Wingdings" w:hAnsi="Wingdings"/>
                <w:sz w:val="24"/>
                <w:szCs w:val="24"/>
                <w:highlight w:val="lightGray"/>
              </w:rPr>
              <w:sym w:font="Wingdings" w:char="F0FC"/>
            </w:r>
          </w:p>
        </w:tc>
      </w:tr>
      <w:tr w:rsidR="000E18FB" w:rsidRPr="0065723C" w:rsidTr="002F30A9">
        <w:tc>
          <w:tcPr>
            <w:tcW w:w="4390" w:type="dxa"/>
            <w:shd w:val="clear" w:color="auto" w:fill="auto"/>
          </w:tcPr>
          <w:p w:rsidR="000E18FB" w:rsidRPr="0065723C" w:rsidRDefault="000E18FB" w:rsidP="008F2D6C">
            <w:pPr>
              <w:pStyle w:val="TableBody"/>
              <w:rPr>
                <w:sz w:val="24"/>
                <w:szCs w:val="24"/>
              </w:rPr>
            </w:pPr>
            <w:r w:rsidRPr="0065723C">
              <w:rPr>
                <w:sz w:val="24"/>
                <w:szCs w:val="24"/>
              </w:rPr>
              <w:t>Great Barrier Reef Marine Park Authority (GBRMPA)</w:t>
            </w:r>
          </w:p>
        </w:tc>
        <w:tc>
          <w:tcPr>
            <w:tcW w:w="2409" w:type="dxa"/>
            <w:shd w:val="clear" w:color="auto" w:fill="auto"/>
          </w:tcPr>
          <w:p w:rsidR="000E18FB" w:rsidRPr="0065723C" w:rsidRDefault="00AE1349" w:rsidP="00AE1349">
            <w:pPr>
              <w:pStyle w:val="TableBody"/>
              <w:ind w:left="360"/>
              <w:jc w:val="center"/>
              <w:rPr>
                <w:sz w:val="24"/>
                <w:szCs w:val="24"/>
              </w:rPr>
            </w:pPr>
            <w:r>
              <w:rPr>
                <w:rFonts w:ascii="Wingdings" w:hAnsi="Wingdings"/>
                <w:sz w:val="24"/>
                <w:szCs w:val="24"/>
                <w:highlight w:val="lightGray"/>
              </w:rPr>
              <w:sym w:font="Wingdings" w:char="F0FC"/>
            </w:r>
          </w:p>
        </w:tc>
        <w:tc>
          <w:tcPr>
            <w:tcW w:w="2204" w:type="dxa"/>
            <w:shd w:val="clear" w:color="auto" w:fill="auto"/>
          </w:tcPr>
          <w:p w:rsidR="000E18FB" w:rsidRPr="0065723C" w:rsidRDefault="00AE1349" w:rsidP="00AE1349">
            <w:pPr>
              <w:pStyle w:val="TableBody"/>
              <w:ind w:left="360"/>
              <w:jc w:val="center"/>
              <w:rPr>
                <w:sz w:val="24"/>
                <w:szCs w:val="24"/>
              </w:rPr>
            </w:pPr>
            <w:r>
              <w:rPr>
                <w:rFonts w:ascii="Wingdings" w:hAnsi="Wingdings"/>
                <w:sz w:val="24"/>
                <w:szCs w:val="24"/>
                <w:highlight w:val="lightGray"/>
              </w:rPr>
              <w:sym w:font="Wingdings" w:char="F0FC"/>
            </w:r>
          </w:p>
        </w:tc>
      </w:tr>
      <w:tr w:rsidR="000E18FB" w:rsidRPr="0065723C" w:rsidTr="002F30A9">
        <w:tc>
          <w:tcPr>
            <w:tcW w:w="4390" w:type="dxa"/>
            <w:shd w:val="clear" w:color="auto" w:fill="auto"/>
          </w:tcPr>
          <w:p w:rsidR="000E18FB" w:rsidRPr="0065723C" w:rsidRDefault="000E18FB" w:rsidP="008F2D6C">
            <w:pPr>
              <w:pStyle w:val="TableBody"/>
              <w:rPr>
                <w:sz w:val="24"/>
                <w:szCs w:val="24"/>
              </w:rPr>
            </w:pPr>
            <w:r w:rsidRPr="0065723C">
              <w:rPr>
                <w:sz w:val="24"/>
                <w:szCs w:val="24"/>
              </w:rPr>
              <w:t>Gladstone Ports Corporation</w:t>
            </w:r>
            <w:r w:rsidR="006F71E1" w:rsidRPr="0065723C">
              <w:rPr>
                <w:sz w:val="24"/>
                <w:szCs w:val="24"/>
              </w:rPr>
              <w:t xml:space="preserve"> Limited (GPCL)</w:t>
            </w:r>
          </w:p>
        </w:tc>
        <w:tc>
          <w:tcPr>
            <w:tcW w:w="2409" w:type="dxa"/>
            <w:shd w:val="clear" w:color="auto" w:fill="auto"/>
          </w:tcPr>
          <w:p w:rsidR="000E18FB" w:rsidRPr="0065723C" w:rsidRDefault="000E18FB" w:rsidP="008F2D6C">
            <w:pPr>
              <w:pStyle w:val="TableBody"/>
              <w:jc w:val="center"/>
              <w:rPr>
                <w:sz w:val="24"/>
                <w:szCs w:val="24"/>
              </w:rPr>
            </w:pPr>
            <w:r w:rsidRPr="0065723C">
              <w:rPr>
                <w:sz w:val="24"/>
                <w:szCs w:val="24"/>
              </w:rPr>
              <w:t>-</w:t>
            </w:r>
          </w:p>
        </w:tc>
        <w:tc>
          <w:tcPr>
            <w:tcW w:w="2204" w:type="dxa"/>
            <w:shd w:val="clear" w:color="auto" w:fill="auto"/>
          </w:tcPr>
          <w:p w:rsidR="000E18FB" w:rsidRPr="0065723C" w:rsidRDefault="00114796" w:rsidP="009E55AC">
            <w:pPr>
              <w:pStyle w:val="TableBody"/>
              <w:jc w:val="center"/>
              <w:rPr>
                <w:sz w:val="24"/>
                <w:szCs w:val="24"/>
              </w:rPr>
            </w:pPr>
            <w:r w:rsidRPr="0065723C">
              <w:rPr>
                <w:sz w:val="24"/>
                <w:szCs w:val="24"/>
              </w:rPr>
              <w:t>-</w:t>
            </w:r>
          </w:p>
        </w:tc>
      </w:tr>
      <w:tr w:rsidR="008F2D6C" w:rsidRPr="0065723C" w:rsidTr="002F30A9">
        <w:tc>
          <w:tcPr>
            <w:tcW w:w="4390" w:type="dxa"/>
            <w:shd w:val="clear" w:color="auto" w:fill="auto"/>
          </w:tcPr>
          <w:p w:rsidR="008F2D6C" w:rsidRPr="0065723C" w:rsidRDefault="008F2D6C" w:rsidP="008F2D6C">
            <w:pPr>
              <w:pStyle w:val="TableBody"/>
              <w:rPr>
                <w:sz w:val="24"/>
                <w:szCs w:val="24"/>
              </w:rPr>
            </w:pPr>
            <w:r w:rsidRPr="0065723C">
              <w:rPr>
                <w:sz w:val="24"/>
                <w:szCs w:val="24"/>
              </w:rPr>
              <w:t>Gladstone Regional Council</w:t>
            </w:r>
          </w:p>
        </w:tc>
        <w:tc>
          <w:tcPr>
            <w:tcW w:w="2409" w:type="dxa"/>
            <w:shd w:val="clear" w:color="auto" w:fill="auto"/>
          </w:tcPr>
          <w:p w:rsidR="008F2D6C" w:rsidRPr="0065723C" w:rsidRDefault="00AE1349" w:rsidP="00AE1349">
            <w:pPr>
              <w:pStyle w:val="TableBody"/>
              <w:ind w:left="360"/>
              <w:jc w:val="center"/>
              <w:rPr>
                <w:sz w:val="24"/>
                <w:szCs w:val="24"/>
              </w:rPr>
            </w:pPr>
            <w:r>
              <w:rPr>
                <w:rFonts w:ascii="Wingdings" w:hAnsi="Wingdings"/>
                <w:sz w:val="24"/>
                <w:szCs w:val="24"/>
                <w:highlight w:val="lightGray"/>
              </w:rPr>
              <w:sym w:font="Wingdings" w:char="F0FC"/>
            </w:r>
          </w:p>
        </w:tc>
        <w:tc>
          <w:tcPr>
            <w:tcW w:w="2204" w:type="dxa"/>
            <w:shd w:val="clear" w:color="auto" w:fill="auto"/>
          </w:tcPr>
          <w:p w:rsidR="008F2D6C" w:rsidRPr="0065723C" w:rsidRDefault="008F2D6C" w:rsidP="008F2D6C">
            <w:pPr>
              <w:pStyle w:val="TableBody"/>
              <w:jc w:val="center"/>
              <w:rPr>
                <w:sz w:val="24"/>
                <w:szCs w:val="24"/>
              </w:rPr>
            </w:pPr>
            <w:r w:rsidRPr="0065723C">
              <w:rPr>
                <w:sz w:val="24"/>
                <w:szCs w:val="24"/>
              </w:rPr>
              <w:t>-</w:t>
            </w:r>
          </w:p>
        </w:tc>
      </w:tr>
      <w:tr w:rsidR="00F2358A" w:rsidRPr="0065723C" w:rsidTr="002F30A9">
        <w:tc>
          <w:tcPr>
            <w:tcW w:w="4390" w:type="dxa"/>
            <w:shd w:val="clear" w:color="auto" w:fill="auto"/>
          </w:tcPr>
          <w:p w:rsidR="00F2358A" w:rsidRPr="0065723C" w:rsidRDefault="00F2358A" w:rsidP="00C13F4D">
            <w:pPr>
              <w:pStyle w:val="TableBody"/>
              <w:rPr>
                <w:sz w:val="24"/>
                <w:szCs w:val="24"/>
              </w:rPr>
            </w:pPr>
            <w:r w:rsidRPr="0065723C">
              <w:rPr>
                <w:sz w:val="24"/>
                <w:szCs w:val="24"/>
              </w:rPr>
              <w:t>Mackay Regional Council</w:t>
            </w:r>
          </w:p>
        </w:tc>
        <w:tc>
          <w:tcPr>
            <w:tcW w:w="2409" w:type="dxa"/>
            <w:shd w:val="clear" w:color="auto" w:fill="auto"/>
          </w:tcPr>
          <w:p w:rsidR="00F2358A" w:rsidRPr="0065723C" w:rsidRDefault="00114796" w:rsidP="009E55AC">
            <w:pPr>
              <w:pStyle w:val="TableBody"/>
              <w:jc w:val="center"/>
              <w:rPr>
                <w:sz w:val="24"/>
                <w:szCs w:val="24"/>
              </w:rPr>
            </w:pPr>
            <w:r w:rsidRPr="0065723C">
              <w:rPr>
                <w:sz w:val="24"/>
                <w:szCs w:val="24"/>
              </w:rPr>
              <w:t>-</w:t>
            </w:r>
          </w:p>
        </w:tc>
        <w:tc>
          <w:tcPr>
            <w:tcW w:w="2204" w:type="dxa"/>
            <w:shd w:val="clear" w:color="auto" w:fill="auto"/>
          </w:tcPr>
          <w:p w:rsidR="00F2358A" w:rsidRPr="0065723C" w:rsidRDefault="00F2358A" w:rsidP="00C13F4D">
            <w:pPr>
              <w:pStyle w:val="TableBody"/>
              <w:jc w:val="center"/>
              <w:rPr>
                <w:sz w:val="24"/>
                <w:szCs w:val="24"/>
              </w:rPr>
            </w:pPr>
            <w:r w:rsidRPr="0065723C">
              <w:rPr>
                <w:sz w:val="24"/>
                <w:szCs w:val="24"/>
              </w:rPr>
              <w:t>-</w:t>
            </w:r>
          </w:p>
        </w:tc>
      </w:tr>
      <w:tr w:rsidR="00B13733" w:rsidRPr="0065723C" w:rsidTr="002F30A9">
        <w:tc>
          <w:tcPr>
            <w:tcW w:w="4390" w:type="dxa"/>
            <w:shd w:val="clear" w:color="auto" w:fill="auto"/>
          </w:tcPr>
          <w:p w:rsidR="00B13733" w:rsidRPr="0065723C" w:rsidRDefault="00B13733" w:rsidP="001554ED">
            <w:pPr>
              <w:pStyle w:val="TableBody"/>
              <w:rPr>
                <w:sz w:val="24"/>
                <w:szCs w:val="24"/>
              </w:rPr>
            </w:pPr>
            <w:r w:rsidRPr="0065723C">
              <w:rPr>
                <w:sz w:val="24"/>
                <w:szCs w:val="24"/>
              </w:rPr>
              <w:t>Maritime Safety Queensland</w:t>
            </w:r>
            <w:r w:rsidR="006F71E1" w:rsidRPr="0065723C">
              <w:rPr>
                <w:sz w:val="24"/>
                <w:szCs w:val="24"/>
              </w:rPr>
              <w:t xml:space="preserve"> (MSQ)</w:t>
            </w:r>
          </w:p>
        </w:tc>
        <w:tc>
          <w:tcPr>
            <w:tcW w:w="2409" w:type="dxa"/>
            <w:shd w:val="clear" w:color="auto" w:fill="auto"/>
          </w:tcPr>
          <w:p w:rsidR="00B13733" w:rsidRPr="0065723C" w:rsidRDefault="00B13733" w:rsidP="001554ED">
            <w:pPr>
              <w:pStyle w:val="TableBody"/>
              <w:jc w:val="center"/>
              <w:rPr>
                <w:sz w:val="24"/>
                <w:szCs w:val="24"/>
              </w:rPr>
            </w:pPr>
            <w:r w:rsidRPr="0065723C">
              <w:rPr>
                <w:sz w:val="24"/>
                <w:szCs w:val="24"/>
              </w:rPr>
              <w:t>-</w:t>
            </w:r>
          </w:p>
        </w:tc>
        <w:tc>
          <w:tcPr>
            <w:tcW w:w="2204" w:type="dxa"/>
            <w:shd w:val="clear" w:color="auto" w:fill="auto"/>
          </w:tcPr>
          <w:p w:rsidR="00B13733" w:rsidRPr="0065723C" w:rsidRDefault="00AE1349" w:rsidP="00AE1349">
            <w:pPr>
              <w:pStyle w:val="TableBody"/>
              <w:ind w:left="360"/>
              <w:jc w:val="center"/>
              <w:rPr>
                <w:sz w:val="24"/>
                <w:szCs w:val="24"/>
              </w:rPr>
            </w:pPr>
            <w:r>
              <w:rPr>
                <w:rFonts w:ascii="Wingdings" w:hAnsi="Wingdings"/>
                <w:sz w:val="24"/>
                <w:szCs w:val="24"/>
                <w:highlight w:val="lightGray"/>
              </w:rPr>
              <w:sym w:font="Wingdings" w:char="F0FC"/>
            </w:r>
          </w:p>
        </w:tc>
      </w:tr>
      <w:tr w:rsidR="00F2358A" w:rsidRPr="0065723C" w:rsidTr="002F30A9">
        <w:tc>
          <w:tcPr>
            <w:tcW w:w="4390" w:type="dxa"/>
            <w:shd w:val="clear" w:color="auto" w:fill="auto"/>
          </w:tcPr>
          <w:p w:rsidR="00F2358A" w:rsidRPr="0065723C" w:rsidRDefault="00F2358A" w:rsidP="00C13F4D">
            <w:pPr>
              <w:pStyle w:val="TableBody"/>
              <w:rPr>
                <w:sz w:val="24"/>
                <w:szCs w:val="24"/>
              </w:rPr>
            </w:pPr>
            <w:r w:rsidRPr="0065723C">
              <w:rPr>
                <w:sz w:val="24"/>
                <w:szCs w:val="24"/>
              </w:rPr>
              <w:t>Northern Queensland Bulk Ports</w:t>
            </w:r>
            <w:r w:rsidR="006F71E1" w:rsidRPr="0065723C">
              <w:rPr>
                <w:sz w:val="24"/>
                <w:szCs w:val="24"/>
              </w:rPr>
              <w:t xml:space="preserve"> (NQBP)</w:t>
            </w:r>
          </w:p>
        </w:tc>
        <w:tc>
          <w:tcPr>
            <w:tcW w:w="2409" w:type="dxa"/>
            <w:shd w:val="clear" w:color="auto" w:fill="auto"/>
          </w:tcPr>
          <w:p w:rsidR="00F2358A" w:rsidRPr="0065723C" w:rsidRDefault="00F2358A" w:rsidP="00C13F4D">
            <w:pPr>
              <w:pStyle w:val="TableBody"/>
              <w:jc w:val="center"/>
              <w:rPr>
                <w:sz w:val="24"/>
                <w:szCs w:val="24"/>
              </w:rPr>
            </w:pPr>
            <w:r w:rsidRPr="0065723C">
              <w:rPr>
                <w:sz w:val="24"/>
                <w:szCs w:val="24"/>
              </w:rPr>
              <w:t>-</w:t>
            </w:r>
          </w:p>
        </w:tc>
        <w:tc>
          <w:tcPr>
            <w:tcW w:w="2204" w:type="dxa"/>
            <w:shd w:val="clear" w:color="auto" w:fill="auto"/>
          </w:tcPr>
          <w:p w:rsidR="00F2358A" w:rsidRPr="0065723C" w:rsidRDefault="00AE1349" w:rsidP="00AE1349">
            <w:pPr>
              <w:pStyle w:val="TableBody"/>
              <w:ind w:left="360"/>
              <w:jc w:val="center"/>
              <w:rPr>
                <w:sz w:val="24"/>
                <w:szCs w:val="24"/>
              </w:rPr>
            </w:pPr>
            <w:r>
              <w:rPr>
                <w:rFonts w:ascii="Wingdings" w:hAnsi="Wingdings"/>
                <w:sz w:val="24"/>
                <w:szCs w:val="24"/>
                <w:highlight w:val="lightGray"/>
              </w:rPr>
              <w:sym w:font="Wingdings" w:char="F0FC"/>
            </w:r>
          </w:p>
        </w:tc>
      </w:tr>
      <w:tr w:rsidR="00F2358A" w:rsidRPr="0065723C" w:rsidTr="002F30A9">
        <w:tc>
          <w:tcPr>
            <w:tcW w:w="4390" w:type="dxa"/>
            <w:shd w:val="clear" w:color="auto" w:fill="auto"/>
          </w:tcPr>
          <w:p w:rsidR="00F2358A" w:rsidRPr="0065723C" w:rsidRDefault="00F2358A" w:rsidP="00C13F4D">
            <w:pPr>
              <w:pStyle w:val="TableBody"/>
              <w:rPr>
                <w:sz w:val="24"/>
                <w:szCs w:val="24"/>
              </w:rPr>
            </w:pPr>
            <w:r w:rsidRPr="0065723C">
              <w:rPr>
                <w:sz w:val="24"/>
                <w:szCs w:val="24"/>
              </w:rPr>
              <w:t>Ports North</w:t>
            </w:r>
          </w:p>
        </w:tc>
        <w:tc>
          <w:tcPr>
            <w:tcW w:w="2409" w:type="dxa"/>
            <w:shd w:val="clear" w:color="auto" w:fill="auto"/>
          </w:tcPr>
          <w:p w:rsidR="00F2358A" w:rsidRPr="0065723C" w:rsidRDefault="00F2358A" w:rsidP="00C13F4D">
            <w:pPr>
              <w:pStyle w:val="TableBody"/>
              <w:jc w:val="center"/>
              <w:rPr>
                <w:sz w:val="24"/>
                <w:szCs w:val="24"/>
              </w:rPr>
            </w:pPr>
            <w:r w:rsidRPr="0065723C">
              <w:rPr>
                <w:sz w:val="24"/>
                <w:szCs w:val="24"/>
              </w:rPr>
              <w:t>-</w:t>
            </w:r>
          </w:p>
        </w:tc>
        <w:tc>
          <w:tcPr>
            <w:tcW w:w="2204" w:type="dxa"/>
            <w:shd w:val="clear" w:color="auto" w:fill="auto"/>
          </w:tcPr>
          <w:p w:rsidR="00F2358A" w:rsidRPr="0065723C" w:rsidRDefault="00114796" w:rsidP="00C13F4D">
            <w:pPr>
              <w:pStyle w:val="TableBody"/>
              <w:jc w:val="center"/>
              <w:rPr>
                <w:sz w:val="24"/>
                <w:szCs w:val="24"/>
              </w:rPr>
            </w:pPr>
            <w:r w:rsidRPr="0065723C">
              <w:rPr>
                <w:sz w:val="24"/>
                <w:szCs w:val="24"/>
              </w:rPr>
              <w:t>-</w:t>
            </w:r>
          </w:p>
        </w:tc>
      </w:tr>
      <w:tr w:rsidR="00F2358A" w:rsidRPr="0065723C" w:rsidTr="002F30A9">
        <w:tc>
          <w:tcPr>
            <w:tcW w:w="4390" w:type="dxa"/>
            <w:shd w:val="clear" w:color="auto" w:fill="auto"/>
          </w:tcPr>
          <w:p w:rsidR="00F2358A" w:rsidRPr="0065723C" w:rsidRDefault="00F2358A" w:rsidP="00C13F4D">
            <w:pPr>
              <w:pStyle w:val="TableBody"/>
              <w:rPr>
                <w:sz w:val="24"/>
                <w:szCs w:val="24"/>
              </w:rPr>
            </w:pPr>
            <w:r w:rsidRPr="0065723C">
              <w:rPr>
                <w:sz w:val="24"/>
                <w:szCs w:val="24"/>
              </w:rPr>
              <w:t>Port of Townsville</w:t>
            </w:r>
          </w:p>
        </w:tc>
        <w:tc>
          <w:tcPr>
            <w:tcW w:w="2409" w:type="dxa"/>
            <w:shd w:val="clear" w:color="auto" w:fill="auto"/>
          </w:tcPr>
          <w:p w:rsidR="00F2358A" w:rsidRPr="0065723C" w:rsidRDefault="00F2358A" w:rsidP="00C13F4D">
            <w:pPr>
              <w:pStyle w:val="TableBody"/>
              <w:jc w:val="center"/>
              <w:rPr>
                <w:sz w:val="24"/>
                <w:szCs w:val="24"/>
              </w:rPr>
            </w:pPr>
            <w:r w:rsidRPr="0065723C">
              <w:rPr>
                <w:sz w:val="24"/>
                <w:szCs w:val="24"/>
              </w:rPr>
              <w:t>-</w:t>
            </w:r>
          </w:p>
        </w:tc>
        <w:tc>
          <w:tcPr>
            <w:tcW w:w="2204" w:type="dxa"/>
            <w:shd w:val="clear" w:color="auto" w:fill="auto"/>
          </w:tcPr>
          <w:p w:rsidR="00F2358A" w:rsidRPr="0065723C" w:rsidRDefault="00114796" w:rsidP="00C13F4D">
            <w:pPr>
              <w:pStyle w:val="TableBody"/>
              <w:jc w:val="center"/>
              <w:rPr>
                <w:sz w:val="24"/>
                <w:szCs w:val="24"/>
              </w:rPr>
            </w:pPr>
            <w:r w:rsidRPr="0065723C">
              <w:rPr>
                <w:sz w:val="24"/>
                <w:szCs w:val="24"/>
              </w:rPr>
              <w:t>-</w:t>
            </w:r>
          </w:p>
        </w:tc>
      </w:tr>
      <w:tr w:rsidR="00F2358A" w:rsidRPr="0065723C" w:rsidTr="002F30A9">
        <w:tc>
          <w:tcPr>
            <w:tcW w:w="4390" w:type="dxa"/>
            <w:shd w:val="clear" w:color="auto" w:fill="auto"/>
          </w:tcPr>
          <w:p w:rsidR="00F2358A" w:rsidRPr="0065723C" w:rsidRDefault="00F2358A" w:rsidP="00C13F4D">
            <w:pPr>
              <w:pStyle w:val="TableBody"/>
              <w:rPr>
                <w:sz w:val="24"/>
                <w:szCs w:val="24"/>
              </w:rPr>
            </w:pPr>
            <w:r w:rsidRPr="0065723C">
              <w:rPr>
                <w:sz w:val="24"/>
                <w:szCs w:val="24"/>
              </w:rPr>
              <w:t>Queensland Sea Food Industry Association</w:t>
            </w:r>
          </w:p>
        </w:tc>
        <w:tc>
          <w:tcPr>
            <w:tcW w:w="2409" w:type="dxa"/>
            <w:shd w:val="clear" w:color="auto" w:fill="auto"/>
          </w:tcPr>
          <w:p w:rsidR="00F2358A" w:rsidRPr="0065723C" w:rsidRDefault="00AE1349" w:rsidP="00AE1349">
            <w:pPr>
              <w:pStyle w:val="TableBody"/>
              <w:ind w:left="360"/>
              <w:jc w:val="center"/>
              <w:rPr>
                <w:sz w:val="24"/>
                <w:szCs w:val="24"/>
              </w:rPr>
            </w:pPr>
            <w:r>
              <w:rPr>
                <w:rFonts w:ascii="Wingdings" w:hAnsi="Wingdings"/>
                <w:sz w:val="24"/>
                <w:szCs w:val="24"/>
                <w:highlight w:val="lightGray"/>
              </w:rPr>
              <w:sym w:font="Wingdings" w:char="F0FC"/>
            </w:r>
          </w:p>
        </w:tc>
        <w:tc>
          <w:tcPr>
            <w:tcW w:w="2204" w:type="dxa"/>
            <w:shd w:val="clear" w:color="auto" w:fill="auto"/>
          </w:tcPr>
          <w:p w:rsidR="00F2358A" w:rsidRPr="0065723C" w:rsidRDefault="00114796" w:rsidP="00C13F4D">
            <w:pPr>
              <w:pStyle w:val="TableBody"/>
              <w:jc w:val="center"/>
              <w:rPr>
                <w:sz w:val="24"/>
                <w:szCs w:val="24"/>
              </w:rPr>
            </w:pPr>
            <w:r w:rsidRPr="0065723C">
              <w:rPr>
                <w:sz w:val="24"/>
                <w:szCs w:val="24"/>
              </w:rPr>
              <w:t>-</w:t>
            </w:r>
          </w:p>
        </w:tc>
      </w:tr>
      <w:tr w:rsidR="00F67758" w:rsidRPr="0065723C" w:rsidTr="002F30A9">
        <w:tc>
          <w:tcPr>
            <w:tcW w:w="4390" w:type="dxa"/>
            <w:shd w:val="clear" w:color="auto" w:fill="auto"/>
          </w:tcPr>
          <w:p w:rsidR="00F67758" w:rsidRPr="0065723C" w:rsidRDefault="00F67758" w:rsidP="00F67758">
            <w:pPr>
              <w:pStyle w:val="TableBody"/>
              <w:rPr>
                <w:sz w:val="24"/>
                <w:szCs w:val="24"/>
              </w:rPr>
            </w:pPr>
            <w:r w:rsidRPr="0065723C">
              <w:rPr>
                <w:sz w:val="24"/>
                <w:szCs w:val="24"/>
              </w:rPr>
              <w:t>Shipping Australia Limited</w:t>
            </w:r>
          </w:p>
        </w:tc>
        <w:tc>
          <w:tcPr>
            <w:tcW w:w="2409" w:type="dxa"/>
            <w:shd w:val="clear" w:color="auto" w:fill="auto"/>
          </w:tcPr>
          <w:p w:rsidR="00F67758" w:rsidRPr="0065723C" w:rsidRDefault="00AE1349" w:rsidP="00AE1349">
            <w:pPr>
              <w:pStyle w:val="TableBody"/>
              <w:ind w:left="360"/>
              <w:jc w:val="center"/>
              <w:rPr>
                <w:sz w:val="24"/>
                <w:szCs w:val="24"/>
              </w:rPr>
            </w:pPr>
            <w:r>
              <w:rPr>
                <w:rFonts w:ascii="Wingdings" w:hAnsi="Wingdings"/>
                <w:sz w:val="24"/>
                <w:szCs w:val="24"/>
                <w:highlight w:val="lightGray"/>
              </w:rPr>
              <w:sym w:font="Wingdings" w:char="F0FC"/>
            </w:r>
          </w:p>
        </w:tc>
        <w:tc>
          <w:tcPr>
            <w:tcW w:w="2204" w:type="dxa"/>
            <w:shd w:val="clear" w:color="auto" w:fill="auto"/>
          </w:tcPr>
          <w:p w:rsidR="00F67758" w:rsidRPr="0065723C" w:rsidRDefault="00114796" w:rsidP="00F67758">
            <w:pPr>
              <w:pStyle w:val="TableBody"/>
              <w:jc w:val="center"/>
              <w:rPr>
                <w:sz w:val="24"/>
                <w:szCs w:val="24"/>
              </w:rPr>
            </w:pPr>
            <w:r w:rsidRPr="0065723C">
              <w:rPr>
                <w:sz w:val="24"/>
                <w:szCs w:val="24"/>
              </w:rPr>
              <w:t>-</w:t>
            </w:r>
          </w:p>
        </w:tc>
      </w:tr>
      <w:tr w:rsidR="00493D6B" w:rsidRPr="0065723C" w:rsidTr="002F30A9">
        <w:tc>
          <w:tcPr>
            <w:tcW w:w="4390" w:type="dxa"/>
            <w:shd w:val="clear" w:color="auto" w:fill="auto"/>
          </w:tcPr>
          <w:p w:rsidR="00493D6B" w:rsidRPr="0065723C" w:rsidRDefault="00493D6B" w:rsidP="00C13F4D">
            <w:pPr>
              <w:pStyle w:val="TableBody"/>
              <w:rPr>
                <w:sz w:val="24"/>
                <w:szCs w:val="24"/>
              </w:rPr>
            </w:pPr>
            <w:r w:rsidRPr="0065723C">
              <w:rPr>
                <w:sz w:val="24"/>
                <w:szCs w:val="24"/>
              </w:rPr>
              <w:t>Sunfish Queensland</w:t>
            </w:r>
          </w:p>
        </w:tc>
        <w:tc>
          <w:tcPr>
            <w:tcW w:w="2409" w:type="dxa"/>
            <w:shd w:val="clear" w:color="auto" w:fill="auto"/>
          </w:tcPr>
          <w:p w:rsidR="00493D6B" w:rsidRPr="0065723C" w:rsidRDefault="00AE1349" w:rsidP="00AE1349">
            <w:pPr>
              <w:pStyle w:val="TableBody"/>
              <w:ind w:left="360"/>
              <w:jc w:val="center"/>
              <w:rPr>
                <w:sz w:val="24"/>
                <w:szCs w:val="24"/>
              </w:rPr>
            </w:pPr>
            <w:r>
              <w:rPr>
                <w:rFonts w:ascii="Wingdings" w:hAnsi="Wingdings"/>
                <w:sz w:val="24"/>
                <w:szCs w:val="24"/>
                <w:highlight w:val="lightGray"/>
              </w:rPr>
              <w:sym w:font="Wingdings" w:char="F0FC"/>
            </w:r>
          </w:p>
        </w:tc>
        <w:tc>
          <w:tcPr>
            <w:tcW w:w="2204" w:type="dxa"/>
            <w:shd w:val="clear" w:color="auto" w:fill="auto"/>
          </w:tcPr>
          <w:p w:rsidR="00493D6B" w:rsidRPr="0065723C" w:rsidRDefault="00114796" w:rsidP="00C13F4D">
            <w:pPr>
              <w:pStyle w:val="TableBody"/>
              <w:jc w:val="center"/>
              <w:rPr>
                <w:sz w:val="24"/>
                <w:szCs w:val="24"/>
              </w:rPr>
            </w:pPr>
            <w:r w:rsidRPr="0065723C">
              <w:rPr>
                <w:sz w:val="24"/>
                <w:szCs w:val="24"/>
              </w:rPr>
              <w:t>-</w:t>
            </w:r>
          </w:p>
        </w:tc>
      </w:tr>
      <w:tr w:rsidR="00B13733" w:rsidRPr="0065723C" w:rsidTr="002F30A9">
        <w:tc>
          <w:tcPr>
            <w:tcW w:w="4390" w:type="dxa"/>
            <w:shd w:val="clear" w:color="auto" w:fill="auto"/>
          </w:tcPr>
          <w:p w:rsidR="00B13733" w:rsidRPr="0065723C" w:rsidRDefault="00B13733" w:rsidP="001554ED">
            <w:pPr>
              <w:pStyle w:val="TableBody"/>
              <w:rPr>
                <w:sz w:val="24"/>
                <w:szCs w:val="24"/>
              </w:rPr>
            </w:pPr>
            <w:r w:rsidRPr="0065723C">
              <w:rPr>
                <w:sz w:val="24"/>
                <w:szCs w:val="24"/>
              </w:rPr>
              <w:t>Tourism Queensland</w:t>
            </w:r>
          </w:p>
        </w:tc>
        <w:tc>
          <w:tcPr>
            <w:tcW w:w="2409" w:type="dxa"/>
            <w:shd w:val="clear" w:color="auto" w:fill="auto"/>
          </w:tcPr>
          <w:p w:rsidR="00B13733" w:rsidRPr="0065723C" w:rsidRDefault="00AE1349" w:rsidP="00AE1349">
            <w:pPr>
              <w:pStyle w:val="TableBody"/>
              <w:ind w:left="360"/>
              <w:jc w:val="center"/>
              <w:rPr>
                <w:sz w:val="24"/>
                <w:szCs w:val="24"/>
              </w:rPr>
            </w:pPr>
            <w:r>
              <w:rPr>
                <w:rFonts w:ascii="Wingdings" w:hAnsi="Wingdings"/>
                <w:sz w:val="24"/>
                <w:szCs w:val="24"/>
                <w:highlight w:val="lightGray"/>
              </w:rPr>
              <w:sym w:font="Wingdings" w:char="F0FC"/>
            </w:r>
          </w:p>
        </w:tc>
        <w:tc>
          <w:tcPr>
            <w:tcW w:w="2204" w:type="dxa"/>
            <w:shd w:val="clear" w:color="auto" w:fill="auto"/>
          </w:tcPr>
          <w:p w:rsidR="00B13733" w:rsidRPr="0065723C" w:rsidRDefault="00B13733" w:rsidP="001554ED">
            <w:pPr>
              <w:pStyle w:val="TableBody"/>
              <w:jc w:val="center"/>
              <w:rPr>
                <w:sz w:val="24"/>
                <w:szCs w:val="24"/>
              </w:rPr>
            </w:pPr>
            <w:r w:rsidRPr="0065723C">
              <w:rPr>
                <w:sz w:val="24"/>
                <w:szCs w:val="24"/>
              </w:rPr>
              <w:t>-</w:t>
            </w:r>
          </w:p>
        </w:tc>
      </w:tr>
      <w:tr w:rsidR="00B13733" w:rsidRPr="0065723C" w:rsidTr="002F30A9">
        <w:tc>
          <w:tcPr>
            <w:tcW w:w="4390" w:type="dxa"/>
            <w:shd w:val="clear" w:color="auto" w:fill="auto"/>
          </w:tcPr>
          <w:p w:rsidR="00B13733" w:rsidRPr="0065723C" w:rsidRDefault="00B13733" w:rsidP="001554ED">
            <w:pPr>
              <w:pStyle w:val="TableBody"/>
              <w:rPr>
                <w:sz w:val="24"/>
                <w:szCs w:val="24"/>
              </w:rPr>
            </w:pPr>
            <w:r w:rsidRPr="0065723C">
              <w:rPr>
                <w:sz w:val="24"/>
                <w:szCs w:val="24"/>
              </w:rPr>
              <w:lastRenderedPageBreak/>
              <w:t>Tourism Queensland Far North</w:t>
            </w:r>
          </w:p>
        </w:tc>
        <w:tc>
          <w:tcPr>
            <w:tcW w:w="2409" w:type="dxa"/>
            <w:shd w:val="clear" w:color="auto" w:fill="auto"/>
          </w:tcPr>
          <w:p w:rsidR="00B13733" w:rsidRPr="0065723C" w:rsidRDefault="00AE1349" w:rsidP="00AE1349">
            <w:pPr>
              <w:pStyle w:val="TableBody"/>
              <w:ind w:left="360"/>
              <w:jc w:val="center"/>
              <w:rPr>
                <w:sz w:val="24"/>
                <w:szCs w:val="24"/>
              </w:rPr>
            </w:pPr>
            <w:r>
              <w:rPr>
                <w:rFonts w:ascii="Wingdings" w:hAnsi="Wingdings"/>
                <w:sz w:val="24"/>
                <w:szCs w:val="24"/>
                <w:highlight w:val="lightGray"/>
              </w:rPr>
              <w:sym w:font="Wingdings" w:char="F0FC"/>
            </w:r>
          </w:p>
        </w:tc>
        <w:tc>
          <w:tcPr>
            <w:tcW w:w="2204" w:type="dxa"/>
            <w:shd w:val="clear" w:color="auto" w:fill="auto"/>
          </w:tcPr>
          <w:p w:rsidR="00B13733" w:rsidRPr="0065723C" w:rsidRDefault="00B13733" w:rsidP="001554ED">
            <w:pPr>
              <w:pStyle w:val="TableBody"/>
              <w:jc w:val="center"/>
              <w:rPr>
                <w:sz w:val="24"/>
                <w:szCs w:val="24"/>
              </w:rPr>
            </w:pPr>
            <w:r w:rsidRPr="0065723C">
              <w:rPr>
                <w:sz w:val="24"/>
                <w:szCs w:val="24"/>
              </w:rPr>
              <w:t>-</w:t>
            </w:r>
          </w:p>
        </w:tc>
      </w:tr>
      <w:tr w:rsidR="00B13733" w:rsidRPr="0065723C" w:rsidTr="002F30A9">
        <w:tc>
          <w:tcPr>
            <w:tcW w:w="4390" w:type="dxa"/>
            <w:shd w:val="clear" w:color="auto" w:fill="auto"/>
          </w:tcPr>
          <w:p w:rsidR="00B13733" w:rsidRPr="0065723C" w:rsidRDefault="00B13733" w:rsidP="001554ED">
            <w:pPr>
              <w:pStyle w:val="TableBody"/>
              <w:rPr>
                <w:sz w:val="24"/>
                <w:szCs w:val="24"/>
              </w:rPr>
            </w:pPr>
            <w:r w:rsidRPr="0065723C">
              <w:rPr>
                <w:sz w:val="24"/>
                <w:szCs w:val="24"/>
              </w:rPr>
              <w:t>Newcastle Port Corporation</w:t>
            </w:r>
            <w:r w:rsidR="001E086F" w:rsidRPr="0065723C">
              <w:rPr>
                <w:sz w:val="24"/>
                <w:szCs w:val="24"/>
              </w:rPr>
              <w:t>*</w:t>
            </w:r>
          </w:p>
        </w:tc>
        <w:tc>
          <w:tcPr>
            <w:tcW w:w="2409" w:type="dxa"/>
            <w:shd w:val="clear" w:color="auto" w:fill="auto"/>
          </w:tcPr>
          <w:p w:rsidR="00B13733" w:rsidRPr="0065723C" w:rsidRDefault="00114796" w:rsidP="009E55AC">
            <w:pPr>
              <w:pStyle w:val="TableBody"/>
              <w:jc w:val="center"/>
              <w:rPr>
                <w:sz w:val="24"/>
                <w:szCs w:val="24"/>
              </w:rPr>
            </w:pPr>
            <w:r w:rsidRPr="0065723C">
              <w:rPr>
                <w:sz w:val="24"/>
                <w:szCs w:val="24"/>
              </w:rPr>
              <w:t>-</w:t>
            </w:r>
          </w:p>
        </w:tc>
        <w:tc>
          <w:tcPr>
            <w:tcW w:w="2204" w:type="dxa"/>
            <w:shd w:val="clear" w:color="auto" w:fill="auto"/>
          </w:tcPr>
          <w:p w:rsidR="00B13733" w:rsidRPr="0065723C" w:rsidRDefault="00B13733" w:rsidP="001554ED">
            <w:pPr>
              <w:pStyle w:val="TableBody"/>
              <w:jc w:val="center"/>
              <w:rPr>
                <w:sz w:val="24"/>
                <w:szCs w:val="24"/>
              </w:rPr>
            </w:pPr>
            <w:r w:rsidRPr="0065723C">
              <w:rPr>
                <w:sz w:val="24"/>
                <w:szCs w:val="24"/>
              </w:rPr>
              <w:t>-</w:t>
            </w:r>
          </w:p>
        </w:tc>
      </w:tr>
      <w:tr w:rsidR="00B13733" w:rsidRPr="0065723C" w:rsidTr="00FC1ADE">
        <w:tc>
          <w:tcPr>
            <w:tcW w:w="4390" w:type="dxa"/>
            <w:tcBorders>
              <w:bottom w:val="single" w:sz="2" w:space="0" w:color="auto"/>
            </w:tcBorders>
            <w:shd w:val="clear" w:color="auto" w:fill="auto"/>
          </w:tcPr>
          <w:p w:rsidR="00B13733" w:rsidRPr="0065723C" w:rsidRDefault="00B13733" w:rsidP="001554ED">
            <w:pPr>
              <w:pStyle w:val="TableBody"/>
              <w:rPr>
                <w:sz w:val="24"/>
                <w:szCs w:val="24"/>
              </w:rPr>
            </w:pPr>
            <w:r w:rsidRPr="0065723C">
              <w:rPr>
                <w:sz w:val="24"/>
                <w:szCs w:val="24"/>
              </w:rPr>
              <w:t>Townsville City Council</w:t>
            </w:r>
          </w:p>
        </w:tc>
        <w:tc>
          <w:tcPr>
            <w:tcW w:w="2409" w:type="dxa"/>
            <w:tcBorders>
              <w:bottom w:val="single" w:sz="2" w:space="0" w:color="auto"/>
            </w:tcBorders>
            <w:shd w:val="clear" w:color="auto" w:fill="auto"/>
          </w:tcPr>
          <w:p w:rsidR="00B13733" w:rsidRPr="0065723C" w:rsidRDefault="00AE1349" w:rsidP="00AE1349">
            <w:pPr>
              <w:pStyle w:val="TableBody"/>
              <w:ind w:left="360"/>
              <w:jc w:val="center"/>
              <w:rPr>
                <w:sz w:val="24"/>
                <w:szCs w:val="24"/>
              </w:rPr>
            </w:pPr>
            <w:r>
              <w:rPr>
                <w:rFonts w:ascii="Wingdings" w:hAnsi="Wingdings"/>
                <w:sz w:val="24"/>
                <w:szCs w:val="24"/>
                <w:highlight w:val="lightGray"/>
              </w:rPr>
              <w:sym w:font="Wingdings" w:char="F0FC"/>
            </w:r>
          </w:p>
        </w:tc>
        <w:tc>
          <w:tcPr>
            <w:tcW w:w="2204" w:type="dxa"/>
            <w:tcBorders>
              <w:bottom w:val="single" w:sz="2" w:space="0" w:color="auto"/>
            </w:tcBorders>
            <w:shd w:val="clear" w:color="auto" w:fill="auto"/>
          </w:tcPr>
          <w:p w:rsidR="00B13733" w:rsidRPr="0065723C" w:rsidRDefault="00B13733" w:rsidP="001554ED">
            <w:pPr>
              <w:pStyle w:val="TableBody"/>
              <w:jc w:val="center"/>
              <w:rPr>
                <w:sz w:val="24"/>
                <w:szCs w:val="24"/>
              </w:rPr>
            </w:pPr>
            <w:r w:rsidRPr="0065723C">
              <w:rPr>
                <w:sz w:val="24"/>
                <w:szCs w:val="24"/>
              </w:rPr>
              <w:t>-</w:t>
            </w:r>
          </w:p>
        </w:tc>
      </w:tr>
      <w:tr w:rsidR="00F82888" w:rsidRPr="0065723C" w:rsidTr="00FC1ADE">
        <w:tc>
          <w:tcPr>
            <w:tcW w:w="4390" w:type="dxa"/>
            <w:tcBorders>
              <w:top w:val="nil"/>
            </w:tcBorders>
            <w:shd w:val="clear" w:color="auto" w:fill="auto"/>
          </w:tcPr>
          <w:p w:rsidR="00F82888" w:rsidRPr="0065723C" w:rsidRDefault="00F82888" w:rsidP="00C13F4D">
            <w:pPr>
              <w:pStyle w:val="TableBody"/>
              <w:rPr>
                <w:sz w:val="24"/>
                <w:szCs w:val="24"/>
              </w:rPr>
            </w:pPr>
            <w:r w:rsidRPr="0065723C">
              <w:rPr>
                <w:sz w:val="24"/>
                <w:szCs w:val="24"/>
              </w:rPr>
              <w:t>Traditional Owners</w:t>
            </w:r>
          </w:p>
        </w:tc>
        <w:tc>
          <w:tcPr>
            <w:tcW w:w="2409" w:type="dxa"/>
            <w:tcBorders>
              <w:top w:val="nil"/>
            </w:tcBorders>
            <w:shd w:val="clear" w:color="auto" w:fill="auto"/>
          </w:tcPr>
          <w:p w:rsidR="00F82888" w:rsidRPr="0065723C" w:rsidRDefault="00114796" w:rsidP="00C13F4D">
            <w:pPr>
              <w:pStyle w:val="TableBody"/>
              <w:jc w:val="center"/>
              <w:rPr>
                <w:sz w:val="24"/>
                <w:szCs w:val="24"/>
              </w:rPr>
            </w:pPr>
            <w:r w:rsidRPr="0065723C">
              <w:rPr>
                <w:sz w:val="24"/>
                <w:szCs w:val="24"/>
              </w:rPr>
              <w:t>-</w:t>
            </w:r>
          </w:p>
        </w:tc>
        <w:tc>
          <w:tcPr>
            <w:tcW w:w="2204" w:type="dxa"/>
            <w:tcBorders>
              <w:top w:val="nil"/>
            </w:tcBorders>
            <w:shd w:val="clear" w:color="auto" w:fill="auto"/>
          </w:tcPr>
          <w:p w:rsidR="00F82888" w:rsidRPr="0065723C" w:rsidRDefault="00114796" w:rsidP="00C13F4D">
            <w:pPr>
              <w:pStyle w:val="TableBody"/>
              <w:jc w:val="center"/>
              <w:rPr>
                <w:sz w:val="24"/>
                <w:szCs w:val="24"/>
              </w:rPr>
            </w:pPr>
            <w:r w:rsidRPr="0065723C">
              <w:rPr>
                <w:sz w:val="24"/>
                <w:szCs w:val="24"/>
              </w:rPr>
              <w:t>-</w:t>
            </w:r>
          </w:p>
        </w:tc>
      </w:tr>
      <w:tr w:rsidR="00B13733" w:rsidRPr="0065723C" w:rsidTr="002F30A9">
        <w:tc>
          <w:tcPr>
            <w:tcW w:w="4390" w:type="dxa"/>
            <w:shd w:val="clear" w:color="auto" w:fill="auto"/>
          </w:tcPr>
          <w:p w:rsidR="00B13733" w:rsidRPr="0065723C" w:rsidRDefault="00B13733" w:rsidP="001554ED">
            <w:pPr>
              <w:pStyle w:val="TableBody"/>
              <w:rPr>
                <w:sz w:val="24"/>
                <w:szCs w:val="24"/>
              </w:rPr>
            </w:pPr>
            <w:r w:rsidRPr="0065723C">
              <w:rPr>
                <w:sz w:val="24"/>
                <w:szCs w:val="24"/>
              </w:rPr>
              <w:t>Whitsunday Regional Council</w:t>
            </w:r>
          </w:p>
        </w:tc>
        <w:tc>
          <w:tcPr>
            <w:tcW w:w="2409" w:type="dxa"/>
            <w:shd w:val="clear" w:color="auto" w:fill="auto"/>
          </w:tcPr>
          <w:p w:rsidR="00B13733" w:rsidRPr="0065723C" w:rsidRDefault="00AE1349" w:rsidP="00AE1349">
            <w:pPr>
              <w:pStyle w:val="TableBody"/>
              <w:ind w:left="360"/>
              <w:jc w:val="center"/>
              <w:rPr>
                <w:sz w:val="24"/>
                <w:szCs w:val="24"/>
              </w:rPr>
            </w:pPr>
            <w:r>
              <w:rPr>
                <w:rFonts w:ascii="Wingdings" w:hAnsi="Wingdings"/>
                <w:sz w:val="24"/>
                <w:szCs w:val="24"/>
                <w:highlight w:val="lightGray"/>
              </w:rPr>
              <w:sym w:font="Wingdings" w:char="F0FC"/>
            </w:r>
          </w:p>
        </w:tc>
        <w:tc>
          <w:tcPr>
            <w:tcW w:w="2204" w:type="dxa"/>
            <w:shd w:val="clear" w:color="auto" w:fill="auto"/>
          </w:tcPr>
          <w:p w:rsidR="00B13733" w:rsidRPr="0065723C" w:rsidRDefault="00B13733" w:rsidP="001554ED">
            <w:pPr>
              <w:pStyle w:val="TableBody"/>
              <w:jc w:val="center"/>
              <w:rPr>
                <w:sz w:val="24"/>
                <w:szCs w:val="24"/>
              </w:rPr>
            </w:pPr>
            <w:r w:rsidRPr="0065723C">
              <w:rPr>
                <w:sz w:val="24"/>
                <w:szCs w:val="24"/>
              </w:rPr>
              <w:t>-</w:t>
            </w:r>
          </w:p>
        </w:tc>
      </w:tr>
    </w:tbl>
    <w:p w:rsidR="0099317E" w:rsidRPr="00B41CFA" w:rsidRDefault="0099317E" w:rsidP="00826CD7">
      <w:pPr>
        <w:pStyle w:val="Heading3"/>
        <w:rPr>
          <w:sz w:val="24"/>
        </w:rPr>
      </w:pPr>
      <w:bookmarkStart w:id="40" w:name="_Toc343526775"/>
      <w:bookmarkStart w:id="41" w:name="_Toc343527027"/>
      <w:bookmarkStart w:id="42" w:name="_Toc343581763"/>
      <w:bookmarkStart w:id="43" w:name="_Toc343597218"/>
      <w:bookmarkStart w:id="44" w:name="_Toc362274269"/>
      <w:bookmarkEnd w:id="40"/>
      <w:bookmarkEnd w:id="41"/>
      <w:bookmarkEnd w:id="42"/>
      <w:bookmarkEnd w:id="43"/>
      <w:r w:rsidRPr="00B41CFA">
        <w:rPr>
          <w:sz w:val="24"/>
        </w:rPr>
        <w:t>One-on-one interviews with relevant stakeholders</w:t>
      </w:r>
      <w:bookmarkEnd w:id="44"/>
    </w:p>
    <w:p w:rsidR="00C13F4D" w:rsidRPr="0065723C" w:rsidRDefault="00C13F4D" w:rsidP="0099317E">
      <w:pPr>
        <w:pStyle w:val="Body"/>
        <w:rPr>
          <w:sz w:val="24"/>
          <w:szCs w:val="24"/>
        </w:rPr>
      </w:pPr>
      <w:r w:rsidRPr="0065723C">
        <w:rPr>
          <w:sz w:val="24"/>
          <w:szCs w:val="24"/>
        </w:rPr>
        <w:t>A t</w:t>
      </w:r>
      <w:r w:rsidR="000E18FB" w:rsidRPr="0065723C">
        <w:rPr>
          <w:sz w:val="24"/>
          <w:szCs w:val="24"/>
        </w:rPr>
        <w:t xml:space="preserve">otal of </w:t>
      </w:r>
      <w:r w:rsidRPr="0065723C">
        <w:rPr>
          <w:sz w:val="24"/>
          <w:szCs w:val="24"/>
        </w:rPr>
        <w:t>11</w:t>
      </w:r>
      <w:r w:rsidR="000E18FB" w:rsidRPr="0065723C">
        <w:rPr>
          <w:sz w:val="24"/>
          <w:szCs w:val="24"/>
        </w:rPr>
        <w:t xml:space="preserve"> one</w:t>
      </w:r>
      <w:r w:rsidRPr="0065723C">
        <w:rPr>
          <w:sz w:val="24"/>
          <w:szCs w:val="24"/>
        </w:rPr>
        <w:t>-on-</w:t>
      </w:r>
      <w:r w:rsidR="000E18FB" w:rsidRPr="0065723C">
        <w:rPr>
          <w:sz w:val="24"/>
          <w:szCs w:val="24"/>
        </w:rPr>
        <w:t xml:space="preserve">one </w:t>
      </w:r>
      <w:r w:rsidR="00864363" w:rsidRPr="0065723C">
        <w:rPr>
          <w:sz w:val="24"/>
          <w:szCs w:val="24"/>
        </w:rPr>
        <w:t>interviews</w:t>
      </w:r>
      <w:r w:rsidRPr="0065723C">
        <w:rPr>
          <w:sz w:val="24"/>
          <w:szCs w:val="24"/>
        </w:rPr>
        <w:t xml:space="preserve"> were held in early October 2012. Participants included representatives from: the Association of Marin</w:t>
      </w:r>
      <w:r w:rsidR="0042142F" w:rsidRPr="0065723C">
        <w:rPr>
          <w:sz w:val="24"/>
          <w:szCs w:val="24"/>
        </w:rPr>
        <w:t>e</w:t>
      </w:r>
      <w:r w:rsidRPr="0065723C">
        <w:rPr>
          <w:sz w:val="24"/>
          <w:szCs w:val="24"/>
        </w:rPr>
        <w:t xml:space="preserve"> Park Tourism Operators, Fisheries Queensland, GBRMPA, Gladstone Regional Council, Queensland SeaFood Industry Association, Sunfish Queensland, Tourism Queensland, </w:t>
      </w:r>
      <w:r w:rsidR="003B1A86" w:rsidRPr="0065723C">
        <w:rPr>
          <w:sz w:val="24"/>
          <w:szCs w:val="24"/>
        </w:rPr>
        <w:t>Whitsunday Regional Council</w:t>
      </w:r>
      <w:r w:rsidR="00A01A1A" w:rsidRPr="0065723C">
        <w:rPr>
          <w:sz w:val="24"/>
          <w:szCs w:val="24"/>
        </w:rPr>
        <w:t>, Townsville City Council</w:t>
      </w:r>
      <w:r w:rsidR="003B1A86" w:rsidRPr="0065723C">
        <w:rPr>
          <w:sz w:val="24"/>
          <w:szCs w:val="24"/>
        </w:rPr>
        <w:t xml:space="preserve"> and Integrated Supply Logistics Chain who work closely with Dalrymple Bay Coal Terminal.</w:t>
      </w:r>
    </w:p>
    <w:p w:rsidR="00532A24" w:rsidRPr="0065723C" w:rsidRDefault="00532A24" w:rsidP="00532A24">
      <w:pPr>
        <w:pStyle w:val="Body"/>
        <w:rPr>
          <w:sz w:val="24"/>
          <w:szCs w:val="24"/>
        </w:rPr>
      </w:pPr>
      <w:r w:rsidRPr="0065723C">
        <w:rPr>
          <w:sz w:val="24"/>
          <w:szCs w:val="24"/>
        </w:rPr>
        <w:t xml:space="preserve">The interviews consisted of structured one-on-one telephone calls to identify if and how the current operation of ship anchorages associated with the five main ports were impacting the various users of the study area and the surrounding communities </w:t>
      </w:r>
      <w:r w:rsidR="00B81C4F" w:rsidRPr="0065723C">
        <w:rPr>
          <w:sz w:val="24"/>
          <w:szCs w:val="24"/>
        </w:rPr>
        <w:t>(</w:t>
      </w:r>
      <w:r w:rsidRPr="0065723C">
        <w:rPr>
          <w:sz w:val="24"/>
          <w:szCs w:val="24"/>
        </w:rPr>
        <w:t>as represented by local government authorities (councils)</w:t>
      </w:r>
      <w:r w:rsidR="00B81C4F" w:rsidRPr="0065723C">
        <w:rPr>
          <w:sz w:val="24"/>
          <w:szCs w:val="24"/>
        </w:rPr>
        <w:t>)</w:t>
      </w:r>
      <w:r w:rsidRPr="0065723C">
        <w:rPr>
          <w:sz w:val="24"/>
          <w:szCs w:val="24"/>
        </w:rPr>
        <w:t>. The interviews extended to identify if and how any impacts for the stakeholders may occur as a result of expected increased ship numbers in the future</w:t>
      </w:r>
      <w:r w:rsidR="00A748A4" w:rsidRPr="0065723C">
        <w:rPr>
          <w:sz w:val="24"/>
          <w:szCs w:val="24"/>
        </w:rPr>
        <w:t xml:space="preserve">. </w:t>
      </w:r>
    </w:p>
    <w:p w:rsidR="00F67758" w:rsidRPr="0065723C" w:rsidRDefault="00F67758" w:rsidP="00532A24">
      <w:pPr>
        <w:pStyle w:val="Body"/>
        <w:rPr>
          <w:sz w:val="24"/>
          <w:szCs w:val="24"/>
        </w:rPr>
      </w:pPr>
      <w:r w:rsidRPr="0065723C">
        <w:rPr>
          <w:sz w:val="24"/>
          <w:szCs w:val="24"/>
        </w:rPr>
        <w:t xml:space="preserve">In addition, one-on-one discussion was held with Shipping Australia </w:t>
      </w:r>
      <w:r w:rsidR="002F45C6" w:rsidRPr="0065723C">
        <w:rPr>
          <w:sz w:val="24"/>
          <w:szCs w:val="24"/>
        </w:rPr>
        <w:t xml:space="preserve">in December 2012 which </w:t>
      </w:r>
      <w:r w:rsidRPr="0065723C">
        <w:rPr>
          <w:sz w:val="24"/>
          <w:szCs w:val="24"/>
        </w:rPr>
        <w:t>target</w:t>
      </w:r>
      <w:r w:rsidR="002F45C6" w:rsidRPr="0065723C">
        <w:rPr>
          <w:sz w:val="24"/>
          <w:szCs w:val="24"/>
        </w:rPr>
        <w:t>ed</w:t>
      </w:r>
      <w:r w:rsidRPr="0065723C">
        <w:rPr>
          <w:sz w:val="24"/>
          <w:szCs w:val="24"/>
        </w:rPr>
        <w:t xml:space="preserve"> specific information of relevance to </w:t>
      </w:r>
      <w:r w:rsidR="00B81C4F" w:rsidRPr="0065723C">
        <w:rPr>
          <w:sz w:val="24"/>
          <w:szCs w:val="24"/>
        </w:rPr>
        <w:t xml:space="preserve">the </w:t>
      </w:r>
      <w:r w:rsidRPr="0065723C">
        <w:rPr>
          <w:sz w:val="24"/>
          <w:szCs w:val="24"/>
        </w:rPr>
        <w:t>costs and benefits</w:t>
      </w:r>
      <w:r w:rsidR="00B81C4F" w:rsidRPr="0065723C">
        <w:rPr>
          <w:sz w:val="24"/>
          <w:szCs w:val="24"/>
        </w:rPr>
        <w:t xml:space="preserve"> of management options</w:t>
      </w:r>
      <w:r w:rsidR="002F45C6" w:rsidRPr="0065723C">
        <w:rPr>
          <w:sz w:val="24"/>
          <w:szCs w:val="24"/>
        </w:rPr>
        <w:t>, in particular the vessel management strategies applied by Newcastle Port Corporation</w:t>
      </w:r>
      <w:r w:rsidRPr="0065723C">
        <w:rPr>
          <w:sz w:val="24"/>
          <w:szCs w:val="24"/>
        </w:rPr>
        <w:t>.</w:t>
      </w:r>
    </w:p>
    <w:p w:rsidR="0099317E" w:rsidRPr="00B41CFA" w:rsidRDefault="0099317E" w:rsidP="00826CD7">
      <w:pPr>
        <w:pStyle w:val="Heading3"/>
        <w:rPr>
          <w:sz w:val="24"/>
        </w:rPr>
      </w:pPr>
      <w:bookmarkStart w:id="45" w:name="_Toc362274270"/>
      <w:r w:rsidRPr="00B41CFA">
        <w:rPr>
          <w:sz w:val="24"/>
        </w:rPr>
        <w:t>Workshop with relevant stakeholders</w:t>
      </w:r>
      <w:bookmarkEnd w:id="45"/>
    </w:p>
    <w:p w:rsidR="008D7304" w:rsidRPr="0065723C" w:rsidRDefault="009F2D85" w:rsidP="00103FF9">
      <w:pPr>
        <w:pStyle w:val="Body"/>
        <w:rPr>
          <w:sz w:val="24"/>
          <w:szCs w:val="24"/>
        </w:rPr>
      </w:pPr>
      <w:r w:rsidRPr="0065723C">
        <w:rPr>
          <w:sz w:val="24"/>
          <w:szCs w:val="24"/>
        </w:rPr>
        <w:t xml:space="preserve">A </w:t>
      </w:r>
      <w:r w:rsidR="008D7304" w:rsidRPr="0065723C">
        <w:rPr>
          <w:sz w:val="24"/>
          <w:szCs w:val="24"/>
        </w:rPr>
        <w:t>project specif</w:t>
      </w:r>
      <w:r w:rsidR="00103FF9" w:rsidRPr="0065723C">
        <w:rPr>
          <w:sz w:val="24"/>
          <w:szCs w:val="24"/>
        </w:rPr>
        <w:t>i</w:t>
      </w:r>
      <w:r w:rsidR="008D7304" w:rsidRPr="0065723C">
        <w:rPr>
          <w:sz w:val="24"/>
          <w:szCs w:val="24"/>
        </w:rPr>
        <w:t xml:space="preserve">c </w:t>
      </w:r>
      <w:r w:rsidRPr="0065723C">
        <w:rPr>
          <w:sz w:val="24"/>
          <w:szCs w:val="24"/>
        </w:rPr>
        <w:t xml:space="preserve">CBA workshop was conducted </w:t>
      </w:r>
      <w:r w:rsidR="008D7304" w:rsidRPr="0065723C">
        <w:rPr>
          <w:sz w:val="24"/>
          <w:szCs w:val="24"/>
        </w:rPr>
        <w:t xml:space="preserve">in Brisbane at the GHD office on 16 October 2012. </w:t>
      </w:r>
      <w:r w:rsidR="009E7351" w:rsidRPr="0065723C">
        <w:rPr>
          <w:sz w:val="24"/>
          <w:szCs w:val="24"/>
        </w:rPr>
        <w:t>Targeted</w:t>
      </w:r>
      <w:r w:rsidR="008D7304" w:rsidRPr="0065723C">
        <w:rPr>
          <w:sz w:val="24"/>
          <w:szCs w:val="24"/>
        </w:rPr>
        <w:t xml:space="preserve"> s</w:t>
      </w:r>
      <w:r w:rsidRPr="0065723C">
        <w:rPr>
          <w:sz w:val="24"/>
          <w:szCs w:val="24"/>
        </w:rPr>
        <w:t>takeholders</w:t>
      </w:r>
      <w:r w:rsidR="008D7304" w:rsidRPr="0065723C">
        <w:rPr>
          <w:sz w:val="24"/>
          <w:szCs w:val="24"/>
        </w:rPr>
        <w:t xml:space="preserve"> were </w:t>
      </w:r>
      <w:r w:rsidR="00B10E4A" w:rsidRPr="0065723C">
        <w:rPr>
          <w:sz w:val="24"/>
          <w:szCs w:val="24"/>
        </w:rPr>
        <w:t xml:space="preserve">identified to be relevant to this phase of works in consultation with the GBRMPA and through suggestions of </w:t>
      </w:r>
      <w:r w:rsidR="00103FF9" w:rsidRPr="0065723C">
        <w:rPr>
          <w:sz w:val="24"/>
          <w:szCs w:val="24"/>
        </w:rPr>
        <w:t xml:space="preserve">other </w:t>
      </w:r>
      <w:r w:rsidR="00B10E4A" w:rsidRPr="0065723C">
        <w:rPr>
          <w:sz w:val="24"/>
          <w:szCs w:val="24"/>
        </w:rPr>
        <w:t xml:space="preserve">stakeholder representatives. </w:t>
      </w:r>
      <w:r w:rsidR="009E7351" w:rsidRPr="0065723C">
        <w:rPr>
          <w:sz w:val="24"/>
          <w:szCs w:val="24"/>
        </w:rPr>
        <w:t>P</w:t>
      </w:r>
      <w:r w:rsidR="00103FF9" w:rsidRPr="0065723C">
        <w:rPr>
          <w:sz w:val="24"/>
          <w:szCs w:val="24"/>
        </w:rPr>
        <w:t xml:space="preserve">articipants </w:t>
      </w:r>
      <w:r w:rsidR="009E7351" w:rsidRPr="0065723C">
        <w:rPr>
          <w:sz w:val="24"/>
          <w:szCs w:val="24"/>
        </w:rPr>
        <w:t xml:space="preserve">who </w:t>
      </w:r>
      <w:r w:rsidR="00103FF9" w:rsidRPr="0065723C">
        <w:rPr>
          <w:sz w:val="24"/>
          <w:szCs w:val="24"/>
        </w:rPr>
        <w:t xml:space="preserve">attended the workshop </w:t>
      </w:r>
      <w:r w:rsidR="002F45C6" w:rsidRPr="0065723C">
        <w:rPr>
          <w:sz w:val="24"/>
          <w:szCs w:val="24"/>
        </w:rPr>
        <w:t xml:space="preserve">(n = 14) </w:t>
      </w:r>
      <w:r w:rsidR="00103FF9" w:rsidRPr="0065723C">
        <w:rPr>
          <w:sz w:val="24"/>
          <w:szCs w:val="24"/>
        </w:rPr>
        <w:t xml:space="preserve">included representatives from the Association of Marine Park Tourism Operators, the Australian Maritime Safety Association, the Department of Agriculture, Fisheries and Forestry, the Department of Transport and Main Roads, DSEWPaC, GBRMPA, Maritime Safety Queensland, and North Queensland Bulk Ports. Invited organisations and those who participated are </w:t>
      </w:r>
      <w:r w:rsidR="008D7304" w:rsidRPr="0065723C">
        <w:rPr>
          <w:sz w:val="24"/>
          <w:szCs w:val="24"/>
        </w:rPr>
        <w:t xml:space="preserve">listed in </w:t>
      </w:r>
      <w:r w:rsidR="00CD38ED" w:rsidRPr="0065723C">
        <w:rPr>
          <w:sz w:val="24"/>
          <w:szCs w:val="24"/>
        </w:rPr>
        <w:fldChar w:fldCharType="begin"/>
      </w:r>
      <w:r w:rsidR="008D7304" w:rsidRPr="0065723C">
        <w:rPr>
          <w:sz w:val="24"/>
          <w:szCs w:val="24"/>
        </w:rPr>
        <w:instrText xml:space="preserve"> REF  _Ref343175156 \* Lower \h </w:instrText>
      </w:r>
      <w:r w:rsidR="0065723C">
        <w:rPr>
          <w:sz w:val="24"/>
          <w:szCs w:val="24"/>
        </w:rPr>
        <w:instrText xml:space="preserve"> \* MERGEFORMAT </w:instrText>
      </w:r>
      <w:r w:rsidR="00CD38ED" w:rsidRPr="0065723C">
        <w:rPr>
          <w:sz w:val="24"/>
          <w:szCs w:val="24"/>
        </w:rPr>
      </w:r>
      <w:r w:rsidR="00CD38ED" w:rsidRPr="0065723C">
        <w:rPr>
          <w:sz w:val="24"/>
          <w:szCs w:val="24"/>
        </w:rPr>
        <w:fldChar w:fldCharType="separate"/>
      </w:r>
      <w:r w:rsidR="005F6E51" w:rsidRPr="0065723C">
        <w:rPr>
          <w:sz w:val="24"/>
          <w:szCs w:val="24"/>
        </w:rPr>
        <w:t xml:space="preserve">table </w:t>
      </w:r>
      <w:r w:rsidR="005F6E51">
        <w:rPr>
          <w:noProof/>
          <w:sz w:val="24"/>
          <w:szCs w:val="24"/>
        </w:rPr>
        <w:t>2</w:t>
      </w:r>
      <w:r w:rsidR="005F6E51" w:rsidRPr="0065723C">
        <w:rPr>
          <w:noProof/>
          <w:sz w:val="24"/>
          <w:szCs w:val="24"/>
        </w:rPr>
        <w:noBreakHyphen/>
      </w:r>
      <w:r w:rsidR="005F6E51">
        <w:rPr>
          <w:noProof/>
          <w:sz w:val="24"/>
          <w:szCs w:val="24"/>
        </w:rPr>
        <w:t>1</w:t>
      </w:r>
      <w:r w:rsidR="00CD38ED" w:rsidRPr="0065723C">
        <w:rPr>
          <w:sz w:val="24"/>
          <w:szCs w:val="24"/>
        </w:rPr>
        <w:fldChar w:fldCharType="end"/>
      </w:r>
      <w:r w:rsidR="008D7304" w:rsidRPr="0065723C">
        <w:rPr>
          <w:sz w:val="24"/>
          <w:szCs w:val="24"/>
        </w:rPr>
        <w:t>.</w:t>
      </w:r>
    </w:p>
    <w:p w:rsidR="0065723C" w:rsidRDefault="0065723C">
      <w:pPr>
        <w:rPr>
          <w:rFonts w:ascii="Arial" w:hAnsi="Arial"/>
          <w:b w:val="0"/>
          <w:color w:val="auto"/>
          <w:sz w:val="24"/>
          <w:szCs w:val="24"/>
        </w:rPr>
      </w:pPr>
      <w:r>
        <w:rPr>
          <w:sz w:val="24"/>
          <w:szCs w:val="24"/>
        </w:rPr>
        <w:br w:type="page"/>
      </w:r>
    </w:p>
    <w:p w:rsidR="00045C91" w:rsidRPr="0065723C" w:rsidRDefault="00B10E4A" w:rsidP="00045C91">
      <w:pPr>
        <w:pStyle w:val="Body"/>
        <w:rPr>
          <w:sz w:val="24"/>
          <w:szCs w:val="24"/>
        </w:rPr>
      </w:pPr>
      <w:r w:rsidRPr="0065723C">
        <w:rPr>
          <w:sz w:val="24"/>
          <w:szCs w:val="24"/>
        </w:rPr>
        <w:lastRenderedPageBreak/>
        <w:t xml:space="preserve">The </w:t>
      </w:r>
      <w:r w:rsidR="00045C91" w:rsidRPr="0065723C">
        <w:rPr>
          <w:sz w:val="24"/>
          <w:szCs w:val="24"/>
        </w:rPr>
        <w:t xml:space="preserve">purpose of the </w:t>
      </w:r>
      <w:r w:rsidRPr="0065723C">
        <w:rPr>
          <w:sz w:val="24"/>
          <w:szCs w:val="24"/>
        </w:rPr>
        <w:t xml:space="preserve">workshop was </w:t>
      </w:r>
      <w:r w:rsidR="00391634" w:rsidRPr="0065723C">
        <w:rPr>
          <w:sz w:val="24"/>
          <w:szCs w:val="24"/>
        </w:rPr>
        <w:t xml:space="preserve">to </w:t>
      </w:r>
    </w:p>
    <w:p w:rsidR="00DF519F" w:rsidRPr="0065723C" w:rsidRDefault="00DF519F" w:rsidP="001012C3">
      <w:pPr>
        <w:pStyle w:val="Bullet"/>
        <w:rPr>
          <w:sz w:val="24"/>
          <w:szCs w:val="24"/>
        </w:rPr>
      </w:pPr>
      <w:r w:rsidRPr="0065723C">
        <w:rPr>
          <w:sz w:val="24"/>
          <w:szCs w:val="24"/>
        </w:rPr>
        <w:t xml:space="preserve">Describe the proposed socio-economic </w:t>
      </w:r>
      <w:r w:rsidR="008D545D">
        <w:rPr>
          <w:sz w:val="24"/>
          <w:szCs w:val="24"/>
        </w:rPr>
        <w:t>CBA</w:t>
      </w:r>
      <w:r w:rsidRPr="0065723C">
        <w:rPr>
          <w:sz w:val="24"/>
          <w:szCs w:val="24"/>
        </w:rPr>
        <w:t xml:space="preserve"> methodology for stakeholder input</w:t>
      </w:r>
      <w:r w:rsidR="009B3701" w:rsidRPr="0065723C">
        <w:rPr>
          <w:sz w:val="24"/>
          <w:szCs w:val="24"/>
        </w:rPr>
        <w:t>.</w:t>
      </w:r>
    </w:p>
    <w:p w:rsidR="00045C91" w:rsidRPr="0065723C" w:rsidRDefault="00045C91" w:rsidP="001012C3">
      <w:pPr>
        <w:pStyle w:val="Bullet"/>
        <w:rPr>
          <w:sz w:val="24"/>
          <w:szCs w:val="24"/>
        </w:rPr>
      </w:pPr>
      <w:r w:rsidRPr="0065723C">
        <w:rPr>
          <w:sz w:val="24"/>
          <w:szCs w:val="24"/>
        </w:rPr>
        <w:t>E</w:t>
      </w:r>
      <w:r w:rsidR="004C56F7" w:rsidRPr="0065723C">
        <w:rPr>
          <w:sz w:val="24"/>
          <w:szCs w:val="24"/>
        </w:rPr>
        <w:t xml:space="preserve">xamine </w:t>
      </w:r>
      <w:r w:rsidR="00391634" w:rsidRPr="0065723C">
        <w:rPr>
          <w:sz w:val="24"/>
          <w:szCs w:val="24"/>
        </w:rPr>
        <w:t>preliminary thinking on a range of possible ship anchorage manageme</w:t>
      </w:r>
      <w:r w:rsidR="00C279A4" w:rsidRPr="0065723C">
        <w:rPr>
          <w:sz w:val="24"/>
          <w:szCs w:val="24"/>
        </w:rPr>
        <w:t>nt options</w:t>
      </w:r>
      <w:r w:rsidRPr="0065723C">
        <w:rPr>
          <w:sz w:val="24"/>
          <w:szCs w:val="24"/>
        </w:rPr>
        <w:t>.</w:t>
      </w:r>
    </w:p>
    <w:p w:rsidR="00DF519F" w:rsidRPr="0065723C" w:rsidRDefault="00DF519F" w:rsidP="00DF519F">
      <w:pPr>
        <w:pStyle w:val="Bullet"/>
        <w:rPr>
          <w:sz w:val="24"/>
          <w:szCs w:val="24"/>
        </w:rPr>
      </w:pPr>
      <w:r w:rsidRPr="0065723C">
        <w:rPr>
          <w:sz w:val="24"/>
          <w:szCs w:val="24"/>
        </w:rPr>
        <w:t>Review a draft set of possible concept management options/strategies for shipping anchorages, resulting in a set of proposed management options/strategies for economic analysis.</w:t>
      </w:r>
    </w:p>
    <w:p w:rsidR="00DF519F" w:rsidRPr="0065723C" w:rsidRDefault="00DF519F" w:rsidP="001012C3">
      <w:pPr>
        <w:pStyle w:val="Bullet"/>
        <w:rPr>
          <w:sz w:val="24"/>
          <w:szCs w:val="24"/>
        </w:rPr>
      </w:pPr>
      <w:r w:rsidRPr="0065723C">
        <w:rPr>
          <w:sz w:val="24"/>
          <w:szCs w:val="24"/>
        </w:rPr>
        <w:t>Identify and confirm existing data sources required for the economic analysis (e.g. ship forecasts)</w:t>
      </w:r>
      <w:r w:rsidR="009B3701" w:rsidRPr="0065723C">
        <w:rPr>
          <w:sz w:val="24"/>
          <w:szCs w:val="24"/>
        </w:rPr>
        <w:t>.</w:t>
      </w:r>
    </w:p>
    <w:p w:rsidR="00045C91" w:rsidRPr="0065723C" w:rsidRDefault="00045C91" w:rsidP="001012C3">
      <w:pPr>
        <w:pStyle w:val="Bullet"/>
        <w:rPr>
          <w:sz w:val="24"/>
          <w:szCs w:val="24"/>
        </w:rPr>
      </w:pPr>
      <w:r w:rsidRPr="0065723C">
        <w:rPr>
          <w:sz w:val="24"/>
          <w:szCs w:val="24"/>
        </w:rPr>
        <w:t>R</w:t>
      </w:r>
      <w:r w:rsidR="00391634" w:rsidRPr="0065723C">
        <w:rPr>
          <w:sz w:val="24"/>
          <w:szCs w:val="24"/>
        </w:rPr>
        <w:t>eview/validate information obtained prior to the workshop from one-on-one stakeholder interviews.</w:t>
      </w:r>
      <w:r w:rsidR="0000585A" w:rsidRPr="0065723C">
        <w:rPr>
          <w:sz w:val="24"/>
          <w:szCs w:val="24"/>
        </w:rPr>
        <w:t xml:space="preserve"> </w:t>
      </w:r>
    </w:p>
    <w:p w:rsidR="00DF519F" w:rsidRPr="0065723C" w:rsidRDefault="00DF519F" w:rsidP="001012C3">
      <w:pPr>
        <w:pStyle w:val="Bullet"/>
        <w:rPr>
          <w:sz w:val="24"/>
          <w:szCs w:val="24"/>
        </w:rPr>
      </w:pPr>
      <w:r w:rsidRPr="0065723C">
        <w:rPr>
          <w:sz w:val="24"/>
          <w:szCs w:val="24"/>
        </w:rPr>
        <w:t>Identify option/strategy impacts which can be monetised and categorised as either benefits or costs.</w:t>
      </w:r>
    </w:p>
    <w:p w:rsidR="0099439E" w:rsidRPr="0065723C" w:rsidRDefault="00B81C4F" w:rsidP="00045C91">
      <w:pPr>
        <w:pStyle w:val="Body"/>
        <w:rPr>
          <w:sz w:val="24"/>
          <w:szCs w:val="24"/>
        </w:rPr>
      </w:pPr>
      <w:r w:rsidRPr="0065723C">
        <w:rPr>
          <w:sz w:val="24"/>
          <w:szCs w:val="24"/>
        </w:rPr>
        <w:t>Feedback</w:t>
      </w:r>
      <w:r w:rsidR="009E7351" w:rsidRPr="0065723C">
        <w:rPr>
          <w:sz w:val="24"/>
          <w:szCs w:val="24"/>
        </w:rPr>
        <w:t xml:space="preserve"> from both one-on-one phone calls and the workshop were assimilated</w:t>
      </w:r>
      <w:r w:rsidRPr="0065723C">
        <w:rPr>
          <w:sz w:val="24"/>
          <w:szCs w:val="24"/>
        </w:rPr>
        <w:t xml:space="preserve"> to inform the CBA</w:t>
      </w:r>
      <w:r w:rsidR="009E7351" w:rsidRPr="0065723C">
        <w:rPr>
          <w:sz w:val="24"/>
          <w:szCs w:val="24"/>
        </w:rPr>
        <w:t>.</w:t>
      </w:r>
    </w:p>
    <w:p w:rsidR="00CD19B4" w:rsidRDefault="00CD19B4" w:rsidP="00CD19B4">
      <w:pPr>
        <w:pStyle w:val="Heading1"/>
      </w:pPr>
      <w:bookmarkStart w:id="46" w:name="_Ref347736590"/>
      <w:bookmarkStart w:id="47" w:name="_Toc362274271"/>
      <w:bookmarkStart w:id="48" w:name="_Ref342397239"/>
      <w:bookmarkStart w:id="49" w:name="_Ref342397240"/>
      <w:r w:rsidRPr="00B22C15">
        <w:lastRenderedPageBreak/>
        <w:t>stakeholder</w:t>
      </w:r>
      <w:r>
        <w:t xml:space="preserve"> </w:t>
      </w:r>
      <w:r w:rsidRPr="003512A9">
        <w:t>consultations</w:t>
      </w:r>
      <w:bookmarkEnd w:id="46"/>
      <w:bookmarkEnd w:id="47"/>
    </w:p>
    <w:p w:rsidR="00CD19B4" w:rsidRPr="00B41CFA" w:rsidRDefault="00CD19B4" w:rsidP="00CD19B4">
      <w:pPr>
        <w:pStyle w:val="Heading2"/>
        <w:rPr>
          <w:sz w:val="24"/>
        </w:rPr>
      </w:pPr>
      <w:bookmarkStart w:id="50" w:name="_Toc343526385"/>
      <w:bookmarkStart w:id="51" w:name="_Toc343526574"/>
      <w:bookmarkStart w:id="52" w:name="_Toc343526853"/>
      <w:bookmarkStart w:id="53" w:name="_Toc343527105"/>
      <w:bookmarkStart w:id="54" w:name="_Toc343581843"/>
      <w:bookmarkStart w:id="55" w:name="_Toc343597299"/>
      <w:bookmarkStart w:id="56" w:name="_Toc343526388"/>
      <w:bookmarkStart w:id="57" w:name="_Toc343526577"/>
      <w:bookmarkStart w:id="58" w:name="_Toc343526856"/>
      <w:bookmarkStart w:id="59" w:name="_Toc343527108"/>
      <w:bookmarkStart w:id="60" w:name="_Toc343581846"/>
      <w:bookmarkStart w:id="61" w:name="_Toc343597302"/>
      <w:bookmarkStart w:id="62" w:name="_Toc343526389"/>
      <w:bookmarkStart w:id="63" w:name="_Toc343526578"/>
      <w:bookmarkStart w:id="64" w:name="_Toc343526857"/>
      <w:bookmarkStart w:id="65" w:name="_Toc343527109"/>
      <w:bookmarkStart w:id="66" w:name="_Toc343581847"/>
      <w:bookmarkStart w:id="67" w:name="_Toc343597303"/>
      <w:bookmarkStart w:id="68" w:name="_Toc343526390"/>
      <w:bookmarkStart w:id="69" w:name="_Toc343526579"/>
      <w:bookmarkStart w:id="70" w:name="_Toc343526858"/>
      <w:bookmarkStart w:id="71" w:name="_Toc343527110"/>
      <w:bookmarkStart w:id="72" w:name="_Toc343581848"/>
      <w:bookmarkStart w:id="73" w:name="_Toc343597304"/>
      <w:bookmarkStart w:id="74" w:name="_Toc343526391"/>
      <w:bookmarkStart w:id="75" w:name="_Toc343526580"/>
      <w:bookmarkStart w:id="76" w:name="_Toc343526859"/>
      <w:bookmarkStart w:id="77" w:name="_Toc343527111"/>
      <w:bookmarkStart w:id="78" w:name="_Toc343581849"/>
      <w:bookmarkStart w:id="79" w:name="_Toc343597305"/>
      <w:bookmarkStart w:id="80" w:name="_Toc343526392"/>
      <w:bookmarkStart w:id="81" w:name="_Toc343526581"/>
      <w:bookmarkStart w:id="82" w:name="_Toc343526860"/>
      <w:bookmarkStart w:id="83" w:name="_Toc343527112"/>
      <w:bookmarkStart w:id="84" w:name="_Toc343581850"/>
      <w:bookmarkStart w:id="85" w:name="_Toc343597306"/>
      <w:bookmarkStart w:id="86" w:name="_Toc343526394"/>
      <w:bookmarkStart w:id="87" w:name="_Toc343526583"/>
      <w:bookmarkStart w:id="88" w:name="_Toc343526862"/>
      <w:bookmarkStart w:id="89" w:name="_Toc343527114"/>
      <w:bookmarkStart w:id="90" w:name="_Toc343581852"/>
      <w:bookmarkStart w:id="91" w:name="_Toc343597308"/>
      <w:bookmarkStart w:id="92" w:name="_Toc343526396"/>
      <w:bookmarkStart w:id="93" w:name="_Toc343526585"/>
      <w:bookmarkStart w:id="94" w:name="_Toc343526864"/>
      <w:bookmarkStart w:id="95" w:name="_Toc343527116"/>
      <w:bookmarkStart w:id="96" w:name="_Toc343581854"/>
      <w:bookmarkStart w:id="97" w:name="_Toc343597310"/>
      <w:bookmarkStart w:id="98" w:name="_Toc343526397"/>
      <w:bookmarkStart w:id="99" w:name="_Toc343526586"/>
      <w:bookmarkStart w:id="100" w:name="_Toc343526865"/>
      <w:bookmarkStart w:id="101" w:name="_Toc343527117"/>
      <w:bookmarkStart w:id="102" w:name="_Toc343581855"/>
      <w:bookmarkStart w:id="103" w:name="_Toc343597311"/>
      <w:bookmarkStart w:id="104" w:name="_Toc343526399"/>
      <w:bookmarkStart w:id="105" w:name="_Toc343526588"/>
      <w:bookmarkStart w:id="106" w:name="_Toc343526867"/>
      <w:bookmarkStart w:id="107" w:name="_Toc343527119"/>
      <w:bookmarkStart w:id="108" w:name="_Toc343581857"/>
      <w:bookmarkStart w:id="109" w:name="_Toc343597313"/>
      <w:bookmarkStart w:id="110" w:name="_Toc343526402"/>
      <w:bookmarkStart w:id="111" w:name="_Toc343526591"/>
      <w:bookmarkStart w:id="112" w:name="_Toc343526870"/>
      <w:bookmarkStart w:id="113" w:name="_Toc343527122"/>
      <w:bookmarkStart w:id="114" w:name="_Toc343581860"/>
      <w:bookmarkStart w:id="115" w:name="_Toc343597316"/>
      <w:bookmarkStart w:id="116" w:name="_Toc343526405"/>
      <w:bookmarkStart w:id="117" w:name="_Toc343526594"/>
      <w:bookmarkStart w:id="118" w:name="_Toc343526873"/>
      <w:bookmarkStart w:id="119" w:name="_Toc343527125"/>
      <w:bookmarkStart w:id="120" w:name="_Toc343581863"/>
      <w:bookmarkStart w:id="121" w:name="_Toc343597319"/>
      <w:bookmarkStart w:id="122" w:name="_Toc343526406"/>
      <w:bookmarkStart w:id="123" w:name="_Toc343526595"/>
      <w:bookmarkStart w:id="124" w:name="_Toc343526874"/>
      <w:bookmarkStart w:id="125" w:name="_Toc343527126"/>
      <w:bookmarkStart w:id="126" w:name="_Toc343581864"/>
      <w:bookmarkStart w:id="127" w:name="_Toc343584131"/>
      <w:bookmarkStart w:id="128" w:name="_Toc343584242"/>
      <w:bookmarkStart w:id="129" w:name="_Toc343584257"/>
      <w:bookmarkStart w:id="130" w:name="_Toc343585426"/>
      <w:bookmarkStart w:id="131" w:name="_Toc343585485"/>
      <w:bookmarkStart w:id="132" w:name="_Toc343585500"/>
      <w:bookmarkStart w:id="133" w:name="_Toc343585644"/>
      <w:bookmarkStart w:id="134" w:name="_Toc343585673"/>
      <w:bookmarkStart w:id="135" w:name="_Toc343586791"/>
      <w:bookmarkStart w:id="136" w:name="_Toc343596833"/>
      <w:bookmarkStart w:id="137" w:name="_Toc343597320"/>
      <w:bookmarkStart w:id="138" w:name="_Toc343494390"/>
      <w:bookmarkStart w:id="139" w:name="_Toc343526410"/>
      <w:bookmarkStart w:id="140" w:name="_Toc343526599"/>
      <w:bookmarkStart w:id="141" w:name="_Toc343526878"/>
      <w:bookmarkStart w:id="142" w:name="_Toc343527130"/>
      <w:bookmarkStart w:id="143" w:name="_Toc343581868"/>
      <w:bookmarkStart w:id="144" w:name="_Toc343597324"/>
      <w:bookmarkStart w:id="145" w:name="_Toc343494462"/>
      <w:bookmarkStart w:id="146" w:name="_Toc343526506"/>
      <w:bookmarkStart w:id="147" w:name="_Toc343526695"/>
      <w:bookmarkStart w:id="148" w:name="_Toc343526974"/>
      <w:bookmarkStart w:id="149" w:name="_Toc343527226"/>
      <w:bookmarkStart w:id="150" w:name="_Toc343581964"/>
      <w:bookmarkStart w:id="151" w:name="_Toc343597420"/>
      <w:bookmarkStart w:id="152" w:name="_Toc343526507"/>
      <w:bookmarkStart w:id="153" w:name="_Toc343526696"/>
      <w:bookmarkStart w:id="154" w:name="_Toc343526975"/>
      <w:bookmarkStart w:id="155" w:name="_Toc343527227"/>
      <w:bookmarkStart w:id="156" w:name="_Toc343581965"/>
      <w:bookmarkStart w:id="157" w:name="_Toc343597421"/>
      <w:bookmarkStart w:id="158" w:name="_Toc362274272"/>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r w:rsidRPr="00B41CFA">
        <w:rPr>
          <w:sz w:val="24"/>
        </w:rPr>
        <w:t>Background</w:t>
      </w:r>
      <w:bookmarkEnd w:id="158"/>
    </w:p>
    <w:p w:rsidR="00CD19B4" w:rsidRPr="0065723C" w:rsidRDefault="00CD19B4" w:rsidP="00CD19B4">
      <w:pPr>
        <w:pStyle w:val="Body"/>
        <w:rPr>
          <w:sz w:val="24"/>
          <w:szCs w:val="24"/>
        </w:rPr>
      </w:pPr>
      <w:r w:rsidRPr="0065723C">
        <w:rPr>
          <w:sz w:val="24"/>
          <w:szCs w:val="24"/>
        </w:rPr>
        <w:t xml:space="preserve">This section presents the findings of targeted stakeholder consultations conducted for the CBA and other associated processes. The findings from the stakeholders consulted inform the CBA modelling presented in </w:t>
      </w:r>
      <w:r w:rsidR="00487618" w:rsidRPr="0065723C">
        <w:rPr>
          <w:sz w:val="24"/>
          <w:szCs w:val="24"/>
        </w:rPr>
        <w:t>later sections.</w:t>
      </w:r>
      <w:r w:rsidRPr="0065723C">
        <w:rPr>
          <w:sz w:val="24"/>
          <w:szCs w:val="24"/>
        </w:rPr>
        <w:t xml:space="preserve"> In particular, </w:t>
      </w:r>
      <w:r w:rsidR="00B81C4F" w:rsidRPr="0065723C">
        <w:rPr>
          <w:sz w:val="24"/>
          <w:szCs w:val="24"/>
        </w:rPr>
        <w:t>the findings were used to</w:t>
      </w:r>
      <w:r w:rsidRPr="0065723C">
        <w:rPr>
          <w:sz w:val="24"/>
          <w:szCs w:val="24"/>
        </w:rPr>
        <w:t xml:space="preserve"> establish whether, and to what degree, other users of the shipping anchorage areas are currently impacted by </w:t>
      </w:r>
      <w:r w:rsidR="00B81C4F" w:rsidRPr="0065723C">
        <w:rPr>
          <w:sz w:val="24"/>
          <w:szCs w:val="24"/>
        </w:rPr>
        <w:t xml:space="preserve">commercial </w:t>
      </w:r>
      <w:r w:rsidRPr="0065723C">
        <w:rPr>
          <w:sz w:val="24"/>
          <w:szCs w:val="24"/>
        </w:rPr>
        <w:t xml:space="preserve">shipping and how this would change with any expansions in ship anchorages in the future. </w:t>
      </w:r>
    </w:p>
    <w:p w:rsidR="00CD19B4" w:rsidRPr="00B41CFA" w:rsidRDefault="00CD19B4" w:rsidP="00CD19B4">
      <w:pPr>
        <w:pStyle w:val="Heading3"/>
        <w:rPr>
          <w:sz w:val="24"/>
        </w:rPr>
      </w:pPr>
      <w:bookmarkStart w:id="159" w:name="_Toc362274273"/>
      <w:r w:rsidRPr="00B41CFA">
        <w:rPr>
          <w:sz w:val="24"/>
        </w:rPr>
        <w:t>Data sources</w:t>
      </w:r>
      <w:bookmarkEnd w:id="159"/>
    </w:p>
    <w:p w:rsidR="00114796" w:rsidRPr="0065723C" w:rsidRDefault="00CD19B4" w:rsidP="00114796">
      <w:pPr>
        <w:pStyle w:val="Body"/>
        <w:rPr>
          <w:sz w:val="24"/>
          <w:szCs w:val="24"/>
        </w:rPr>
      </w:pPr>
      <w:r w:rsidRPr="0065723C">
        <w:rPr>
          <w:sz w:val="24"/>
          <w:szCs w:val="24"/>
        </w:rPr>
        <w:t xml:space="preserve">As highlighted in section </w:t>
      </w:r>
      <w:r w:rsidR="00CD38ED" w:rsidRPr="0065723C">
        <w:rPr>
          <w:sz w:val="24"/>
          <w:szCs w:val="24"/>
        </w:rPr>
        <w:fldChar w:fldCharType="begin"/>
      </w:r>
      <w:r w:rsidRPr="0065723C">
        <w:rPr>
          <w:sz w:val="24"/>
          <w:szCs w:val="24"/>
        </w:rPr>
        <w:instrText xml:space="preserve"> REF _Ref343580587 \r \h </w:instrText>
      </w:r>
      <w:r w:rsidR="0065723C">
        <w:rPr>
          <w:sz w:val="24"/>
          <w:szCs w:val="24"/>
        </w:rPr>
        <w:instrText xml:space="preserve"> \* MERGEFORMAT </w:instrText>
      </w:r>
      <w:r w:rsidR="00CD38ED" w:rsidRPr="0065723C">
        <w:rPr>
          <w:sz w:val="24"/>
          <w:szCs w:val="24"/>
        </w:rPr>
      </w:r>
      <w:r w:rsidR="00CD38ED" w:rsidRPr="0065723C">
        <w:rPr>
          <w:sz w:val="24"/>
          <w:szCs w:val="24"/>
        </w:rPr>
        <w:fldChar w:fldCharType="separate"/>
      </w:r>
      <w:r w:rsidR="005F6E51">
        <w:rPr>
          <w:sz w:val="24"/>
          <w:szCs w:val="24"/>
        </w:rPr>
        <w:t>2.2</w:t>
      </w:r>
      <w:r w:rsidR="00CD38ED" w:rsidRPr="0065723C">
        <w:rPr>
          <w:sz w:val="24"/>
          <w:szCs w:val="24"/>
        </w:rPr>
        <w:fldChar w:fldCharType="end"/>
      </w:r>
      <w:r w:rsidRPr="0065723C">
        <w:rPr>
          <w:sz w:val="24"/>
          <w:szCs w:val="24"/>
        </w:rPr>
        <w:t xml:space="preserve">, targeted stakeholder engagement was undertaken to inform the </w:t>
      </w:r>
      <w:r w:rsidR="008D545D">
        <w:rPr>
          <w:sz w:val="24"/>
          <w:szCs w:val="24"/>
        </w:rPr>
        <w:t>CBA</w:t>
      </w:r>
      <w:r w:rsidRPr="0065723C">
        <w:rPr>
          <w:sz w:val="24"/>
          <w:szCs w:val="24"/>
        </w:rPr>
        <w:t xml:space="preserve"> consisting of 11 one-on-one interviews and a workshop with 14 participants held in October 2012. Representatives from a variety of stakeholder groups were invited to participate, however, participants were limited to those </w:t>
      </w:r>
      <w:r w:rsidR="002B71DC" w:rsidRPr="0065723C">
        <w:rPr>
          <w:sz w:val="24"/>
          <w:szCs w:val="24"/>
        </w:rPr>
        <w:t>available</w:t>
      </w:r>
      <w:r w:rsidRPr="0065723C">
        <w:rPr>
          <w:sz w:val="24"/>
          <w:szCs w:val="24"/>
        </w:rPr>
        <w:t xml:space="preserve"> to participate within the timeframes of the study</w:t>
      </w:r>
      <w:r w:rsidR="00257863" w:rsidRPr="0065723C">
        <w:rPr>
          <w:sz w:val="24"/>
          <w:szCs w:val="24"/>
        </w:rPr>
        <w:t xml:space="preserve"> T</w:t>
      </w:r>
      <w:r w:rsidR="00114796" w:rsidRPr="0065723C">
        <w:rPr>
          <w:sz w:val="24"/>
          <w:szCs w:val="24"/>
        </w:rPr>
        <w:t xml:space="preserve">his study did not obtain information about the cultural values and issues of importance to Traditional Owners. </w:t>
      </w:r>
      <w:r w:rsidRPr="0065723C">
        <w:rPr>
          <w:sz w:val="24"/>
          <w:szCs w:val="24"/>
        </w:rPr>
        <w:t xml:space="preserve">Represented parties are noted in section </w:t>
      </w:r>
      <w:r w:rsidR="00CD38ED" w:rsidRPr="0065723C">
        <w:rPr>
          <w:sz w:val="24"/>
          <w:szCs w:val="24"/>
        </w:rPr>
        <w:fldChar w:fldCharType="begin"/>
      </w:r>
      <w:r w:rsidRPr="0065723C">
        <w:rPr>
          <w:sz w:val="24"/>
          <w:szCs w:val="24"/>
        </w:rPr>
        <w:instrText xml:space="preserve"> REF _Ref343580600 \r \h </w:instrText>
      </w:r>
      <w:r w:rsidR="0065723C">
        <w:rPr>
          <w:sz w:val="24"/>
          <w:szCs w:val="24"/>
        </w:rPr>
        <w:instrText xml:space="preserve"> \* MERGEFORMAT </w:instrText>
      </w:r>
      <w:r w:rsidR="00CD38ED" w:rsidRPr="0065723C">
        <w:rPr>
          <w:sz w:val="24"/>
          <w:szCs w:val="24"/>
        </w:rPr>
      </w:r>
      <w:r w:rsidR="00CD38ED" w:rsidRPr="0065723C">
        <w:rPr>
          <w:sz w:val="24"/>
          <w:szCs w:val="24"/>
        </w:rPr>
        <w:fldChar w:fldCharType="separate"/>
      </w:r>
      <w:r w:rsidR="005F6E51">
        <w:rPr>
          <w:sz w:val="24"/>
          <w:szCs w:val="24"/>
        </w:rPr>
        <w:t>2.2.1</w:t>
      </w:r>
      <w:r w:rsidR="00CD38ED" w:rsidRPr="0065723C">
        <w:rPr>
          <w:sz w:val="24"/>
          <w:szCs w:val="24"/>
        </w:rPr>
        <w:fldChar w:fldCharType="end"/>
      </w:r>
      <w:r w:rsidRPr="0065723C">
        <w:rPr>
          <w:sz w:val="24"/>
          <w:szCs w:val="24"/>
        </w:rPr>
        <w:t>.</w:t>
      </w:r>
      <w:r w:rsidR="00114796" w:rsidRPr="0065723C">
        <w:rPr>
          <w:sz w:val="24"/>
          <w:szCs w:val="24"/>
        </w:rPr>
        <w:t xml:space="preserve"> </w:t>
      </w:r>
    </w:p>
    <w:p w:rsidR="00114796" w:rsidRPr="0065723C" w:rsidRDefault="00CD19B4" w:rsidP="00CD19B4">
      <w:pPr>
        <w:pStyle w:val="Body"/>
        <w:rPr>
          <w:sz w:val="24"/>
          <w:szCs w:val="24"/>
        </w:rPr>
      </w:pPr>
      <w:r w:rsidRPr="0065723C">
        <w:rPr>
          <w:sz w:val="24"/>
          <w:szCs w:val="24"/>
        </w:rPr>
        <w:t xml:space="preserve">In additional to the targeted consultation activities, social inputs to the </w:t>
      </w:r>
      <w:r w:rsidR="008D545D">
        <w:rPr>
          <w:sz w:val="24"/>
          <w:szCs w:val="24"/>
        </w:rPr>
        <w:t>CBA</w:t>
      </w:r>
      <w:r w:rsidRPr="0065723C">
        <w:rPr>
          <w:sz w:val="24"/>
          <w:szCs w:val="24"/>
        </w:rPr>
        <w:t xml:space="preserve"> have been informed by the Environmental Impact Assessment Report (phase 1) and EIA Consultation Report (GHD 2012</w:t>
      </w:r>
      <w:r w:rsidR="0047666F" w:rsidRPr="0065723C">
        <w:rPr>
          <w:sz w:val="24"/>
          <w:szCs w:val="24"/>
        </w:rPr>
        <w:t>a</w:t>
      </w:r>
      <w:r w:rsidRPr="0065723C">
        <w:rPr>
          <w:sz w:val="24"/>
          <w:szCs w:val="24"/>
        </w:rPr>
        <w:t>)</w:t>
      </w:r>
      <w:r w:rsidR="00D351E8" w:rsidRPr="0065723C">
        <w:rPr>
          <w:sz w:val="24"/>
          <w:szCs w:val="24"/>
        </w:rPr>
        <w:t xml:space="preserve"> and ongoing liaison with GBRMPA</w:t>
      </w:r>
      <w:r w:rsidRPr="0065723C">
        <w:rPr>
          <w:sz w:val="24"/>
          <w:szCs w:val="24"/>
        </w:rPr>
        <w:t>. To support the phase 1 findings, an EIA workshop was held at GBRMPA’s offices in Townsville on 25 September 2012 with representatives from GBRMPA, GPCL, MSQ, POTL, NQBP, Ports North and AMSA.</w:t>
      </w:r>
    </w:p>
    <w:p w:rsidR="00CD19B4" w:rsidRPr="00B41CFA" w:rsidRDefault="00CD19B4" w:rsidP="00CD19B4">
      <w:pPr>
        <w:pStyle w:val="Heading2"/>
        <w:rPr>
          <w:sz w:val="24"/>
        </w:rPr>
      </w:pPr>
      <w:bookmarkStart w:id="160" w:name="_Toc362274274"/>
      <w:r w:rsidRPr="00B41CFA">
        <w:rPr>
          <w:sz w:val="24"/>
        </w:rPr>
        <w:t>General findings on social issues associated with ship anchorages</w:t>
      </w:r>
      <w:bookmarkEnd w:id="160"/>
    </w:p>
    <w:p w:rsidR="00CD19B4" w:rsidRPr="0065723C" w:rsidRDefault="00CD19B4" w:rsidP="00CD19B4">
      <w:pPr>
        <w:pStyle w:val="Body"/>
        <w:rPr>
          <w:sz w:val="24"/>
          <w:szCs w:val="24"/>
        </w:rPr>
      </w:pPr>
      <w:r w:rsidRPr="0065723C">
        <w:rPr>
          <w:sz w:val="24"/>
          <w:szCs w:val="24"/>
        </w:rPr>
        <w:t xml:space="preserve">As part of the EIA workshop conducted in September 2012, participants identified 130 different potential impacts that could result from anchorage area use. Two categories of potential impacts accounted for nearly 40 per cent of all potential impacts identified. These were: </w:t>
      </w:r>
    </w:p>
    <w:p w:rsidR="00CD19B4" w:rsidRPr="0065723C" w:rsidRDefault="00CD19B4" w:rsidP="00CD19B4">
      <w:pPr>
        <w:pStyle w:val="Body"/>
        <w:numPr>
          <w:ilvl w:val="0"/>
          <w:numId w:val="26"/>
        </w:numPr>
        <w:rPr>
          <w:sz w:val="24"/>
          <w:szCs w:val="24"/>
        </w:rPr>
      </w:pPr>
      <w:r w:rsidRPr="0065723C">
        <w:rPr>
          <w:sz w:val="24"/>
          <w:szCs w:val="24"/>
        </w:rPr>
        <w:t>Impacts to the benthic environment from anchoring and associated ship behaviour such as chain drag or release of wastes and other pollutants while at anchor.</w:t>
      </w:r>
    </w:p>
    <w:p w:rsidR="00CD19B4" w:rsidRPr="0065723C" w:rsidRDefault="00CD19B4" w:rsidP="00CD19B4">
      <w:pPr>
        <w:pStyle w:val="Body"/>
        <w:numPr>
          <w:ilvl w:val="0"/>
          <w:numId w:val="26"/>
        </w:numPr>
        <w:rPr>
          <w:sz w:val="24"/>
          <w:szCs w:val="24"/>
        </w:rPr>
      </w:pPr>
      <w:r w:rsidRPr="0065723C">
        <w:rPr>
          <w:sz w:val="24"/>
          <w:szCs w:val="24"/>
        </w:rPr>
        <w:t>Impacts on the aesthetic value of the World Heritage Area (as viewed from land) as a result of vessels sitting at anchor or undertaking other supply chain activities.</w:t>
      </w:r>
    </w:p>
    <w:p w:rsidR="00CD19B4" w:rsidRPr="0065723C" w:rsidRDefault="00CD19B4" w:rsidP="00CD19B4">
      <w:pPr>
        <w:pStyle w:val="Body"/>
        <w:rPr>
          <w:sz w:val="24"/>
          <w:szCs w:val="24"/>
        </w:rPr>
      </w:pPr>
      <w:r w:rsidRPr="0065723C">
        <w:rPr>
          <w:sz w:val="24"/>
          <w:szCs w:val="24"/>
        </w:rPr>
        <w:t>Other potential impacts included:</w:t>
      </w:r>
    </w:p>
    <w:p w:rsidR="00CD19B4" w:rsidRPr="0065723C" w:rsidRDefault="00CD19B4" w:rsidP="00CD19B4">
      <w:pPr>
        <w:pStyle w:val="Body"/>
        <w:numPr>
          <w:ilvl w:val="0"/>
          <w:numId w:val="27"/>
        </w:numPr>
        <w:rPr>
          <w:sz w:val="24"/>
          <w:szCs w:val="24"/>
        </w:rPr>
      </w:pPr>
      <w:r w:rsidRPr="0065723C">
        <w:rPr>
          <w:sz w:val="24"/>
          <w:szCs w:val="24"/>
        </w:rPr>
        <w:t>Ship safety</w:t>
      </w:r>
    </w:p>
    <w:p w:rsidR="00CD19B4" w:rsidRPr="0065723C" w:rsidRDefault="00CD19B4" w:rsidP="00CD19B4">
      <w:pPr>
        <w:pStyle w:val="Body"/>
        <w:numPr>
          <w:ilvl w:val="0"/>
          <w:numId w:val="27"/>
        </w:numPr>
        <w:rPr>
          <w:sz w:val="24"/>
          <w:szCs w:val="24"/>
        </w:rPr>
      </w:pPr>
      <w:r w:rsidRPr="0065723C">
        <w:rPr>
          <w:sz w:val="24"/>
          <w:szCs w:val="24"/>
        </w:rPr>
        <w:t xml:space="preserve">Influence on other users of the </w:t>
      </w:r>
      <w:r w:rsidR="002B71DC" w:rsidRPr="0065723C">
        <w:rPr>
          <w:sz w:val="24"/>
          <w:szCs w:val="24"/>
        </w:rPr>
        <w:t>M</w:t>
      </w:r>
      <w:r w:rsidRPr="0065723C">
        <w:rPr>
          <w:sz w:val="24"/>
          <w:szCs w:val="24"/>
        </w:rPr>
        <w:t xml:space="preserve">arine </w:t>
      </w:r>
      <w:r w:rsidR="002B71DC" w:rsidRPr="0065723C">
        <w:rPr>
          <w:sz w:val="24"/>
          <w:szCs w:val="24"/>
        </w:rPr>
        <w:t>P</w:t>
      </w:r>
      <w:r w:rsidRPr="0065723C">
        <w:rPr>
          <w:sz w:val="24"/>
          <w:szCs w:val="24"/>
        </w:rPr>
        <w:t>ark</w:t>
      </w:r>
    </w:p>
    <w:p w:rsidR="00CD19B4" w:rsidRPr="0065723C" w:rsidRDefault="00CD19B4" w:rsidP="00CD19B4">
      <w:pPr>
        <w:pStyle w:val="Body"/>
        <w:numPr>
          <w:ilvl w:val="0"/>
          <w:numId w:val="27"/>
        </w:numPr>
        <w:rPr>
          <w:sz w:val="24"/>
          <w:szCs w:val="24"/>
        </w:rPr>
      </w:pPr>
      <w:r w:rsidRPr="0065723C">
        <w:rPr>
          <w:sz w:val="24"/>
          <w:szCs w:val="24"/>
        </w:rPr>
        <w:t>Marine pests</w:t>
      </w:r>
    </w:p>
    <w:p w:rsidR="00CD19B4" w:rsidRPr="0065723C" w:rsidRDefault="00CD19B4" w:rsidP="00CD19B4">
      <w:pPr>
        <w:pStyle w:val="Body"/>
        <w:numPr>
          <w:ilvl w:val="0"/>
          <w:numId w:val="27"/>
        </w:numPr>
        <w:rPr>
          <w:sz w:val="24"/>
          <w:szCs w:val="24"/>
        </w:rPr>
      </w:pPr>
      <w:r w:rsidRPr="0065723C">
        <w:rPr>
          <w:sz w:val="24"/>
          <w:szCs w:val="24"/>
        </w:rPr>
        <w:t>Pollution other than that from wastes released at anchor</w:t>
      </w:r>
    </w:p>
    <w:p w:rsidR="00CD19B4" w:rsidRPr="0065723C" w:rsidRDefault="00CD19B4" w:rsidP="00CD19B4">
      <w:pPr>
        <w:pStyle w:val="Body"/>
        <w:numPr>
          <w:ilvl w:val="0"/>
          <w:numId w:val="27"/>
        </w:numPr>
        <w:rPr>
          <w:sz w:val="24"/>
          <w:szCs w:val="24"/>
        </w:rPr>
      </w:pPr>
      <w:r w:rsidRPr="0065723C">
        <w:rPr>
          <w:sz w:val="24"/>
          <w:szCs w:val="24"/>
        </w:rPr>
        <w:lastRenderedPageBreak/>
        <w:t>Efficient and effective management of anchorages, port operations and the Marine Park.</w:t>
      </w:r>
    </w:p>
    <w:p w:rsidR="00CD19B4" w:rsidRPr="0065723C" w:rsidRDefault="00CD19B4" w:rsidP="00CD19B4">
      <w:pPr>
        <w:pStyle w:val="Body"/>
        <w:rPr>
          <w:sz w:val="24"/>
          <w:szCs w:val="24"/>
        </w:rPr>
      </w:pPr>
      <w:r w:rsidRPr="0065723C">
        <w:rPr>
          <w:sz w:val="24"/>
          <w:szCs w:val="24"/>
        </w:rPr>
        <w:t>This suggests that for stakeholders consulted</w:t>
      </w:r>
      <w:r w:rsidR="00487618" w:rsidRPr="0065723C">
        <w:rPr>
          <w:sz w:val="24"/>
          <w:szCs w:val="24"/>
        </w:rPr>
        <w:t xml:space="preserve"> within this project</w:t>
      </w:r>
      <w:r w:rsidRPr="0065723C">
        <w:rPr>
          <w:sz w:val="24"/>
          <w:szCs w:val="24"/>
        </w:rPr>
        <w:t>, environmental issues are a priority. Social impacts such as aesthetic values and sustainable use of the Marine Park by multiple users are also important issues to be considered with regard to ship anchorages in the Great Barrier Reef World Heritage Area. The social issues relevant to ship anchorages</w:t>
      </w:r>
      <w:r w:rsidR="00487618" w:rsidRPr="0065723C">
        <w:rPr>
          <w:sz w:val="24"/>
          <w:szCs w:val="24"/>
        </w:rPr>
        <w:t>,</w:t>
      </w:r>
      <w:r w:rsidRPr="0065723C">
        <w:rPr>
          <w:sz w:val="24"/>
          <w:szCs w:val="24"/>
        </w:rPr>
        <w:t xml:space="preserve"> as described by stakeholders consulted</w:t>
      </w:r>
      <w:r w:rsidR="00487618" w:rsidRPr="0065723C">
        <w:rPr>
          <w:sz w:val="24"/>
          <w:szCs w:val="24"/>
        </w:rPr>
        <w:t>,</w:t>
      </w:r>
      <w:r w:rsidRPr="0065723C">
        <w:rPr>
          <w:sz w:val="24"/>
          <w:szCs w:val="24"/>
        </w:rPr>
        <w:t xml:space="preserve"> are summarised</w:t>
      </w:r>
      <w:r w:rsidR="00487618" w:rsidRPr="0065723C">
        <w:rPr>
          <w:sz w:val="24"/>
          <w:szCs w:val="24"/>
        </w:rPr>
        <w:t xml:space="preserve"> below</w:t>
      </w:r>
      <w:r w:rsidRPr="0065723C">
        <w:rPr>
          <w:sz w:val="24"/>
          <w:szCs w:val="24"/>
        </w:rPr>
        <w:t>.</w:t>
      </w:r>
    </w:p>
    <w:p w:rsidR="00CD19B4" w:rsidRPr="00B41CFA" w:rsidRDefault="00CD19B4" w:rsidP="00CD19B4">
      <w:pPr>
        <w:pStyle w:val="Heading3"/>
        <w:rPr>
          <w:sz w:val="24"/>
        </w:rPr>
      </w:pPr>
      <w:bookmarkStart w:id="161" w:name="_Toc362274275"/>
      <w:r w:rsidRPr="00B41CFA">
        <w:rPr>
          <w:sz w:val="24"/>
        </w:rPr>
        <w:t>Altered aesthetic value</w:t>
      </w:r>
      <w:bookmarkEnd w:id="161"/>
    </w:p>
    <w:p w:rsidR="00CD19B4" w:rsidRPr="0065723C" w:rsidRDefault="00CD19B4" w:rsidP="00CD19B4">
      <w:pPr>
        <w:pStyle w:val="Body"/>
        <w:rPr>
          <w:sz w:val="24"/>
          <w:szCs w:val="24"/>
        </w:rPr>
      </w:pPr>
      <w:r w:rsidRPr="0065723C">
        <w:rPr>
          <w:sz w:val="24"/>
          <w:szCs w:val="24"/>
        </w:rPr>
        <w:t xml:space="preserve">The Environmental Impact Assessment Report prepared for phase 1 (GHD, 2012) identified that the anchorage areas are visible to residents and tourists from land during both day and night at all ports, with the exception of Abbot Point. Whether this creates an impact to the vista of the Reef is subjective. The presence of anchored vessels has potential to detract from the natural state of the vista from both the shoreline and moving vessels </w:t>
      </w:r>
      <w:r w:rsidR="000F20B5" w:rsidRPr="0065723C">
        <w:rPr>
          <w:sz w:val="24"/>
          <w:szCs w:val="24"/>
        </w:rPr>
        <w:t xml:space="preserve">travelling </w:t>
      </w:r>
      <w:r w:rsidRPr="0065723C">
        <w:rPr>
          <w:sz w:val="24"/>
          <w:szCs w:val="24"/>
        </w:rPr>
        <w:t xml:space="preserve">to </w:t>
      </w:r>
      <w:r w:rsidR="000F20B5" w:rsidRPr="0065723C">
        <w:rPr>
          <w:sz w:val="24"/>
          <w:szCs w:val="24"/>
        </w:rPr>
        <w:t xml:space="preserve">and from </w:t>
      </w:r>
      <w:r w:rsidRPr="0065723C">
        <w:rPr>
          <w:sz w:val="24"/>
          <w:szCs w:val="24"/>
        </w:rPr>
        <w:t xml:space="preserve">the Reef, however, in some instances, the ports are recognised as a tourism opportunity along the ‘grey nomad’ trail (refer to section </w:t>
      </w:r>
      <w:r w:rsidR="00CD38ED" w:rsidRPr="0065723C">
        <w:rPr>
          <w:sz w:val="24"/>
          <w:szCs w:val="24"/>
        </w:rPr>
        <w:fldChar w:fldCharType="begin"/>
      </w:r>
      <w:r w:rsidRPr="0065723C">
        <w:rPr>
          <w:sz w:val="24"/>
          <w:szCs w:val="24"/>
        </w:rPr>
        <w:instrText xml:space="preserve"> REF _Ref343500884 \r \h </w:instrText>
      </w:r>
      <w:r w:rsidR="0065723C">
        <w:rPr>
          <w:sz w:val="24"/>
          <w:szCs w:val="24"/>
        </w:rPr>
        <w:instrText xml:space="preserve"> \* MERGEFORMAT </w:instrText>
      </w:r>
      <w:r w:rsidR="00CD38ED" w:rsidRPr="0065723C">
        <w:rPr>
          <w:sz w:val="24"/>
          <w:szCs w:val="24"/>
        </w:rPr>
      </w:r>
      <w:r w:rsidR="00CD38ED" w:rsidRPr="0065723C">
        <w:rPr>
          <w:sz w:val="24"/>
          <w:szCs w:val="24"/>
        </w:rPr>
        <w:fldChar w:fldCharType="separate"/>
      </w:r>
      <w:r w:rsidR="005F6E51">
        <w:rPr>
          <w:sz w:val="24"/>
          <w:szCs w:val="24"/>
        </w:rPr>
        <w:t>3.3.1</w:t>
      </w:r>
      <w:r w:rsidR="00CD38ED" w:rsidRPr="0065723C">
        <w:rPr>
          <w:sz w:val="24"/>
          <w:szCs w:val="24"/>
        </w:rPr>
        <w:fldChar w:fldCharType="end"/>
      </w:r>
      <w:r w:rsidRPr="0065723C">
        <w:rPr>
          <w:sz w:val="24"/>
          <w:szCs w:val="24"/>
        </w:rPr>
        <w:t>).</w:t>
      </w:r>
    </w:p>
    <w:p w:rsidR="00CD19B4" w:rsidRPr="0065723C" w:rsidRDefault="00CD19B4" w:rsidP="00CD19B4">
      <w:pPr>
        <w:pStyle w:val="Body"/>
        <w:rPr>
          <w:sz w:val="24"/>
          <w:szCs w:val="24"/>
        </w:rPr>
      </w:pPr>
      <w:r w:rsidRPr="0065723C">
        <w:rPr>
          <w:sz w:val="24"/>
          <w:szCs w:val="24"/>
        </w:rPr>
        <w:t xml:space="preserve">A draft visual impact assessment undertaken for the Port of Hay Point and tabled at the CBA workshop (yet to be released) suggests that only the first row of ships within </w:t>
      </w:r>
      <w:r w:rsidR="00487618" w:rsidRPr="0065723C">
        <w:rPr>
          <w:sz w:val="24"/>
          <w:szCs w:val="24"/>
        </w:rPr>
        <w:t xml:space="preserve">that </w:t>
      </w:r>
      <w:r w:rsidRPr="0065723C">
        <w:rPr>
          <w:sz w:val="24"/>
          <w:szCs w:val="24"/>
        </w:rPr>
        <w:t xml:space="preserve">anchorage area </w:t>
      </w:r>
      <w:r w:rsidR="000F20B5" w:rsidRPr="0065723C">
        <w:rPr>
          <w:sz w:val="24"/>
          <w:szCs w:val="24"/>
        </w:rPr>
        <w:t>is</w:t>
      </w:r>
      <w:r w:rsidRPr="0065723C">
        <w:rPr>
          <w:sz w:val="24"/>
          <w:szCs w:val="24"/>
        </w:rPr>
        <w:t xml:space="preserve"> visible from the shore </w:t>
      </w:r>
      <w:r w:rsidR="000F20B5" w:rsidRPr="0065723C">
        <w:rPr>
          <w:sz w:val="24"/>
          <w:szCs w:val="24"/>
        </w:rPr>
        <w:t xml:space="preserve">at </w:t>
      </w:r>
      <w:r w:rsidRPr="0065723C">
        <w:rPr>
          <w:sz w:val="24"/>
          <w:szCs w:val="24"/>
        </w:rPr>
        <w:t>ground level. More ships are visible from elevated positions such as the port look-out. This suggests that any expansion of the ship anchorage areas towards the horizon may have little impact on vistas from the shoreline.</w:t>
      </w:r>
    </w:p>
    <w:p w:rsidR="00CD19B4" w:rsidRPr="0065723C" w:rsidRDefault="00CD19B4" w:rsidP="00CD19B4">
      <w:pPr>
        <w:pStyle w:val="Body"/>
        <w:rPr>
          <w:sz w:val="24"/>
          <w:szCs w:val="24"/>
        </w:rPr>
      </w:pPr>
      <w:r w:rsidRPr="0065723C">
        <w:rPr>
          <w:sz w:val="24"/>
          <w:szCs w:val="24"/>
        </w:rPr>
        <w:t>Given the importance of access to the Reef from a tourism perspective, the aesthetic values as visible from tourist vessels and aircraft in transit must also be considered.</w:t>
      </w:r>
    </w:p>
    <w:p w:rsidR="00CD19B4" w:rsidRPr="0065723C" w:rsidRDefault="00CD19B4" w:rsidP="00CD19B4">
      <w:pPr>
        <w:pStyle w:val="Body"/>
        <w:rPr>
          <w:sz w:val="24"/>
          <w:szCs w:val="24"/>
        </w:rPr>
      </w:pPr>
      <w:r w:rsidRPr="0065723C">
        <w:rPr>
          <w:sz w:val="24"/>
          <w:szCs w:val="24"/>
        </w:rPr>
        <w:t>There is, however, a lack of knowledge regarding how the presence of ships at anchor affects the aesthetics of the World Heritage Area and whether or not impacts are consistent across all of the five port anchorage areas. Due to this uncertainty, aesthetic impacts are considered to have a likelihood of affecting the environmental values of the Reef across all of the anchorage areas.</w:t>
      </w:r>
    </w:p>
    <w:p w:rsidR="00CD19B4" w:rsidRPr="0065723C" w:rsidRDefault="00CD19B4" w:rsidP="00CD19B4">
      <w:pPr>
        <w:pStyle w:val="Body"/>
        <w:rPr>
          <w:sz w:val="24"/>
          <w:szCs w:val="24"/>
        </w:rPr>
      </w:pPr>
      <w:r w:rsidRPr="0065723C">
        <w:rPr>
          <w:sz w:val="24"/>
          <w:szCs w:val="24"/>
        </w:rPr>
        <w:t xml:space="preserve">Consultations undertaken for </w:t>
      </w:r>
      <w:r w:rsidR="00F90CA4" w:rsidRPr="0065723C">
        <w:rPr>
          <w:sz w:val="24"/>
          <w:szCs w:val="24"/>
        </w:rPr>
        <w:t xml:space="preserve">this </w:t>
      </w:r>
      <w:r w:rsidRPr="0065723C">
        <w:rPr>
          <w:sz w:val="24"/>
          <w:szCs w:val="24"/>
        </w:rPr>
        <w:t xml:space="preserve">CBA have provided additional information to inform this issue in support for each of the ports as outlined in section </w:t>
      </w:r>
      <w:r w:rsidR="00CD38ED" w:rsidRPr="0065723C">
        <w:rPr>
          <w:sz w:val="24"/>
          <w:szCs w:val="24"/>
        </w:rPr>
        <w:fldChar w:fldCharType="begin"/>
      </w:r>
      <w:r w:rsidRPr="0065723C">
        <w:rPr>
          <w:sz w:val="24"/>
          <w:szCs w:val="24"/>
        </w:rPr>
        <w:instrText xml:space="preserve"> REF _Ref343500360 \r \h </w:instrText>
      </w:r>
      <w:r w:rsidR="0065723C">
        <w:rPr>
          <w:sz w:val="24"/>
          <w:szCs w:val="24"/>
        </w:rPr>
        <w:instrText xml:space="preserve"> \* MERGEFORMAT </w:instrText>
      </w:r>
      <w:r w:rsidR="00CD38ED" w:rsidRPr="0065723C">
        <w:rPr>
          <w:sz w:val="24"/>
          <w:szCs w:val="24"/>
        </w:rPr>
      </w:r>
      <w:r w:rsidR="00CD38ED" w:rsidRPr="0065723C">
        <w:rPr>
          <w:sz w:val="24"/>
          <w:szCs w:val="24"/>
        </w:rPr>
        <w:fldChar w:fldCharType="separate"/>
      </w:r>
      <w:r w:rsidR="005F6E51">
        <w:rPr>
          <w:sz w:val="24"/>
          <w:szCs w:val="24"/>
        </w:rPr>
        <w:t>3.3</w:t>
      </w:r>
      <w:r w:rsidR="00CD38ED" w:rsidRPr="0065723C">
        <w:rPr>
          <w:sz w:val="24"/>
          <w:szCs w:val="24"/>
        </w:rPr>
        <w:fldChar w:fldCharType="end"/>
      </w:r>
      <w:r w:rsidRPr="0065723C">
        <w:rPr>
          <w:sz w:val="24"/>
          <w:szCs w:val="24"/>
        </w:rPr>
        <w:t xml:space="preserve">. </w:t>
      </w:r>
    </w:p>
    <w:p w:rsidR="00CD19B4" w:rsidRPr="00B41CFA" w:rsidRDefault="00CD19B4" w:rsidP="00CD19B4">
      <w:pPr>
        <w:pStyle w:val="Heading3"/>
        <w:rPr>
          <w:sz w:val="24"/>
        </w:rPr>
      </w:pPr>
      <w:bookmarkStart w:id="162" w:name="_Toc362274276"/>
      <w:r w:rsidRPr="00B41CFA">
        <w:rPr>
          <w:sz w:val="24"/>
        </w:rPr>
        <w:t>Interference with access to resources</w:t>
      </w:r>
      <w:bookmarkEnd w:id="162"/>
    </w:p>
    <w:p w:rsidR="00CD19B4" w:rsidRPr="00327573" w:rsidRDefault="00CD19B4" w:rsidP="00CD19B4">
      <w:pPr>
        <w:pStyle w:val="Body"/>
        <w:rPr>
          <w:sz w:val="24"/>
          <w:szCs w:val="24"/>
        </w:rPr>
      </w:pPr>
      <w:r w:rsidRPr="00327573">
        <w:rPr>
          <w:sz w:val="24"/>
          <w:szCs w:val="24"/>
        </w:rPr>
        <w:t xml:space="preserve">A high density of vessels at anchor can interfere with another user’s ability to effectively use that area. Anchorages are naturally positioned offshore of operational port environments and adjacent shipping channels for ease of port access. These areas also support residential and tourist centres that seek to access the Reef environment through use of the shipping channels and surrounding habitat. This offers potential opportunity for conflict of use of the marine environment, particularly with the marine tourism and fisheries sectors who may seek access to the same resources occupied by the ship anchorage areas. </w:t>
      </w:r>
    </w:p>
    <w:p w:rsidR="00CD19B4" w:rsidRPr="00327573" w:rsidRDefault="00CD19B4" w:rsidP="00CD19B4">
      <w:pPr>
        <w:pStyle w:val="Body"/>
        <w:rPr>
          <w:sz w:val="24"/>
          <w:szCs w:val="24"/>
        </w:rPr>
      </w:pPr>
      <w:r w:rsidRPr="00327573">
        <w:rPr>
          <w:sz w:val="24"/>
          <w:szCs w:val="24"/>
        </w:rPr>
        <w:lastRenderedPageBreak/>
        <w:t>Tourism provides a significant economic revenue base for Queensland’s economy. Reef based tourism provides opportunity for international and domestic visitation to the World Heritage Area and plays an important role in facilitating appreciation of the Reef’s values in support of their protection.</w:t>
      </w:r>
    </w:p>
    <w:p w:rsidR="00CD19B4" w:rsidRPr="00327573" w:rsidRDefault="00CD19B4" w:rsidP="00CD19B4">
      <w:pPr>
        <w:pStyle w:val="Body"/>
        <w:rPr>
          <w:sz w:val="24"/>
          <w:szCs w:val="24"/>
        </w:rPr>
      </w:pPr>
      <w:r w:rsidRPr="00327573">
        <w:rPr>
          <w:sz w:val="24"/>
          <w:szCs w:val="24"/>
        </w:rPr>
        <w:t xml:space="preserve">Consultation to date </w:t>
      </w:r>
      <w:r w:rsidR="00F90CA4" w:rsidRPr="00327573">
        <w:rPr>
          <w:sz w:val="24"/>
          <w:szCs w:val="24"/>
        </w:rPr>
        <w:t xml:space="preserve">by this project </w:t>
      </w:r>
      <w:r w:rsidRPr="00327573">
        <w:rPr>
          <w:sz w:val="24"/>
          <w:szCs w:val="24"/>
        </w:rPr>
        <w:t xml:space="preserve">indicates tourism vessels are not detrimentally affected in their passage to the Reef by vessels using the anchorages. These vessels navigate via the shipping channels past the anchorage areas to the offshore reef systems. However, tourists aboard these vessels may be influenced by the presence of vessels at anchor during their journey. </w:t>
      </w:r>
    </w:p>
    <w:p w:rsidR="00CD19B4" w:rsidRPr="00327573" w:rsidRDefault="00CD19B4" w:rsidP="00CD19B4">
      <w:pPr>
        <w:pStyle w:val="Body"/>
        <w:rPr>
          <w:sz w:val="24"/>
          <w:szCs w:val="24"/>
        </w:rPr>
      </w:pPr>
      <w:r w:rsidRPr="00327573">
        <w:rPr>
          <w:sz w:val="24"/>
          <w:szCs w:val="24"/>
        </w:rPr>
        <w:t>Fishing is an important commercial industry in Queensland. Recreational fishing and boating is also a popular pastime for residents of Cairns, Townsville, Mackay (near Hay Point) and Gladstone</w:t>
      </w:r>
      <w:r w:rsidR="001E5972" w:rsidRPr="00327573">
        <w:rPr>
          <w:sz w:val="24"/>
          <w:szCs w:val="24"/>
        </w:rPr>
        <w:t xml:space="preserve"> and demand is predicted to increase</w:t>
      </w:r>
      <w:r w:rsidRPr="00327573">
        <w:rPr>
          <w:sz w:val="24"/>
          <w:szCs w:val="24"/>
        </w:rPr>
        <w:t xml:space="preserve">. All of the anchorage areas under assessment support some level of commercial and/or recreational fishery activity with targeted catch principally through trawl and line activities. </w:t>
      </w:r>
    </w:p>
    <w:p w:rsidR="00CD19B4" w:rsidRPr="00327573" w:rsidRDefault="00CD19B4" w:rsidP="00CD19B4">
      <w:pPr>
        <w:pStyle w:val="Body"/>
        <w:rPr>
          <w:sz w:val="24"/>
          <w:szCs w:val="24"/>
        </w:rPr>
      </w:pPr>
      <w:r w:rsidRPr="00327573">
        <w:rPr>
          <w:sz w:val="24"/>
          <w:szCs w:val="24"/>
        </w:rPr>
        <w:t>In comparison to the tourism sector, it is more likely that conflict of use could exist between the commercial and recreational fishing sector and commercial ship anchorages. Trawl or line fishers targeting prawns or mackerel schooling across anchorages could be required to navigate around vessels at anchor. If density of anchorage was high within a valued fishing ground this could restrict access to fisheries resources</w:t>
      </w:r>
      <w:r w:rsidR="0018493D" w:rsidRPr="00327573">
        <w:rPr>
          <w:sz w:val="24"/>
          <w:szCs w:val="24"/>
        </w:rPr>
        <w:t xml:space="preserve"> and </w:t>
      </w:r>
      <w:r w:rsidR="005C08C3" w:rsidRPr="00327573">
        <w:rPr>
          <w:sz w:val="24"/>
          <w:szCs w:val="24"/>
        </w:rPr>
        <w:t xml:space="preserve">potentially </w:t>
      </w:r>
      <w:r w:rsidR="0018493D" w:rsidRPr="00327573">
        <w:rPr>
          <w:sz w:val="24"/>
          <w:szCs w:val="24"/>
        </w:rPr>
        <w:t xml:space="preserve">reduce </w:t>
      </w:r>
      <w:r w:rsidR="00CE67A0" w:rsidRPr="00327573">
        <w:rPr>
          <w:sz w:val="24"/>
          <w:szCs w:val="24"/>
        </w:rPr>
        <w:t>economic opportunity</w:t>
      </w:r>
      <w:r w:rsidRPr="00327573">
        <w:rPr>
          <w:sz w:val="24"/>
          <w:szCs w:val="24"/>
        </w:rPr>
        <w:t xml:space="preserve">. </w:t>
      </w:r>
      <w:r w:rsidR="008961AB" w:rsidRPr="00327573">
        <w:rPr>
          <w:sz w:val="24"/>
          <w:szCs w:val="24"/>
        </w:rPr>
        <w:t xml:space="preserve">Safety </w:t>
      </w:r>
      <w:r w:rsidR="00163FE5" w:rsidRPr="00327573">
        <w:rPr>
          <w:sz w:val="24"/>
          <w:szCs w:val="24"/>
        </w:rPr>
        <w:t>is</w:t>
      </w:r>
      <w:r w:rsidR="008961AB" w:rsidRPr="00327573">
        <w:rPr>
          <w:sz w:val="24"/>
          <w:szCs w:val="24"/>
        </w:rPr>
        <w:t xml:space="preserve"> a concern on disturbed sites where vessels had previously anchored due to changes in bathymetry</w:t>
      </w:r>
      <w:r w:rsidR="007B2E4C" w:rsidRPr="00327573">
        <w:rPr>
          <w:sz w:val="24"/>
          <w:szCs w:val="24"/>
        </w:rPr>
        <w:t>,</w:t>
      </w:r>
      <w:r w:rsidR="00163FE5" w:rsidRPr="00327573">
        <w:rPr>
          <w:sz w:val="24"/>
          <w:szCs w:val="24"/>
        </w:rPr>
        <w:t xml:space="preserve"> which </w:t>
      </w:r>
      <w:r w:rsidR="00A034E7" w:rsidRPr="00327573">
        <w:rPr>
          <w:sz w:val="24"/>
          <w:szCs w:val="24"/>
        </w:rPr>
        <w:t xml:space="preserve">can </w:t>
      </w:r>
      <w:r w:rsidR="00163FE5" w:rsidRPr="00327573">
        <w:rPr>
          <w:sz w:val="24"/>
          <w:szCs w:val="24"/>
        </w:rPr>
        <w:t>compromise the safe and optimal operation of trawl equipment</w:t>
      </w:r>
      <w:r w:rsidR="008961AB" w:rsidRPr="00327573">
        <w:rPr>
          <w:sz w:val="24"/>
          <w:szCs w:val="24"/>
        </w:rPr>
        <w:t xml:space="preserve">. </w:t>
      </w:r>
      <w:r w:rsidRPr="00327573">
        <w:rPr>
          <w:sz w:val="24"/>
          <w:szCs w:val="24"/>
        </w:rPr>
        <w:t xml:space="preserve">Vessels at anchor may also affect the experience of recreational fishers. Although catch is reported from anchorage areas, the relative contribution of this catch to the overall fishery is unclear. </w:t>
      </w:r>
    </w:p>
    <w:p w:rsidR="00CD19B4" w:rsidRPr="00327573" w:rsidRDefault="00CD19B4" w:rsidP="00CD19B4">
      <w:pPr>
        <w:pStyle w:val="Body"/>
        <w:rPr>
          <w:sz w:val="24"/>
          <w:szCs w:val="24"/>
        </w:rPr>
      </w:pPr>
      <w:r w:rsidRPr="00327573">
        <w:rPr>
          <w:sz w:val="24"/>
          <w:szCs w:val="24"/>
        </w:rPr>
        <w:t xml:space="preserve">No dedicated study has been </w:t>
      </w:r>
      <w:r w:rsidR="000F20B5" w:rsidRPr="00327573">
        <w:rPr>
          <w:sz w:val="24"/>
          <w:szCs w:val="24"/>
        </w:rPr>
        <w:t xml:space="preserve">undertaken </w:t>
      </w:r>
      <w:r w:rsidRPr="00327573">
        <w:rPr>
          <w:sz w:val="24"/>
          <w:szCs w:val="24"/>
        </w:rPr>
        <w:t xml:space="preserve">to establish the degree of impact on fisheries from anchoring alone. While the actual environmental impacts of ship anchorages on fisheries are unknown, historical accounts indicate a decline in fisheries productivity </w:t>
      </w:r>
      <w:r w:rsidR="000F20B5" w:rsidRPr="00327573">
        <w:rPr>
          <w:sz w:val="24"/>
          <w:szCs w:val="24"/>
        </w:rPr>
        <w:t xml:space="preserve">near </w:t>
      </w:r>
      <w:r w:rsidRPr="00327573">
        <w:rPr>
          <w:sz w:val="24"/>
          <w:szCs w:val="24"/>
        </w:rPr>
        <w:t xml:space="preserve">the major ports. Therefore, it must be assumed that the decline in fisheries may be due to a variety of factors, which may include anchorages. </w:t>
      </w:r>
    </w:p>
    <w:p w:rsidR="00CD19B4" w:rsidRPr="00327573" w:rsidRDefault="00CD19B4" w:rsidP="00CD19B4">
      <w:pPr>
        <w:pStyle w:val="Body"/>
        <w:rPr>
          <w:sz w:val="24"/>
          <w:szCs w:val="24"/>
        </w:rPr>
      </w:pPr>
      <w:r w:rsidRPr="00327573">
        <w:rPr>
          <w:sz w:val="24"/>
          <w:szCs w:val="24"/>
        </w:rPr>
        <w:t xml:space="preserve">Based on the stakeholder consultation undertaken and data available at the time of this study, both the tourism and fishery sectors are currently operating without significant identifiable conflict </w:t>
      </w:r>
      <w:r w:rsidR="000F20B5" w:rsidRPr="00327573">
        <w:rPr>
          <w:sz w:val="24"/>
          <w:szCs w:val="24"/>
        </w:rPr>
        <w:t xml:space="preserve">from </w:t>
      </w:r>
      <w:r w:rsidRPr="00327573">
        <w:rPr>
          <w:sz w:val="24"/>
          <w:szCs w:val="24"/>
        </w:rPr>
        <w:t>the existing anchorage areas and, as such, if any impacts are present</w:t>
      </w:r>
      <w:r w:rsidR="000F20B5" w:rsidRPr="00327573">
        <w:rPr>
          <w:sz w:val="24"/>
          <w:szCs w:val="24"/>
        </w:rPr>
        <w:t>,</w:t>
      </w:r>
      <w:r w:rsidRPr="00327573">
        <w:rPr>
          <w:sz w:val="24"/>
          <w:szCs w:val="24"/>
        </w:rPr>
        <w:t xml:space="preserve"> they do not appear to be substantially impairing these existing operations in the long-term. While it is almost certain that the presence of vessels at anchor alters the behaviour of other potential users of the Marine Park, the consequence of this is considered to be relatively minor. The preclusion of other users is, therefore, considered to have some likelihood which affects the values of which the anchorage areas are recognised</w:t>
      </w:r>
      <w:r w:rsidR="00A748A4" w:rsidRPr="00327573">
        <w:rPr>
          <w:sz w:val="24"/>
          <w:szCs w:val="24"/>
        </w:rPr>
        <w:t xml:space="preserve">. </w:t>
      </w:r>
    </w:p>
    <w:p w:rsidR="00CD19B4" w:rsidRPr="00B41CFA" w:rsidRDefault="00CD19B4" w:rsidP="00CD19B4">
      <w:pPr>
        <w:pStyle w:val="Heading2"/>
        <w:rPr>
          <w:sz w:val="24"/>
        </w:rPr>
      </w:pPr>
      <w:bookmarkStart w:id="163" w:name="_Ref343500360"/>
      <w:bookmarkStart w:id="164" w:name="_Toc362274277"/>
      <w:r w:rsidRPr="00B41CFA">
        <w:rPr>
          <w:sz w:val="24"/>
        </w:rPr>
        <w:t>Port specific social issues</w:t>
      </w:r>
      <w:bookmarkEnd w:id="163"/>
      <w:bookmarkEnd w:id="164"/>
    </w:p>
    <w:p w:rsidR="00CD19B4" w:rsidRPr="00327573" w:rsidRDefault="00764F14" w:rsidP="00CD19B4">
      <w:pPr>
        <w:pStyle w:val="Body"/>
        <w:rPr>
          <w:sz w:val="24"/>
          <w:szCs w:val="24"/>
        </w:rPr>
      </w:pPr>
      <w:r w:rsidRPr="00327573">
        <w:rPr>
          <w:sz w:val="24"/>
          <w:szCs w:val="24"/>
        </w:rPr>
        <w:t>T</w:t>
      </w:r>
      <w:r w:rsidR="00CD19B4" w:rsidRPr="00327573">
        <w:rPr>
          <w:sz w:val="24"/>
          <w:szCs w:val="24"/>
        </w:rPr>
        <w:t>his section details the social issues as relevant to each of the five major ports in the World Heritage Area</w:t>
      </w:r>
      <w:r w:rsidRPr="00327573">
        <w:rPr>
          <w:sz w:val="24"/>
          <w:szCs w:val="24"/>
        </w:rPr>
        <w:t>, drawing upon the Environmental Impact Assessment Report and the stakeholder consultations undertaken by this project for this CBA</w:t>
      </w:r>
      <w:r w:rsidR="00CD19B4" w:rsidRPr="00327573">
        <w:rPr>
          <w:sz w:val="24"/>
          <w:szCs w:val="24"/>
        </w:rPr>
        <w:t xml:space="preserve">. </w:t>
      </w:r>
      <w:r w:rsidR="00CD19B4" w:rsidRPr="00327573">
        <w:rPr>
          <w:sz w:val="24"/>
          <w:szCs w:val="24"/>
        </w:rPr>
        <w:lastRenderedPageBreak/>
        <w:t>It should be noted that the stakeholder consultations were not exhaustive and comprise a sample</w:t>
      </w:r>
      <w:r w:rsidRPr="00327573">
        <w:rPr>
          <w:sz w:val="24"/>
          <w:szCs w:val="24"/>
        </w:rPr>
        <w:t xml:space="preserve"> only</w:t>
      </w:r>
      <w:r w:rsidR="00CD19B4" w:rsidRPr="00327573">
        <w:rPr>
          <w:sz w:val="24"/>
          <w:szCs w:val="24"/>
        </w:rPr>
        <w:t>. Hence, the social issues identified are those captured for the sample of stakeholders consulted and may not necessarily reflect all social issues and/or the relative importance of the identified social issues. Issues identified are bound by the consultation achieved in the timeframes of this project.</w:t>
      </w:r>
    </w:p>
    <w:p w:rsidR="00CD19B4" w:rsidRPr="00B41CFA" w:rsidRDefault="00CD19B4" w:rsidP="00CD19B4">
      <w:pPr>
        <w:pStyle w:val="Heading3"/>
        <w:rPr>
          <w:sz w:val="24"/>
        </w:rPr>
      </w:pPr>
      <w:bookmarkStart w:id="165" w:name="_Ref343500884"/>
      <w:bookmarkStart w:id="166" w:name="_Toc362274278"/>
      <w:r w:rsidRPr="00B41CFA">
        <w:rPr>
          <w:sz w:val="24"/>
        </w:rPr>
        <w:t>Social issues for the Port of Cairns</w:t>
      </w:r>
      <w:bookmarkEnd w:id="165"/>
      <w:bookmarkEnd w:id="166"/>
    </w:p>
    <w:p w:rsidR="00CD19B4" w:rsidRPr="00327573" w:rsidRDefault="00CD19B4" w:rsidP="00CD19B4">
      <w:pPr>
        <w:pStyle w:val="Body"/>
        <w:rPr>
          <w:sz w:val="24"/>
          <w:szCs w:val="24"/>
        </w:rPr>
      </w:pPr>
      <w:r w:rsidRPr="00327573">
        <w:rPr>
          <w:sz w:val="24"/>
          <w:szCs w:val="24"/>
        </w:rPr>
        <w:t xml:space="preserve">The social issues identified during the Project’s consultation for the Port of Cairns are summarised in </w:t>
      </w:r>
      <w:r w:rsidR="00CD38ED" w:rsidRPr="00327573">
        <w:rPr>
          <w:sz w:val="24"/>
          <w:szCs w:val="24"/>
        </w:rPr>
        <w:fldChar w:fldCharType="begin"/>
      </w:r>
      <w:r w:rsidRPr="00327573">
        <w:rPr>
          <w:sz w:val="24"/>
          <w:szCs w:val="24"/>
        </w:rPr>
        <w:instrText xml:space="preserve"> REF  _Ref343163681 \* Lower \h </w:instrText>
      </w:r>
      <w:r w:rsidR="00327573">
        <w:rPr>
          <w:sz w:val="24"/>
          <w:szCs w:val="24"/>
        </w:rPr>
        <w:instrText xml:space="preserve"> \* MERGEFORMAT </w:instrText>
      </w:r>
      <w:r w:rsidR="00CD38ED" w:rsidRPr="00327573">
        <w:rPr>
          <w:sz w:val="24"/>
          <w:szCs w:val="24"/>
        </w:rPr>
      </w:r>
      <w:r w:rsidR="00CD38ED" w:rsidRPr="00327573">
        <w:rPr>
          <w:sz w:val="24"/>
          <w:szCs w:val="24"/>
        </w:rPr>
        <w:fldChar w:fldCharType="separate"/>
      </w:r>
      <w:r w:rsidR="001A0B15" w:rsidRPr="00327573">
        <w:rPr>
          <w:sz w:val="24"/>
          <w:szCs w:val="24"/>
        </w:rPr>
        <w:t xml:space="preserve">table </w:t>
      </w:r>
      <w:r w:rsidR="001A0B15">
        <w:rPr>
          <w:noProof/>
          <w:sz w:val="24"/>
          <w:szCs w:val="24"/>
        </w:rPr>
        <w:t>3</w:t>
      </w:r>
      <w:r w:rsidR="001A0B15" w:rsidRPr="00327573">
        <w:rPr>
          <w:noProof/>
          <w:sz w:val="24"/>
          <w:szCs w:val="24"/>
        </w:rPr>
        <w:noBreakHyphen/>
      </w:r>
      <w:r w:rsidR="001A0B15">
        <w:rPr>
          <w:noProof/>
          <w:sz w:val="24"/>
          <w:szCs w:val="24"/>
        </w:rPr>
        <w:t>1</w:t>
      </w:r>
      <w:r w:rsidR="00CD38ED" w:rsidRPr="00327573">
        <w:rPr>
          <w:sz w:val="24"/>
          <w:szCs w:val="24"/>
        </w:rPr>
        <w:fldChar w:fldCharType="end"/>
      </w:r>
      <w:r w:rsidRPr="00327573">
        <w:rPr>
          <w:sz w:val="24"/>
          <w:szCs w:val="24"/>
        </w:rPr>
        <w:t xml:space="preserve"> below.</w:t>
      </w:r>
    </w:p>
    <w:p w:rsidR="00CD19B4" w:rsidRPr="00327573" w:rsidRDefault="00CD19B4" w:rsidP="00CD19B4">
      <w:pPr>
        <w:pStyle w:val="CaptionTable"/>
        <w:rPr>
          <w:sz w:val="24"/>
          <w:szCs w:val="24"/>
        </w:rPr>
      </w:pPr>
      <w:bookmarkStart w:id="167" w:name="_Ref343163681"/>
      <w:bookmarkStart w:id="168" w:name="_Toc362274359"/>
      <w:r w:rsidRPr="00327573">
        <w:rPr>
          <w:sz w:val="24"/>
          <w:szCs w:val="24"/>
        </w:rPr>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3</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1</w:t>
      </w:r>
      <w:r w:rsidR="00542883">
        <w:rPr>
          <w:sz w:val="24"/>
          <w:szCs w:val="24"/>
        </w:rPr>
        <w:fldChar w:fldCharType="end"/>
      </w:r>
      <w:bookmarkEnd w:id="167"/>
      <w:r w:rsidR="00327573">
        <w:rPr>
          <w:noProof/>
          <w:sz w:val="24"/>
          <w:szCs w:val="24"/>
        </w:rPr>
        <w:t>:</w:t>
      </w:r>
      <w:r w:rsidRPr="00327573">
        <w:rPr>
          <w:sz w:val="24"/>
          <w:szCs w:val="24"/>
        </w:rPr>
        <w:t xml:space="preserve"> </w:t>
      </w:r>
      <w:r w:rsidRPr="00327573">
        <w:rPr>
          <w:b w:val="0"/>
          <w:sz w:val="24"/>
          <w:szCs w:val="24"/>
        </w:rPr>
        <w:t>Summary of social issues identified for the Port of Cairns from consultation under this Project</w:t>
      </w:r>
      <w:bookmarkEnd w:id="168"/>
    </w:p>
    <w:tbl>
      <w:tblPr>
        <w:tblStyle w:val="TableGrid"/>
        <w:tblW w:w="5000"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firstRow="1" w:lastRow="0" w:firstColumn="1" w:lastColumn="0" w:noHBand="0" w:noVBand="1"/>
        <w:tblCaption w:val="Summary of social issues identified for the Port of Cairns from consultation under this Project"/>
        <w:tblDescription w:val="Summary of the social issues identified for the Port of Cairns from stakeholder consultation. Columns are the social issue and the comments with respect to the port."/>
      </w:tblPr>
      <w:tblGrid>
        <w:gridCol w:w="2263"/>
        <w:gridCol w:w="6740"/>
      </w:tblGrid>
      <w:tr w:rsidR="00CD19B4" w:rsidRPr="00327573" w:rsidTr="00FC1ADE">
        <w:trPr>
          <w:tblHeader/>
        </w:trPr>
        <w:tc>
          <w:tcPr>
            <w:tcW w:w="2263" w:type="dxa"/>
            <w:tcBorders>
              <w:top w:val="single" w:sz="4" w:space="0" w:color="auto"/>
            </w:tcBorders>
            <w:shd w:val="clear" w:color="auto" w:fill="auto"/>
          </w:tcPr>
          <w:p w:rsidR="00CD19B4" w:rsidRPr="00327573" w:rsidRDefault="00CD19B4" w:rsidP="00113776">
            <w:pPr>
              <w:pStyle w:val="TableHead"/>
              <w:rPr>
                <w:sz w:val="24"/>
                <w:szCs w:val="24"/>
              </w:rPr>
            </w:pPr>
            <w:r w:rsidRPr="00327573">
              <w:rPr>
                <w:sz w:val="24"/>
                <w:szCs w:val="24"/>
              </w:rPr>
              <w:t>Social issues</w:t>
            </w:r>
          </w:p>
        </w:tc>
        <w:tc>
          <w:tcPr>
            <w:tcW w:w="6740" w:type="dxa"/>
            <w:tcBorders>
              <w:top w:val="single" w:sz="4" w:space="0" w:color="auto"/>
            </w:tcBorders>
            <w:shd w:val="clear" w:color="auto" w:fill="auto"/>
          </w:tcPr>
          <w:p w:rsidR="00CD19B4" w:rsidRPr="00327573" w:rsidRDefault="00CD19B4" w:rsidP="00113776">
            <w:pPr>
              <w:pStyle w:val="TableHead"/>
              <w:rPr>
                <w:sz w:val="24"/>
                <w:szCs w:val="24"/>
              </w:rPr>
            </w:pPr>
            <w:r w:rsidRPr="00327573">
              <w:rPr>
                <w:sz w:val="24"/>
                <w:szCs w:val="24"/>
              </w:rPr>
              <w:t>Comments with respect to Port of Cairns</w:t>
            </w:r>
          </w:p>
        </w:tc>
      </w:tr>
      <w:tr w:rsidR="00CD19B4" w:rsidRPr="00327573" w:rsidTr="00FC1ADE">
        <w:tc>
          <w:tcPr>
            <w:tcW w:w="2263" w:type="dxa"/>
            <w:shd w:val="clear" w:color="auto" w:fill="auto"/>
          </w:tcPr>
          <w:p w:rsidR="00CD19B4" w:rsidRPr="00327573" w:rsidRDefault="00CD19B4" w:rsidP="00113776">
            <w:pPr>
              <w:pStyle w:val="TableBody"/>
              <w:rPr>
                <w:sz w:val="24"/>
                <w:szCs w:val="24"/>
              </w:rPr>
            </w:pPr>
            <w:r w:rsidRPr="00327573">
              <w:rPr>
                <w:sz w:val="24"/>
                <w:szCs w:val="24"/>
              </w:rPr>
              <w:t>Altered aesthetic values during day time and night time (light issues)</w:t>
            </w:r>
          </w:p>
        </w:tc>
        <w:tc>
          <w:tcPr>
            <w:tcW w:w="6740" w:type="dxa"/>
            <w:shd w:val="clear" w:color="auto" w:fill="auto"/>
          </w:tcPr>
          <w:p w:rsidR="00CD19B4" w:rsidRPr="00327573" w:rsidRDefault="00CD19B4" w:rsidP="005E28EE">
            <w:pPr>
              <w:pStyle w:val="Body"/>
              <w:rPr>
                <w:sz w:val="24"/>
                <w:szCs w:val="24"/>
              </w:rPr>
            </w:pPr>
            <w:r w:rsidRPr="00327573">
              <w:rPr>
                <w:sz w:val="24"/>
                <w:szCs w:val="24"/>
              </w:rPr>
              <w:t xml:space="preserve">Large anchored vessels or cruise ships are not </w:t>
            </w:r>
            <w:r w:rsidR="00D553C4" w:rsidRPr="00327573">
              <w:rPr>
                <w:sz w:val="24"/>
                <w:szCs w:val="24"/>
              </w:rPr>
              <w:t xml:space="preserve">believed to be </w:t>
            </w:r>
            <w:r w:rsidRPr="00327573">
              <w:rPr>
                <w:sz w:val="24"/>
                <w:szCs w:val="24"/>
              </w:rPr>
              <w:t>an aesthetic issue at Cairns as they are transitory and not permanent features.</w:t>
            </w:r>
          </w:p>
          <w:p w:rsidR="00CD19B4" w:rsidRPr="00327573" w:rsidRDefault="00FA57D0" w:rsidP="005E28EE">
            <w:pPr>
              <w:pStyle w:val="Body"/>
              <w:rPr>
                <w:sz w:val="24"/>
                <w:szCs w:val="24"/>
              </w:rPr>
            </w:pPr>
            <w:r w:rsidRPr="00327573">
              <w:rPr>
                <w:sz w:val="24"/>
                <w:szCs w:val="24"/>
              </w:rPr>
              <w:t xml:space="preserve">The majority of </w:t>
            </w:r>
            <w:r w:rsidR="00CD19B4" w:rsidRPr="00327573">
              <w:rPr>
                <w:sz w:val="24"/>
                <w:szCs w:val="24"/>
              </w:rPr>
              <w:t>anchorage traffic in Cairns comprises of cruise ships, which come closer to the shore for anchoring</w:t>
            </w:r>
            <w:r w:rsidRPr="00327573">
              <w:rPr>
                <w:sz w:val="24"/>
                <w:szCs w:val="24"/>
              </w:rPr>
              <w:t>.</w:t>
            </w:r>
            <w:r w:rsidR="00CD19B4" w:rsidRPr="00327573">
              <w:rPr>
                <w:sz w:val="24"/>
                <w:szCs w:val="24"/>
              </w:rPr>
              <w:t xml:space="preserve"> </w:t>
            </w:r>
            <w:r w:rsidRPr="00327573">
              <w:rPr>
                <w:sz w:val="24"/>
                <w:szCs w:val="24"/>
              </w:rPr>
              <w:t>B</w:t>
            </w:r>
            <w:r w:rsidR="00CD19B4" w:rsidRPr="00327573">
              <w:rPr>
                <w:sz w:val="24"/>
                <w:szCs w:val="24"/>
              </w:rPr>
              <w:t xml:space="preserve">ecause of their transitory nature and intriguing structures they </w:t>
            </w:r>
            <w:r w:rsidR="00D553C4" w:rsidRPr="00327573">
              <w:rPr>
                <w:sz w:val="24"/>
                <w:szCs w:val="24"/>
              </w:rPr>
              <w:t xml:space="preserve">can </w:t>
            </w:r>
            <w:r w:rsidR="00CD19B4" w:rsidRPr="00327573">
              <w:rPr>
                <w:sz w:val="24"/>
                <w:szCs w:val="24"/>
              </w:rPr>
              <w:t>become more of an attraction than a visual impediment.</w:t>
            </w:r>
          </w:p>
          <w:p w:rsidR="00CD19B4" w:rsidRPr="00327573" w:rsidRDefault="00CD19B4" w:rsidP="005E28EE">
            <w:pPr>
              <w:pStyle w:val="Body"/>
              <w:rPr>
                <w:sz w:val="24"/>
                <w:szCs w:val="24"/>
              </w:rPr>
            </w:pPr>
            <w:r w:rsidRPr="00327573">
              <w:rPr>
                <w:sz w:val="24"/>
                <w:szCs w:val="24"/>
              </w:rPr>
              <w:t>Large anchored vessels may be visible like dots on the horizon</w:t>
            </w:r>
            <w:r w:rsidR="00A748A4" w:rsidRPr="00327573">
              <w:rPr>
                <w:sz w:val="24"/>
                <w:szCs w:val="24"/>
              </w:rPr>
              <w:t xml:space="preserve">. </w:t>
            </w:r>
            <w:r w:rsidRPr="00327573">
              <w:rPr>
                <w:sz w:val="24"/>
                <w:szCs w:val="24"/>
              </w:rPr>
              <w:t xml:space="preserve">At night time the lights from the vessels offer diversity in the dark scape and </w:t>
            </w:r>
            <w:r w:rsidR="00D553C4" w:rsidRPr="00327573">
              <w:rPr>
                <w:sz w:val="24"/>
                <w:szCs w:val="24"/>
              </w:rPr>
              <w:t xml:space="preserve">can </w:t>
            </w:r>
            <w:r w:rsidRPr="00327573">
              <w:rPr>
                <w:sz w:val="24"/>
                <w:szCs w:val="24"/>
              </w:rPr>
              <w:t>benefit small boats fishing at night.</w:t>
            </w:r>
          </w:p>
        </w:tc>
      </w:tr>
      <w:tr w:rsidR="00CD19B4" w:rsidRPr="00327573" w:rsidTr="00FC1ADE">
        <w:tc>
          <w:tcPr>
            <w:tcW w:w="2263" w:type="dxa"/>
            <w:shd w:val="clear" w:color="auto" w:fill="auto"/>
          </w:tcPr>
          <w:p w:rsidR="00CD19B4" w:rsidRPr="00327573" w:rsidRDefault="00CD19B4" w:rsidP="00113776">
            <w:pPr>
              <w:pStyle w:val="TableBody"/>
              <w:rPr>
                <w:sz w:val="24"/>
                <w:szCs w:val="24"/>
              </w:rPr>
            </w:pPr>
            <w:r w:rsidRPr="00327573">
              <w:rPr>
                <w:sz w:val="24"/>
                <w:szCs w:val="24"/>
              </w:rPr>
              <w:t>Interference with commercial fishing activities</w:t>
            </w:r>
          </w:p>
        </w:tc>
        <w:tc>
          <w:tcPr>
            <w:tcW w:w="6740" w:type="dxa"/>
            <w:shd w:val="clear" w:color="auto" w:fill="auto"/>
          </w:tcPr>
          <w:p w:rsidR="00CD19B4" w:rsidRPr="00327573" w:rsidRDefault="00CD19B4" w:rsidP="005E28EE">
            <w:pPr>
              <w:pStyle w:val="Body"/>
              <w:rPr>
                <w:sz w:val="24"/>
                <w:szCs w:val="24"/>
              </w:rPr>
            </w:pPr>
            <w:r w:rsidRPr="00327573">
              <w:rPr>
                <w:sz w:val="24"/>
                <w:szCs w:val="24"/>
              </w:rPr>
              <w:t xml:space="preserve">Anchorage areas in Cairns </w:t>
            </w:r>
            <w:r w:rsidR="00D553C4" w:rsidRPr="00327573">
              <w:rPr>
                <w:sz w:val="24"/>
                <w:szCs w:val="24"/>
              </w:rPr>
              <w:t xml:space="preserve">are </w:t>
            </w:r>
            <w:r w:rsidRPr="00327573">
              <w:rPr>
                <w:sz w:val="24"/>
                <w:szCs w:val="24"/>
              </w:rPr>
              <w:t xml:space="preserve">not </w:t>
            </w:r>
            <w:r w:rsidR="00D553C4" w:rsidRPr="00327573">
              <w:rPr>
                <w:sz w:val="24"/>
                <w:szCs w:val="24"/>
              </w:rPr>
              <w:t xml:space="preserve">currently known to </w:t>
            </w:r>
            <w:r w:rsidRPr="00327573">
              <w:rPr>
                <w:sz w:val="24"/>
                <w:szCs w:val="24"/>
              </w:rPr>
              <w:t xml:space="preserve">interfere with commercial fishing </w:t>
            </w:r>
            <w:r w:rsidR="00D553C4" w:rsidRPr="00327573">
              <w:rPr>
                <w:sz w:val="24"/>
                <w:szCs w:val="24"/>
              </w:rPr>
              <w:t>activities</w:t>
            </w:r>
            <w:r w:rsidRPr="00327573">
              <w:rPr>
                <w:sz w:val="24"/>
                <w:szCs w:val="24"/>
              </w:rPr>
              <w:t>.</w:t>
            </w:r>
            <w:r w:rsidR="00D553C4" w:rsidRPr="00327573">
              <w:rPr>
                <w:sz w:val="24"/>
                <w:szCs w:val="24"/>
              </w:rPr>
              <w:t xml:space="preserve"> Fishing vessels </w:t>
            </w:r>
            <w:r w:rsidR="00FA57D0" w:rsidRPr="00327573">
              <w:rPr>
                <w:sz w:val="24"/>
                <w:szCs w:val="24"/>
              </w:rPr>
              <w:t>are able to</w:t>
            </w:r>
            <w:r w:rsidR="00D553C4" w:rsidRPr="00327573">
              <w:rPr>
                <w:sz w:val="24"/>
                <w:szCs w:val="24"/>
              </w:rPr>
              <w:t xml:space="preserve"> pass between anchored vessels to access resources.</w:t>
            </w:r>
          </w:p>
          <w:p w:rsidR="0057593C" w:rsidRPr="00327573" w:rsidRDefault="00CD19B4" w:rsidP="005E28EE">
            <w:pPr>
              <w:pStyle w:val="Body"/>
              <w:rPr>
                <w:sz w:val="24"/>
                <w:szCs w:val="24"/>
              </w:rPr>
            </w:pPr>
            <w:r w:rsidRPr="00327573">
              <w:rPr>
                <w:sz w:val="24"/>
                <w:szCs w:val="24"/>
              </w:rPr>
              <w:t>A conflict may arise if commercial fishing is excluded from anchorage areas</w:t>
            </w:r>
            <w:r w:rsidR="00D553C4" w:rsidRPr="00327573">
              <w:rPr>
                <w:sz w:val="24"/>
                <w:szCs w:val="24"/>
              </w:rPr>
              <w:t xml:space="preserve"> as that would remove access to fisheries resources</w:t>
            </w:r>
            <w:r w:rsidRPr="00327573">
              <w:rPr>
                <w:sz w:val="24"/>
                <w:szCs w:val="24"/>
              </w:rPr>
              <w:t>.</w:t>
            </w:r>
          </w:p>
        </w:tc>
      </w:tr>
      <w:tr w:rsidR="00CD19B4" w:rsidRPr="00327573" w:rsidTr="00FC1ADE">
        <w:tc>
          <w:tcPr>
            <w:tcW w:w="2263" w:type="dxa"/>
            <w:shd w:val="clear" w:color="auto" w:fill="auto"/>
          </w:tcPr>
          <w:p w:rsidR="00CD19B4" w:rsidRPr="00327573" w:rsidRDefault="00CD19B4" w:rsidP="00113776">
            <w:pPr>
              <w:pStyle w:val="TableBody"/>
              <w:rPr>
                <w:sz w:val="24"/>
                <w:szCs w:val="24"/>
              </w:rPr>
            </w:pPr>
            <w:r w:rsidRPr="00327573">
              <w:rPr>
                <w:sz w:val="24"/>
                <w:szCs w:val="24"/>
              </w:rPr>
              <w:t>Interference with recreational fishing and boating</w:t>
            </w:r>
          </w:p>
        </w:tc>
        <w:tc>
          <w:tcPr>
            <w:tcW w:w="6740" w:type="dxa"/>
            <w:shd w:val="clear" w:color="auto" w:fill="auto"/>
          </w:tcPr>
          <w:p w:rsidR="00CD19B4" w:rsidRPr="00327573" w:rsidRDefault="00CD19B4" w:rsidP="005E28EE">
            <w:pPr>
              <w:pStyle w:val="Body"/>
              <w:rPr>
                <w:sz w:val="24"/>
                <w:szCs w:val="24"/>
              </w:rPr>
            </w:pPr>
            <w:r w:rsidRPr="00327573">
              <w:rPr>
                <w:sz w:val="24"/>
                <w:szCs w:val="24"/>
              </w:rPr>
              <w:t>There are no noteworthy issues or conflicts between recreational fishing and boating users and anchorage of large vessels.</w:t>
            </w:r>
            <w:r w:rsidR="00D553C4" w:rsidRPr="00327573">
              <w:rPr>
                <w:sz w:val="24"/>
                <w:szCs w:val="24"/>
              </w:rPr>
              <w:t xml:space="preserve"> Conflicts can, however, occur for vessels under steam versus at anchor.</w:t>
            </w:r>
          </w:p>
          <w:p w:rsidR="00973239" w:rsidRPr="00327573" w:rsidRDefault="00C94C01" w:rsidP="005E28EE">
            <w:pPr>
              <w:pStyle w:val="Body"/>
              <w:rPr>
                <w:sz w:val="24"/>
                <w:szCs w:val="24"/>
              </w:rPr>
            </w:pPr>
            <w:r w:rsidRPr="00327573">
              <w:rPr>
                <w:sz w:val="24"/>
                <w:szCs w:val="24"/>
              </w:rPr>
              <w:t>T</w:t>
            </w:r>
            <w:r w:rsidR="00973239" w:rsidRPr="00327573">
              <w:rPr>
                <w:sz w:val="24"/>
                <w:szCs w:val="24"/>
              </w:rPr>
              <w:t xml:space="preserve">hose involved in recreational </w:t>
            </w:r>
            <w:r w:rsidRPr="00327573">
              <w:rPr>
                <w:sz w:val="24"/>
                <w:szCs w:val="24"/>
              </w:rPr>
              <w:t xml:space="preserve">activities, such as </w:t>
            </w:r>
            <w:r w:rsidR="00973239" w:rsidRPr="00327573">
              <w:rPr>
                <w:sz w:val="24"/>
                <w:szCs w:val="24"/>
              </w:rPr>
              <w:t xml:space="preserve">fishing and boating </w:t>
            </w:r>
            <w:r w:rsidRPr="00327573">
              <w:rPr>
                <w:sz w:val="24"/>
                <w:szCs w:val="24"/>
              </w:rPr>
              <w:t>may</w:t>
            </w:r>
            <w:r w:rsidR="00973239" w:rsidRPr="00327573">
              <w:rPr>
                <w:sz w:val="24"/>
                <w:szCs w:val="24"/>
              </w:rPr>
              <w:t xml:space="preserve"> perceive the presence of large vessels in or within the vicinity of the Marine Park negatively </w:t>
            </w:r>
            <w:r w:rsidR="0092011F" w:rsidRPr="00327573">
              <w:rPr>
                <w:sz w:val="24"/>
                <w:szCs w:val="24"/>
              </w:rPr>
              <w:t xml:space="preserve">and </w:t>
            </w:r>
            <w:r w:rsidR="00973239" w:rsidRPr="00327573">
              <w:rPr>
                <w:sz w:val="24"/>
                <w:szCs w:val="24"/>
              </w:rPr>
              <w:t>as a risk to the Reef’s values.</w:t>
            </w:r>
          </w:p>
        </w:tc>
      </w:tr>
      <w:tr w:rsidR="00CD19B4" w:rsidRPr="00327573" w:rsidTr="00FC1ADE">
        <w:tc>
          <w:tcPr>
            <w:tcW w:w="2263" w:type="dxa"/>
            <w:shd w:val="clear" w:color="auto" w:fill="auto"/>
          </w:tcPr>
          <w:p w:rsidR="00CD19B4" w:rsidRPr="00327573" w:rsidRDefault="00CD19B4" w:rsidP="00113776">
            <w:pPr>
              <w:pStyle w:val="TableBody"/>
              <w:rPr>
                <w:sz w:val="24"/>
                <w:szCs w:val="24"/>
              </w:rPr>
            </w:pPr>
            <w:r w:rsidRPr="00327573">
              <w:rPr>
                <w:sz w:val="24"/>
                <w:szCs w:val="24"/>
              </w:rPr>
              <w:t>Interference with tourism activities</w:t>
            </w:r>
          </w:p>
        </w:tc>
        <w:tc>
          <w:tcPr>
            <w:tcW w:w="6740" w:type="dxa"/>
            <w:shd w:val="clear" w:color="auto" w:fill="auto"/>
          </w:tcPr>
          <w:p w:rsidR="00CD19B4" w:rsidRPr="00327573" w:rsidRDefault="00CD19B4" w:rsidP="005E28EE">
            <w:pPr>
              <w:pStyle w:val="Body"/>
              <w:rPr>
                <w:sz w:val="24"/>
                <w:szCs w:val="24"/>
              </w:rPr>
            </w:pPr>
            <w:r w:rsidRPr="00327573">
              <w:rPr>
                <w:sz w:val="24"/>
                <w:szCs w:val="24"/>
              </w:rPr>
              <w:t xml:space="preserve">There are no </w:t>
            </w:r>
            <w:r w:rsidR="00C229CA" w:rsidRPr="00327573">
              <w:rPr>
                <w:sz w:val="24"/>
                <w:szCs w:val="24"/>
              </w:rPr>
              <w:t xml:space="preserve">perceived </w:t>
            </w:r>
            <w:r w:rsidRPr="00327573">
              <w:rPr>
                <w:sz w:val="24"/>
                <w:szCs w:val="24"/>
              </w:rPr>
              <w:t xml:space="preserve">conflicts or interactions between the tourism industry operating out of Cairns and the </w:t>
            </w:r>
            <w:r w:rsidR="00C229CA" w:rsidRPr="00327573">
              <w:rPr>
                <w:sz w:val="24"/>
                <w:szCs w:val="24"/>
              </w:rPr>
              <w:t xml:space="preserve">vessels using the </w:t>
            </w:r>
            <w:r w:rsidRPr="00327573">
              <w:rPr>
                <w:sz w:val="24"/>
                <w:szCs w:val="24"/>
              </w:rPr>
              <w:t>anchorage areas.</w:t>
            </w:r>
          </w:p>
          <w:p w:rsidR="00CD19B4" w:rsidRPr="00327573" w:rsidRDefault="00CD19B4" w:rsidP="005E28EE">
            <w:pPr>
              <w:pStyle w:val="Body"/>
              <w:rPr>
                <w:sz w:val="24"/>
                <w:szCs w:val="24"/>
              </w:rPr>
            </w:pPr>
            <w:r w:rsidRPr="00327573">
              <w:rPr>
                <w:sz w:val="24"/>
                <w:szCs w:val="24"/>
              </w:rPr>
              <w:t xml:space="preserve">Often large vessels anchored at sea or cruise ships anchored close to shore </w:t>
            </w:r>
            <w:r w:rsidR="00C229CA" w:rsidRPr="00327573">
              <w:rPr>
                <w:sz w:val="24"/>
                <w:szCs w:val="24"/>
              </w:rPr>
              <w:t xml:space="preserve">can </w:t>
            </w:r>
            <w:r w:rsidRPr="00327573">
              <w:rPr>
                <w:sz w:val="24"/>
                <w:szCs w:val="24"/>
              </w:rPr>
              <w:t xml:space="preserve">become a point of attraction or intrigue for locals and tourists. </w:t>
            </w:r>
          </w:p>
          <w:p w:rsidR="00CD19B4" w:rsidRPr="00327573" w:rsidRDefault="00C229CA" w:rsidP="005E28EE">
            <w:pPr>
              <w:pStyle w:val="Body"/>
              <w:rPr>
                <w:sz w:val="24"/>
                <w:szCs w:val="24"/>
              </w:rPr>
            </w:pPr>
            <w:r w:rsidRPr="00327573">
              <w:rPr>
                <w:sz w:val="24"/>
                <w:szCs w:val="24"/>
              </w:rPr>
              <w:t>T</w:t>
            </w:r>
            <w:r w:rsidR="00CD19B4" w:rsidRPr="00327573">
              <w:rPr>
                <w:sz w:val="24"/>
                <w:szCs w:val="24"/>
              </w:rPr>
              <w:t xml:space="preserve">he </w:t>
            </w:r>
            <w:r w:rsidRPr="00327573">
              <w:rPr>
                <w:sz w:val="24"/>
                <w:szCs w:val="24"/>
              </w:rPr>
              <w:t xml:space="preserve">tourism industry notes that </w:t>
            </w:r>
            <w:r w:rsidR="00CD19B4" w:rsidRPr="00327573">
              <w:rPr>
                <w:sz w:val="24"/>
                <w:szCs w:val="24"/>
              </w:rPr>
              <w:t xml:space="preserve">the environmental issues </w:t>
            </w:r>
            <w:r w:rsidRPr="00327573">
              <w:rPr>
                <w:sz w:val="24"/>
                <w:szCs w:val="24"/>
              </w:rPr>
              <w:t xml:space="preserve">associated with anchorage use, which </w:t>
            </w:r>
            <w:r w:rsidR="00CD19B4" w:rsidRPr="00327573">
              <w:rPr>
                <w:sz w:val="24"/>
                <w:szCs w:val="24"/>
              </w:rPr>
              <w:t>have the potential to damage the Reef</w:t>
            </w:r>
            <w:r w:rsidRPr="00327573">
              <w:rPr>
                <w:sz w:val="24"/>
                <w:szCs w:val="24"/>
              </w:rPr>
              <w:t>,</w:t>
            </w:r>
            <w:r w:rsidR="00CD19B4" w:rsidRPr="00327573">
              <w:rPr>
                <w:sz w:val="24"/>
                <w:szCs w:val="24"/>
              </w:rPr>
              <w:t xml:space="preserve"> are of </w:t>
            </w:r>
            <w:r w:rsidRPr="00327573">
              <w:rPr>
                <w:sz w:val="24"/>
                <w:szCs w:val="24"/>
              </w:rPr>
              <w:t xml:space="preserve">greatest </w:t>
            </w:r>
            <w:r w:rsidR="00CD19B4" w:rsidRPr="00327573">
              <w:rPr>
                <w:sz w:val="24"/>
                <w:szCs w:val="24"/>
              </w:rPr>
              <w:t>importan</w:t>
            </w:r>
            <w:r w:rsidRPr="00327573">
              <w:rPr>
                <w:sz w:val="24"/>
                <w:szCs w:val="24"/>
              </w:rPr>
              <w:t>ce</w:t>
            </w:r>
            <w:r w:rsidR="00CD19B4" w:rsidRPr="00327573">
              <w:rPr>
                <w:sz w:val="24"/>
                <w:szCs w:val="24"/>
              </w:rPr>
              <w:t xml:space="preserve"> to them.</w:t>
            </w:r>
          </w:p>
          <w:p w:rsidR="00CD19B4" w:rsidRPr="00327573" w:rsidRDefault="00C229CA" w:rsidP="005E28EE">
            <w:pPr>
              <w:pStyle w:val="Body"/>
              <w:rPr>
                <w:sz w:val="24"/>
                <w:szCs w:val="24"/>
              </w:rPr>
            </w:pPr>
            <w:r w:rsidRPr="00327573">
              <w:rPr>
                <w:sz w:val="24"/>
                <w:szCs w:val="24"/>
              </w:rPr>
              <w:t>Currently a</w:t>
            </w:r>
            <w:r w:rsidR="00CD19B4" w:rsidRPr="00327573">
              <w:rPr>
                <w:sz w:val="24"/>
                <w:szCs w:val="24"/>
              </w:rPr>
              <w:t xml:space="preserve">bout 90 per cent of tourism to the Reef originates from Cairns. Tourists may encounter anchored vessels during their reef experience. Tourism stakeholders perceive that tourists are often curious about the </w:t>
            </w:r>
            <w:r w:rsidRPr="00327573">
              <w:rPr>
                <w:sz w:val="24"/>
                <w:szCs w:val="24"/>
              </w:rPr>
              <w:t xml:space="preserve">anchored </w:t>
            </w:r>
            <w:r w:rsidR="00CD19B4" w:rsidRPr="00327573">
              <w:rPr>
                <w:sz w:val="24"/>
                <w:szCs w:val="24"/>
              </w:rPr>
              <w:t>vessels.</w:t>
            </w:r>
            <w:r w:rsidR="00AB77CE" w:rsidRPr="00327573">
              <w:rPr>
                <w:sz w:val="24"/>
                <w:szCs w:val="24"/>
              </w:rPr>
              <w:t xml:space="preserve"> </w:t>
            </w:r>
          </w:p>
          <w:p w:rsidR="00CD19B4" w:rsidRPr="00327573" w:rsidRDefault="00757521" w:rsidP="005E28EE">
            <w:pPr>
              <w:pStyle w:val="Body"/>
              <w:rPr>
                <w:sz w:val="24"/>
                <w:szCs w:val="24"/>
              </w:rPr>
            </w:pPr>
            <w:r w:rsidRPr="00327573">
              <w:rPr>
                <w:sz w:val="24"/>
                <w:szCs w:val="24"/>
              </w:rPr>
              <w:t>T</w:t>
            </w:r>
            <w:r w:rsidR="00CD19B4" w:rsidRPr="00327573">
              <w:rPr>
                <w:sz w:val="24"/>
                <w:szCs w:val="24"/>
              </w:rPr>
              <w:t xml:space="preserve">ourists </w:t>
            </w:r>
            <w:r w:rsidRPr="00327573">
              <w:rPr>
                <w:sz w:val="24"/>
                <w:szCs w:val="24"/>
              </w:rPr>
              <w:t xml:space="preserve">may </w:t>
            </w:r>
            <w:r w:rsidR="00CD19B4" w:rsidRPr="00327573">
              <w:rPr>
                <w:sz w:val="24"/>
                <w:szCs w:val="24"/>
              </w:rPr>
              <w:t xml:space="preserve">perceive the presence of large vessels in or within the vicinity of the Marine Park negatively </w:t>
            </w:r>
            <w:r w:rsidR="0092011F" w:rsidRPr="00327573">
              <w:rPr>
                <w:sz w:val="24"/>
                <w:szCs w:val="24"/>
              </w:rPr>
              <w:t xml:space="preserve">and </w:t>
            </w:r>
            <w:r w:rsidR="00CD19B4" w:rsidRPr="00327573">
              <w:rPr>
                <w:sz w:val="24"/>
                <w:szCs w:val="24"/>
              </w:rPr>
              <w:t>as a risk to the Reef’s values</w:t>
            </w:r>
            <w:r w:rsidR="00A748A4" w:rsidRPr="00327573">
              <w:rPr>
                <w:sz w:val="24"/>
                <w:szCs w:val="24"/>
              </w:rPr>
              <w:t xml:space="preserve">. </w:t>
            </w:r>
          </w:p>
          <w:p w:rsidR="00CD19B4" w:rsidRPr="00327573" w:rsidRDefault="001614B6" w:rsidP="005E28EE">
            <w:pPr>
              <w:pStyle w:val="Body"/>
              <w:rPr>
                <w:sz w:val="24"/>
                <w:szCs w:val="24"/>
              </w:rPr>
            </w:pPr>
            <w:r w:rsidRPr="00327573">
              <w:rPr>
                <w:sz w:val="24"/>
                <w:szCs w:val="24"/>
              </w:rPr>
              <w:t xml:space="preserve">Comments included reflection on the need for improved education for tourists about the existing best practice measures and guidelines that are in place for ships operating in the Marine Park. </w:t>
            </w:r>
          </w:p>
        </w:tc>
      </w:tr>
    </w:tbl>
    <w:p w:rsidR="00CD19B4" w:rsidRPr="00B41CFA" w:rsidRDefault="00CD19B4" w:rsidP="00CD19B4">
      <w:pPr>
        <w:pStyle w:val="Heading3"/>
        <w:rPr>
          <w:sz w:val="24"/>
        </w:rPr>
      </w:pPr>
      <w:bookmarkStart w:id="169" w:name="_Toc343581973"/>
      <w:bookmarkStart w:id="170" w:name="_Toc343597429"/>
      <w:bookmarkStart w:id="171" w:name="_Ref343520086"/>
      <w:bookmarkStart w:id="172" w:name="_Toc362274279"/>
      <w:bookmarkEnd w:id="169"/>
      <w:bookmarkEnd w:id="170"/>
      <w:r w:rsidRPr="00B41CFA">
        <w:rPr>
          <w:sz w:val="24"/>
        </w:rPr>
        <w:t>Social issues for the Port of Townsville</w:t>
      </w:r>
      <w:bookmarkEnd w:id="171"/>
      <w:bookmarkEnd w:id="172"/>
    </w:p>
    <w:p w:rsidR="00CD19B4" w:rsidRPr="00327573" w:rsidRDefault="00CD19B4" w:rsidP="00CD19B4">
      <w:pPr>
        <w:pStyle w:val="Body"/>
        <w:rPr>
          <w:sz w:val="24"/>
          <w:szCs w:val="24"/>
        </w:rPr>
      </w:pPr>
      <w:r w:rsidRPr="00327573">
        <w:rPr>
          <w:sz w:val="24"/>
          <w:szCs w:val="24"/>
        </w:rPr>
        <w:t xml:space="preserve">The social issues identified during the Project’s consultation for the Port of Townsville are summarised in </w:t>
      </w:r>
      <w:r w:rsidR="00CD38ED" w:rsidRPr="00327573">
        <w:rPr>
          <w:sz w:val="24"/>
          <w:szCs w:val="24"/>
        </w:rPr>
        <w:fldChar w:fldCharType="begin"/>
      </w:r>
      <w:r w:rsidRPr="00327573">
        <w:rPr>
          <w:sz w:val="24"/>
          <w:szCs w:val="24"/>
        </w:rPr>
        <w:instrText xml:space="preserve"> REF  _Ref343163705 \* Lower \h </w:instrText>
      </w:r>
      <w:r w:rsidR="00327573">
        <w:rPr>
          <w:sz w:val="24"/>
          <w:szCs w:val="24"/>
        </w:rPr>
        <w:instrText xml:space="preserve"> \* MERGEFORMAT </w:instrText>
      </w:r>
      <w:r w:rsidR="00CD38ED" w:rsidRPr="00327573">
        <w:rPr>
          <w:sz w:val="24"/>
          <w:szCs w:val="24"/>
        </w:rPr>
      </w:r>
      <w:r w:rsidR="00CD38ED" w:rsidRPr="00327573">
        <w:rPr>
          <w:sz w:val="24"/>
          <w:szCs w:val="24"/>
        </w:rPr>
        <w:fldChar w:fldCharType="separate"/>
      </w:r>
      <w:r w:rsidR="005F6E51" w:rsidRPr="00327573">
        <w:rPr>
          <w:sz w:val="24"/>
          <w:szCs w:val="24"/>
        </w:rPr>
        <w:t xml:space="preserve">table </w:t>
      </w:r>
      <w:r w:rsidR="005F6E51">
        <w:rPr>
          <w:noProof/>
          <w:sz w:val="24"/>
          <w:szCs w:val="24"/>
        </w:rPr>
        <w:t>3</w:t>
      </w:r>
      <w:r w:rsidR="005F6E51" w:rsidRPr="00327573">
        <w:rPr>
          <w:noProof/>
          <w:sz w:val="24"/>
          <w:szCs w:val="24"/>
        </w:rPr>
        <w:noBreakHyphen/>
      </w:r>
      <w:r w:rsidR="005F6E51">
        <w:rPr>
          <w:noProof/>
          <w:sz w:val="24"/>
          <w:szCs w:val="24"/>
        </w:rPr>
        <w:t>2</w:t>
      </w:r>
      <w:r w:rsidR="00CD38ED" w:rsidRPr="00327573">
        <w:rPr>
          <w:sz w:val="24"/>
          <w:szCs w:val="24"/>
        </w:rPr>
        <w:fldChar w:fldCharType="end"/>
      </w:r>
      <w:r w:rsidRPr="00327573">
        <w:rPr>
          <w:sz w:val="24"/>
          <w:szCs w:val="24"/>
        </w:rPr>
        <w:t>.</w:t>
      </w:r>
    </w:p>
    <w:p w:rsidR="00CD19B4" w:rsidRPr="00327573" w:rsidRDefault="00CD19B4" w:rsidP="00CD19B4">
      <w:pPr>
        <w:pStyle w:val="CaptionTable"/>
        <w:rPr>
          <w:sz w:val="24"/>
          <w:szCs w:val="24"/>
        </w:rPr>
      </w:pPr>
      <w:bookmarkStart w:id="173" w:name="_Ref343163705"/>
      <w:bookmarkStart w:id="174" w:name="_Toc362274360"/>
      <w:r w:rsidRPr="00327573">
        <w:rPr>
          <w:sz w:val="24"/>
          <w:szCs w:val="24"/>
        </w:rPr>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3</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2</w:t>
      </w:r>
      <w:r w:rsidR="00542883">
        <w:rPr>
          <w:sz w:val="24"/>
          <w:szCs w:val="24"/>
        </w:rPr>
        <w:fldChar w:fldCharType="end"/>
      </w:r>
      <w:bookmarkEnd w:id="173"/>
      <w:r w:rsidR="00327573">
        <w:rPr>
          <w:noProof/>
          <w:sz w:val="24"/>
          <w:szCs w:val="24"/>
        </w:rPr>
        <w:t>:</w:t>
      </w:r>
      <w:r w:rsidRPr="00327573">
        <w:rPr>
          <w:sz w:val="24"/>
          <w:szCs w:val="24"/>
        </w:rPr>
        <w:t xml:space="preserve"> </w:t>
      </w:r>
      <w:r w:rsidRPr="00327573">
        <w:rPr>
          <w:b w:val="0"/>
          <w:sz w:val="24"/>
          <w:szCs w:val="24"/>
        </w:rPr>
        <w:t>Summary of social issues identified for the Port of Townsville from consultation under this Project</w:t>
      </w:r>
      <w:bookmarkEnd w:id="174"/>
    </w:p>
    <w:tbl>
      <w:tblPr>
        <w:tblStyle w:val="TableGrid"/>
        <w:tblW w:w="5000"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firstRow="1" w:lastRow="0" w:firstColumn="1" w:lastColumn="0" w:noHBand="0" w:noVBand="1"/>
        <w:tblCaption w:val="Summary of social issues identified for the Port of Townsville from consultation under this Project"/>
        <w:tblDescription w:val="Summary of the social issues identified for the Port of Townsville from stakeholder consultation. Columns are the social issue and the comments with respect to the port."/>
      </w:tblPr>
      <w:tblGrid>
        <w:gridCol w:w="2263"/>
        <w:gridCol w:w="6740"/>
      </w:tblGrid>
      <w:tr w:rsidR="00CD19B4" w:rsidRPr="00327573" w:rsidTr="00FC1ADE">
        <w:trPr>
          <w:tblHeader/>
        </w:trPr>
        <w:tc>
          <w:tcPr>
            <w:tcW w:w="2263" w:type="dxa"/>
            <w:tcBorders>
              <w:top w:val="single" w:sz="4" w:space="0" w:color="auto"/>
            </w:tcBorders>
            <w:shd w:val="clear" w:color="auto" w:fill="auto"/>
          </w:tcPr>
          <w:p w:rsidR="00CD19B4" w:rsidRPr="00327573" w:rsidRDefault="00CD19B4" w:rsidP="00113776">
            <w:pPr>
              <w:pStyle w:val="TableHead"/>
              <w:rPr>
                <w:sz w:val="24"/>
                <w:szCs w:val="24"/>
              </w:rPr>
            </w:pPr>
            <w:r w:rsidRPr="00327573">
              <w:rPr>
                <w:sz w:val="24"/>
                <w:szCs w:val="24"/>
              </w:rPr>
              <w:t>Social issues</w:t>
            </w:r>
          </w:p>
        </w:tc>
        <w:tc>
          <w:tcPr>
            <w:tcW w:w="6740" w:type="dxa"/>
            <w:tcBorders>
              <w:top w:val="single" w:sz="4" w:space="0" w:color="auto"/>
            </w:tcBorders>
            <w:shd w:val="clear" w:color="auto" w:fill="auto"/>
          </w:tcPr>
          <w:p w:rsidR="00CD19B4" w:rsidRPr="00327573" w:rsidRDefault="00CD19B4" w:rsidP="00113776">
            <w:pPr>
              <w:pStyle w:val="TableHead"/>
              <w:rPr>
                <w:sz w:val="24"/>
                <w:szCs w:val="24"/>
              </w:rPr>
            </w:pPr>
            <w:r w:rsidRPr="00327573">
              <w:rPr>
                <w:sz w:val="24"/>
                <w:szCs w:val="24"/>
              </w:rPr>
              <w:t>Comments with respect to Port of Townsville</w:t>
            </w:r>
          </w:p>
        </w:tc>
      </w:tr>
      <w:tr w:rsidR="00CD19B4" w:rsidRPr="00327573" w:rsidTr="00FC1ADE">
        <w:tc>
          <w:tcPr>
            <w:tcW w:w="2263" w:type="dxa"/>
            <w:shd w:val="clear" w:color="auto" w:fill="auto"/>
          </w:tcPr>
          <w:p w:rsidR="00CD19B4" w:rsidRPr="00327573" w:rsidRDefault="00CD19B4" w:rsidP="00113776">
            <w:pPr>
              <w:pStyle w:val="TableBody"/>
              <w:rPr>
                <w:sz w:val="24"/>
                <w:szCs w:val="24"/>
              </w:rPr>
            </w:pPr>
            <w:r w:rsidRPr="00327573">
              <w:rPr>
                <w:sz w:val="24"/>
                <w:szCs w:val="24"/>
              </w:rPr>
              <w:t>Altered aesthetic values during day time</w:t>
            </w:r>
            <w:r w:rsidR="001A0CC2" w:rsidRPr="00327573">
              <w:rPr>
                <w:sz w:val="24"/>
                <w:szCs w:val="24"/>
              </w:rPr>
              <w:t xml:space="preserve"> and night time</w:t>
            </w:r>
          </w:p>
        </w:tc>
        <w:tc>
          <w:tcPr>
            <w:tcW w:w="6740" w:type="dxa"/>
            <w:shd w:val="clear" w:color="auto" w:fill="auto"/>
          </w:tcPr>
          <w:p w:rsidR="00CD19B4" w:rsidRPr="00327573" w:rsidRDefault="00CD19B4" w:rsidP="005E28EE">
            <w:pPr>
              <w:pStyle w:val="Body"/>
              <w:rPr>
                <w:sz w:val="24"/>
                <w:szCs w:val="24"/>
              </w:rPr>
            </w:pPr>
            <w:r w:rsidRPr="00327573">
              <w:rPr>
                <w:sz w:val="24"/>
                <w:szCs w:val="24"/>
              </w:rPr>
              <w:t>Stakeholder opinions differ relating to the visibility of anchored vessels from the mainland</w:t>
            </w:r>
            <w:r w:rsidR="00A748A4" w:rsidRPr="00327573">
              <w:rPr>
                <w:sz w:val="24"/>
                <w:szCs w:val="24"/>
              </w:rPr>
              <w:t xml:space="preserve">. </w:t>
            </w:r>
          </w:p>
          <w:p w:rsidR="009320D6" w:rsidRPr="00327573" w:rsidRDefault="00CD19B4" w:rsidP="005E28EE">
            <w:pPr>
              <w:pStyle w:val="Body"/>
              <w:rPr>
                <w:sz w:val="24"/>
                <w:szCs w:val="24"/>
              </w:rPr>
            </w:pPr>
            <w:r w:rsidRPr="00327573">
              <w:rPr>
                <w:sz w:val="24"/>
                <w:szCs w:val="24"/>
              </w:rPr>
              <w:t>Some stakeholders note that large anchored vessels are not an aesthetic issue in Townsville as they are not visible from the town</w:t>
            </w:r>
            <w:r w:rsidR="004B41AB" w:rsidRPr="00327573">
              <w:rPr>
                <w:sz w:val="24"/>
                <w:szCs w:val="24"/>
              </w:rPr>
              <w:t xml:space="preserve"> centre</w:t>
            </w:r>
            <w:r w:rsidR="00A748A4" w:rsidRPr="00327573">
              <w:rPr>
                <w:sz w:val="24"/>
                <w:szCs w:val="24"/>
              </w:rPr>
              <w:t xml:space="preserve">. </w:t>
            </w:r>
          </w:p>
          <w:p w:rsidR="00CD19B4" w:rsidRPr="00327573" w:rsidRDefault="00CD19B4" w:rsidP="005E28EE">
            <w:pPr>
              <w:pStyle w:val="Body"/>
              <w:rPr>
                <w:sz w:val="24"/>
                <w:szCs w:val="24"/>
              </w:rPr>
            </w:pPr>
            <w:r w:rsidRPr="00327573">
              <w:rPr>
                <w:sz w:val="24"/>
                <w:szCs w:val="24"/>
              </w:rPr>
              <w:t xml:space="preserve">Others suggest that large anchored vessels may be visible like dots on the horizon from the mainland. At night time the lights from the vessels offer diversity in the dark scape and </w:t>
            </w:r>
            <w:r w:rsidR="000B0FF8" w:rsidRPr="00327573">
              <w:rPr>
                <w:sz w:val="24"/>
                <w:szCs w:val="24"/>
              </w:rPr>
              <w:t xml:space="preserve">can </w:t>
            </w:r>
            <w:r w:rsidRPr="00327573">
              <w:rPr>
                <w:sz w:val="24"/>
                <w:szCs w:val="24"/>
              </w:rPr>
              <w:t>benefit small boats fishing at night.</w:t>
            </w:r>
          </w:p>
          <w:p w:rsidR="00FA57D0" w:rsidRPr="00327573" w:rsidRDefault="00CD19B4" w:rsidP="005E28EE">
            <w:pPr>
              <w:pStyle w:val="Body"/>
              <w:rPr>
                <w:sz w:val="24"/>
                <w:szCs w:val="24"/>
              </w:rPr>
            </w:pPr>
            <w:r w:rsidRPr="00327573">
              <w:rPr>
                <w:sz w:val="24"/>
                <w:szCs w:val="24"/>
              </w:rPr>
              <w:t>Large vessels</w:t>
            </w:r>
            <w:r w:rsidR="00FA57D0" w:rsidRPr="00327573">
              <w:rPr>
                <w:sz w:val="24"/>
                <w:szCs w:val="24"/>
              </w:rPr>
              <w:t>,</w:t>
            </w:r>
            <w:r w:rsidRPr="00327573">
              <w:rPr>
                <w:sz w:val="24"/>
                <w:szCs w:val="24"/>
              </w:rPr>
              <w:t xml:space="preserve"> because of their transitory nature and intriguing structures</w:t>
            </w:r>
            <w:r w:rsidR="00FA57D0" w:rsidRPr="00327573">
              <w:rPr>
                <w:sz w:val="24"/>
                <w:szCs w:val="24"/>
              </w:rPr>
              <w:t>,</w:t>
            </w:r>
            <w:r w:rsidRPr="00327573">
              <w:rPr>
                <w:sz w:val="24"/>
                <w:szCs w:val="24"/>
              </w:rPr>
              <w:t xml:space="preserve"> </w:t>
            </w:r>
            <w:r w:rsidR="000B0FF8" w:rsidRPr="00327573">
              <w:rPr>
                <w:sz w:val="24"/>
                <w:szCs w:val="24"/>
              </w:rPr>
              <w:t xml:space="preserve">can </w:t>
            </w:r>
            <w:r w:rsidRPr="00327573">
              <w:rPr>
                <w:sz w:val="24"/>
                <w:szCs w:val="24"/>
              </w:rPr>
              <w:t xml:space="preserve">become an attraction </w:t>
            </w:r>
            <w:r w:rsidR="000B0FF8" w:rsidRPr="00327573">
              <w:rPr>
                <w:sz w:val="24"/>
                <w:szCs w:val="24"/>
              </w:rPr>
              <w:t xml:space="preserve">rather </w:t>
            </w:r>
            <w:r w:rsidRPr="00327573">
              <w:rPr>
                <w:sz w:val="24"/>
                <w:szCs w:val="24"/>
              </w:rPr>
              <w:t>than a visual impediment.</w:t>
            </w:r>
          </w:p>
          <w:p w:rsidR="00FC1ADE" w:rsidRPr="00327573" w:rsidRDefault="00FC1ADE" w:rsidP="005E28EE">
            <w:pPr>
              <w:pStyle w:val="Body"/>
              <w:rPr>
                <w:sz w:val="24"/>
                <w:szCs w:val="24"/>
              </w:rPr>
            </w:pPr>
          </w:p>
        </w:tc>
      </w:tr>
      <w:tr w:rsidR="00CD19B4" w:rsidRPr="00327573" w:rsidTr="00FC1ADE">
        <w:tc>
          <w:tcPr>
            <w:tcW w:w="2263" w:type="dxa"/>
            <w:shd w:val="clear" w:color="auto" w:fill="auto"/>
          </w:tcPr>
          <w:p w:rsidR="00CD19B4" w:rsidRPr="00327573" w:rsidRDefault="00CD19B4" w:rsidP="00113776">
            <w:pPr>
              <w:pStyle w:val="TableBody"/>
              <w:rPr>
                <w:sz w:val="24"/>
                <w:szCs w:val="24"/>
              </w:rPr>
            </w:pPr>
            <w:r w:rsidRPr="00327573">
              <w:rPr>
                <w:sz w:val="24"/>
                <w:szCs w:val="24"/>
              </w:rPr>
              <w:t>Interference with commercial fishing activities</w:t>
            </w:r>
          </w:p>
        </w:tc>
        <w:tc>
          <w:tcPr>
            <w:tcW w:w="6740" w:type="dxa"/>
            <w:shd w:val="clear" w:color="auto" w:fill="auto"/>
          </w:tcPr>
          <w:p w:rsidR="00CD19B4" w:rsidRPr="00327573" w:rsidRDefault="007F25E3" w:rsidP="005E28EE">
            <w:pPr>
              <w:pStyle w:val="Body"/>
              <w:rPr>
                <w:sz w:val="24"/>
                <w:szCs w:val="24"/>
              </w:rPr>
            </w:pPr>
            <w:r w:rsidRPr="00327573">
              <w:rPr>
                <w:sz w:val="24"/>
                <w:szCs w:val="24"/>
              </w:rPr>
              <w:t xml:space="preserve">For </w:t>
            </w:r>
            <w:r w:rsidR="00A034E7" w:rsidRPr="00327573">
              <w:rPr>
                <w:sz w:val="24"/>
                <w:szCs w:val="24"/>
              </w:rPr>
              <w:t>some of those consulted,</w:t>
            </w:r>
            <w:r w:rsidRPr="00327573">
              <w:rPr>
                <w:sz w:val="24"/>
                <w:szCs w:val="24"/>
              </w:rPr>
              <w:t xml:space="preserve"> a</w:t>
            </w:r>
            <w:r w:rsidR="00A967BA" w:rsidRPr="00327573">
              <w:rPr>
                <w:sz w:val="24"/>
                <w:szCs w:val="24"/>
              </w:rPr>
              <w:t>nchorage areas in Townsville are not currently perceived to interfere with commercial fishing activities. Fishing vessels can still access resources and traverse between anchored vessels.</w:t>
            </w:r>
          </w:p>
          <w:p w:rsidR="00CD19B4" w:rsidRPr="00327573" w:rsidRDefault="00CD19B4" w:rsidP="005E28EE">
            <w:pPr>
              <w:pStyle w:val="Body"/>
              <w:rPr>
                <w:sz w:val="24"/>
                <w:szCs w:val="24"/>
              </w:rPr>
            </w:pPr>
            <w:r w:rsidRPr="00327573">
              <w:rPr>
                <w:sz w:val="24"/>
                <w:szCs w:val="24"/>
              </w:rPr>
              <w:t>A conflict may arise if commercial fishing is excluded from anchorage areas.</w:t>
            </w:r>
          </w:p>
          <w:p w:rsidR="00D01963" w:rsidRPr="00327573" w:rsidRDefault="00EB5B92" w:rsidP="005E28EE">
            <w:pPr>
              <w:pStyle w:val="Body"/>
              <w:rPr>
                <w:sz w:val="24"/>
                <w:szCs w:val="24"/>
              </w:rPr>
            </w:pPr>
            <w:r w:rsidRPr="00327573">
              <w:rPr>
                <w:sz w:val="24"/>
                <w:szCs w:val="24"/>
              </w:rPr>
              <w:t xml:space="preserve">Safety is of concern when there is interaction between anchored vessels and commercial fishing activities, typically trawling because of the risk of collision and fishing gear becoming entangled with anchored vessels. Safety is also of concern in areas where vessels have previously anchored due to possible changes in bathymetry </w:t>
            </w:r>
            <w:r w:rsidR="00BB42BD" w:rsidRPr="00327573">
              <w:rPr>
                <w:sz w:val="24"/>
                <w:szCs w:val="24"/>
              </w:rPr>
              <w:t>which</w:t>
            </w:r>
            <w:r w:rsidR="00A034E7" w:rsidRPr="00327573">
              <w:rPr>
                <w:sz w:val="24"/>
                <w:szCs w:val="24"/>
              </w:rPr>
              <w:t xml:space="preserve"> can</w:t>
            </w:r>
            <w:r w:rsidR="00BB42BD" w:rsidRPr="00327573">
              <w:rPr>
                <w:sz w:val="24"/>
                <w:szCs w:val="24"/>
              </w:rPr>
              <w:t xml:space="preserve"> compromise</w:t>
            </w:r>
            <w:r w:rsidRPr="00327573">
              <w:rPr>
                <w:sz w:val="24"/>
                <w:szCs w:val="24"/>
              </w:rPr>
              <w:t xml:space="preserve"> the safe and optimal operation of trawl equipment.</w:t>
            </w:r>
          </w:p>
          <w:p w:rsidR="00D52F2E" w:rsidRPr="00327573" w:rsidRDefault="00A034E7" w:rsidP="005E28EE">
            <w:pPr>
              <w:pStyle w:val="Body"/>
              <w:rPr>
                <w:sz w:val="24"/>
                <w:szCs w:val="24"/>
              </w:rPr>
            </w:pPr>
            <w:r w:rsidRPr="00327573">
              <w:rPr>
                <w:sz w:val="24"/>
                <w:szCs w:val="24"/>
              </w:rPr>
              <w:t>Safety can also be of concern for commercial maritime users where the perceived safe operating distance around anchored ships may be greater than the direct physical dimensions and the swing distance of an anchored ship. This can affect navigational paths.</w:t>
            </w:r>
          </w:p>
        </w:tc>
      </w:tr>
      <w:tr w:rsidR="00CD19B4" w:rsidRPr="00327573" w:rsidTr="00FC1ADE">
        <w:tc>
          <w:tcPr>
            <w:tcW w:w="2263" w:type="dxa"/>
            <w:shd w:val="clear" w:color="auto" w:fill="auto"/>
          </w:tcPr>
          <w:p w:rsidR="00CD19B4" w:rsidRPr="00327573" w:rsidRDefault="00CD19B4" w:rsidP="00113776">
            <w:pPr>
              <w:pStyle w:val="TableBody"/>
              <w:rPr>
                <w:sz w:val="24"/>
                <w:szCs w:val="24"/>
              </w:rPr>
            </w:pPr>
            <w:r w:rsidRPr="00327573">
              <w:rPr>
                <w:sz w:val="24"/>
                <w:szCs w:val="24"/>
              </w:rPr>
              <w:t>Interference with recreational fishing and boating</w:t>
            </w:r>
          </w:p>
        </w:tc>
        <w:tc>
          <w:tcPr>
            <w:tcW w:w="6740" w:type="dxa"/>
            <w:shd w:val="clear" w:color="auto" w:fill="auto"/>
          </w:tcPr>
          <w:p w:rsidR="00CD19B4" w:rsidRPr="00327573" w:rsidRDefault="00D01963" w:rsidP="005E28EE">
            <w:pPr>
              <w:pStyle w:val="Body"/>
              <w:rPr>
                <w:sz w:val="24"/>
                <w:szCs w:val="24"/>
              </w:rPr>
            </w:pPr>
            <w:r w:rsidRPr="00327573">
              <w:rPr>
                <w:sz w:val="24"/>
                <w:szCs w:val="24"/>
              </w:rPr>
              <w:t>For some of those consulted, n</w:t>
            </w:r>
            <w:r w:rsidR="00CD19B4" w:rsidRPr="00327573">
              <w:rPr>
                <w:sz w:val="24"/>
                <w:szCs w:val="24"/>
              </w:rPr>
              <w:t>o noteworthy issues or conflicts between recreational fishing and boating users and anchorage of large vessels</w:t>
            </w:r>
            <w:r w:rsidR="000B0FF8" w:rsidRPr="00327573">
              <w:rPr>
                <w:sz w:val="24"/>
                <w:szCs w:val="24"/>
              </w:rPr>
              <w:t xml:space="preserve"> were identified</w:t>
            </w:r>
            <w:r w:rsidRPr="00327573">
              <w:rPr>
                <w:sz w:val="24"/>
                <w:szCs w:val="24"/>
              </w:rPr>
              <w:t>.</w:t>
            </w:r>
            <w:r w:rsidR="00D351E8" w:rsidRPr="00327573">
              <w:rPr>
                <w:sz w:val="24"/>
                <w:szCs w:val="24"/>
              </w:rPr>
              <w:t xml:space="preserve"> </w:t>
            </w:r>
          </w:p>
          <w:p w:rsidR="00757521" w:rsidRPr="00327573" w:rsidRDefault="00CD19B4" w:rsidP="005E28EE">
            <w:pPr>
              <w:pStyle w:val="Body"/>
              <w:rPr>
                <w:sz w:val="24"/>
                <w:szCs w:val="24"/>
              </w:rPr>
            </w:pPr>
            <w:r w:rsidRPr="00327573">
              <w:rPr>
                <w:sz w:val="24"/>
                <w:szCs w:val="24"/>
              </w:rPr>
              <w:t xml:space="preserve">Main recreational areas near Townsville are Magnetic Island and </w:t>
            </w:r>
            <w:r w:rsidR="00F60B2B" w:rsidRPr="00327573">
              <w:rPr>
                <w:sz w:val="24"/>
                <w:szCs w:val="24"/>
              </w:rPr>
              <w:t xml:space="preserve">Orchard </w:t>
            </w:r>
            <w:r w:rsidRPr="00327573">
              <w:rPr>
                <w:sz w:val="24"/>
                <w:szCs w:val="24"/>
              </w:rPr>
              <w:t>Rock</w:t>
            </w:r>
            <w:r w:rsidR="00917256" w:rsidRPr="00327573">
              <w:rPr>
                <w:sz w:val="24"/>
                <w:szCs w:val="24"/>
              </w:rPr>
              <w:t>s</w:t>
            </w:r>
            <w:r w:rsidR="00FA57D0" w:rsidRPr="00327573">
              <w:rPr>
                <w:sz w:val="24"/>
                <w:szCs w:val="24"/>
              </w:rPr>
              <w:t xml:space="preserve"> which </w:t>
            </w:r>
            <w:r w:rsidRPr="00327573">
              <w:rPr>
                <w:sz w:val="24"/>
                <w:szCs w:val="24"/>
              </w:rPr>
              <w:t xml:space="preserve">are popular </w:t>
            </w:r>
            <w:r w:rsidR="00FA57D0" w:rsidRPr="00327573">
              <w:rPr>
                <w:sz w:val="24"/>
                <w:szCs w:val="24"/>
              </w:rPr>
              <w:t xml:space="preserve">locations </w:t>
            </w:r>
            <w:r w:rsidRPr="00327573">
              <w:rPr>
                <w:sz w:val="24"/>
                <w:szCs w:val="24"/>
              </w:rPr>
              <w:t>for day trips</w:t>
            </w:r>
            <w:r w:rsidR="00FA57D0" w:rsidRPr="00327573">
              <w:rPr>
                <w:sz w:val="24"/>
                <w:szCs w:val="24"/>
              </w:rPr>
              <w:t xml:space="preserve">. They </w:t>
            </w:r>
            <w:r w:rsidRPr="00327573">
              <w:rPr>
                <w:sz w:val="24"/>
                <w:szCs w:val="24"/>
              </w:rPr>
              <w:t xml:space="preserve">may have views </w:t>
            </w:r>
            <w:r w:rsidR="000B0FF8" w:rsidRPr="00327573">
              <w:rPr>
                <w:sz w:val="24"/>
                <w:szCs w:val="24"/>
              </w:rPr>
              <w:t xml:space="preserve">of </w:t>
            </w:r>
            <w:r w:rsidRPr="00327573">
              <w:rPr>
                <w:sz w:val="24"/>
                <w:szCs w:val="24"/>
              </w:rPr>
              <w:t>the large vessels, but due to the transitory nature of the vessels and the visitors to the Islands, it was perceived by</w:t>
            </w:r>
            <w:r w:rsidR="0092011F" w:rsidRPr="00327573">
              <w:rPr>
                <w:sz w:val="24"/>
                <w:szCs w:val="24"/>
              </w:rPr>
              <w:t xml:space="preserve"> some</w:t>
            </w:r>
            <w:r w:rsidRPr="00327573">
              <w:rPr>
                <w:sz w:val="24"/>
                <w:szCs w:val="24"/>
              </w:rPr>
              <w:t xml:space="preserve"> </w:t>
            </w:r>
            <w:r w:rsidR="00D351E8" w:rsidRPr="00327573">
              <w:rPr>
                <w:sz w:val="24"/>
                <w:szCs w:val="24"/>
              </w:rPr>
              <w:t xml:space="preserve">targeted </w:t>
            </w:r>
            <w:r w:rsidRPr="00327573">
              <w:rPr>
                <w:sz w:val="24"/>
                <w:szCs w:val="24"/>
              </w:rPr>
              <w:t xml:space="preserve">stakeholders that </w:t>
            </w:r>
            <w:r w:rsidR="00FA57D0" w:rsidRPr="00327573">
              <w:rPr>
                <w:sz w:val="24"/>
                <w:szCs w:val="24"/>
              </w:rPr>
              <w:t xml:space="preserve">the </w:t>
            </w:r>
            <w:r w:rsidRPr="00327573">
              <w:rPr>
                <w:sz w:val="24"/>
                <w:szCs w:val="24"/>
              </w:rPr>
              <w:t xml:space="preserve">aesthetic values </w:t>
            </w:r>
            <w:r w:rsidR="00FA57D0" w:rsidRPr="00327573">
              <w:rPr>
                <w:sz w:val="24"/>
                <w:szCs w:val="24"/>
              </w:rPr>
              <w:t xml:space="preserve">of these areas </w:t>
            </w:r>
            <w:r w:rsidRPr="00327573">
              <w:rPr>
                <w:sz w:val="24"/>
                <w:szCs w:val="24"/>
              </w:rPr>
              <w:t>are not compromised.</w:t>
            </w:r>
            <w:r w:rsidR="00540AAE" w:rsidRPr="00327573">
              <w:rPr>
                <w:sz w:val="24"/>
                <w:szCs w:val="24"/>
              </w:rPr>
              <w:t xml:space="preserve"> </w:t>
            </w:r>
          </w:p>
          <w:p w:rsidR="00875791" w:rsidRPr="00327573" w:rsidRDefault="00875791" w:rsidP="005E28EE">
            <w:pPr>
              <w:pStyle w:val="Body"/>
              <w:rPr>
                <w:sz w:val="24"/>
                <w:szCs w:val="24"/>
              </w:rPr>
            </w:pPr>
            <w:r w:rsidRPr="00327573">
              <w:rPr>
                <w:sz w:val="24"/>
                <w:szCs w:val="24"/>
              </w:rPr>
              <w:t xml:space="preserve">Safety </w:t>
            </w:r>
            <w:r w:rsidR="00A034E7" w:rsidRPr="00327573">
              <w:rPr>
                <w:sz w:val="24"/>
                <w:szCs w:val="24"/>
              </w:rPr>
              <w:t xml:space="preserve">can be </w:t>
            </w:r>
            <w:r w:rsidRPr="00327573">
              <w:rPr>
                <w:sz w:val="24"/>
                <w:szCs w:val="24"/>
              </w:rPr>
              <w:t>of concern for maritime users</w:t>
            </w:r>
            <w:r w:rsidR="0025499E" w:rsidRPr="00327573">
              <w:rPr>
                <w:sz w:val="24"/>
                <w:szCs w:val="24"/>
              </w:rPr>
              <w:t xml:space="preserve"> where t</w:t>
            </w:r>
            <w:r w:rsidRPr="00327573">
              <w:rPr>
                <w:sz w:val="24"/>
                <w:szCs w:val="24"/>
              </w:rPr>
              <w:t>he perceived safe operating distance around anchored ships is greater than the direct physical dimensions and the swing distance of an anchored ship.</w:t>
            </w:r>
          </w:p>
          <w:p w:rsidR="00EA00B5" w:rsidRPr="00327573" w:rsidRDefault="00B82978" w:rsidP="005E28EE">
            <w:pPr>
              <w:pStyle w:val="Body"/>
              <w:rPr>
                <w:sz w:val="24"/>
                <w:szCs w:val="24"/>
              </w:rPr>
            </w:pPr>
            <w:r w:rsidRPr="00327573">
              <w:rPr>
                <w:sz w:val="24"/>
                <w:szCs w:val="24"/>
              </w:rPr>
              <w:t>Recreational maritime users may also avoid gettin</w:t>
            </w:r>
            <w:r w:rsidR="00FA782B">
              <w:rPr>
                <w:sz w:val="24"/>
                <w:szCs w:val="24"/>
              </w:rPr>
              <w:t xml:space="preserve">g too close to anchored ships. </w:t>
            </w:r>
            <w:r w:rsidR="0092011F" w:rsidRPr="00327573">
              <w:rPr>
                <w:sz w:val="24"/>
                <w:szCs w:val="24"/>
              </w:rPr>
              <w:t>T</w:t>
            </w:r>
            <w:r w:rsidR="00973239" w:rsidRPr="00327573">
              <w:rPr>
                <w:sz w:val="24"/>
                <w:szCs w:val="24"/>
              </w:rPr>
              <w:t xml:space="preserve">hose involved in recreational </w:t>
            </w:r>
            <w:r w:rsidR="00F72763" w:rsidRPr="00327573">
              <w:rPr>
                <w:sz w:val="24"/>
                <w:szCs w:val="24"/>
              </w:rPr>
              <w:t>activities, such as</w:t>
            </w:r>
            <w:r w:rsidR="00770F64" w:rsidRPr="00327573">
              <w:rPr>
                <w:sz w:val="24"/>
                <w:szCs w:val="24"/>
              </w:rPr>
              <w:t xml:space="preserve"> </w:t>
            </w:r>
            <w:r w:rsidR="00973239" w:rsidRPr="00327573">
              <w:rPr>
                <w:sz w:val="24"/>
                <w:szCs w:val="24"/>
              </w:rPr>
              <w:t>fishing and boating</w:t>
            </w:r>
            <w:r w:rsidR="00F72763" w:rsidRPr="00327573">
              <w:rPr>
                <w:sz w:val="24"/>
                <w:szCs w:val="24"/>
              </w:rPr>
              <w:t>,</w:t>
            </w:r>
            <w:r w:rsidR="00973239" w:rsidRPr="00327573">
              <w:rPr>
                <w:sz w:val="24"/>
                <w:szCs w:val="24"/>
              </w:rPr>
              <w:t xml:space="preserve"> </w:t>
            </w:r>
            <w:r w:rsidR="0092011F" w:rsidRPr="00327573">
              <w:rPr>
                <w:sz w:val="24"/>
                <w:szCs w:val="24"/>
              </w:rPr>
              <w:t xml:space="preserve">may </w:t>
            </w:r>
            <w:r w:rsidR="00973239" w:rsidRPr="00327573">
              <w:rPr>
                <w:sz w:val="24"/>
                <w:szCs w:val="24"/>
              </w:rPr>
              <w:t>perceive the presence of large vessels in or within the vicinity of the Marine Park negatively</w:t>
            </w:r>
            <w:r w:rsidR="00F72763" w:rsidRPr="00327573">
              <w:rPr>
                <w:sz w:val="24"/>
                <w:szCs w:val="24"/>
              </w:rPr>
              <w:t xml:space="preserve"> and</w:t>
            </w:r>
            <w:r w:rsidR="000218F9" w:rsidRPr="00327573">
              <w:rPr>
                <w:sz w:val="24"/>
                <w:szCs w:val="24"/>
              </w:rPr>
              <w:t xml:space="preserve"> </w:t>
            </w:r>
            <w:r w:rsidR="00973239" w:rsidRPr="00327573">
              <w:rPr>
                <w:sz w:val="24"/>
                <w:szCs w:val="24"/>
              </w:rPr>
              <w:t>as a risk to the Reef’s values</w:t>
            </w:r>
            <w:r w:rsidR="00F72763" w:rsidRPr="00327573">
              <w:rPr>
                <w:sz w:val="24"/>
                <w:szCs w:val="24"/>
              </w:rPr>
              <w:t>, including aesthetic values</w:t>
            </w:r>
            <w:r w:rsidR="00973239" w:rsidRPr="00327573">
              <w:rPr>
                <w:sz w:val="24"/>
                <w:szCs w:val="24"/>
              </w:rPr>
              <w:t>.</w:t>
            </w:r>
          </w:p>
        </w:tc>
      </w:tr>
      <w:tr w:rsidR="00CD19B4" w:rsidRPr="00327573" w:rsidTr="00FC1ADE">
        <w:tc>
          <w:tcPr>
            <w:tcW w:w="2263" w:type="dxa"/>
            <w:shd w:val="clear" w:color="auto" w:fill="auto"/>
          </w:tcPr>
          <w:p w:rsidR="00CD19B4" w:rsidRPr="00327573" w:rsidRDefault="00CD19B4" w:rsidP="00113776">
            <w:pPr>
              <w:pStyle w:val="TableBody"/>
              <w:rPr>
                <w:sz w:val="24"/>
                <w:szCs w:val="24"/>
              </w:rPr>
            </w:pPr>
            <w:r w:rsidRPr="00327573">
              <w:rPr>
                <w:sz w:val="24"/>
                <w:szCs w:val="24"/>
              </w:rPr>
              <w:t>Interference with tourism activities</w:t>
            </w:r>
          </w:p>
        </w:tc>
        <w:tc>
          <w:tcPr>
            <w:tcW w:w="6740" w:type="dxa"/>
            <w:shd w:val="clear" w:color="auto" w:fill="auto"/>
          </w:tcPr>
          <w:p w:rsidR="00CD19B4" w:rsidRPr="00327573" w:rsidRDefault="000B0FF8" w:rsidP="005E28EE">
            <w:pPr>
              <w:pStyle w:val="Body"/>
              <w:rPr>
                <w:sz w:val="24"/>
                <w:szCs w:val="24"/>
              </w:rPr>
            </w:pPr>
            <w:r w:rsidRPr="00327573">
              <w:rPr>
                <w:sz w:val="24"/>
                <w:szCs w:val="24"/>
              </w:rPr>
              <w:t>N</w:t>
            </w:r>
            <w:r w:rsidR="00CD19B4" w:rsidRPr="00327573">
              <w:rPr>
                <w:sz w:val="24"/>
                <w:szCs w:val="24"/>
              </w:rPr>
              <w:t>o conflicts or interactions between the tourism industry operating out of Townsville and the anchorage areas</w:t>
            </w:r>
            <w:r w:rsidRPr="00327573">
              <w:rPr>
                <w:sz w:val="24"/>
                <w:szCs w:val="24"/>
              </w:rPr>
              <w:t xml:space="preserve"> were identified by consulted parties</w:t>
            </w:r>
            <w:r w:rsidR="00CD19B4" w:rsidRPr="00327573">
              <w:rPr>
                <w:sz w:val="24"/>
                <w:szCs w:val="24"/>
              </w:rPr>
              <w:t>.</w:t>
            </w:r>
          </w:p>
          <w:p w:rsidR="00CD19B4" w:rsidRPr="00327573" w:rsidRDefault="00CD19B4" w:rsidP="005E28EE">
            <w:pPr>
              <w:pStyle w:val="Body"/>
              <w:rPr>
                <w:sz w:val="24"/>
                <w:szCs w:val="24"/>
              </w:rPr>
            </w:pPr>
            <w:r w:rsidRPr="00327573">
              <w:rPr>
                <w:sz w:val="24"/>
                <w:szCs w:val="24"/>
              </w:rPr>
              <w:t xml:space="preserve">Often large vessels anchored at sea or cruise ships anchored close to shore </w:t>
            </w:r>
            <w:r w:rsidR="000B0FF8" w:rsidRPr="00327573">
              <w:rPr>
                <w:sz w:val="24"/>
                <w:szCs w:val="24"/>
              </w:rPr>
              <w:t xml:space="preserve">can </w:t>
            </w:r>
            <w:r w:rsidRPr="00327573">
              <w:rPr>
                <w:sz w:val="24"/>
                <w:szCs w:val="24"/>
              </w:rPr>
              <w:t>become a point of attraction or intrigue for the locals and tourists.</w:t>
            </w:r>
          </w:p>
          <w:p w:rsidR="00093FF9" w:rsidRPr="00327573" w:rsidRDefault="00C94C01" w:rsidP="005E28EE">
            <w:pPr>
              <w:pStyle w:val="Body"/>
              <w:rPr>
                <w:sz w:val="24"/>
                <w:szCs w:val="24"/>
              </w:rPr>
            </w:pPr>
            <w:r w:rsidRPr="00327573">
              <w:rPr>
                <w:sz w:val="24"/>
                <w:szCs w:val="24"/>
              </w:rPr>
              <w:t>T</w:t>
            </w:r>
            <w:r w:rsidR="00093FF9" w:rsidRPr="00327573">
              <w:rPr>
                <w:sz w:val="24"/>
                <w:szCs w:val="24"/>
              </w:rPr>
              <w:t xml:space="preserve">ourists </w:t>
            </w:r>
            <w:r w:rsidRPr="00327573">
              <w:rPr>
                <w:sz w:val="24"/>
                <w:szCs w:val="24"/>
              </w:rPr>
              <w:t>may</w:t>
            </w:r>
            <w:r w:rsidR="00093FF9" w:rsidRPr="00327573">
              <w:rPr>
                <w:sz w:val="24"/>
                <w:szCs w:val="24"/>
              </w:rPr>
              <w:t xml:space="preserve"> perceive the presence of large vessels in or within the vicinity of the Marine Park negatively</w:t>
            </w:r>
            <w:r w:rsidR="00F72763" w:rsidRPr="00327573">
              <w:rPr>
                <w:sz w:val="24"/>
                <w:szCs w:val="24"/>
              </w:rPr>
              <w:t xml:space="preserve"> and</w:t>
            </w:r>
            <w:r w:rsidR="00093FF9" w:rsidRPr="00327573">
              <w:rPr>
                <w:sz w:val="24"/>
                <w:szCs w:val="24"/>
              </w:rPr>
              <w:t xml:space="preserve"> as a risk to the Reef’s values. </w:t>
            </w:r>
          </w:p>
        </w:tc>
      </w:tr>
    </w:tbl>
    <w:p w:rsidR="00CD19B4" w:rsidRPr="00B41CFA" w:rsidRDefault="00CD19B4" w:rsidP="00CD19B4">
      <w:pPr>
        <w:pStyle w:val="Heading3"/>
        <w:rPr>
          <w:sz w:val="24"/>
        </w:rPr>
      </w:pPr>
      <w:r w:rsidRPr="00B41CFA">
        <w:rPr>
          <w:sz w:val="24"/>
        </w:rPr>
        <w:t xml:space="preserve"> </w:t>
      </w:r>
      <w:bookmarkStart w:id="175" w:name="_Ref343520163"/>
      <w:bookmarkStart w:id="176" w:name="_Toc362274280"/>
      <w:r w:rsidRPr="00B41CFA">
        <w:rPr>
          <w:sz w:val="24"/>
        </w:rPr>
        <w:t xml:space="preserve">Social issues for the </w:t>
      </w:r>
      <w:r w:rsidR="001614B6" w:rsidRPr="00B41CFA">
        <w:rPr>
          <w:sz w:val="24"/>
        </w:rPr>
        <w:t>Port o</w:t>
      </w:r>
      <w:r w:rsidRPr="00B41CFA">
        <w:rPr>
          <w:sz w:val="24"/>
        </w:rPr>
        <w:t>f Abbot Point</w:t>
      </w:r>
      <w:bookmarkEnd w:id="175"/>
      <w:bookmarkEnd w:id="176"/>
    </w:p>
    <w:p w:rsidR="00CD19B4" w:rsidRPr="00327573" w:rsidRDefault="00CD19B4" w:rsidP="00CD19B4">
      <w:pPr>
        <w:pStyle w:val="Body"/>
        <w:rPr>
          <w:sz w:val="24"/>
          <w:szCs w:val="24"/>
        </w:rPr>
      </w:pPr>
      <w:r w:rsidRPr="00327573">
        <w:rPr>
          <w:sz w:val="24"/>
          <w:szCs w:val="24"/>
        </w:rPr>
        <w:t xml:space="preserve">The social issues identified during the Project’s consultation for the Port of Abbot Point are summarised in </w:t>
      </w:r>
      <w:r w:rsidR="00CD38ED" w:rsidRPr="00327573">
        <w:rPr>
          <w:sz w:val="24"/>
          <w:szCs w:val="24"/>
        </w:rPr>
        <w:fldChar w:fldCharType="begin"/>
      </w:r>
      <w:r w:rsidRPr="00327573">
        <w:rPr>
          <w:sz w:val="24"/>
          <w:szCs w:val="24"/>
        </w:rPr>
        <w:instrText xml:space="preserve"> REF  _Ref343163742 \* Lower \h </w:instrText>
      </w:r>
      <w:r w:rsidR="00327573">
        <w:rPr>
          <w:sz w:val="24"/>
          <w:szCs w:val="24"/>
        </w:rPr>
        <w:instrText xml:space="preserve"> \* MERGEFORMAT </w:instrText>
      </w:r>
      <w:r w:rsidR="00CD38ED" w:rsidRPr="00327573">
        <w:rPr>
          <w:sz w:val="24"/>
          <w:szCs w:val="24"/>
        </w:rPr>
      </w:r>
      <w:r w:rsidR="00CD38ED" w:rsidRPr="00327573">
        <w:rPr>
          <w:sz w:val="24"/>
          <w:szCs w:val="24"/>
        </w:rPr>
        <w:fldChar w:fldCharType="separate"/>
      </w:r>
      <w:r w:rsidR="005F6E51" w:rsidRPr="00327573">
        <w:rPr>
          <w:sz w:val="24"/>
          <w:szCs w:val="24"/>
        </w:rPr>
        <w:t xml:space="preserve">table </w:t>
      </w:r>
      <w:r w:rsidR="005F6E51">
        <w:rPr>
          <w:noProof/>
          <w:sz w:val="24"/>
          <w:szCs w:val="24"/>
        </w:rPr>
        <w:t>3</w:t>
      </w:r>
      <w:r w:rsidR="005F6E51" w:rsidRPr="00327573">
        <w:rPr>
          <w:noProof/>
          <w:sz w:val="24"/>
          <w:szCs w:val="24"/>
        </w:rPr>
        <w:noBreakHyphen/>
      </w:r>
      <w:r w:rsidR="005F6E51">
        <w:rPr>
          <w:noProof/>
          <w:sz w:val="24"/>
          <w:szCs w:val="24"/>
        </w:rPr>
        <w:t>3</w:t>
      </w:r>
      <w:r w:rsidR="00CD38ED" w:rsidRPr="00327573">
        <w:rPr>
          <w:sz w:val="24"/>
          <w:szCs w:val="24"/>
        </w:rPr>
        <w:fldChar w:fldCharType="end"/>
      </w:r>
      <w:r w:rsidRPr="00327573">
        <w:rPr>
          <w:sz w:val="24"/>
          <w:szCs w:val="24"/>
        </w:rPr>
        <w:t>.</w:t>
      </w:r>
    </w:p>
    <w:p w:rsidR="00CD19B4" w:rsidRPr="00327573" w:rsidRDefault="00CD19B4" w:rsidP="00CD19B4">
      <w:pPr>
        <w:pStyle w:val="CaptionTable"/>
        <w:rPr>
          <w:sz w:val="24"/>
          <w:szCs w:val="24"/>
        </w:rPr>
      </w:pPr>
      <w:bookmarkStart w:id="177" w:name="_Ref343163742"/>
      <w:bookmarkStart w:id="178" w:name="_Toc362274361"/>
      <w:r w:rsidRPr="00327573">
        <w:rPr>
          <w:sz w:val="24"/>
          <w:szCs w:val="24"/>
        </w:rPr>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3</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3</w:t>
      </w:r>
      <w:r w:rsidR="00542883">
        <w:rPr>
          <w:sz w:val="24"/>
          <w:szCs w:val="24"/>
        </w:rPr>
        <w:fldChar w:fldCharType="end"/>
      </w:r>
      <w:bookmarkEnd w:id="177"/>
      <w:r w:rsidR="00327573">
        <w:rPr>
          <w:noProof/>
          <w:sz w:val="24"/>
          <w:szCs w:val="24"/>
        </w:rPr>
        <w:t>:</w:t>
      </w:r>
      <w:r w:rsidRPr="00327573">
        <w:rPr>
          <w:sz w:val="24"/>
          <w:szCs w:val="24"/>
        </w:rPr>
        <w:t xml:space="preserve"> </w:t>
      </w:r>
      <w:r w:rsidRPr="00327573">
        <w:rPr>
          <w:b w:val="0"/>
          <w:sz w:val="24"/>
          <w:szCs w:val="24"/>
        </w:rPr>
        <w:t>Summary of social issues identified for the Port of Abbot Point from consultation under this Project</w:t>
      </w:r>
      <w:bookmarkEnd w:id="178"/>
    </w:p>
    <w:tbl>
      <w:tblPr>
        <w:tblStyle w:val="TableGrid"/>
        <w:tblW w:w="5000"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firstRow="1" w:lastRow="0" w:firstColumn="1" w:lastColumn="0" w:noHBand="0" w:noVBand="1"/>
        <w:tblCaption w:val="Summary of social issues identified for the Port of Abbot Point from consultation under this Project"/>
        <w:tblDescription w:val="Summary of the social issues identified for the Port of Abbot Point from stakeholder consultation. Columns are the social issue and the comments with respect to the port."/>
      </w:tblPr>
      <w:tblGrid>
        <w:gridCol w:w="2263"/>
        <w:gridCol w:w="6740"/>
      </w:tblGrid>
      <w:tr w:rsidR="00CD19B4" w:rsidRPr="00327573" w:rsidTr="00FC1ADE">
        <w:trPr>
          <w:tblHeader/>
        </w:trPr>
        <w:tc>
          <w:tcPr>
            <w:tcW w:w="2263" w:type="dxa"/>
            <w:tcBorders>
              <w:top w:val="single" w:sz="4" w:space="0" w:color="auto"/>
            </w:tcBorders>
            <w:shd w:val="clear" w:color="auto" w:fill="auto"/>
          </w:tcPr>
          <w:p w:rsidR="00CD19B4" w:rsidRPr="00327573" w:rsidRDefault="00CD19B4" w:rsidP="00113776">
            <w:pPr>
              <w:pStyle w:val="TableHead"/>
              <w:rPr>
                <w:sz w:val="24"/>
                <w:szCs w:val="24"/>
              </w:rPr>
            </w:pPr>
            <w:r w:rsidRPr="00327573">
              <w:rPr>
                <w:sz w:val="24"/>
                <w:szCs w:val="24"/>
              </w:rPr>
              <w:t>Social issues</w:t>
            </w:r>
          </w:p>
        </w:tc>
        <w:tc>
          <w:tcPr>
            <w:tcW w:w="6740" w:type="dxa"/>
            <w:tcBorders>
              <w:top w:val="single" w:sz="4" w:space="0" w:color="auto"/>
            </w:tcBorders>
            <w:shd w:val="clear" w:color="auto" w:fill="auto"/>
          </w:tcPr>
          <w:p w:rsidR="00CD19B4" w:rsidRPr="00327573" w:rsidRDefault="00CD19B4" w:rsidP="00113776">
            <w:pPr>
              <w:pStyle w:val="TableHead"/>
              <w:rPr>
                <w:sz w:val="24"/>
                <w:szCs w:val="24"/>
              </w:rPr>
            </w:pPr>
            <w:r w:rsidRPr="00327573">
              <w:rPr>
                <w:sz w:val="24"/>
                <w:szCs w:val="24"/>
              </w:rPr>
              <w:t>Comments with respect to Port of Abbot Point</w:t>
            </w:r>
          </w:p>
        </w:tc>
      </w:tr>
      <w:tr w:rsidR="00CD19B4" w:rsidRPr="00327573" w:rsidTr="00FC1ADE">
        <w:tc>
          <w:tcPr>
            <w:tcW w:w="2263" w:type="dxa"/>
            <w:shd w:val="clear" w:color="auto" w:fill="auto"/>
          </w:tcPr>
          <w:p w:rsidR="00CD19B4" w:rsidRPr="00327573" w:rsidRDefault="00CD19B4" w:rsidP="00113776">
            <w:pPr>
              <w:pStyle w:val="TableBody"/>
              <w:rPr>
                <w:sz w:val="24"/>
                <w:szCs w:val="24"/>
              </w:rPr>
            </w:pPr>
            <w:r w:rsidRPr="00327573">
              <w:rPr>
                <w:sz w:val="24"/>
                <w:szCs w:val="24"/>
              </w:rPr>
              <w:t>Altered aesthetic values during day time and night time (light issues)</w:t>
            </w:r>
          </w:p>
        </w:tc>
        <w:tc>
          <w:tcPr>
            <w:tcW w:w="6740" w:type="dxa"/>
            <w:shd w:val="clear" w:color="auto" w:fill="auto"/>
          </w:tcPr>
          <w:p w:rsidR="00CD19B4" w:rsidRPr="00327573" w:rsidRDefault="00CD19B4" w:rsidP="005E28EE">
            <w:pPr>
              <w:pStyle w:val="Body"/>
              <w:rPr>
                <w:sz w:val="24"/>
                <w:szCs w:val="24"/>
              </w:rPr>
            </w:pPr>
            <w:r w:rsidRPr="00327573">
              <w:rPr>
                <w:sz w:val="24"/>
                <w:szCs w:val="24"/>
              </w:rPr>
              <w:t>The Port of Abbot Point is not visible from the major population centres around the port.</w:t>
            </w:r>
          </w:p>
          <w:p w:rsidR="00CD19B4" w:rsidRPr="00327573" w:rsidRDefault="00CD19B4" w:rsidP="005E28EE">
            <w:pPr>
              <w:pStyle w:val="Body"/>
              <w:rPr>
                <w:sz w:val="24"/>
                <w:szCs w:val="24"/>
              </w:rPr>
            </w:pPr>
            <w:r w:rsidRPr="00327573">
              <w:rPr>
                <w:sz w:val="24"/>
                <w:szCs w:val="24"/>
              </w:rPr>
              <w:t>The sea scape in the Whitsunday region is dominated by recreational boats</w:t>
            </w:r>
            <w:r w:rsidR="00212B55" w:rsidRPr="00327573">
              <w:rPr>
                <w:sz w:val="24"/>
                <w:szCs w:val="24"/>
              </w:rPr>
              <w:t xml:space="preserve"> and</w:t>
            </w:r>
            <w:r w:rsidRPr="00327573">
              <w:rPr>
                <w:sz w:val="24"/>
                <w:szCs w:val="24"/>
              </w:rPr>
              <w:t xml:space="preserve"> tourist vessels (such as reef tourism boats and charter fishing boats)</w:t>
            </w:r>
            <w:r w:rsidR="005354DA" w:rsidRPr="00327573">
              <w:rPr>
                <w:sz w:val="24"/>
                <w:szCs w:val="24"/>
              </w:rPr>
              <w:t xml:space="preserve">. Targeted stakeholders did not consider large commercial </w:t>
            </w:r>
            <w:r w:rsidRPr="00327573">
              <w:rPr>
                <w:sz w:val="24"/>
                <w:szCs w:val="24"/>
              </w:rPr>
              <w:t xml:space="preserve">vessels </w:t>
            </w:r>
            <w:r w:rsidR="005354DA" w:rsidRPr="00327573">
              <w:rPr>
                <w:sz w:val="24"/>
                <w:szCs w:val="24"/>
              </w:rPr>
              <w:t xml:space="preserve">to significantly </w:t>
            </w:r>
            <w:r w:rsidRPr="00327573">
              <w:rPr>
                <w:sz w:val="24"/>
                <w:szCs w:val="24"/>
              </w:rPr>
              <w:t xml:space="preserve">alter the visual scape of the sea. </w:t>
            </w:r>
          </w:p>
        </w:tc>
      </w:tr>
      <w:tr w:rsidR="00CD19B4" w:rsidRPr="00327573" w:rsidTr="00FC1ADE">
        <w:tc>
          <w:tcPr>
            <w:tcW w:w="2263" w:type="dxa"/>
            <w:shd w:val="clear" w:color="auto" w:fill="auto"/>
          </w:tcPr>
          <w:p w:rsidR="00CD19B4" w:rsidRPr="00327573" w:rsidRDefault="00CD19B4" w:rsidP="00113776">
            <w:pPr>
              <w:pStyle w:val="TableBody"/>
              <w:rPr>
                <w:sz w:val="24"/>
                <w:szCs w:val="24"/>
              </w:rPr>
            </w:pPr>
            <w:r w:rsidRPr="00327573">
              <w:rPr>
                <w:sz w:val="24"/>
                <w:szCs w:val="24"/>
              </w:rPr>
              <w:t>Interference with commercial fishing activities</w:t>
            </w:r>
          </w:p>
        </w:tc>
        <w:tc>
          <w:tcPr>
            <w:tcW w:w="6740" w:type="dxa"/>
            <w:shd w:val="clear" w:color="auto" w:fill="auto"/>
          </w:tcPr>
          <w:p w:rsidR="00917256" w:rsidRPr="00327573" w:rsidRDefault="00E36A43" w:rsidP="005E28EE">
            <w:pPr>
              <w:pStyle w:val="Body"/>
              <w:rPr>
                <w:sz w:val="24"/>
                <w:szCs w:val="24"/>
              </w:rPr>
            </w:pPr>
            <w:r w:rsidRPr="00327573">
              <w:rPr>
                <w:sz w:val="24"/>
                <w:szCs w:val="24"/>
              </w:rPr>
              <w:t>F</w:t>
            </w:r>
            <w:r w:rsidR="002E0099" w:rsidRPr="00327573">
              <w:rPr>
                <w:sz w:val="24"/>
                <w:szCs w:val="24"/>
              </w:rPr>
              <w:t>or some of those consulted, a</w:t>
            </w:r>
            <w:r w:rsidR="00A967BA" w:rsidRPr="00327573">
              <w:rPr>
                <w:sz w:val="24"/>
                <w:szCs w:val="24"/>
              </w:rPr>
              <w:t>nchorage areas at Abbot Point are not perceived to interfere with commercial fishing activities. Fishing vessels are able to access resources and traverse between anchored vessels.</w:t>
            </w:r>
          </w:p>
          <w:p w:rsidR="006F07DA" w:rsidRPr="00327573" w:rsidRDefault="00CD19B4" w:rsidP="005E28EE">
            <w:pPr>
              <w:pStyle w:val="Body"/>
              <w:rPr>
                <w:sz w:val="24"/>
                <w:szCs w:val="24"/>
              </w:rPr>
            </w:pPr>
            <w:r w:rsidRPr="00327573">
              <w:rPr>
                <w:sz w:val="24"/>
                <w:szCs w:val="24"/>
              </w:rPr>
              <w:t>A conflict may arise if commercial fishing is excluded from anchorage areas.</w:t>
            </w:r>
          </w:p>
          <w:p w:rsidR="00D52F2E" w:rsidRPr="00327573" w:rsidRDefault="006F07DA" w:rsidP="005E28EE">
            <w:pPr>
              <w:pStyle w:val="Body"/>
              <w:rPr>
                <w:sz w:val="24"/>
                <w:szCs w:val="24"/>
              </w:rPr>
            </w:pPr>
            <w:r w:rsidRPr="00327573">
              <w:rPr>
                <w:sz w:val="24"/>
                <w:szCs w:val="24"/>
              </w:rPr>
              <w:t xml:space="preserve">Safety is of concern when there is interaction between anchored vessels and commercial fishing activities, typically trawling because of the risk of collision and fishing gear becoming entangled with anchored vessels. Safety is also of concern in areas where vessels had previously anchored due to changes in bathymetry which </w:t>
            </w:r>
            <w:r w:rsidR="00A034E7" w:rsidRPr="00327573">
              <w:rPr>
                <w:sz w:val="24"/>
                <w:szCs w:val="24"/>
              </w:rPr>
              <w:t xml:space="preserve">can </w:t>
            </w:r>
            <w:r w:rsidRPr="00327573">
              <w:rPr>
                <w:sz w:val="24"/>
                <w:szCs w:val="24"/>
              </w:rPr>
              <w:t>compromise the safe and optimal operation of trawl equipment.</w:t>
            </w:r>
          </w:p>
          <w:p w:rsidR="00FC1ADE" w:rsidRPr="00327573" w:rsidRDefault="00A034E7" w:rsidP="005E28EE">
            <w:pPr>
              <w:pStyle w:val="Body"/>
              <w:rPr>
                <w:sz w:val="24"/>
                <w:szCs w:val="24"/>
              </w:rPr>
            </w:pPr>
            <w:r w:rsidRPr="00327573">
              <w:rPr>
                <w:sz w:val="24"/>
                <w:szCs w:val="24"/>
              </w:rPr>
              <w:t>Safety can also be of concern for commercial maritime users where the perceived safe operating distance around anchored ships may be greater than the direct physical dimensions and the swing distance of an anchored ship. This can affect navigational paths.</w:t>
            </w:r>
          </w:p>
        </w:tc>
      </w:tr>
      <w:tr w:rsidR="00CD19B4" w:rsidRPr="00327573" w:rsidTr="00FC1ADE">
        <w:tc>
          <w:tcPr>
            <w:tcW w:w="2263" w:type="dxa"/>
            <w:shd w:val="clear" w:color="auto" w:fill="auto"/>
          </w:tcPr>
          <w:p w:rsidR="00CD19B4" w:rsidRPr="00327573" w:rsidRDefault="00CD19B4" w:rsidP="00113776">
            <w:pPr>
              <w:pStyle w:val="TableBody"/>
              <w:rPr>
                <w:sz w:val="24"/>
                <w:szCs w:val="24"/>
              </w:rPr>
            </w:pPr>
            <w:r w:rsidRPr="00327573">
              <w:rPr>
                <w:sz w:val="24"/>
                <w:szCs w:val="24"/>
              </w:rPr>
              <w:t>Interference with recreational fishing and boating</w:t>
            </w:r>
          </w:p>
        </w:tc>
        <w:tc>
          <w:tcPr>
            <w:tcW w:w="6740" w:type="dxa"/>
            <w:shd w:val="clear" w:color="auto" w:fill="auto"/>
          </w:tcPr>
          <w:p w:rsidR="00CD19B4" w:rsidRPr="00327573" w:rsidRDefault="00CD19B4" w:rsidP="005E28EE">
            <w:pPr>
              <w:pStyle w:val="Body"/>
              <w:rPr>
                <w:sz w:val="24"/>
                <w:szCs w:val="24"/>
              </w:rPr>
            </w:pPr>
            <w:r w:rsidRPr="00327573">
              <w:rPr>
                <w:sz w:val="24"/>
                <w:szCs w:val="24"/>
              </w:rPr>
              <w:t>The recreational fishing and boating areas are separate to the Port of Abbot Point, hence there is no perceived conflict between the recreational use of waters and the anchorage area.</w:t>
            </w:r>
          </w:p>
          <w:p w:rsidR="00CD19B4" w:rsidRPr="00327573" w:rsidRDefault="00CD19B4" w:rsidP="005E28EE">
            <w:pPr>
              <w:pStyle w:val="Body"/>
              <w:rPr>
                <w:sz w:val="24"/>
                <w:szCs w:val="24"/>
              </w:rPr>
            </w:pPr>
            <w:r w:rsidRPr="00327573">
              <w:rPr>
                <w:sz w:val="24"/>
                <w:szCs w:val="24"/>
              </w:rPr>
              <w:t>However</w:t>
            </w:r>
            <w:r w:rsidR="00212B55" w:rsidRPr="00327573">
              <w:rPr>
                <w:sz w:val="24"/>
                <w:szCs w:val="24"/>
              </w:rPr>
              <w:t>,</w:t>
            </w:r>
            <w:r w:rsidRPr="00327573">
              <w:rPr>
                <w:sz w:val="24"/>
                <w:szCs w:val="24"/>
              </w:rPr>
              <w:t xml:space="preserve"> </w:t>
            </w:r>
            <w:r w:rsidR="00212B55" w:rsidRPr="00327573">
              <w:rPr>
                <w:sz w:val="24"/>
                <w:szCs w:val="24"/>
              </w:rPr>
              <w:t xml:space="preserve">safety is a concern </w:t>
            </w:r>
            <w:r w:rsidRPr="00327573">
              <w:rPr>
                <w:sz w:val="24"/>
                <w:szCs w:val="24"/>
              </w:rPr>
              <w:t xml:space="preserve">with the </w:t>
            </w:r>
            <w:r w:rsidR="00212B55" w:rsidRPr="00327573">
              <w:rPr>
                <w:sz w:val="24"/>
                <w:szCs w:val="24"/>
              </w:rPr>
              <w:t xml:space="preserve">forecast </w:t>
            </w:r>
            <w:r w:rsidRPr="00327573">
              <w:rPr>
                <w:sz w:val="24"/>
                <w:szCs w:val="24"/>
              </w:rPr>
              <w:t>increas</w:t>
            </w:r>
            <w:r w:rsidR="00212B55" w:rsidRPr="00327573">
              <w:rPr>
                <w:sz w:val="24"/>
                <w:szCs w:val="24"/>
              </w:rPr>
              <w:t>e in</w:t>
            </w:r>
            <w:r w:rsidRPr="00327573">
              <w:rPr>
                <w:sz w:val="24"/>
                <w:szCs w:val="24"/>
              </w:rPr>
              <w:t xml:space="preserve"> shipping activities</w:t>
            </w:r>
            <w:r w:rsidR="00212B55" w:rsidRPr="00327573">
              <w:rPr>
                <w:sz w:val="24"/>
                <w:szCs w:val="24"/>
              </w:rPr>
              <w:t xml:space="preserve"> and </w:t>
            </w:r>
            <w:r w:rsidRPr="00327573">
              <w:rPr>
                <w:sz w:val="24"/>
                <w:szCs w:val="24"/>
              </w:rPr>
              <w:t>tourist boating activities</w:t>
            </w:r>
            <w:r w:rsidR="00212B55" w:rsidRPr="00327573">
              <w:rPr>
                <w:sz w:val="24"/>
                <w:szCs w:val="24"/>
              </w:rPr>
              <w:t>,</w:t>
            </w:r>
            <w:r w:rsidRPr="00327573">
              <w:rPr>
                <w:sz w:val="24"/>
                <w:szCs w:val="24"/>
              </w:rPr>
              <w:t xml:space="preserve"> </w:t>
            </w:r>
            <w:r w:rsidR="00212B55" w:rsidRPr="00327573">
              <w:rPr>
                <w:sz w:val="24"/>
                <w:szCs w:val="24"/>
              </w:rPr>
              <w:t>particularly</w:t>
            </w:r>
            <w:r w:rsidRPr="00327573">
              <w:rPr>
                <w:sz w:val="24"/>
                <w:szCs w:val="24"/>
              </w:rPr>
              <w:t xml:space="preserve"> for small boats.</w:t>
            </w:r>
            <w:r w:rsidR="000B0FF8" w:rsidRPr="00327573">
              <w:rPr>
                <w:sz w:val="24"/>
                <w:szCs w:val="24"/>
              </w:rPr>
              <w:t xml:space="preserve"> These principally relate to vessels under steam versus at anchor.</w:t>
            </w:r>
            <w:r w:rsidRPr="00327573">
              <w:rPr>
                <w:sz w:val="24"/>
                <w:szCs w:val="24"/>
              </w:rPr>
              <w:t xml:space="preserve"> </w:t>
            </w:r>
          </w:p>
          <w:p w:rsidR="006B54C4" w:rsidRPr="00327573" w:rsidRDefault="006B54C4" w:rsidP="005E28EE">
            <w:pPr>
              <w:pStyle w:val="Body"/>
              <w:rPr>
                <w:sz w:val="24"/>
                <w:szCs w:val="24"/>
              </w:rPr>
            </w:pPr>
            <w:r w:rsidRPr="00327573">
              <w:rPr>
                <w:sz w:val="24"/>
                <w:szCs w:val="24"/>
              </w:rPr>
              <w:t xml:space="preserve">Safety </w:t>
            </w:r>
            <w:r w:rsidR="00A034E7" w:rsidRPr="00327573">
              <w:rPr>
                <w:sz w:val="24"/>
                <w:szCs w:val="24"/>
              </w:rPr>
              <w:t xml:space="preserve">can be </w:t>
            </w:r>
            <w:r w:rsidRPr="00327573">
              <w:rPr>
                <w:sz w:val="24"/>
                <w:szCs w:val="24"/>
              </w:rPr>
              <w:t xml:space="preserve">of concern for maritime users where the perceived safe operating distance around anchored ships is greater than the direct physical dimensions and the swing distance of an anchored ship. </w:t>
            </w:r>
          </w:p>
          <w:p w:rsidR="00A9283A" w:rsidRPr="00327573" w:rsidRDefault="00902A7C" w:rsidP="005E28EE">
            <w:pPr>
              <w:pStyle w:val="Body"/>
              <w:rPr>
                <w:sz w:val="24"/>
                <w:szCs w:val="24"/>
              </w:rPr>
            </w:pPr>
            <w:r w:rsidRPr="00327573">
              <w:rPr>
                <w:sz w:val="24"/>
                <w:szCs w:val="24"/>
              </w:rPr>
              <w:t xml:space="preserve">Recreational maritime users may </w:t>
            </w:r>
            <w:r w:rsidR="00B82978" w:rsidRPr="00327573">
              <w:rPr>
                <w:sz w:val="24"/>
                <w:szCs w:val="24"/>
              </w:rPr>
              <w:t xml:space="preserve">also </w:t>
            </w:r>
            <w:r w:rsidRPr="00327573">
              <w:rPr>
                <w:sz w:val="24"/>
                <w:szCs w:val="24"/>
              </w:rPr>
              <w:t>avoid getting too close to anchored ship</w:t>
            </w:r>
            <w:r w:rsidR="00B72DE6" w:rsidRPr="00327573">
              <w:rPr>
                <w:sz w:val="24"/>
                <w:szCs w:val="24"/>
              </w:rPr>
              <w:t>s</w:t>
            </w:r>
            <w:r w:rsidRPr="00327573">
              <w:rPr>
                <w:sz w:val="24"/>
                <w:szCs w:val="24"/>
              </w:rPr>
              <w:t xml:space="preserve">. </w:t>
            </w:r>
            <w:r w:rsidR="00A9283A" w:rsidRPr="00327573">
              <w:rPr>
                <w:sz w:val="24"/>
                <w:szCs w:val="24"/>
              </w:rPr>
              <w:t xml:space="preserve"> </w:t>
            </w:r>
          </w:p>
          <w:p w:rsidR="00FC1ADE" w:rsidRPr="00327573" w:rsidRDefault="00A57E59" w:rsidP="005E28EE">
            <w:pPr>
              <w:pStyle w:val="Body"/>
              <w:rPr>
                <w:sz w:val="24"/>
                <w:szCs w:val="24"/>
              </w:rPr>
            </w:pPr>
            <w:r w:rsidRPr="00327573">
              <w:rPr>
                <w:sz w:val="24"/>
                <w:szCs w:val="24"/>
              </w:rPr>
              <w:t>T</w:t>
            </w:r>
            <w:r w:rsidR="00973239" w:rsidRPr="00327573">
              <w:rPr>
                <w:sz w:val="24"/>
                <w:szCs w:val="24"/>
              </w:rPr>
              <w:t xml:space="preserve">hose involved in recreational </w:t>
            </w:r>
            <w:r w:rsidR="00DC1C1C" w:rsidRPr="00327573">
              <w:rPr>
                <w:sz w:val="24"/>
                <w:szCs w:val="24"/>
              </w:rPr>
              <w:t xml:space="preserve">activities, such as </w:t>
            </w:r>
            <w:r w:rsidR="00973239" w:rsidRPr="00327573">
              <w:rPr>
                <w:sz w:val="24"/>
                <w:szCs w:val="24"/>
              </w:rPr>
              <w:t xml:space="preserve">fishing and boating </w:t>
            </w:r>
            <w:r w:rsidRPr="00327573">
              <w:rPr>
                <w:sz w:val="24"/>
                <w:szCs w:val="24"/>
              </w:rPr>
              <w:t xml:space="preserve">may </w:t>
            </w:r>
            <w:r w:rsidR="00973239" w:rsidRPr="00327573">
              <w:rPr>
                <w:sz w:val="24"/>
                <w:szCs w:val="24"/>
              </w:rPr>
              <w:t xml:space="preserve">perceive the presence of large vessels in or within the vicinity of the Marine Park negatively </w:t>
            </w:r>
            <w:r w:rsidR="00902A7C" w:rsidRPr="00327573">
              <w:rPr>
                <w:sz w:val="24"/>
                <w:szCs w:val="24"/>
              </w:rPr>
              <w:t xml:space="preserve">and </w:t>
            </w:r>
            <w:r w:rsidR="00973239" w:rsidRPr="00327573">
              <w:rPr>
                <w:sz w:val="24"/>
                <w:szCs w:val="24"/>
              </w:rPr>
              <w:t>as a risk to the Reef’s values.</w:t>
            </w:r>
          </w:p>
        </w:tc>
      </w:tr>
      <w:tr w:rsidR="00CD19B4" w:rsidRPr="00327573" w:rsidTr="00FC1ADE">
        <w:tc>
          <w:tcPr>
            <w:tcW w:w="2263" w:type="dxa"/>
            <w:shd w:val="clear" w:color="auto" w:fill="auto"/>
          </w:tcPr>
          <w:p w:rsidR="00CD19B4" w:rsidRPr="00327573" w:rsidRDefault="00CD19B4" w:rsidP="00113776">
            <w:pPr>
              <w:pStyle w:val="TableBody"/>
              <w:rPr>
                <w:sz w:val="24"/>
                <w:szCs w:val="24"/>
              </w:rPr>
            </w:pPr>
            <w:r w:rsidRPr="00327573">
              <w:rPr>
                <w:sz w:val="24"/>
                <w:szCs w:val="24"/>
              </w:rPr>
              <w:t>Interference with tourism activities</w:t>
            </w:r>
          </w:p>
        </w:tc>
        <w:tc>
          <w:tcPr>
            <w:tcW w:w="6740" w:type="dxa"/>
            <w:shd w:val="clear" w:color="auto" w:fill="auto"/>
          </w:tcPr>
          <w:p w:rsidR="00CD19B4" w:rsidRPr="00327573" w:rsidRDefault="00CD19B4" w:rsidP="005E28EE">
            <w:pPr>
              <w:pStyle w:val="Body"/>
              <w:rPr>
                <w:sz w:val="24"/>
                <w:szCs w:val="24"/>
              </w:rPr>
            </w:pPr>
            <w:r w:rsidRPr="00327573">
              <w:rPr>
                <w:sz w:val="24"/>
                <w:szCs w:val="24"/>
              </w:rPr>
              <w:t xml:space="preserve">There are </w:t>
            </w:r>
            <w:r w:rsidR="000B0FF8" w:rsidRPr="00327573">
              <w:rPr>
                <w:sz w:val="24"/>
                <w:szCs w:val="24"/>
              </w:rPr>
              <w:t xml:space="preserve">currently </w:t>
            </w:r>
            <w:r w:rsidR="00212B55" w:rsidRPr="00327573">
              <w:rPr>
                <w:sz w:val="24"/>
                <w:szCs w:val="24"/>
              </w:rPr>
              <w:t xml:space="preserve">no </w:t>
            </w:r>
            <w:r w:rsidR="000B0FF8" w:rsidRPr="00327573">
              <w:rPr>
                <w:sz w:val="24"/>
                <w:szCs w:val="24"/>
              </w:rPr>
              <w:t xml:space="preserve">identified </w:t>
            </w:r>
            <w:r w:rsidRPr="00327573">
              <w:rPr>
                <w:sz w:val="24"/>
                <w:szCs w:val="24"/>
              </w:rPr>
              <w:t xml:space="preserve">conflicts or interactions between the tourism industry vessels operating out of Bowen, Airlie Beach and the Whitsunday Islands and the anchorage areas located some distance away to the south </w:t>
            </w:r>
            <w:r w:rsidR="000B0FF8" w:rsidRPr="00327573">
              <w:rPr>
                <w:sz w:val="24"/>
                <w:szCs w:val="24"/>
              </w:rPr>
              <w:t xml:space="preserve">at </w:t>
            </w:r>
            <w:r w:rsidRPr="00327573">
              <w:rPr>
                <w:sz w:val="24"/>
                <w:szCs w:val="24"/>
              </w:rPr>
              <w:t>Abbot Point.</w:t>
            </w:r>
          </w:p>
          <w:p w:rsidR="00A034E7" w:rsidRPr="00327573" w:rsidRDefault="00CD19B4" w:rsidP="005E28EE">
            <w:pPr>
              <w:pStyle w:val="Body"/>
              <w:rPr>
                <w:sz w:val="24"/>
                <w:szCs w:val="24"/>
              </w:rPr>
            </w:pPr>
            <w:r w:rsidRPr="00327573">
              <w:rPr>
                <w:sz w:val="24"/>
                <w:szCs w:val="24"/>
              </w:rPr>
              <w:t>Anchored ships may be visible from tourism vessels</w:t>
            </w:r>
            <w:r w:rsidR="00212B55" w:rsidRPr="00327573">
              <w:rPr>
                <w:sz w:val="24"/>
                <w:szCs w:val="24"/>
              </w:rPr>
              <w:t xml:space="preserve"> travelling to and from the Reef. T</w:t>
            </w:r>
            <w:r w:rsidRPr="00327573">
              <w:rPr>
                <w:sz w:val="24"/>
                <w:szCs w:val="24"/>
              </w:rPr>
              <w:t>ourism stakeholders perceive that tourists are often curious about the vessels.</w:t>
            </w:r>
          </w:p>
          <w:p w:rsidR="00093FF9" w:rsidRPr="00327573" w:rsidRDefault="000B0FF8" w:rsidP="005E28EE">
            <w:pPr>
              <w:pStyle w:val="Body"/>
              <w:rPr>
                <w:sz w:val="24"/>
                <w:szCs w:val="24"/>
              </w:rPr>
            </w:pPr>
            <w:r w:rsidRPr="00327573">
              <w:rPr>
                <w:sz w:val="24"/>
                <w:szCs w:val="24"/>
              </w:rPr>
              <w:t>Reef tourism is not focused around Abbot Point.</w:t>
            </w:r>
          </w:p>
        </w:tc>
      </w:tr>
    </w:tbl>
    <w:p w:rsidR="00CD19B4" w:rsidRPr="00B41CFA" w:rsidRDefault="00CD19B4" w:rsidP="00CD19B4">
      <w:pPr>
        <w:pStyle w:val="Heading3"/>
        <w:rPr>
          <w:sz w:val="24"/>
        </w:rPr>
      </w:pPr>
      <w:bookmarkStart w:id="179" w:name="_Toc343597432"/>
      <w:bookmarkStart w:id="180" w:name="_Ref343520229"/>
      <w:bookmarkStart w:id="181" w:name="_Toc362274281"/>
      <w:bookmarkEnd w:id="179"/>
      <w:r w:rsidRPr="00B41CFA">
        <w:rPr>
          <w:sz w:val="24"/>
        </w:rPr>
        <w:t>Social issues for the Port of Hay Point</w:t>
      </w:r>
      <w:bookmarkEnd w:id="180"/>
      <w:bookmarkEnd w:id="181"/>
    </w:p>
    <w:p w:rsidR="00CD19B4" w:rsidRPr="00327573" w:rsidRDefault="00CD19B4" w:rsidP="00CD19B4">
      <w:pPr>
        <w:pStyle w:val="Body"/>
        <w:rPr>
          <w:sz w:val="24"/>
          <w:szCs w:val="24"/>
        </w:rPr>
      </w:pPr>
      <w:r w:rsidRPr="00327573">
        <w:rPr>
          <w:sz w:val="24"/>
          <w:szCs w:val="24"/>
        </w:rPr>
        <w:t xml:space="preserve">The social issues identified during the Project’s consultation for the Port of Hay Point (Mackay area) are summarised in </w:t>
      </w:r>
      <w:r w:rsidR="00CD38ED" w:rsidRPr="00327573">
        <w:rPr>
          <w:sz w:val="24"/>
          <w:szCs w:val="24"/>
        </w:rPr>
        <w:fldChar w:fldCharType="begin"/>
      </w:r>
      <w:r w:rsidRPr="00327573">
        <w:rPr>
          <w:sz w:val="24"/>
          <w:szCs w:val="24"/>
        </w:rPr>
        <w:instrText xml:space="preserve"> REF  _Ref343163770 \* Lower \h </w:instrText>
      </w:r>
      <w:r w:rsidR="00327573">
        <w:rPr>
          <w:sz w:val="24"/>
          <w:szCs w:val="24"/>
        </w:rPr>
        <w:instrText xml:space="preserve"> \* MERGEFORMAT </w:instrText>
      </w:r>
      <w:r w:rsidR="00CD38ED" w:rsidRPr="00327573">
        <w:rPr>
          <w:sz w:val="24"/>
          <w:szCs w:val="24"/>
        </w:rPr>
      </w:r>
      <w:r w:rsidR="00CD38ED" w:rsidRPr="00327573">
        <w:rPr>
          <w:sz w:val="24"/>
          <w:szCs w:val="24"/>
        </w:rPr>
        <w:fldChar w:fldCharType="separate"/>
      </w:r>
      <w:r w:rsidR="005F6E51" w:rsidRPr="00327573">
        <w:rPr>
          <w:sz w:val="24"/>
          <w:szCs w:val="24"/>
        </w:rPr>
        <w:t xml:space="preserve">table </w:t>
      </w:r>
      <w:r w:rsidR="005F6E51">
        <w:rPr>
          <w:noProof/>
          <w:sz w:val="24"/>
          <w:szCs w:val="24"/>
        </w:rPr>
        <w:t>3</w:t>
      </w:r>
      <w:r w:rsidR="005F6E51" w:rsidRPr="00327573">
        <w:rPr>
          <w:noProof/>
          <w:sz w:val="24"/>
          <w:szCs w:val="24"/>
        </w:rPr>
        <w:noBreakHyphen/>
      </w:r>
      <w:r w:rsidR="005F6E51">
        <w:rPr>
          <w:noProof/>
          <w:sz w:val="24"/>
          <w:szCs w:val="24"/>
        </w:rPr>
        <w:t>4</w:t>
      </w:r>
      <w:r w:rsidR="00CD38ED" w:rsidRPr="00327573">
        <w:rPr>
          <w:sz w:val="24"/>
          <w:szCs w:val="24"/>
        </w:rPr>
        <w:fldChar w:fldCharType="end"/>
      </w:r>
      <w:r w:rsidRPr="00327573">
        <w:rPr>
          <w:sz w:val="24"/>
          <w:szCs w:val="24"/>
        </w:rPr>
        <w:t>.</w:t>
      </w:r>
    </w:p>
    <w:p w:rsidR="00CD19B4" w:rsidRPr="00327573" w:rsidRDefault="00CD19B4" w:rsidP="00CD19B4">
      <w:pPr>
        <w:pStyle w:val="CaptionTable"/>
        <w:rPr>
          <w:sz w:val="24"/>
          <w:szCs w:val="24"/>
        </w:rPr>
      </w:pPr>
      <w:bookmarkStart w:id="182" w:name="_Ref343163770"/>
      <w:bookmarkStart w:id="183" w:name="_Toc362274362"/>
      <w:r w:rsidRPr="00327573">
        <w:rPr>
          <w:sz w:val="24"/>
          <w:szCs w:val="24"/>
        </w:rPr>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3</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4</w:t>
      </w:r>
      <w:r w:rsidR="00542883">
        <w:rPr>
          <w:sz w:val="24"/>
          <w:szCs w:val="24"/>
        </w:rPr>
        <w:fldChar w:fldCharType="end"/>
      </w:r>
      <w:bookmarkEnd w:id="182"/>
      <w:r w:rsidR="00327573">
        <w:rPr>
          <w:sz w:val="24"/>
          <w:szCs w:val="24"/>
        </w:rPr>
        <w:t>:</w:t>
      </w:r>
      <w:r w:rsidRPr="00327573">
        <w:rPr>
          <w:sz w:val="24"/>
          <w:szCs w:val="24"/>
        </w:rPr>
        <w:t xml:space="preserve"> </w:t>
      </w:r>
      <w:r w:rsidRPr="00327573">
        <w:rPr>
          <w:b w:val="0"/>
          <w:sz w:val="24"/>
          <w:szCs w:val="24"/>
        </w:rPr>
        <w:t>Summary of social issues identified for the Port of Hay Point from consultation under this Project</w:t>
      </w:r>
      <w:bookmarkEnd w:id="183"/>
    </w:p>
    <w:tbl>
      <w:tblPr>
        <w:tblStyle w:val="TableGrid"/>
        <w:tblW w:w="5000"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firstRow="1" w:lastRow="0" w:firstColumn="1" w:lastColumn="0" w:noHBand="0" w:noVBand="1"/>
        <w:tblCaption w:val="Summary of social issues identified for the Port of Hay Point from consultation under this Project"/>
        <w:tblDescription w:val="Summary of the social issues identified for the Port of Hay Point from stakeholder consultation. Columns are the social issue and the comments with respect to the port."/>
      </w:tblPr>
      <w:tblGrid>
        <w:gridCol w:w="2263"/>
        <w:gridCol w:w="6740"/>
      </w:tblGrid>
      <w:tr w:rsidR="00CD19B4" w:rsidRPr="00327573" w:rsidTr="00FC1ADE">
        <w:trPr>
          <w:tblHeader/>
        </w:trPr>
        <w:tc>
          <w:tcPr>
            <w:tcW w:w="2263" w:type="dxa"/>
            <w:tcBorders>
              <w:top w:val="single" w:sz="4" w:space="0" w:color="auto"/>
            </w:tcBorders>
            <w:shd w:val="clear" w:color="auto" w:fill="auto"/>
          </w:tcPr>
          <w:p w:rsidR="00CD19B4" w:rsidRPr="00327573" w:rsidRDefault="00CD19B4" w:rsidP="00113776">
            <w:pPr>
              <w:pStyle w:val="TableHead"/>
              <w:rPr>
                <w:sz w:val="24"/>
                <w:szCs w:val="24"/>
              </w:rPr>
            </w:pPr>
            <w:r w:rsidRPr="00327573">
              <w:rPr>
                <w:sz w:val="24"/>
                <w:szCs w:val="24"/>
              </w:rPr>
              <w:t>Social issues</w:t>
            </w:r>
          </w:p>
        </w:tc>
        <w:tc>
          <w:tcPr>
            <w:tcW w:w="6740" w:type="dxa"/>
            <w:tcBorders>
              <w:top w:val="single" w:sz="4" w:space="0" w:color="auto"/>
            </w:tcBorders>
            <w:shd w:val="clear" w:color="auto" w:fill="auto"/>
          </w:tcPr>
          <w:p w:rsidR="00CD19B4" w:rsidRPr="00327573" w:rsidRDefault="00CD19B4" w:rsidP="00113776">
            <w:pPr>
              <w:pStyle w:val="TableHead"/>
              <w:rPr>
                <w:sz w:val="24"/>
                <w:szCs w:val="24"/>
              </w:rPr>
            </w:pPr>
            <w:r w:rsidRPr="00327573">
              <w:rPr>
                <w:sz w:val="24"/>
                <w:szCs w:val="24"/>
              </w:rPr>
              <w:t>Comments with respect to Port of Hay Point (Mackay)</w:t>
            </w:r>
          </w:p>
        </w:tc>
      </w:tr>
      <w:tr w:rsidR="00CD19B4" w:rsidRPr="00327573" w:rsidTr="00FC1ADE">
        <w:tc>
          <w:tcPr>
            <w:tcW w:w="2263" w:type="dxa"/>
            <w:shd w:val="clear" w:color="auto" w:fill="auto"/>
          </w:tcPr>
          <w:p w:rsidR="00CD19B4" w:rsidRPr="00327573" w:rsidRDefault="00CD19B4" w:rsidP="00113776">
            <w:pPr>
              <w:pStyle w:val="TableBody"/>
              <w:rPr>
                <w:sz w:val="24"/>
                <w:szCs w:val="24"/>
              </w:rPr>
            </w:pPr>
            <w:r w:rsidRPr="00327573">
              <w:rPr>
                <w:sz w:val="24"/>
                <w:szCs w:val="24"/>
              </w:rPr>
              <w:t>Altered aesthetic values during day time and night time (light issues)</w:t>
            </w:r>
          </w:p>
        </w:tc>
        <w:tc>
          <w:tcPr>
            <w:tcW w:w="6740" w:type="dxa"/>
            <w:shd w:val="clear" w:color="auto" w:fill="auto"/>
          </w:tcPr>
          <w:p w:rsidR="00CD19B4" w:rsidRPr="00327573" w:rsidRDefault="00CD19B4" w:rsidP="005E28EE">
            <w:pPr>
              <w:pStyle w:val="Body"/>
              <w:rPr>
                <w:sz w:val="24"/>
                <w:szCs w:val="24"/>
              </w:rPr>
            </w:pPr>
            <w:r w:rsidRPr="00327573">
              <w:rPr>
                <w:sz w:val="24"/>
                <w:szCs w:val="24"/>
              </w:rPr>
              <w:t>There is recognition in Mackay that the port is important to the region’s economic wellbeing</w:t>
            </w:r>
            <w:r w:rsidR="00212B55" w:rsidRPr="00327573">
              <w:rPr>
                <w:sz w:val="24"/>
                <w:szCs w:val="24"/>
              </w:rPr>
              <w:t>.</w:t>
            </w:r>
            <w:r w:rsidRPr="00327573">
              <w:rPr>
                <w:sz w:val="24"/>
                <w:szCs w:val="24"/>
              </w:rPr>
              <w:t xml:space="preserve"> </w:t>
            </w:r>
            <w:r w:rsidR="00212B55" w:rsidRPr="00327573">
              <w:rPr>
                <w:sz w:val="24"/>
                <w:szCs w:val="24"/>
              </w:rPr>
              <w:t>I</w:t>
            </w:r>
            <w:r w:rsidRPr="00327573">
              <w:rPr>
                <w:sz w:val="24"/>
                <w:szCs w:val="24"/>
              </w:rPr>
              <w:t>t was perceived that visual impacts may have less relative importance than economic benefits, including tourism benefits</w:t>
            </w:r>
            <w:r w:rsidR="00A748A4" w:rsidRPr="00327573">
              <w:rPr>
                <w:sz w:val="24"/>
                <w:szCs w:val="24"/>
              </w:rPr>
              <w:t xml:space="preserve">. </w:t>
            </w:r>
          </w:p>
        </w:tc>
      </w:tr>
      <w:tr w:rsidR="00CD19B4" w:rsidRPr="00327573" w:rsidTr="00FC1ADE">
        <w:tc>
          <w:tcPr>
            <w:tcW w:w="2263" w:type="dxa"/>
            <w:shd w:val="clear" w:color="auto" w:fill="auto"/>
          </w:tcPr>
          <w:p w:rsidR="00CD19B4" w:rsidRPr="00327573" w:rsidRDefault="00CD19B4" w:rsidP="00113776">
            <w:pPr>
              <w:pStyle w:val="TableBody"/>
              <w:rPr>
                <w:sz w:val="24"/>
                <w:szCs w:val="24"/>
              </w:rPr>
            </w:pPr>
            <w:r w:rsidRPr="00327573">
              <w:rPr>
                <w:sz w:val="24"/>
                <w:szCs w:val="24"/>
              </w:rPr>
              <w:t>Interference with commercial fishing activities</w:t>
            </w:r>
          </w:p>
        </w:tc>
        <w:tc>
          <w:tcPr>
            <w:tcW w:w="6740" w:type="dxa"/>
            <w:shd w:val="clear" w:color="auto" w:fill="auto"/>
          </w:tcPr>
          <w:p w:rsidR="008F1574" w:rsidRPr="00327573" w:rsidRDefault="008F1574" w:rsidP="005E28EE">
            <w:pPr>
              <w:pStyle w:val="Body"/>
              <w:rPr>
                <w:sz w:val="24"/>
                <w:szCs w:val="24"/>
              </w:rPr>
            </w:pPr>
            <w:r w:rsidRPr="00327573">
              <w:rPr>
                <w:sz w:val="24"/>
                <w:szCs w:val="24"/>
              </w:rPr>
              <w:t xml:space="preserve">No comments were raised by parties consulted through workshops and one-on-one interviews.  </w:t>
            </w:r>
          </w:p>
          <w:p w:rsidR="008F1574" w:rsidRPr="00327573" w:rsidRDefault="001E7FAF" w:rsidP="005E28EE">
            <w:pPr>
              <w:pStyle w:val="Body"/>
              <w:rPr>
                <w:sz w:val="24"/>
                <w:szCs w:val="24"/>
              </w:rPr>
            </w:pPr>
            <w:r w:rsidRPr="00327573">
              <w:rPr>
                <w:sz w:val="24"/>
                <w:szCs w:val="24"/>
              </w:rPr>
              <w:t>S</w:t>
            </w:r>
            <w:r w:rsidR="004D4239" w:rsidRPr="00327573">
              <w:rPr>
                <w:sz w:val="24"/>
                <w:szCs w:val="24"/>
              </w:rPr>
              <w:t>afety</w:t>
            </w:r>
            <w:r w:rsidR="008F1574" w:rsidRPr="00327573">
              <w:rPr>
                <w:sz w:val="24"/>
                <w:szCs w:val="24"/>
              </w:rPr>
              <w:t xml:space="preserve"> is of concern when there is interaction between anchored vessels and commercial fishing activities, typically trawling because of the risk of collision and fishing gear becoming entangled with anchored vessels. Safety is also of concern in areas where vessels have previously anchored due to </w:t>
            </w:r>
            <w:r w:rsidR="00BB6B39" w:rsidRPr="00327573">
              <w:rPr>
                <w:sz w:val="24"/>
                <w:szCs w:val="24"/>
              </w:rPr>
              <w:t xml:space="preserve">possible </w:t>
            </w:r>
            <w:r w:rsidR="008F1574" w:rsidRPr="00327573">
              <w:rPr>
                <w:sz w:val="24"/>
                <w:szCs w:val="24"/>
              </w:rPr>
              <w:t xml:space="preserve">changes in bathymetry which </w:t>
            </w:r>
            <w:r w:rsidR="00A034E7" w:rsidRPr="00327573">
              <w:rPr>
                <w:sz w:val="24"/>
                <w:szCs w:val="24"/>
              </w:rPr>
              <w:t xml:space="preserve">can </w:t>
            </w:r>
            <w:r w:rsidR="008F1574" w:rsidRPr="00327573">
              <w:rPr>
                <w:sz w:val="24"/>
                <w:szCs w:val="24"/>
              </w:rPr>
              <w:t>compromise the safe and optimal operation of trawl equipment.</w:t>
            </w:r>
          </w:p>
          <w:p w:rsidR="00BB42BD" w:rsidRPr="00327573" w:rsidRDefault="00C52AB6" w:rsidP="005E28EE">
            <w:pPr>
              <w:pStyle w:val="Body"/>
              <w:rPr>
                <w:sz w:val="24"/>
                <w:szCs w:val="24"/>
              </w:rPr>
            </w:pPr>
            <w:r w:rsidRPr="00327573">
              <w:rPr>
                <w:sz w:val="24"/>
                <w:szCs w:val="24"/>
              </w:rPr>
              <w:t xml:space="preserve">Safety </w:t>
            </w:r>
            <w:r w:rsidR="008200E2" w:rsidRPr="00327573">
              <w:rPr>
                <w:sz w:val="24"/>
                <w:szCs w:val="24"/>
              </w:rPr>
              <w:t>can also be</w:t>
            </w:r>
            <w:r w:rsidRPr="00327573">
              <w:rPr>
                <w:sz w:val="24"/>
                <w:szCs w:val="24"/>
              </w:rPr>
              <w:t xml:space="preserve"> of concern for commercial maritime users where the perceived safe operating distance around anchored ships may be greater than the direct physical dimensions and the swing distance of an anchored ship. This can affect navigational paths.</w:t>
            </w:r>
          </w:p>
        </w:tc>
      </w:tr>
      <w:tr w:rsidR="00CD19B4" w:rsidRPr="00327573" w:rsidTr="00FC1ADE">
        <w:tc>
          <w:tcPr>
            <w:tcW w:w="2263" w:type="dxa"/>
            <w:shd w:val="clear" w:color="auto" w:fill="auto"/>
          </w:tcPr>
          <w:p w:rsidR="00CD19B4" w:rsidRPr="00327573" w:rsidRDefault="00CD19B4" w:rsidP="00113776">
            <w:pPr>
              <w:pStyle w:val="TableBody"/>
              <w:rPr>
                <w:sz w:val="24"/>
                <w:szCs w:val="24"/>
              </w:rPr>
            </w:pPr>
            <w:r w:rsidRPr="00327573">
              <w:rPr>
                <w:sz w:val="24"/>
                <w:szCs w:val="24"/>
              </w:rPr>
              <w:t>Interference with recreational fishing and boating</w:t>
            </w:r>
          </w:p>
        </w:tc>
        <w:tc>
          <w:tcPr>
            <w:tcW w:w="6740" w:type="dxa"/>
            <w:shd w:val="clear" w:color="auto" w:fill="auto"/>
          </w:tcPr>
          <w:p w:rsidR="003503AF" w:rsidRPr="00327573" w:rsidRDefault="00434FE0" w:rsidP="005E28EE">
            <w:pPr>
              <w:pStyle w:val="Body"/>
              <w:rPr>
                <w:sz w:val="24"/>
                <w:szCs w:val="24"/>
              </w:rPr>
            </w:pPr>
            <w:r w:rsidRPr="00327573">
              <w:rPr>
                <w:sz w:val="24"/>
                <w:szCs w:val="24"/>
              </w:rPr>
              <w:t xml:space="preserve">Some of those consulted did not </w:t>
            </w:r>
            <w:r w:rsidR="00EA00B5" w:rsidRPr="00327573">
              <w:rPr>
                <w:sz w:val="24"/>
                <w:szCs w:val="24"/>
              </w:rPr>
              <w:t>identif</w:t>
            </w:r>
            <w:r w:rsidR="0025499E" w:rsidRPr="00327573">
              <w:rPr>
                <w:sz w:val="24"/>
                <w:szCs w:val="24"/>
              </w:rPr>
              <w:t>y</w:t>
            </w:r>
            <w:r w:rsidR="00EA00B5" w:rsidRPr="00327573">
              <w:rPr>
                <w:sz w:val="24"/>
                <w:szCs w:val="24"/>
              </w:rPr>
              <w:t xml:space="preserve"> any significant impacts</w:t>
            </w:r>
            <w:r w:rsidR="00BE3C8D" w:rsidRPr="00327573">
              <w:rPr>
                <w:sz w:val="24"/>
                <w:szCs w:val="24"/>
              </w:rPr>
              <w:t>.</w:t>
            </w:r>
            <w:r w:rsidR="00EA00B5" w:rsidRPr="00327573">
              <w:rPr>
                <w:sz w:val="24"/>
                <w:szCs w:val="24"/>
              </w:rPr>
              <w:t xml:space="preserve"> </w:t>
            </w:r>
          </w:p>
          <w:p w:rsidR="00761D92" w:rsidRPr="00327573" w:rsidRDefault="003674F0" w:rsidP="005E28EE">
            <w:pPr>
              <w:pStyle w:val="Body"/>
              <w:rPr>
                <w:sz w:val="24"/>
                <w:szCs w:val="24"/>
              </w:rPr>
            </w:pPr>
            <w:r w:rsidRPr="00327573">
              <w:rPr>
                <w:sz w:val="24"/>
                <w:szCs w:val="24"/>
              </w:rPr>
              <w:t>S</w:t>
            </w:r>
            <w:r w:rsidR="00434FE0" w:rsidRPr="00327573">
              <w:rPr>
                <w:sz w:val="24"/>
                <w:szCs w:val="24"/>
              </w:rPr>
              <w:t xml:space="preserve">afety </w:t>
            </w:r>
            <w:r w:rsidR="008200E2" w:rsidRPr="00327573">
              <w:rPr>
                <w:sz w:val="24"/>
                <w:szCs w:val="24"/>
              </w:rPr>
              <w:t xml:space="preserve">can also be </w:t>
            </w:r>
            <w:r w:rsidR="00434FE0" w:rsidRPr="00327573">
              <w:rPr>
                <w:sz w:val="24"/>
                <w:szCs w:val="24"/>
              </w:rPr>
              <w:t xml:space="preserve">of concern for maritime users where the perceived safe operating distance around anchored ships is greater than the direct physical dimensions and the swing distance of an anchored ship. </w:t>
            </w:r>
          </w:p>
          <w:p w:rsidR="00A01A1A" w:rsidRPr="00327573" w:rsidRDefault="00B82978" w:rsidP="005E28EE">
            <w:pPr>
              <w:pStyle w:val="Body"/>
              <w:rPr>
                <w:sz w:val="24"/>
                <w:szCs w:val="24"/>
              </w:rPr>
            </w:pPr>
            <w:r w:rsidRPr="00327573">
              <w:rPr>
                <w:sz w:val="24"/>
                <w:szCs w:val="24"/>
              </w:rPr>
              <w:t>Recreational maritime users may also avoid gettin</w:t>
            </w:r>
            <w:r w:rsidR="00FA782B">
              <w:rPr>
                <w:sz w:val="24"/>
                <w:szCs w:val="24"/>
              </w:rPr>
              <w:t xml:space="preserve">g too close to anchored ships. </w:t>
            </w:r>
            <w:r w:rsidR="00CC359F" w:rsidRPr="00327573">
              <w:rPr>
                <w:sz w:val="24"/>
                <w:szCs w:val="24"/>
              </w:rPr>
              <w:t xml:space="preserve">Those involved in recreational activities, such as fishing and boating may perceive the presence of large vessels in or within the vicinity of the Marine Park negatively </w:t>
            </w:r>
            <w:r w:rsidR="002A4A47" w:rsidRPr="00327573">
              <w:rPr>
                <w:sz w:val="24"/>
                <w:szCs w:val="24"/>
              </w:rPr>
              <w:t xml:space="preserve">and </w:t>
            </w:r>
            <w:r w:rsidR="00CC359F" w:rsidRPr="00327573">
              <w:rPr>
                <w:sz w:val="24"/>
                <w:szCs w:val="24"/>
              </w:rPr>
              <w:t>as a risk to the Reef’s values.</w:t>
            </w:r>
          </w:p>
        </w:tc>
      </w:tr>
      <w:tr w:rsidR="00CD19B4" w:rsidRPr="00327573" w:rsidTr="00FC1ADE">
        <w:tc>
          <w:tcPr>
            <w:tcW w:w="2263" w:type="dxa"/>
            <w:shd w:val="clear" w:color="auto" w:fill="auto"/>
          </w:tcPr>
          <w:p w:rsidR="00CD19B4" w:rsidRPr="00327573" w:rsidRDefault="00CD19B4" w:rsidP="00113776">
            <w:pPr>
              <w:pStyle w:val="TableBody"/>
              <w:rPr>
                <w:sz w:val="24"/>
                <w:szCs w:val="24"/>
              </w:rPr>
            </w:pPr>
            <w:r w:rsidRPr="00327573">
              <w:rPr>
                <w:sz w:val="24"/>
                <w:szCs w:val="24"/>
              </w:rPr>
              <w:t>Interference with tourism activities</w:t>
            </w:r>
          </w:p>
        </w:tc>
        <w:tc>
          <w:tcPr>
            <w:tcW w:w="6740" w:type="dxa"/>
            <w:shd w:val="clear" w:color="auto" w:fill="auto"/>
          </w:tcPr>
          <w:p w:rsidR="00CD19B4" w:rsidRPr="00327573" w:rsidRDefault="000B0FF8" w:rsidP="005E28EE">
            <w:pPr>
              <w:pStyle w:val="Body"/>
              <w:rPr>
                <w:sz w:val="24"/>
                <w:szCs w:val="24"/>
              </w:rPr>
            </w:pPr>
            <w:r w:rsidRPr="00327573">
              <w:rPr>
                <w:sz w:val="24"/>
                <w:szCs w:val="24"/>
              </w:rPr>
              <w:t>Consultation indicated t</w:t>
            </w:r>
            <w:r w:rsidR="00CD19B4" w:rsidRPr="00327573">
              <w:rPr>
                <w:sz w:val="24"/>
                <w:szCs w:val="24"/>
              </w:rPr>
              <w:t xml:space="preserve">here is </w:t>
            </w:r>
            <w:r w:rsidR="00CC2250" w:rsidRPr="00327573">
              <w:rPr>
                <w:sz w:val="24"/>
                <w:szCs w:val="24"/>
              </w:rPr>
              <w:t>limited</w:t>
            </w:r>
            <w:r w:rsidRPr="00327573">
              <w:rPr>
                <w:sz w:val="24"/>
                <w:szCs w:val="24"/>
              </w:rPr>
              <w:t xml:space="preserve"> Reef</w:t>
            </w:r>
            <w:r w:rsidR="00CD19B4" w:rsidRPr="00327573">
              <w:rPr>
                <w:sz w:val="24"/>
                <w:szCs w:val="24"/>
              </w:rPr>
              <w:t xml:space="preserve"> tourism based out of Mackay, hence </w:t>
            </w:r>
            <w:r w:rsidRPr="00327573">
              <w:rPr>
                <w:sz w:val="24"/>
                <w:szCs w:val="24"/>
              </w:rPr>
              <w:t xml:space="preserve">it is considered that there </w:t>
            </w:r>
            <w:r w:rsidR="00CD19B4" w:rsidRPr="00327573">
              <w:rPr>
                <w:sz w:val="24"/>
                <w:szCs w:val="24"/>
              </w:rPr>
              <w:t>are no or minor interactions between the tourism industry and the anchorage areas</w:t>
            </w:r>
            <w:r w:rsidRPr="00327573">
              <w:rPr>
                <w:sz w:val="24"/>
                <w:szCs w:val="24"/>
              </w:rPr>
              <w:t>.</w:t>
            </w:r>
          </w:p>
          <w:p w:rsidR="00CD19B4" w:rsidRPr="00327573" w:rsidRDefault="00CD19B4" w:rsidP="005E28EE">
            <w:pPr>
              <w:pStyle w:val="Body"/>
              <w:rPr>
                <w:sz w:val="24"/>
                <w:szCs w:val="24"/>
              </w:rPr>
            </w:pPr>
            <w:r w:rsidRPr="00327573">
              <w:rPr>
                <w:sz w:val="24"/>
                <w:szCs w:val="24"/>
              </w:rPr>
              <w:t xml:space="preserve">Often large vessels anchored at sea </w:t>
            </w:r>
            <w:r w:rsidR="000B0FF8" w:rsidRPr="00327573">
              <w:rPr>
                <w:sz w:val="24"/>
                <w:szCs w:val="24"/>
              </w:rPr>
              <w:t xml:space="preserve">can </w:t>
            </w:r>
            <w:r w:rsidRPr="00327573">
              <w:rPr>
                <w:sz w:val="24"/>
                <w:szCs w:val="24"/>
              </w:rPr>
              <w:t>become a point of attraction or intrigue for locals and tourists</w:t>
            </w:r>
            <w:r w:rsidR="000B0FF8" w:rsidRPr="00327573">
              <w:rPr>
                <w:sz w:val="24"/>
                <w:szCs w:val="24"/>
              </w:rPr>
              <w:t>.</w:t>
            </w:r>
          </w:p>
          <w:p w:rsidR="00CD19B4" w:rsidRPr="00327573" w:rsidRDefault="00CD19B4" w:rsidP="005E28EE">
            <w:pPr>
              <w:pStyle w:val="Body"/>
              <w:rPr>
                <w:sz w:val="24"/>
                <w:szCs w:val="24"/>
              </w:rPr>
            </w:pPr>
            <w:r w:rsidRPr="00327573">
              <w:rPr>
                <w:sz w:val="24"/>
                <w:szCs w:val="24"/>
              </w:rPr>
              <w:t xml:space="preserve">The large vessels anchored and lining up to get into the port are recently being acknowledged as a tourist phenomenon attracting the ‘grey nomads’ (retiree caravan tourists) who enjoy the views </w:t>
            </w:r>
            <w:r w:rsidR="000B0FF8" w:rsidRPr="00327573">
              <w:rPr>
                <w:sz w:val="24"/>
                <w:szCs w:val="24"/>
              </w:rPr>
              <w:t xml:space="preserve">of vessels </w:t>
            </w:r>
            <w:r w:rsidRPr="00327573">
              <w:rPr>
                <w:sz w:val="24"/>
                <w:szCs w:val="24"/>
              </w:rPr>
              <w:t>from a high point in the city</w:t>
            </w:r>
            <w:r w:rsidR="000B0FF8" w:rsidRPr="00327573">
              <w:rPr>
                <w:sz w:val="24"/>
                <w:szCs w:val="24"/>
              </w:rPr>
              <w:t>.</w:t>
            </w:r>
          </w:p>
          <w:p w:rsidR="00093FF9" w:rsidRPr="00327573" w:rsidRDefault="00DC1C1C" w:rsidP="005E28EE">
            <w:pPr>
              <w:pStyle w:val="Body"/>
              <w:rPr>
                <w:sz w:val="24"/>
                <w:szCs w:val="24"/>
              </w:rPr>
            </w:pPr>
            <w:r w:rsidRPr="00327573">
              <w:rPr>
                <w:sz w:val="24"/>
                <w:szCs w:val="24"/>
              </w:rPr>
              <w:t>T</w:t>
            </w:r>
            <w:r w:rsidR="00093FF9" w:rsidRPr="00327573">
              <w:rPr>
                <w:sz w:val="24"/>
                <w:szCs w:val="24"/>
              </w:rPr>
              <w:t xml:space="preserve">ourists </w:t>
            </w:r>
            <w:r w:rsidRPr="00327573">
              <w:rPr>
                <w:sz w:val="24"/>
                <w:szCs w:val="24"/>
              </w:rPr>
              <w:t xml:space="preserve">may </w:t>
            </w:r>
            <w:r w:rsidR="00093FF9" w:rsidRPr="00327573">
              <w:rPr>
                <w:sz w:val="24"/>
                <w:szCs w:val="24"/>
              </w:rPr>
              <w:t>perceive the presence of large vessels in or within the vicinity of the Marine Park negatively</w:t>
            </w:r>
            <w:r w:rsidR="004B1820" w:rsidRPr="00327573">
              <w:rPr>
                <w:sz w:val="24"/>
                <w:szCs w:val="24"/>
              </w:rPr>
              <w:t xml:space="preserve"> and</w:t>
            </w:r>
            <w:r w:rsidR="00093FF9" w:rsidRPr="00327573">
              <w:rPr>
                <w:sz w:val="24"/>
                <w:szCs w:val="24"/>
              </w:rPr>
              <w:t xml:space="preserve"> as a risk to the Reef’s values. </w:t>
            </w:r>
          </w:p>
        </w:tc>
      </w:tr>
    </w:tbl>
    <w:p w:rsidR="00CD19B4" w:rsidRPr="00B41CFA" w:rsidRDefault="00CD19B4" w:rsidP="00CD19B4">
      <w:pPr>
        <w:pStyle w:val="Heading3"/>
        <w:rPr>
          <w:sz w:val="24"/>
        </w:rPr>
      </w:pPr>
      <w:bookmarkStart w:id="184" w:name="_Toc343581977"/>
      <w:bookmarkStart w:id="185" w:name="_Toc343597434"/>
      <w:bookmarkStart w:id="186" w:name="_Ref343520294"/>
      <w:bookmarkStart w:id="187" w:name="_Toc362274282"/>
      <w:bookmarkEnd w:id="184"/>
      <w:bookmarkEnd w:id="185"/>
      <w:r w:rsidRPr="00B41CFA">
        <w:rPr>
          <w:sz w:val="24"/>
        </w:rPr>
        <w:t>Social issues for the Port of Gladstone</w:t>
      </w:r>
      <w:bookmarkEnd w:id="186"/>
      <w:bookmarkEnd w:id="187"/>
    </w:p>
    <w:p w:rsidR="00327573" w:rsidRPr="00327573" w:rsidRDefault="00CD19B4" w:rsidP="00327573">
      <w:pPr>
        <w:pStyle w:val="Body"/>
        <w:rPr>
          <w:sz w:val="24"/>
          <w:szCs w:val="24"/>
        </w:rPr>
      </w:pPr>
      <w:r w:rsidRPr="00327573">
        <w:rPr>
          <w:sz w:val="24"/>
          <w:szCs w:val="24"/>
        </w:rPr>
        <w:t xml:space="preserve">The social issues identified during the Project’s consultation for the Port of Gladstone are summarised in </w:t>
      </w:r>
      <w:r w:rsidR="00CD38ED" w:rsidRPr="00327573">
        <w:rPr>
          <w:sz w:val="24"/>
          <w:szCs w:val="24"/>
        </w:rPr>
        <w:fldChar w:fldCharType="begin"/>
      </w:r>
      <w:r w:rsidRPr="00327573">
        <w:rPr>
          <w:sz w:val="24"/>
          <w:szCs w:val="24"/>
        </w:rPr>
        <w:instrText xml:space="preserve"> REF  _Ref343163796 \* Lower \h </w:instrText>
      </w:r>
      <w:r w:rsidR="00327573">
        <w:rPr>
          <w:sz w:val="24"/>
          <w:szCs w:val="24"/>
        </w:rPr>
        <w:instrText xml:space="preserve"> \* MERGEFORMAT </w:instrText>
      </w:r>
      <w:r w:rsidR="00CD38ED" w:rsidRPr="00327573">
        <w:rPr>
          <w:sz w:val="24"/>
          <w:szCs w:val="24"/>
        </w:rPr>
      </w:r>
      <w:r w:rsidR="00CD38ED" w:rsidRPr="00327573">
        <w:rPr>
          <w:sz w:val="24"/>
          <w:szCs w:val="24"/>
        </w:rPr>
        <w:fldChar w:fldCharType="separate"/>
      </w:r>
      <w:r w:rsidR="005F6E51" w:rsidRPr="00327573">
        <w:rPr>
          <w:sz w:val="24"/>
          <w:szCs w:val="24"/>
        </w:rPr>
        <w:t xml:space="preserve">table </w:t>
      </w:r>
      <w:r w:rsidR="005F6E51">
        <w:rPr>
          <w:noProof/>
          <w:sz w:val="24"/>
          <w:szCs w:val="24"/>
        </w:rPr>
        <w:t>3</w:t>
      </w:r>
      <w:r w:rsidR="005F6E51" w:rsidRPr="00327573">
        <w:rPr>
          <w:noProof/>
          <w:sz w:val="24"/>
          <w:szCs w:val="24"/>
        </w:rPr>
        <w:noBreakHyphen/>
      </w:r>
      <w:r w:rsidR="005F6E51">
        <w:rPr>
          <w:noProof/>
          <w:sz w:val="24"/>
          <w:szCs w:val="24"/>
        </w:rPr>
        <w:t>5</w:t>
      </w:r>
      <w:r w:rsidR="00CD38ED" w:rsidRPr="00327573">
        <w:rPr>
          <w:sz w:val="24"/>
          <w:szCs w:val="24"/>
        </w:rPr>
        <w:fldChar w:fldCharType="end"/>
      </w:r>
      <w:r w:rsidRPr="00327573">
        <w:rPr>
          <w:sz w:val="24"/>
          <w:szCs w:val="24"/>
        </w:rPr>
        <w:t>.</w:t>
      </w:r>
      <w:r w:rsidR="00327573">
        <w:rPr>
          <w:sz w:val="24"/>
          <w:szCs w:val="24"/>
        </w:rPr>
        <w:t xml:space="preserve"> </w:t>
      </w:r>
      <w:r w:rsidR="00327573">
        <w:br w:type="page"/>
      </w:r>
    </w:p>
    <w:p w:rsidR="00CD19B4" w:rsidRPr="00327573" w:rsidRDefault="00CD19B4" w:rsidP="00CD19B4">
      <w:pPr>
        <w:pStyle w:val="CaptionTable"/>
        <w:rPr>
          <w:sz w:val="24"/>
          <w:szCs w:val="24"/>
        </w:rPr>
      </w:pPr>
      <w:bookmarkStart w:id="188" w:name="_Ref343163796"/>
      <w:bookmarkStart w:id="189" w:name="_Toc362274363"/>
      <w:r w:rsidRPr="00327573">
        <w:rPr>
          <w:sz w:val="24"/>
          <w:szCs w:val="24"/>
        </w:rPr>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3</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5</w:t>
      </w:r>
      <w:r w:rsidR="00542883">
        <w:rPr>
          <w:sz w:val="24"/>
          <w:szCs w:val="24"/>
        </w:rPr>
        <w:fldChar w:fldCharType="end"/>
      </w:r>
      <w:bookmarkEnd w:id="188"/>
      <w:r w:rsidR="00327573">
        <w:rPr>
          <w:sz w:val="24"/>
          <w:szCs w:val="24"/>
        </w:rPr>
        <w:t>:</w:t>
      </w:r>
      <w:r w:rsidRPr="00327573">
        <w:rPr>
          <w:sz w:val="24"/>
          <w:szCs w:val="24"/>
        </w:rPr>
        <w:t xml:space="preserve"> </w:t>
      </w:r>
      <w:r w:rsidRPr="00327573">
        <w:rPr>
          <w:b w:val="0"/>
          <w:sz w:val="24"/>
          <w:szCs w:val="24"/>
        </w:rPr>
        <w:t>Summary of social issues identified for the Port of Gladstone from consultation under this Project</w:t>
      </w:r>
      <w:bookmarkEnd w:id="189"/>
    </w:p>
    <w:tbl>
      <w:tblPr>
        <w:tblStyle w:val="TableGrid"/>
        <w:tblW w:w="5000"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firstRow="1" w:lastRow="0" w:firstColumn="1" w:lastColumn="0" w:noHBand="0" w:noVBand="1"/>
        <w:tblCaption w:val="Summary of social issues identified for the Port of Gladstone from consultation under this Project"/>
        <w:tblDescription w:val="Summary of the social issues identified for the Port of Gladstone from stakeholder consultation. Columns are the social issue and the comments with respect to the port."/>
      </w:tblPr>
      <w:tblGrid>
        <w:gridCol w:w="2263"/>
        <w:gridCol w:w="6740"/>
      </w:tblGrid>
      <w:tr w:rsidR="00CD19B4" w:rsidRPr="00327573" w:rsidTr="00FC1ADE">
        <w:trPr>
          <w:tblHeader/>
        </w:trPr>
        <w:tc>
          <w:tcPr>
            <w:tcW w:w="2263" w:type="dxa"/>
            <w:tcBorders>
              <w:top w:val="single" w:sz="4" w:space="0" w:color="auto"/>
            </w:tcBorders>
            <w:shd w:val="clear" w:color="auto" w:fill="auto"/>
          </w:tcPr>
          <w:p w:rsidR="00CD19B4" w:rsidRPr="00327573" w:rsidRDefault="00CD19B4" w:rsidP="00113776">
            <w:pPr>
              <w:pStyle w:val="TableHead"/>
              <w:rPr>
                <w:sz w:val="24"/>
                <w:szCs w:val="24"/>
              </w:rPr>
            </w:pPr>
            <w:r w:rsidRPr="00327573">
              <w:rPr>
                <w:sz w:val="24"/>
                <w:szCs w:val="24"/>
              </w:rPr>
              <w:t>Social issues</w:t>
            </w:r>
          </w:p>
        </w:tc>
        <w:tc>
          <w:tcPr>
            <w:tcW w:w="6740" w:type="dxa"/>
            <w:tcBorders>
              <w:top w:val="single" w:sz="4" w:space="0" w:color="auto"/>
            </w:tcBorders>
            <w:shd w:val="clear" w:color="auto" w:fill="auto"/>
          </w:tcPr>
          <w:p w:rsidR="00CD19B4" w:rsidRPr="00327573" w:rsidRDefault="00CD19B4" w:rsidP="00113776">
            <w:pPr>
              <w:pStyle w:val="TableHead"/>
              <w:rPr>
                <w:sz w:val="24"/>
                <w:szCs w:val="24"/>
              </w:rPr>
            </w:pPr>
            <w:r w:rsidRPr="00327573">
              <w:rPr>
                <w:sz w:val="24"/>
                <w:szCs w:val="24"/>
              </w:rPr>
              <w:t>Comments with respect to Port of Gladstone</w:t>
            </w:r>
          </w:p>
        </w:tc>
      </w:tr>
      <w:tr w:rsidR="00CD19B4" w:rsidRPr="00327573" w:rsidTr="00FC1ADE">
        <w:tc>
          <w:tcPr>
            <w:tcW w:w="2263" w:type="dxa"/>
            <w:shd w:val="clear" w:color="auto" w:fill="auto"/>
          </w:tcPr>
          <w:p w:rsidR="00CD19B4" w:rsidRPr="00327573" w:rsidRDefault="00CD19B4" w:rsidP="00113776">
            <w:pPr>
              <w:pStyle w:val="TableBody"/>
              <w:rPr>
                <w:sz w:val="24"/>
                <w:szCs w:val="24"/>
              </w:rPr>
            </w:pPr>
            <w:r w:rsidRPr="00327573">
              <w:rPr>
                <w:sz w:val="24"/>
                <w:szCs w:val="24"/>
              </w:rPr>
              <w:t>Altered aesthetic values during day time and night time (light issues)</w:t>
            </w:r>
          </w:p>
        </w:tc>
        <w:tc>
          <w:tcPr>
            <w:tcW w:w="6740" w:type="dxa"/>
            <w:shd w:val="clear" w:color="auto" w:fill="auto"/>
          </w:tcPr>
          <w:p w:rsidR="00CD19B4" w:rsidRPr="00327573" w:rsidRDefault="00CD19B4" w:rsidP="005E28EE">
            <w:pPr>
              <w:pStyle w:val="Body"/>
              <w:rPr>
                <w:sz w:val="24"/>
                <w:szCs w:val="24"/>
              </w:rPr>
            </w:pPr>
            <w:r w:rsidRPr="00327573">
              <w:rPr>
                <w:sz w:val="24"/>
                <w:szCs w:val="24"/>
              </w:rPr>
              <w:t>Th</w:t>
            </w:r>
            <w:r w:rsidR="000B0FF8" w:rsidRPr="00327573">
              <w:rPr>
                <w:sz w:val="24"/>
                <w:szCs w:val="24"/>
              </w:rPr>
              <w:t xml:space="preserve">ose consulted noted </w:t>
            </w:r>
            <w:r w:rsidRPr="00327573">
              <w:rPr>
                <w:sz w:val="24"/>
                <w:szCs w:val="24"/>
              </w:rPr>
              <w:t xml:space="preserve">that the anchorage areas </w:t>
            </w:r>
            <w:r w:rsidR="00CC2250" w:rsidRPr="00327573">
              <w:rPr>
                <w:sz w:val="24"/>
                <w:szCs w:val="24"/>
              </w:rPr>
              <w:t xml:space="preserve">are consistent with the nature of Gladstone as an industrial and port town and therefore </w:t>
            </w:r>
            <w:r w:rsidRPr="00327573">
              <w:rPr>
                <w:sz w:val="24"/>
                <w:szCs w:val="24"/>
              </w:rPr>
              <w:t xml:space="preserve">do not impact the aesthetic value of the sea scape. </w:t>
            </w:r>
          </w:p>
        </w:tc>
      </w:tr>
      <w:tr w:rsidR="00CD19B4" w:rsidRPr="00327573" w:rsidTr="00FC1ADE">
        <w:tc>
          <w:tcPr>
            <w:tcW w:w="2263" w:type="dxa"/>
            <w:shd w:val="clear" w:color="auto" w:fill="auto"/>
          </w:tcPr>
          <w:p w:rsidR="00CD19B4" w:rsidRPr="00327573" w:rsidRDefault="00CD19B4" w:rsidP="00113776">
            <w:pPr>
              <w:pStyle w:val="TableBody"/>
              <w:rPr>
                <w:sz w:val="24"/>
                <w:szCs w:val="24"/>
              </w:rPr>
            </w:pPr>
            <w:r w:rsidRPr="00327573">
              <w:rPr>
                <w:sz w:val="24"/>
                <w:szCs w:val="24"/>
              </w:rPr>
              <w:t>Interference with commercial fishing activities</w:t>
            </w:r>
          </w:p>
        </w:tc>
        <w:tc>
          <w:tcPr>
            <w:tcW w:w="6740" w:type="dxa"/>
            <w:shd w:val="clear" w:color="auto" w:fill="auto"/>
          </w:tcPr>
          <w:p w:rsidR="00CD19B4" w:rsidRPr="00327573" w:rsidRDefault="00CD19B4" w:rsidP="005E28EE">
            <w:pPr>
              <w:pStyle w:val="Body"/>
              <w:rPr>
                <w:sz w:val="24"/>
                <w:szCs w:val="24"/>
              </w:rPr>
            </w:pPr>
            <w:r w:rsidRPr="00327573">
              <w:rPr>
                <w:sz w:val="24"/>
                <w:szCs w:val="24"/>
              </w:rPr>
              <w:t>There is a potential conflict between commercial fishing and increase</w:t>
            </w:r>
            <w:r w:rsidR="00612556" w:rsidRPr="00327573">
              <w:rPr>
                <w:sz w:val="24"/>
                <w:szCs w:val="24"/>
              </w:rPr>
              <w:t>d</w:t>
            </w:r>
            <w:r w:rsidRPr="00327573">
              <w:rPr>
                <w:sz w:val="24"/>
                <w:szCs w:val="24"/>
              </w:rPr>
              <w:t xml:space="preserve"> shipping activities in Gladstone, but co</w:t>
            </w:r>
            <w:r w:rsidR="000B0FF8" w:rsidRPr="00327573">
              <w:rPr>
                <w:sz w:val="24"/>
                <w:szCs w:val="24"/>
              </w:rPr>
              <w:t>r</w:t>
            </w:r>
            <w:r w:rsidRPr="00327573">
              <w:rPr>
                <w:sz w:val="24"/>
                <w:szCs w:val="24"/>
              </w:rPr>
              <w:t>relation between decline in fishing and ship anchorage areas has not been established</w:t>
            </w:r>
            <w:r w:rsidR="000B0FF8" w:rsidRPr="00327573">
              <w:rPr>
                <w:sz w:val="24"/>
                <w:szCs w:val="24"/>
              </w:rPr>
              <w:t xml:space="preserve"> (or investigated).</w:t>
            </w:r>
          </w:p>
          <w:p w:rsidR="00337CAE" w:rsidRPr="00327573" w:rsidRDefault="00512D94" w:rsidP="005E28EE">
            <w:pPr>
              <w:pStyle w:val="Body"/>
              <w:rPr>
                <w:sz w:val="24"/>
                <w:szCs w:val="24"/>
              </w:rPr>
            </w:pPr>
            <w:r w:rsidRPr="00327573">
              <w:rPr>
                <w:sz w:val="24"/>
                <w:szCs w:val="24"/>
              </w:rPr>
              <w:t xml:space="preserve">Safety </w:t>
            </w:r>
            <w:r w:rsidR="00A034E7" w:rsidRPr="00327573">
              <w:rPr>
                <w:sz w:val="24"/>
                <w:szCs w:val="24"/>
              </w:rPr>
              <w:t>is</w:t>
            </w:r>
            <w:r w:rsidRPr="00327573">
              <w:rPr>
                <w:sz w:val="24"/>
                <w:szCs w:val="24"/>
              </w:rPr>
              <w:t xml:space="preserve"> of concern when there is interaction between anchored vessels and commercial fishing activities, typically trawling because of the risk of collision and fishing gear becoming entangled with anchored vessels. Safety is also of concern i</w:t>
            </w:r>
            <w:r w:rsidR="00E1702D" w:rsidRPr="00327573">
              <w:rPr>
                <w:sz w:val="24"/>
                <w:szCs w:val="24"/>
              </w:rPr>
              <w:t>n</w:t>
            </w:r>
            <w:r w:rsidRPr="00327573">
              <w:rPr>
                <w:sz w:val="24"/>
                <w:szCs w:val="24"/>
              </w:rPr>
              <w:t xml:space="preserve"> areas where vessels have previously anchored due to possible changes in bathymetry which </w:t>
            </w:r>
            <w:r w:rsidR="00A034E7" w:rsidRPr="00327573">
              <w:rPr>
                <w:sz w:val="24"/>
                <w:szCs w:val="24"/>
              </w:rPr>
              <w:t xml:space="preserve">can </w:t>
            </w:r>
            <w:r w:rsidRPr="00327573">
              <w:rPr>
                <w:sz w:val="24"/>
                <w:szCs w:val="24"/>
              </w:rPr>
              <w:t>compromise the safe and optimal operation of trawl equipment.</w:t>
            </w:r>
          </w:p>
          <w:p w:rsidR="00D52F2E" w:rsidRPr="00327573" w:rsidRDefault="00A034E7" w:rsidP="005E28EE">
            <w:pPr>
              <w:pStyle w:val="Body"/>
              <w:rPr>
                <w:sz w:val="24"/>
                <w:szCs w:val="24"/>
              </w:rPr>
            </w:pPr>
            <w:r w:rsidRPr="00327573">
              <w:rPr>
                <w:sz w:val="24"/>
                <w:szCs w:val="24"/>
              </w:rPr>
              <w:t>Safety can also be of concern for commercial maritime users where the perceived safe operating distance around anchored ships may be greater than the direct physical dimensions and the swing distance of an anchored ship. This can affect navigational paths.</w:t>
            </w:r>
          </w:p>
        </w:tc>
      </w:tr>
      <w:tr w:rsidR="00CD19B4" w:rsidRPr="00327573" w:rsidTr="00FC1ADE">
        <w:tc>
          <w:tcPr>
            <w:tcW w:w="2263" w:type="dxa"/>
            <w:shd w:val="clear" w:color="auto" w:fill="auto"/>
          </w:tcPr>
          <w:p w:rsidR="00CD19B4" w:rsidRPr="00327573" w:rsidRDefault="00CD19B4" w:rsidP="00113776">
            <w:pPr>
              <w:pStyle w:val="TableBody"/>
              <w:rPr>
                <w:sz w:val="24"/>
                <w:szCs w:val="24"/>
              </w:rPr>
            </w:pPr>
            <w:r w:rsidRPr="00327573">
              <w:rPr>
                <w:sz w:val="24"/>
                <w:szCs w:val="24"/>
              </w:rPr>
              <w:t>Interference with recreational fishing and boating</w:t>
            </w:r>
          </w:p>
        </w:tc>
        <w:tc>
          <w:tcPr>
            <w:tcW w:w="6740" w:type="dxa"/>
            <w:shd w:val="clear" w:color="auto" w:fill="auto"/>
          </w:tcPr>
          <w:p w:rsidR="00CD19B4" w:rsidRPr="00327573" w:rsidRDefault="00CD19B4" w:rsidP="005E28EE">
            <w:pPr>
              <w:pStyle w:val="Body"/>
              <w:rPr>
                <w:sz w:val="24"/>
                <w:szCs w:val="24"/>
              </w:rPr>
            </w:pPr>
            <w:r w:rsidRPr="00327573">
              <w:rPr>
                <w:sz w:val="24"/>
                <w:szCs w:val="24"/>
              </w:rPr>
              <w:t xml:space="preserve">Anecdotal evidence suggests </w:t>
            </w:r>
            <w:r w:rsidR="003B4CC3" w:rsidRPr="00327573">
              <w:rPr>
                <w:sz w:val="24"/>
                <w:szCs w:val="24"/>
              </w:rPr>
              <w:t xml:space="preserve">that in recent years </w:t>
            </w:r>
            <w:r w:rsidRPr="00327573">
              <w:rPr>
                <w:sz w:val="24"/>
                <w:szCs w:val="24"/>
              </w:rPr>
              <w:t xml:space="preserve">Gladstone has </w:t>
            </w:r>
            <w:r w:rsidR="003B4CC3" w:rsidRPr="00327573">
              <w:rPr>
                <w:sz w:val="24"/>
                <w:szCs w:val="24"/>
              </w:rPr>
              <w:t xml:space="preserve">had </w:t>
            </w:r>
            <w:r w:rsidRPr="00327573">
              <w:rPr>
                <w:sz w:val="24"/>
                <w:szCs w:val="24"/>
              </w:rPr>
              <w:t>the highest number of boat registrations in Queensland, marking an increase in recreational boating and fishing activities.</w:t>
            </w:r>
          </w:p>
          <w:p w:rsidR="00CD19B4" w:rsidRPr="00327573" w:rsidRDefault="00CD19B4" w:rsidP="005E28EE">
            <w:pPr>
              <w:pStyle w:val="Body"/>
              <w:rPr>
                <w:sz w:val="24"/>
                <w:szCs w:val="24"/>
              </w:rPr>
            </w:pPr>
            <w:r w:rsidRPr="00327573">
              <w:rPr>
                <w:sz w:val="24"/>
                <w:szCs w:val="24"/>
              </w:rPr>
              <w:t>Stakeholder consultations revealed it is not the anchorage areas per se that interfere with the recreational activities</w:t>
            </w:r>
            <w:r w:rsidR="00FA782B">
              <w:rPr>
                <w:sz w:val="24"/>
                <w:szCs w:val="24"/>
              </w:rPr>
              <w:t xml:space="preserve">. </w:t>
            </w:r>
            <w:r w:rsidR="003B4CC3" w:rsidRPr="00327573">
              <w:rPr>
                <w:sz w:val="24"/>
                <w:szCs w:val="24"/>
              </w:rPr>
              <w:t>Rather</w:t>
            </w:r>
            <w:r w:rsidRPr="00327573">
              <w:rPr>
                <w:sz w:val="24"/>
                <w:szCs w:val="24"/>
              </w:rPr>
              <w:t xml:space="preserve"> it is the overall increase in activities along the port and increased ship movements that are limiting access for recreational fishers.</w:t>
            </w:r>
          </w:p>
          <w:p w:rsidR="00A931EC" w:rsidRPr="00327573" w:rsidRDefault="00A931EC" w:rsidP="005E28EE">
            <w:pPr>
              <w:pStyle w:val="Body"/>
              <w:rPr>
                <w:sz w:val="24"/>
                <w:szCs w:val="24"/>
              </w:rPr>
            </w:pPr>
            <w:r w:rsidRPr="00327573">
              <w:rPr>
                <w:sz w:val="24"/>
                <w:szCs w:val="24"/>
              </w:rPr>
              <w:t>The increase in ship movements and port developments has meant increased safety risks; recreational users may have to alter their behaviour to become more aware of where they are and what they are doing to avoid larger vessels.</w:t>
            </w:r>
          </w:p>
          <w:p w:rsidR="00666126" w:rsidRPr="00327573" w:rsidRDefault="00A5221D" w:rsidP="005E28EE">
            <w:pPr>
              <w:pStyle w:val="Body"/>
              <w:rPr>
                <w:sz w:val="24"/>
                <w:szCs w:val="24"/>
              </w:rPr>
            </w:pPr>
            <w:r w:rsidRPr="00327573">
              <w:rPr>
                <w:sz w:val="24"/>
                <w:szCs w:val="24"/>
              </w:rPr>
              <w:t xml:space="preserve">Safety </w:t>
            </w:r>
            <w:r w:rsidR="008200E2" w:rsidRPr="00327573">
              <w:rPr>
                <w:sz w:val="24"/>
                <w:szCs w:val="24"/>
              </w:rPr>
              <w:t>can be</w:t>
            </w:r>
            <w:r w:rsidRPr="00327573">
              <w:rPr>
                <w:sz w:val="24"/>
                <w:szCs w:val="24"/>
              </w:rPr>
              <w:t xml:space="preserve"> of concern for</w:t>
            </w:r>
            <w:r w:rsidR="00A034E7" w:rsidRPr="00327573">
              <w:rPr>
                <w:sz w:val="24"/>
                <w:szCs w:val="24"/>
              </w:rPr>
              <w:t xml:space="preserve"> recreational</w:t>
            </w:r>
            <w:r w:rsidRPr="00327573">
              <w:rPr>
                <w:sz w:val="24"/>
                <w:szCs w:val="24"/>
              </w:rPr>
              <w:t xml:space="preserve"> maritime users where the perceived safe operating distance around anchored ships is greater than the direct physical dimensions and the swing distance of an anchored ship.</w:t>
            </w:r>
          </w:p>
          <w:p w:rsidR="00A9283A" w:rsidRPr="00327573" w:rsidRDefault="00B82978" w:rsidP="005E28EE">
            <w:pPr>
              <w:pStyle w:val="Body"/>
              <w:rPr>
                <w:sz w:val="24"/>
                <w:szCs w:val="24"/>
              </w:rPr>
            </w:pPr>
            <w:r w:rsidRPr="00327573">
              <w:rPr>
                <w:sz w:val="24"/>
                <w:szCs w:val="24"/>
              </w:rPr>
              <w:t xml:space="preserve">Recreational maritime users may also avoid getting too close to anchored ships.  </w:t>
            </w:r>
          </w:p>
        </w:tc>
      </w:tr>
      <w:tr w:rsidR="00CD19B4" w:rsidRPr="00327573" w:rsidTr="00FC1ADE">
        <w:tc>
          <w:tcPr>
            <w:tcW w:w="2263" w:type="dxa"/>
            <w:shd w:val="clear" w:color="auto" w:fill="auto"/>
          </w:tcPr>
          <w:p w:rsidR="00CD19B4" w:rsidRPr="00327573" w:rsidRDefault="00CD19B4" w:rsidP="00113776">
            <w:pPr>
              <w:pStyle w:val="TableBody"/>
              <w:rPr>
                <w:sz w:val="24"/>
                <w:szCs w:val="24"/>
              </w:rPr>
            </w:pPr>
            <w:r w:rsidRPr="00327573">
              <w:rPr>
                <w:sz w:val="24"/>
                <w:szCs w:val="24"/>
              </w:rPr>
              <w:t>Interference with tourism activities</w:t>
            </w:r>
          </w:p>
        </w:tc>
        <w:tc>
          <w:tcPr>
            <w:tcW w:w="6740" w:type="dxa"/>
            <w:shd w:val="clear" w:color="auto" w:fill="auto"/>
          </w:tcPr>
          <w:p w:rsidR="00CD19B4" w:rsidRPr="00327573" w:rsidRDefault="00CD19B4" w:rsidP="005E28EE">
            <w:pPr>
              <w:pStyle w:val="Body"/>
              <w:rPr>
                <w:sz w:val="24"/>
                <w:szCs w:val="24"/>
              </w:rPr>
            </w:pPr>
            <w:r w:rsidRPr="00327573">
              <w:rPr>
                <w:sz w:val="24"/>
                <w:szCs w:val="24"/>
              </w:rPr>
              <w:t xml:space="preserve">There is limited </w:t>
            </w:r>
            <w:r w:rsidR="00612556" w:rsidRPr="00327573">
              <w:rPr>
                <w:sz w:val="24"/>
                <w:szCs w:val="24"/>
              </w:rPr>
              <w:t xml:space="preserve">Reef </w:t>
            </w:r>
            <w:r w:rsidRPr="00327573">
              <w:rPr>
                <w:sz w:val="24"/>
                <w:szCs w:val="24"/>
              </w:rPr>
              <w:t xml:space="preserve">tourism based out of Gladstone, hence </w:t>
            </w:r>
            <w:r w:rsidR="00612556" w:rsidRPr="00327573">
              <w:rPr>
                <w:sz w:val="24"/>
                <w:szCs w:val="24"/>
              </w:rPr>
              <w:t xml:space="preserve">consulted parties reflected </w:t>
            </w:r>
            <w:r w:rsidRPr="00327573">
              <w:rPr>
                <w:sz w:val="24"/>
                <w:szCs w:val="24"/>
              </w:rPr>
              <w:t xml:space="preserve">there are no </w:t>
            </w:r>
            <w:r w:rsidR="00612556" w:rsidRPr="00327573">
              <w:rPr>
                <w:sz w:val="24"/>
                <w:szCs w:val="24"/>
              </w:rPr>
              <w:t xml:space="preserve">perceived </w:t>
            </w:r>
            <w:r w:rsidRPr="00327573">
              <w:rPr>
                <w:sz w:val="24"/>
                <w:szCs w:val="24"/>
              </w:rPr>
              <w:t>conflicts or interactions between the tourism industry and the anchorage areas.</w:t>
            </w:r>
          </w:p>
          <w:p w:rsidR="00CD19B4" w:rsidRPr="00327573" w:rsidRDefault="00CD19B4" w:rsidP="005E28EE">
            <w:pPr>
              <w:pStyle w:val="Body"/>
              <w:rPr>
                <w:sz w:val="24"/>
                <w:szCs w:val="24"/>
              </w:rPr>
            </w:pPr>
            <w:r w:rsidRPr="00327573">
              <w:rPr>
                <w:sz w:val="24"/>
                <w:szCs w:val="24"/>
              </w:rPr>
              <w:t xml:space="preserve">Often large vessels anchored at sea </w:t>
            </w:r>
            <w:r w:rsidR="00612556" w:rsidRPr="00327573">
              <w:rPr>
                <w:sz w:val="24"/>
                <w:szCs w:val="24"/>
              </w:rPr>
              <w:t xml:space="preserve">can </w:t>
            </w:r>
            <w:r w:rsidRPr="00327573">
              <w:rPr>
                <w:sz w:val="24"/>
                <w:szCs w:val="24"/>
              </w:rPr>
              <w:t>become a point of attraction or intrigue for the locals and tourists.</w:t>
            </w:r>
          </w:p>
          <w:p w:rsidR="00CD19B4" w:rsidRPr="00327573" w:rsidRDefault="00CD19B4" w:rsidP="005E28EE">
            <w:pPr>
              <w:pStyle w:val="Body"/>
              <w:rPr>
                <w:sz w:val="24"/>
                <w:szCs w:val="24"/>
              </w:rPr>
            </w:pPr>
            <w:r w:rsidRPr="00327573">
              <w:rPr>
                <w:sz w:val="24"/>
                <w:szCs w:val="24"/>
              </w:rPr>
              <w:t xml:space="preserve">The large vessels anchored and lining up to get into the port </w:t>
            </w:r>
            <w:r w:rsidR="003B4CC3" w:rsidRPr="00327573">
              <w:rPr>
                <w:sz w:val="24"/>
                <w:szCs w:val="24"/>
              </w:rPr>
              <w:t>have recently been</w:t>
            </w:r>
            <w:r w:rsidRPr="00327573">
              <w:rPr>
                <w:sz w:val="24"/>
                <w:szCs w:val="24"/>
              </w:rPr>
              <w:t xml:space="preserve"> acknowledged as a tourist phenomenon attracting the ‘grey nomads’ who enjoy the views </w:t>
            </w:r>
            <w:r w:rsidR="00612556" w:rsidRPr="00327573">
              <w:rPr>
                <w:sz w:val="24"/>
                <w:szCs w:val="24"/>
              </w:rPr>
              <w:t xml:space="preserve">of the vessels </w:t>
            </w:r>
            <w:r w:rsidRPr="00327573">
              <w:rPr>
                <w:sz w:val="24"/>
                <w:szCs w:val="24"/>
              </w:rPr>
              <w:t>from a high point in the city.</w:t>
            </w:r>
          </w:p>
          <w:p w:rsidR="00093FF9" w:rsidRPr="00327573" w:rsidRDefault="009F230F" w:rsidP="005E28EE">
            <w:pPr>
              <w:pStyle w:val="Body"/>
              <w:rPr>
                <w:rFonts w:cs="Arial"/>
                <w:color w:val="000000"/>
                <w:sz w:val="24"/>
                <w:szCs w:val="24"/>
              </w:rPr>
            </w:pPr>
            <w:r w:rsidRPr="00327573">
              <w:rPr>
                <w:sz w:val="24"/>
                <w:szCs w:val="24"/>
              </w:rPr>
              <w:t>T</w:t>
            </w:r>
            <w:r w:rsidR="00093FF9" w:rsidRPr="00327573">
              <w:rPr>
                <w:sz w:val="24"/>
                <w:szCs w:val="24"/>
              </w:rPr>
              <w:t xml:space="preserve">ourists </w:t>
            </w:r>
            <w:r w:rsidR="00DC1C1C" w:rsidRPr="00327573">
              <w:rPr>
                <w:sz w:val="24"/>
                <w:szCs w:val="24"/>
              </w:rPr>
              <w:t xml:space="preserve">may </w:t>
            </w:r>
            <w:r w:rsidR="00093FF9" w:rsidRPr="00327573">
              <w:rPr>
                <w:sz w:val="24"/>
                <w:szCs w:val="24"/>
              </w:rPr>
              <w:t xml:space="preserve">perceive the presence of large vessels in or within the vicinity of the Marine Park negatively </w:t>
            </w:r>
            <w:r w:rsidR="00226425" w:rsidRPr="00327573">
              <w:rPr>
                <w:sz w:val="24"/>
                <w:szCs w:val="24"/>
              </w:rPr>
              <w:t xml:space="preserve">and </w:t>
            </w:r>
            <w:r w:rsidR="00093FF9" w:rsidRPr="00327573">
              <w:rPr>
                <w:sz w:val="24"/>
                <w:szCs w:val="24"/>
              </w:rPr>
              <w:t xml:space="preserve">as a risk to the Reef’s values. </w:t>
            </w:r>
          </w:p>
        </w:tc>
      </w:tr>
    </w:tbl>
    <w:p w:rsidR="00CD19B4" w:rsidRPr="00B41CFA" w:rsidRDefault="00CD19B4" w:rsidP="00CD19B4">
      <w:pPr>
        <w:pStyle w:val="Heading2"/>
        <w:rPr>
          <w:sz w:val="24"/>
        </w:rPr>
      </w:pPr>
      <w:bookmarkStart w:id="190" w:name="_Toc343581979"/>
      <w:bookmarkStart w:id="191" w:name="_Toc343597436"/>
      <w:bookmarkStart w:id="192" w:name="_Toc343581980"/>
      <w:bookmarkStart w:id="193" w:name="_Toc343597437"/>
      <w:bookmarkStart w:id="194" w:name="_Toc362274283"/>
      <w:bookmarkEnd w:id="190"/>
      <w:bookmarkEnd w:id="191"/>
      <w:bookmarkEnd w:id="192"/>
      <w:bookmarkEnd w:id="193"/>
      <w:r w:rsidRPr="00B41CFA">
        <w:rPr>
          <w:sz w:val="24"/>
        </w:rPr>
        <w:t>Overall conclusions on social aspects of ship anchorages</w:t>
      </w:r>
      <w:bookmarkEnd w:id="194"/>
    </w:p>
    <w:p w:rsidR="00CD19B4" w:rsidRPr="00327573" w:rsidRDefault="00CD19B4" w:rsidP="00CD19B4">
      <w:pPr>
        <w:pStyle w:val="Body"/>
        <w:rPr>
          <w:sz w:val="24"/>
          <w:szCs w:val="24"/>
        </w:rPr>
      </w:pPr>
      <w:r w:rsidRPr="00327573">
        <w:rPr>
          <w:sz w:val="24"/>
          <w:szCs w:val="24"/>
        </w:rPr>
        <w:t xml:space="preserve">The overall conclusions on the social impacts of ships anchorages identified during the Project’s consultation are summarised in </w:t>
      </w:r>
      <w:r w:rsidR="00CD38ED" w:rsidRPr="00327573">
        <w:rPr>
          <w:sz w:val="24"/>
          <w:szCs w:val="24"/>
        </w:rPr>
        <w:fldChar w:fldCharType="begin"/>
      </w:r>
      <w:r w:rsidRPr="00327573">
        <w:rPr>
          <w:sz w:val="24"/>
          <w:szCs w:val="24"/>
        </w:rPr>
        <w:instrText xml:space="preserve"> REF  _Ref343163832 \* Lower \h </w:instrText>
      </w:r>
      <w:r w:rsidR="00327573">
        <w:rPr>
          <w:sz w:val="24"/>
          <w:szCs w:val="24"/>
        </w:rPr>
        <w:instrText xml:space="preserve"> \* MERGEFORMAT </w:instrText>
      </w:r>
      <w:r w:rsidR="00CD38ED" w:rsidRPr="00327573">
        <w:rPr>
          <w:sz w:val="24"/>
          <w:szCs w:val="24"/>
        </w:rPr>
      </w:r>
      <w:r w:rsidR="00CD38ED" w:rsidRPr="00327573">
        <w:rPr>
          <w:sz w:val="24"/>
          <w:szCs w:val="24"/>
        </w:rPr>
        <w:fldChar w:fldCharType="separate"/>
      </w:r>
      <w:r w:rsidR="005F6E51" w:rsidRPr="00327573">
        <w:rPr>
          <w:sz w:val="24"/>
          <w:szCs w:val="24"/>
        </w:rPr>
        <w:t xml:space="preserve">table </w:t>
      </w:r>
      <w:r w:rsidR="005F6E51">
        <w:rPr>
          <w:noProof/>
          <w:sz w:val="24"/>
          <w:szCs w:val="24"/>
        </w:rPr>
        <w:t>3</w:t>
      </w:r>
      <w:r w:rsidR="005F6E51" w:rsidRPr="00327573">
        <w:rPr>
          <w:noProof/>
          <w:sz w:val="24"/>
          <w:szCs w:val="24"/>
        </w:rPr>
        <w:noBreakHyphen/>
      </w:r>
      <w:r w:rsidR="005F6E51">
        <w:rPr>
          <w:noProof/>
          <w:sz w:val="24"/>
          <w:szCs w:val="24"/>
        </w:rPr>
        <w:t>6</w:t>
      </w:r>
      <w:r w:rsidR="00CD38ED" w:rsidRPr="00327573">
        <w:rPr>
          <w:sz w:val="24"/>
          <w:szCs w:val="24"/>
        </w:rPr>
        <w:fldChar w:fldCharType="end"/>
      </w:r>
      <w:r w:rsidRPr="00327573">
        <w:rPr>
          <w:sz w:val="24"/>
          <w:szCs w:val="24"/>
        </w:rPr>
        <w:t>.</w:t>
      </w:r>
      <w:r w:rsidR="007032F4" w:rsidRPr="00327573">
        <w:rPr>
          <w:sz w:val="24"/>
          <w:szCs w:val="24"/>
        </w:rPr>
        <w:t xml:space="preserve"> These include a summary of those issued identified in the preceding sections, as well as those identified throughout the consultation that are applicable across the whole study area.</w:t>
      </w:r>
    </w:p>
    <w:p w:rsidR="00CD19B4" w:rsidRPr="00327573" w:rsidRDefault="00CD19B4" w:rsidP="00CD19B4">
      <w:pPr>
        <w:pStyle w:val="CaptionTable"/>
        <w:rPr>
          <w:sz w:val="24"/>
          <w:szCs w:val="24"/>
        </w:rPr>
      </w:pPr>
      <w:bookmarkStart w:id="195" w:name="_Ref343163832"/>
      <w:bookmarkStart w:id="196" w:name="_Toc362274364"/>
      <w:r w:rsidRPr="00327573">
        <w:rPr>
          <w:sz w:val="24"/>
          <w:szCs w:val="24"/>
        </w:rPr>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3</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6</w:t>
      </w:r>
      <w:r w:rsidR="00542883">
        <w:rPr>
          <w:sz w:val="24"/>
          <w:szCs w:val="24"/>
        </w:rPr>
        <w:fldChar w:fldCharType="end"/>
      </w:r>
      <w:bookmarkEnd w:id="195"/>
      <w:r w:rsidR="00327573">
        <w:rPr>
          <w:sz w:val="24"/>
          <w:szCs w:val="24"/>
        </w:rPr>
        <w:t>:</w:t>
      </w:r>
      <w:r w:rsidRPr="00327573">
        <w:rPr>
          <w:sz w:val="24"/>
          <w:szCs w:val="24"/>
        </w:rPr>
        <w:t xml:space="preserve"> </w:t>
      </w:r>
      <w:r w:rsidRPr="00327573">
        <w:rPr>
          <w:b w:val="0"/>
          <w:sz w:val="24"/>
          <w:szCs w:val="24"/>
        </w:rPr>
        <w:t>Summary of overall conclusions of social aspects of ship anchorages from consultation under this Project</w:t>
      </w:r>
      <w:bookmarkEnd w:id="196"/>
    </w:p>
    <w:tbl>
      <w:tblPr>
        <w:tblStyle w:val="TableGrid"/>
        <w:tblW w:w="5000"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firstRow="1" w:lastRow="0" w:firstColumn="1" w:lastColumn="0" w:noHBand="0" w:noVBand="1"/>
        <w:tblCaption w:val="Summary of overall conclusions of social aspects of ship anchorages from consultation under this Project"/>
        <w:tblDescription w:val="An overall summary of the social issues identified across all the ports from stakeholder consultation. Columns are the social issue and the overall comments."/>
      </w:tblPr>
      <w:tblGrid>
        <w:gridCol w:w="2972"/>
        <w:gridCol w:w="6031"/>
      </w:tblGrid>
      <w:tr w:rsidR="00CD19B4" w:rsidRPr="00327573" w:rsidTr="0057593C">
        <w:trPr>
          <w:tblHeader/>
        </w:trPr>
        <w:tc>
          <w:tcPr>
            <w:tcW w:w="2972" w:type="dxa"/>
            <w:tcBorders>
              <w:top w:val="single" w:sz="4" w:space="0" w:color="auto"/>
            </w:tcBorders>
            <w:shd w:val="clear" w:color="auto" w:fill="auto"/>
          </w:tcPr>
          <w:p w:rsidR="00CD19B4" w:rsidRPr="00327573" w:rsidRDefault="00CD19B4" w:rsidP="00113776">
            <w:pPr>
              <w:pStyle w:val="TableHead"/>
              <w:rPr>
                <w:sz w:val="24"/>
                <w:szCs w:val="24"/>
              </w:rPr>
            </w:pPr>
            <w:r w:rsidRPr="00327573">
              <w:rPr>
                <w:sz w:val="24"/>
                <w:szCs w:val="24"/>
              </w:rPr>
              <w:t>Social issues</w:t>
            </w:r>
          </w:p>
        </w:tc>
        <w:tc>
          <w:tcPr>
            <w:tcW w:w="6031" w:type="dxa"/>
            <w:tcBorders>
              <w:top w:val="single" w:sz="4" w:space="0" w:color="auto"/>
            </w:tcBorders>
            <w:shd w:val="clear" w:color="auto" w:fill="auto"/>
          </w:tcPr>
          <w:p w:rsidR="00CD19B4" w:rsidRPr="00327573" w:rsidRDefault="00CD19B4" w:rsidP="00113776">
            <w:pPr>
              <w:pStyle w:val="TableHead"/>
              <w:rPr>
                <w:sz w:val="24"/>
                <w:szCs w:val="24"/>
              </w:rPr>
            </w:pPr>
            <w:r w:rsidRPr="00327573">
              <w:rPr>
                <w:sz w:val="24"/>
                <w:szCs w:val="24"/>
              </w:rPr>
              <w:t xml:space="preserve">Overall comments </w:t>
            </w:r>
          </w:p>
        </w:tc>
      </w:tr>
      <w:tr w:rsidR="00CD19B4" w:rsidRPr="00327573" w:rsidTr="0057593C">
        <w:tc>
          <w:tcPr>
            <w:tcW w:w="2972" w:type="dxa"/>
            <w:shd w:val="clear" w:color="auto" w:fill="auto"/>
          </w:tcPr>
          <w:p w:rsidR="00CD19B4" w:rsidRPr="00327573" w:rsidRDefault="00CD19B4" w:rsidP="00113776">
            <w:pPr>
              <w:pStyle w:val="TableBody"/>
              <w:rPr>
                <w:sz w:val="24"/>
                <w:szCs w:val="24"/>
              </w:rPr>
            </w:pPr>
            <w:r w:rsidRPr="00327573">
              <w:rPr>
                <w:sz w:val="24"/>
                <w:szCs w:val="24"/>
              </w:rPr>
              <w:t>Altered aesthetic values during day time and night time (light issues)</w:t>
            </w:r>
          </w:p>
        </w:tc>
        <w:tc>
          <w:tcPr>
            <w:tcW w:w="6031" w:type="dxa"/>
            <w:shd w:val="clear" w:color="auto" w:fill="auto"/>
          </w:tcPr>
          <w:p w:rsidR="00CD19B4" w:rsidRPr="00327573" w:rsidRDefault="00EA00B5" w:rsidP="005E28EE">
            <w:pPr>
              <w:pStyle w:val="Body"/>
              <w:rPr>
                <w:sz w:val="24"/>
                <w:szCs w:val="24"/>
              </w:rPr>
            </w:pPr>
            <w:r w:rsidRPr="00327573">
              <w:rPr>
                <w:sz w:val="24"/>
                <w:szCs w:val="24"/>
              </w:rPr>
              <w:t>Targeted consultation suggested that s</w:t>
            </w:r>
            <w:r w:rsidR="00CD19B4" w:rsidRPr="00327573">
              <w:rPr>
                <w:sz w:val="24"/>
                <w:szCs w:val="24"/>
              </w:rPr>
              <w:t xml:space="preserve">hip anchorage areas by themselves are not </w:t>
            </w:r>
            <w:r w:rsidR="00612556" w:rsidRPr="00327573">
              <w:rPr>
                <w:sz w:val="24"/>
                <w:szCs w:val="24"/>
              </w:rPr>
              <w:t xml:space="preserve">perceived to be </w:t>
            </w:r>
            <w:r w:rsidR="00CD19B4" w:rsidRPr="00327573">
              <w:rPr>
                <w:sz w:val="24"/>
                <w:szCs w:val="24"/>
              </w:rPr>
              <w:t>a significant issue at most ports. Typically, the anchorages are considered to have limited visibility from the mainland or are considered an accepted element of the visual landscape.</w:t>
            </w:r>
            <w:r w:rsidR="00112BD0" w:rsidRPr="00327573">
              <w:rPr>
                <w:sz w:val="24"/>
                <w:szCs w:val="24"/>
              </w:rPr>
              <w:t xml:space="preserve"> </w:t>
            </w:r>
            <w:r w:rsidR="005C08C3" w:rsidRPr="00327573">
              <w:rPr>
                <w:sz w:val="24"/>
                <w:szCs w:val="24"/>
              </w:rPr>
              <w:t>However, i</w:t>
            </w:r>
            <w:r w:rsidR="009F4720" w:rsidRPr="00327573">
              <w:rPr>
                <w:sz w:val="24"/>
                <w:szCs w:val="24"/>
              </w:rPr>
              <w:t>n some cases the presence of ships day or night may impact o</w:t>
            </w:r>
            <w:r w:rsidR="00DC1C1C" w:rsidRPr="00327573">
              <w:rPr>
                <w:sz w:val="24"/>
                <w:szCs w:val="24"/>
              </w:rPr>
              <w:t>n</w:t>
            </w:r>
            <w:r w:rsidR="009F4720" w:rsidRPr="00327573">
              <w:rPr>
                <w:sz w:val="24"/>
                <w:szCs w:val="24"/>
              </w:rPr>
              <w:t xml:space="preserve"> the aesthetic values. </w:t>
            </w:r>
          </w:p>
          <w:p w:rsidR="00CD19B4" w:rsidRPr="00327573" w:rsidRDefault="00CD19B4" w:rsidP="005E28EE">
            <w:pPr>
              <w:pStyle w:val="Body"/>
              <w:rPr>
                <w:sz w:val="24"/>
                <w:szCs w:val="24"/>
              </w:rPr>
            </w:pPr>
            <w:r w:rsidRPr="00327573">
              <w:rPr>
                <w:sz w:val="24"/>
                <w:szCs w:val="24"/>
              </w:rPr>
              <w:t>In some circumstances, ships are considered more of a visual interest rather than an impediment as they are visible on the horizon at night time and visually intriguing.</w:t>
            </w:r>
          </w:p>
          <w:p w:rsidR="00FC1ADE" w:rsidRPr="00327573" w:rsidRDefault="00CD19B4" w:rsidP="005E28EE">
            <w:pPr>
              <w:pStyle w:val="Body"/>
              <w:rPr>
                <w:sz w:val="24"/>
                <w:szCs w:val="24"/>
              </w:rPr>
            </w:pPr>
            <w:r w:rsidRPr="00327573">
              <w:rPr>
                <w:sz w:val="24"/>
                <w:szCs w:val="24"/>
              </w:rPr>
              <w:t xml:space="preserve">The overall cumulative effects of all shipping activities </w:t>
            </w:r>
            <w:r w:rsidR="00612556" w:rsidRPr="00327573">
              <w:rPr>
                <w:sz w:val="24"/>
                <w:szCs w:val="24"/>
              </w:rPr>
              <w:t xml:space="preserve">(vessel movements in addition to anchorage) </w:t>
            </w:r>
            <w:r w:rsidRPr="00327573">
              <w:rPr>
                <w:sz w:val="24"/>
                <w:szCs w:val="24"/>
              </w:rPr>
              <w:t>that are altering the coastline are more of a concern from an aesthetic value perspective.</w:t>
            </w:r>
          </w:p>
        </w:tc>
      </w:tr>
      <w:tr w:rsidR="00CD19B4" w:rsidRPr="00327573" w:rsidTr="0057593C">
        <w:tc>
          <w:tcPr>
            <w:tcW w:w="2972" w:type="dxa"/>
            <w:shd w:val="clear" w:color="auto" w:fill="auto"/>
          </w:tcPr>
          <w:p w:rsidR="00CD19B4" w:rsidRPr="00327573" w:rsidRDefault="00CD19B4" w:rsidP="00113776">
            <w:pPr>
              <w:pStyle w:val="TableBody"/>
              <w:rPr>
                <w:sz w:val="24"/>
                <w:szCs w:val="24"/>
              </w:rPr>
            </w:pPr>
            <w:r w:rsidRPr="00327573">
              <w:rPr>
                <w:sz w:val="24"/>
                <w:szCs w:val="24"/>
              </w:rPr>
              <w:t>Interference with commercial fishing activities</w:t>
            </w:r>
          </w:p>
        </w:tc>
        <w:tc>
          <w:tcPr>
            <w:tcW w:w="6031" w:type="dxa"/>
            <w:shd w:val="clear" w:color="auto" w:fill="auto"/>
          </w:tcPr>
          <w:p w:rsidR="00CD19B4" w:rsidRPr="00327573" w:rsidRDefault="00CD19B4" w:rsidP="005E28EE">
            <w:pPr>
              <w:pStyle w:val="Body"/>
              <w:rPr>
                <w:sz w:val="24"/>
                <w:szCs w:val="24"/>
              </w:rPr>
            </w:pPr>
            <w:r w:rsidRPr="00327573">
              <w:rPr>
                <w:sz w:val="24"/>
                <w:szCs w:val="24"/>
              </w:rPr>
              <w:t xml:space="preserve">Commercial fishing is on a decline, however this impact is not </w:t>
            </w:r>
            <w:r w:rsidR="00612556" w:rsidRPr="00327573">
              <w:rPr>
                <w:sz w:val="24"/>
                <w:szCs w:val="24"/>
              </w:rPr>
              <w:t xml:space="preserve">identifiably </w:t>
            </w:r>
            <w:r w:rsidRPr="00327573">
              <w:rPr>
                <w:sz w:val="24"/>
                <w:szCs w:val="24"/>
              </w:rPr>
              <w:t>due to</w:t>
            </w:r>
            <w:r w:rsidR="00612556" w:rsidRPr="00327573">
              <w:rPr>
                <w:sz w:val="24"/>
                <w:szCs w:val="24"/>
              </w:rPr>
              <w:t xml:space="preserve"> increased use of</w:t>
            </w:r>
            <w:r w:rsidRPr="00327573">
              <w:rPr>
                <w:sz w:val="24"/>
                <w:szCs w:val="24"/>
              </w:rPr>
              <w:t xml:space="preserve"> anchorage areas</w:t>
            </w:r>
            <w:r w:rsidR="00612556" w:rsidRPr="00327573">
              <w:rPr>
                <w:sz w:val="24"/>
                <w:szCs w:val="24"/>
              </w:rPr>
              <w:t xml:space="preserve">. </w:t>
            </w:r>
            <w:r w:rsidR="007032F4" w:rsidRPr="00327573">
              <w:rPr>
                <w:sz w:val="24"/>
                <w:szCs w:val="24"/>
              </w:rPr>
              <w:t>The decline</w:t>
            </w:r>
            <w:r w:rsidR="00612556" w:rsidRPr="00327573">
              <w:rPr>
                <w:sz w:val="24"/>
                <w:szCs w:val="24"/>
              </w:rPr>
              <w:t xml:space="preserve"> has not been fully investigated but is perceived to be</w:t>
            </w:r>
            <w:r w:rsidRPr="00327573">
              <w:rPr>
                <w:sz w:val="24"/>
                <w:szCs w:val="24"/>
              </w:rPr>
              <w:t xml:space="preserve"> due to the cumulative changes occurring to the coastline</w:t>
            </w:r>
            <w:r w:rsidR="00612556" w:rsidRPr="00327573">
              <w:rPr>
                <w:sz w:val="24"/>
                <w:szCs w:val="24"/>
              </w:rPr>
              <w:t xml:space="preserve"> in conjunction with market drivers</w:t>
            </w:r>
            <w:r w:rsidRPr="00327573">
              <w:rPr>
                <w:sz w:val="24"/>
                <w:szCs w:val="24"/>
              </w:rPr>
              <w:t xml:space="preserve">. </w:t>
            </w:r>
          </w:p>
          <w:p w:rsidR="00130635" w:rsidRPr="00327573" w:rsidRDefault="00AE4BE3" w:rsidP="005E28EE">
            <w:pPr>
              <w:pStyle w:val="Body"/>
              <w:rPr>
                <w:sz w:val="24"/>
                <w:szCs w:val="24"/>
              </w:rPr>
            </w:pPr>
            <w:r w:rsidRPr="00327573">
              <w:rPr>
                <w:sz w:val="24"/>
                <w:szCs w:val="24"/>
              </w:rPr>
              <w:t xml:space="preserve">Safety is of concern when there is interaction between anchored vessels and commercial fishing activities, typically trawling, because of the risk of collision and fishing gear becoming entangled with anchored vessels. Safety is also of concern in areas where vessels have previously anchored due to possible changes in bathymetry which </w:t>
            </w:r>
            <w:r w:rsidR="00A034E7" w:rsidRPr="00327573">
              <w:rPr>
                <w:sz w:val="24"/>
                <w:szCs w:val="24"/>
              </w:rPr>
              <w:t xml:space="preserve">can </w:t>
            </w:r>
            <w:r w:rsidRPr="00327573">
              <w:rPr>
                <w:sz w:val="24"/>
                <w:szCs w:val="24"/>
              </w:rPr>
              <w:t>compromise the safe and optimal operation of trawl equipment.</w:t>
            </w:r>
          </w:p>
          <w:p w:rsidR="00926088" w:rsidRPr="00327573" w:rsidRDefault="00A034E7" w:rsidP="005E28EE">
            <w:pPr>
              <w:pStyle w:val="Body"/>
              <w:rPr>
                <w:sz w:val="24"/>
                <w:szCs w:val="24"/>
              </w:rPr>
            </w:pPr>
            <w:r w:rsidRPr="00327573">
              <w:rPr>
                <w:sz w:val="24"/>
                <w:szCs w:val="24"/>
              </w:rPr>
              <w:t>Safety can also be of concern for commercial maritime users where the perceived safe operating distance around anchored ships may be greater than the direct physical dimensions and the swing distance of an anchored ship. This can affect navigational paths.</w:t>
            </w:r>
          </w:p>
        </w:tc>
      </w:tr>
      <w:tr w:rsidR="00CD19B4" w:rsidRPr="00327573" w:rsidTr="0057593C">
        <w:tc>
          <w:tcPr>
            <w:tcW w:w="2972" w:type="dxa"/>
            <w:shd w:val="clear" w:color="auto" w:fill="auto"/>
          </w:tcPr>
          <w:p w:rsidR="00CD19B4" w:rsidRPr="00327573" w:rsidRDefault="00CD19B4" w:rsidP="00113776">
            <w:pPr>
              <w:pStyle w:val="TableBody"/>
              <w:rPr>
                <w:sz w:val="24"/>
                <w:szCs w:val="24"/>
              </w:rPr>
            </w:pPr>
            <w:r w:rsidRPr="00327573">
              <w:rPr>
                <w:sz w:val="24"/>
                <w:szCs w:val="24"/>
              </w:rPr>
              <w:t>Interference with recreational fishing and boating</w:t>
            </w:r>
          </w:p>
        </w:tc>
        <w:tc>
          <w:tcPr>
            <w:tcW w:w="6031" w:type="dxa"/>
            <w:shd w:val="clear" w:color="auto" w:fill="auto"/>
          </w:tcPr>
          <w:p w:rsidR="00CD19B4" w:rsidRPr="00327573" w:rsidRDefault="00CD19B4" w:rsidP="005E28EE">
            <w:pPr>
              <w:pStyle w:val="Body"/>
              <w:rPr>
                <w:sz w:val="24"/>
                <w:szCs w:val="24"/>
              </w:rPr>
            </w:pPr>
            <w:r w:rsidRPr="00327573">
              <w:rPr>
                <w:sz w:val="24"/>
                <w:szCs w:val="24"/>
              </w:rPr>
              <w:t>Anchorage areas in deeper, offshore, water are not usually frequented by recreational fishing and boating users</w:t>
            </w:r>
            <w:r w:rsidR="0053391D" w:rsidRPr="00327573">
              <w:rPr>
                <w:sz w:val="24"/>
                <w:szCs w:val="24"/>
              </w:rPr>
              <w:t>.</w:t>
            </w:r>
          </w:p>
          <w:p w:rsidR="00CD19B4" w:rsidRPr="00327573" w:rsidRDefault="00CD19B4" w:rsidP="005E28EE">
            <w:pPr>
              <w:pStyle w:val="Body"/>
              <w:rPr>
                <w:sz w:val="24"/>
                <w:szCs w:val="24"/>
              </w:rPr>
            </w:pPr>
            <w:r w:rsidRPr="00327573">
              <w:rPr>
                <w:sz w:val="24"/>
                <w:szCs w:val="24"/>
              </w:rPr>
              <w:t xml:space="preserve">Recreational fishing and boating is part of lifestyle. It is about the experience not the catch in itself, hence visual and environmental issues matter. </w:t>
            </w:r>
          </w:p>
          <w:p w:rsidR="00973239" w:rsidRPr="00327573" w:rsidRDefault="00C94C01" w:rsidP="005E28EE">
            <w:pPr>
              <w:pStyle w:val="Body"/>
              <w:rPr>
                <w:sz w:val="24"/>
                <w:szCs w:val="24"/>
              </w:rPr>
            </w:pPr>
            <w:r w:rsidRPr="00327573">
              <w:rPr>
                <w:sz w:val="24"/>
                <w:szCs w:val="24"/>
              </w:rPr>
              <w:t>T</w:t>
            </w:r>
            <w:r w:rsidR="00973239" w:rsidRPr="00327573">
              <w:rPr>
                <w:sz w:val="24"/>
                <w:szCs w:val="24"/>
              </w:rPr>
              <w:t xml:space="preserve">hose involved in recreational </w:t>
            </w:r>
            <w:r w:rsidRPr="00327573">
              <w:rPr>
                <w:sz w:val="24"/>
                <w:szCs w:val="24"/>
              </w:rPr>
              <w:t xml:space="preserve">activities, such as </w:t>
            </w:r>
            <w:r w:rsidR="00973239" w:rsidRPr="00327573">
              <w:rPr>
                <w:sz w:val="24"/>
                <w:szCs w:val="24"/>
              </w:rPr>
              <w:t>fishing and boating</w:t>
            </w:r>
            <w:r w:rsidRPr="00327573">
              <w:rPr>
                <w:sz w:val="24"/>
                <w:szCs w:val="24"/>
              </w:rPr>
              <w:t xml:space="preserve"> may</w:t>
            </w:r>
            <w:r w:rsidR="00973239" w:rsidRPr="00327573">
              <w:rPr>
                <w:sz w:val="24"/>
                <w:szCs w:val="24"/>
              </w:rPr>
              <w:t xml:space="preserve"> perceive the presence of large vessels in or within the vicinity of the Marine Park negatively </w:t>
            </w:r>
            <w:r w:rsidR="00A931EC" w:rsidRPr="00327573">
              <w:rPr>
                <w:sz w:val="24"/>
                <w:szCs w:val="24"/>
              </w:rPr>
              <w:t xml:space="preserve">and </w:t>
            </w:r>
            <w:r w:rsidR="00973239" w:rsidRPr="00327573">
              <w:rPr>
                <w:sz w:val="24"/>
                <w:szCs w:val="24"/>
              </w:rPr>
              <w:t>as a risk to the Reef’s values.</w:t>
            </w:r>
          </w:p>
          <w:p w:rsidR="00CD19B4" w:rsidRPr="00327573" w:rsidRDefault="00CD19B4" w:rsidP="005E28EE">
            <w:pPr>
              <w:pStyle w:val="Body"/>
              <w:rPr>
                <w:sz w:val="24"/>
                <w:szCs w:val="24"/>
              </w:rPr>
            </w:pPr>
            <w:r w:rsidRPr="00327573">
              <w:rPr>
                <w:sz w:val="24"/>
                <w:szCs w:val="24"/>
              </w:rPr>
              <w:t>Perception of potential environmental damage caused by anchored ships dumping wastes into the water is a major concern among recreational users.</w:t>
            </w:r>
            <w:r w:rsidR="0053391D" w:rsidRPr="00327573">
              <w:rPr>
                <w:sz w:val="24"/>
                <w:szCs w:val="24"/>
              </w:rPr>
              <w:t xml:space="preserve"> Regulation of this is not well understood.</w:t>
            </w:r>
          </w:p>
          <w:p w:rsidR="00CD19B4" w:rsidRPr="00327573" w:rsidRDefault="00CD19B4" w:rsidP="005E28EE">
            <w:pPr>
              <w:pStyle w:val="Body"/>
              <w:rPr>
                <w:sz w:val="24"/>
                <w:szCs w:val="24"/>
              </w:rPr>
            </w:pPr>
            <w:r w:rsidRPr="00327573">
              <w:rPr>
                <w:sz w:val="24"/>
                <w:szCs w:val="24"/>
              </w:rPr>
              <w:t xml:space="preserve">Stakeholder consultations revealed it is not the anchorage areas per se that interfere with the recreational activities but it is the overall increase in activities along the port and increased ship movements that </w:t>
            </w:r>
            <w:r w:rsidR="007032F4" w:rsidRPr="00327573">
              <w:rPr>
                <w:sz w:val="24"/>
                <w:szCs w:val="24"/>
              </w:rPr>
              <w:t>limit</w:t>
            </w:r>
            <w:r w:rsidRPr="00327573">
              <w:rPr>
                <w:sz w:val="24"/>
                <w:szCs w:val="24"/>
              </w:rPr>
              <w:t xml:space="preserve"> access for recreational fishers.</w:t>
            </w:r>
          </w:p>
          <w:p w:rsidR="00CD19B4" w:rsidRPr="00327573" w:rsidRDefault="00CD19B4" w:rsidP="005E28EE">
            <w:pPr>
              <w:pStyle w:val="Body"/>
              <w:rPr>
                <w:sz w:val="24"/>
                <w:szCs w:val="24"/>
              </w:rPr>
            </w:pPr>
            <w:r w:rsidRPr="00327573">
              <w:rPr>
                <w:sz w:val="24"/>
                <w:szCs w:val="24"/>
              </w:rPr>
              <w:t>The increase in ship movements and port developments has meant increased safety risks</w:t>
            </w:r>
            <w:r w:rsidR="007032F4" w:rsidRPr="00327573">
              <w:rPr>
                <w:sz w:val="24"/>
                <w:szCs w:val="24"/>
              </w:rPr>
              <w:t>.</w:t>
            </w:r>
            <w:r w:rsidRPr="00327573">
              <w:rPr>
                <w:sz w:val="24"/>
                <w:szCs w:val="24"/>
              </w:rPr>
              <w:t xml:space="preserve"> </w:t>
            </w:r>
            <w:r w:rsidR="007032F4" w:rsidRPr="00327573">
              <w:rPr>
                <w:sz w:val="24"/>
                <w:szCs w:val="24"/>
              </w:rPr>
              <w:t>R</w:t>
            </w:r>
            <w:r w:rsidRPr="00327573">
              <w:rPr>
                <w:sz w:val="24"/>
                <w:szCs w:val="24"/>
              </w:rPr>
              <w:t>ecreational users may have to alter their behaviour to become more aware of where they are and what they are doing.</w:t>
            </w:r>
          </w:p>
          <w:p w:rsidR="004D5559" w:rsidRPr="00327573" w:rsidRDefault="004D5559" w:rsidP="005E28EE">
            <w:pPr>
              <w:pStyle w:val="Body"/>
              <w:rPr>
                <w:sz w:val="24"/>
                <w:szCs w:val="24"/>
              </w:rPr>
            </w:pPr>
            <w:r w:rsidRPr="00327573">
              <w:rPr>
                <w:sz w:val="24"/>
                <w:szCs w:val="24"/>
              </w:rPr>
              <w:t xml:space="preserve">Safety </w:t>
            </w:r>
            <w:r w:rsidR="00813989" w:rsidRPr="00327573">
              <w:rPr>
                <w:sz w:val="24"/>
                <w:szCs w:val="24"/>
              </w:rPr>
              <w:t>can be</w:t>
            </w:r>
            <w:r w:rsidRPr="00327573">
              <w:rPr>
                <w:sz w:val="24"/>
                <w:szCs w:val="24"/>
              </w:rPr>
              <w:t xml:space="preserve"> of concern for </w:t>
            </w:r>
            <w:r w:rsidR="00A034E7" w:rsidRPr="00327573">
              <w:rPr>
                <w:sz w:val="24"/>
                <w:szCs w:val="24"/>
              </w:rPr>
              <w:t xml:space="preserve">recreational </w:t>
            </w:r>
            <w:r w:rsidRPr="00327573">
              <w:rPr>
                <w:sz w:val="24"/>
                <w:szCs w:val="24"/>
              </w:rPr>
              <w:t xml:space="preserve">maritime users where the perceived safe operating distance around anchored ships is greater than the direct physical dimensions and the swing distance of an anchored ship. </w:t>
            </w:r>
          </w:p>
          <w:p w:rsidR="00A01A1A" w:rsidRPr="00327573" w:rsidRDefault="00B82978" w:rsidP="005E28EE">
            <w:pPr>
              <w:pStyle w:val="Body"/>
              <w:rPr>
                <w:sz w:val="24"/>
                <w:szCs w:val="24"/>
              </w:rPr>
            </w:pPr>
            <w:r w:rsidRPr="00327573">
              <w:rPr>
                <w:sz w:val="24"/>
                <w:szCs w:val="24"/>
              </w:rPr>
              <w:t>Recreational maritime users may also avoid getting too close to anchored ships</w:t>
            </w:r>
            <w:r w:rsidR="00813989" w:rsidRPr="00327573">
              <w:rPr>
                <w:sz w:val="24"/>
                <w:szCs w:val="24"/>
              </w:rPr>
              <w:t>.</w:t>
            </w:r>
          </w:p>
        </w:tc>
      </w:tr>
      <w:tr w:rsidR="00CD19B4" w:rsidRPr="00327573" w:rsidTr="0057593C">
        <w:tc>
          <w:tcPr>
            <w:tcW w:w="2972" w:type="dxa"/>
            <w:shd w:val="clear" w:color="auto" w:fill="auto"/>
          </w:tcPr>
          <w:p w:rsidR="00CD19B4" w:rsidRPr="00327573" w:rsidRDefault="00CD19B4" w:rsidP="00113776">
            <w:pPr>
              <w:pStyle w:val="TableBody"/>
              <w:rPr>
                <w:sz w:val="24"/>
                <w:szCs w:val="24"/>
              </w:rPr>
            </w:pPr>
            <w:r w:rsidRPr="00327573">
              <w:rPr>
                <w:sz w:val="24"/>
                <w:szCs w:val="24"/>
              </w:rPr>
              <w:t>Interference with tourism activities</w:t>
            </w:r>
          </w:p>
        </w:tc>
        <w:tc>
          <w:tcPr>
            <w:tcW w:w="6031" w:type="dxa"/>
            <w:shd w:val="clear" w:color="auto" w:fill="auto"/>
          </w:tcPr>
          <w:p w:rsidR="00CD19B4" w:rsidRPr="00327573" w:rsidRDefault="00CD19B4" w:rsidP="005E28EE">
            <w:pPr>
              <w:pStyle w:val="Body"/>
              <w:rPr>
                <w:sz w:val="24"/>
                <w:szCs w:val="24"/>
              </w:rPr>
            </w:pPr>
            <w:r w:rsidRPr="00327573">
              <w:rPr>
                <w:sz w:val="24"/>
                <w:szCs w:val="24"/>
              </w:rPr>
              <w:t xml:space="preserve">Tourists accessing the Reef from Cairns or the Whitsundays region may witness anchored vessels during their Reef experience either in or within the vicinity of the Marine Park. Tourism stakeholders perceive that tourists are often curious about the vessels. </w:t>
            </w:r>
          </w:p>
          <w:p w:rsidR="00093FF9" w:rsidRPr="00327573" w:rsidRDefault="00DC1C1C" w:rsidP="005E28EE">
            <w:pPr>
              <w:pStyle w:val="Body"/>
              <w:rPr>
                <w:sz w:val="24"/>
                <w:szCs w:val="24"/>
              </w:rPr>
            </w:pPr>
            <w:r w:rsidRPr="00327573">
              <w:rPr>
                <w:sz w:val="24"/>
                <w:szCs w:val="24"/>
              </w:rPr>
              <w:t>T</w:t>
            </w:r>
            <w:r w:rsidR="00093FF9" w:rsidRPr="00327573">
              <w:rPr>
                <w:sz w:val="24"/>
                <w:szCs w:val="24"/>
              </w:rPr>
              <w:t xml:space="preserve">ourists </w:t>
            </w:r>
            <w:r w:rsidRPr="00327573">
              <w:rPr>
                <w:sz w:val="24"/>
                <w:szCs w:val="24"/>
              </w:rPr>
              <w:t xml:space="preserve">may </w:t>
            </w:r>
            <w:r w:rsidR="00093FF9" w:rsidRPr="00327573">
              <w:rPr>
                <w:sz w:val="24"/>
                <w:szCs w:val="24"/>
              </w:rPr>
              <w:t xml:space="preserve">perceive the presence of large vessels in or within the vicinity of the Marine Park negatively </w:t>
            </w:r>
            <w:r w:rsidR="00A931EC" w:rsidRPr="00327573">
              <w:rPr>
                <w:sz w:val="24"/>
                <w:szCs w:val="24"/>
              </w:rPr>
              <w:t>and</w:t>
            </w:r>
            <w:r w:rsidR="00CA6880" w:rsidRPr="00327573">
              <w:rPr>
                <w:sz w:val="24"/>
                <w:szCs w:val="24"/>
              </w:rPr>
              <w:t xml:space="preserve"> </w:t>
            </w:r>
            <w:r w:rsidR="00093FF9" w:rsidRPr="00327573">
              <w:rPr>
                <w:sz w:val="24"/>
                <w:szCs w:val="24"/>
              </w:rPr>
              <w:t xml:space="preserve">as a risk to the Reef’s values. </w:t>
            </w:r>
          </w:p>
          <w:p w:rsidR="00CD19B4" w:rsidRPr="00327573" w:rsidRDefault="0053391D" w:rsidP="005E28EE">
            <w:pPr>
              <w:pStyle w:val="Body"/>
              <w:rPr>
                <w:sz w:val="24"/>
                <w:szCs w:val="24"/>
              </w:rPr>
            </w:pPr>
            <w:r w:rsidRPr="00327573">
              <w:rPr>
                <w:sz w:val="24"/>
                <w:szCs w:val="24"/>
              </w:rPr>
              <w:t xml:space="preserve">Comments included reflection on </w:t>
            </w:r>
            <w:r w:rsidR="007032F4" w:rsidRPr="00327573">
              <w:rPr>
                <w:sz w:val="24"/>
                <w:szCs w:val="24"/>
              </w:rPr>
              <w:t xml:space="preserve">the need for </w:t>
            </w:r>
            <w:r w:rsidRPr="00327573">
              <w:rPr>
                <w:sz w:val="24"/>
                <w:szCs w:val="24"/>
              </w:rPr>
              <w:t xml:space="preserve">improved education for tourists about the existing best practice measures and guidelines that are in place for ships operating in the Marine Park. </w:t>
            </w:r>
          </w:p>
        </w:tc>
      </w:tr>
    </w:tbl>
    <w:p w:rsidR="001A657F" w:rsidRDefault="001A657F" w:rsidP="001A657F">
      <w:pPr>
        <w:pStyle w:val="Heading1"/>
      </w:pPr>
      <w:bookmarkStart w:id="197" w:name="_Ref347764805"/>
      <w:bookmarkStart w:id="198" w:name="_Toc362274284"/>
      <w:r>
        <w:t>demand for SHIP ANCHORAGEs AND THEIR OPERATION</w:t>
      </w:r>
      <w:bookmarkEnd w:id="197"/>
      <w:bookmarkEnd w:id="198"/>
    </w:p>
    <w:p w:rsidR="001A657F" w:rsidRPr="00B41CFA" w:rsidRDefault="001A657F" w:rsidP="001A657F">
      <w:pPr>
        <w:pStyle w:val="Heading2"/>
        <w:rPr>
          <w:sz w:val="24"/>
        </w:rPr>
      </w:pPr>
      <w:bookmarkStart w:id="199" w:name="_Ref342394873"/>
      <w:bookmarkStart w:id="200" w:name="_Toc343597223"/>
      <w:bookmarkStart w:id="201" w:name="_Toc362274285"/>
      <w:r w:rsidRPr="00B41CFA">
        <w:rPr>
          <w:sz w:val="24"/>
        </w:rPr>
        <w:t>Background</w:t>
      </w:r>
      <w:bookmarkEnd w:id="199"/>
      <w:bookmarkEnd w:id="200"/>
      <w:bookmarkEnd w:id="201"/>
    </w:p>
    <w:p w:rsidR="001A657F" w:rsidRPr="00327573" w:rsidRDefault="001A657F" w:rsidP="001A657F">
      <w:pPr>
        <w:pStyle w:val="Body"/>
        <w:rPr>
          <w:sz w:val="24"/>
          <w:szCs w:val="24"/>
        </w:rPr>
      </w:pPr>
      <w:r w:rsidRPr="00327573">
        <w:rPr>
          <w:sz w:val="24"/>
          <w:szCs w:val="24"/>
        </w:rPr>
        <w:t>To achieve a sound social economic analysis it is necessary to understand and set a base-line in terms of the demand for</w:t>
      </w:r>
      <w:r w:rsidR="006E3423" w:rsidRPr="00327573">
        <w:rPr>
          <w:sz w:val="24"/>
          <w:szCs w:val="24"/>
        </w:rPr>
        <w:t>,</w:t>
      </w:r>
      <w:r w:rsidRPr="00327573">
        <w:rPr>
          <w:sz w:val="24"/>
          <w:szCs w:val="24"/>
        </w:rPr>
        <w:t xml:space="preserve"> and operation of</w:t>
      </w:r>
      <w:r w:rsidR="006E3423" w:rsidRPr="00327573">
        <w:rPr>
          <w:sz w:val="24"/>
          <w:szCs w:val="24"/>
        </w:rPr>
        <w:t>,</w:t>
      </w:r>
      <w:r w:rsidRPr="00327573">
        <w:rPr>
          <w:sz w:val="24"/>
          <w:szCs w:val="24"/>
        </w:rPr>
        <w:t xml:space="preserve"> current ship anchorages. It is also important to benchmark how this demand is forecast to develop over time assuming there are no changes to existing management measures. This enables analysis of how the current management, or “business-as-usual”</w:t>
      </w:r>
      <w:r w:rsidR="006E3423" w:rsidRPr="00327573">
        <w:rPr>
          <w:sz w:val="24"/>
          <w:szCs w:val="24"/>
        </w:rPr>
        <w:t>,</w:t>
      </w:r>
      <w:r w:rsidRPr="00327573">
        <w:rPr>
          <w:sz w:val="24"/>
          <w:szCs w:val="24"/>
        </w:rPr>
        <w:t xml:space="preserve"> compares with other management strategies under future demand requirements. Through this process it is possible to identify whether a change in management strategy would realise benefits. </w:t>
      </w:r>
    </w:p>
    <w:p w:rsidR="001A657F" w:rsidRPr="00327573" w:rsidRDefault="001A657F" w:rsidP="001A657F">
      <w:pPr>
        <w:pStyle w:val="Body"/>
        <w:rPr>
          <w:sz w:val="24"/>
          <w:szCs w:val="24"/>
        </w:rPr>
      </w:pPr>
      <w:r w:rsidRPr="00327573">
        <w:rPr>
          <w:sz w:val="24"/>
          <w:szCs w:val="24"/>
        </w:rPr>
        <w:t xml:space="preserve">A necessary first step in the analysis is to describe the base-line of current ship anchorage operation. This section explains how ship anchorages are used and the drivers of their use. The current and expected future demand for the ship anchorages is then presented for each of the five ports considered in this project. </w:t>
      </w:r>
      <w:r w:rsidR="00230631" w:rsidRPr="00327573">
        <w:rPr>
          <w:sz w:val="24"/>
          <w:szCs w:val="24"/>
        </w:rPr>
        <w:t xml:space="preserve">As described in Section </w:t>
      </w:r>
      <w:r w:rsidR="00230631" w:rsidRPr="00327573">
        <w:rPr>
          <w:sz w:val="24"/>
          <w:szCs w:val="24"/>
        </w:rPr>
        <w:fldChar w:fldCharType="begin"/>
      </w:r>
      <w:r w:rsidR="00230631" w:rsidRPr="00327573">
        <w:rPr>
          <w:sz w:val="24"/>
          <w:szCs w:val="24"/>
        </w:rPr>
        <w:instrText xml:space="preserve"> REF _Ref347727992 \r \h </w:instrText>
      </w:r>
      <w:r w:rsidR="00327573">
        <w:rPr>
          <w:sz w:val="24"/>
          <w:szCs w:val="24"/>
        </w:rPr>
        <w:instrText xml:space="preserve"> \* MERGEFORMAT </w:instrText>
      </w:r>
      <w:r w:rsidR="00230631" w:rsidRPr="00327573">
        <w:rPr>
          <w:sz w:val="24"/>
          <w:szCs w:val="24"/>
        </w:rPr>
      </w:r>
      <w:r w:rsidR="00230631" w:rsidRPr="00327573">
        <w:rPr>
          <w:sz w:val="24"/>
          <w:szCs w:val="24"/>
        </w:rPr>
        <w:fldChar w:fldCharType="separate"/>
      </w:r>
      <w:r w:rsidR="005F6E51">
        <w:rPr>
          <w:sz w:val="24"/>
          <w:szCs w:val="24"/>
        </w:rPr>
        <w:t>1.4</w:t>
      </w:r>
      <w:r w:rsidR="00230631" w:rsidRPr="00327573">
        <w:rPr>
          <w:sz w:val="24"/>
          <w:szCs w:val="24"/>
        </w:rPr>
        <w:fldChar w:fldCharType="end"/>
      </w:r>
      <w:r w:rsidR="00230631" w:rsidRPr="00327573">
        <w:rPr>
          <w:sz w:val="24"/>
          <w:szCs w:val="24"/>
        </w:rPr>
        <w:t xml:space="preserve">, the anchorage areas for the purpose of this study have been agreed through consultation with the each port's Regional Harbour Master. </w:t>
      </w:r>
      <w:r w:rsidRPr="00327573">
        <w:rPr>
          <w:sz w:val="24"/>
          <w:szCs w:val="24"/>
        </w:rPr>
        <w:t xml:space="preserve">In section </w:t>
      </w:r>
      <w:r w:rsidR="00CD38ED" w:rsidRPr="00327573">
        <w:rPr>
          <w:b/>
          <w:sz w:val="24"/>
          <w:szCs w:val="24"/>
        </w:rPr>
        <w:fldChar w:fldCharType="begin"/>
      </w:r>
      <w:r w:rsidRPr="00327573">
        <w:rPr>
          <w:sz w:val="24"/>
          <w:szCs w:val="24"/>
        </w:rPr>
        <w:instrText xml:space="preserve"> REF _Ref347501546 \r \h </w:instrText>
      </w:r>
      <w:r w:rsidR="00327573">
        <w:rPr>
          <w:b/>
          <w:sz w:val="24"/>
          <w:szCs w:val="24"/>
        </w:rPr>
        <w:instrText xml:space="preserve"> \* MERGEFORMAT </w:instrText>
      </w:r>
      <w:r w:rsidR="00CD38ED" w:rsidRPr="00327573">
        <w:rPr>
          <w:b/>
          <w:sz w:val="24"/>
          <w:szCs w:val="24"/>
        </w:rPr>
      </w:r>
      <w:r w:rsidR="00CD38ED" w:rsidRPr="00327573">
        <w:rPr>
          <w:b/>
          <w:sz w:val="24"/>
          <w:szCs w:val="24"/>
        </w:rPr>
        <w:fldChar w:fldCharType="separate"/>
      </w:r>
      <w:r w:rsidR="005F6E51">
        <w:rPr>
          <w:sz w:val="24"/>
          <w:szCs w:val="24"/>
        </w:rPr>
        <w:t>5</w:t>
      </w:r>
      <w:r w:rsidR="00CD38ED" w:rsidRPr="00327573">
        <w:rPr>
          <w:b/>
          <w:sz w:val="24"/>
          <w:szCs w:val="24"/>
        </w:rPr>
        <w:fldChar w:fldCharType="end"/>
      </w:r>
      <w:r w:rsidRPr="00327573">
        <w:rPr>
          <w:sz w:val="24"/>
          <w:szCs w:val="24"/>
        </w:rPr>
        <w:t xml:space="preserve">, a range of options for managing anchorage are described. The expected future demand for ship anchorages is then used by an </w:t>
      </w:r>
      <w:r w:rsidR="006E3423" w:rsidRPr="00327573">
        <w:rPr>
          <w:sz w:val="24"/>
          <w:szCs w:val="24"/>
        </w:rPr>
        <w:t>E</w:t>
      </w:r>
      <w:r w:rsidRPr="00327573">
        <w:rPr>
          <w:sz w:val="24"/>
          <w:szCs w:val="24"/>
        </w:rPr>
        <w:t xml:space="preserve">conomic </w:t>
      </w:r>
      <w:r w:rsidR="006E3423" w:rsidRPr="00327573">
        <w:rPr>
          <w:sz w:val="24"/>
          <w:szCs w:val="24"/>
        </w:rPr>
        <w:t>A</w:t>
      </w:r>
      <w:r w:rsidRPr="00327573">
        <w:rPr>
          <w:sz w:val="24"/>
          <w:szCs w:val="24"/>
        </w:rPr>
        <w:t>ppraisal (CBA) model in later sections. The model uses a step wise process which firstly evaluates the need for expansion of ship anchorage areas at the five main ports under future demand requirements</w:t>
      </w:r>
      <w:r w:rsidR="006E3423" w:rsidRPr="00327573">
        <w:rPr>
          <w:sz w:val="24"/>
          <w:szCs w:val="24"/>
        </w:rPr>
        <w:t>.</w:t>
      </w:r>
      <w:r w:rsidRPr="00327573">
        <w:rPr>
          <w:sz w:val="24"/>
          <w:szCs w:val="24"/>
        </w:rPr>
        <w:t xml:space="preserve"> </w:t>
      </w:r>
      <w:r w:rsidR="006E3423" w:rsidRPr="00327573">
        <w:rPr>
          <w:sz w:val="24"/>
          <w:szCs w:val="24"/>
        </w:rPr>
        <w:t>I</w:t>
      </w:r>
      <w:r w:rsidRPr="00327573">
        <w:rPr>
          <w:sz w:val="24"/>
          <w:szCs w:val="24"/>
        </w:rPr>
        <w:t xml:space="preserve">f expansion is triggered by the demand, the model quantifies the costs and benefits of relevant management options to mitigate the need for any expansions. </w:t>
      </w:r>
      <w:r w:rsidR="00C86AAF" w:rsidRPr="00327573">
        <w:rPr>
          <w:sz w:val="24"/>
          <w:szCs w:val="24"/>
        </w:rPr>
        <w:t xml:space="preserve">In the case where demand does not trigger expansion then the model </w:t>
      </w:r>
      <w:r w:rsidR="007F0E73" w:rsidRPr="00327573">
        <w:rPr>
          <w:sz w:val="24"/>
          <w:szCs w:val="24"/>
        </w:rPr>
        <w:t>is not run</w:t>
      </w:r>
      <w:r w:rsidR="00AD34C2" w:rsidRPr="00327573">
        <w:rPr>
          <w:sz w:val="24"/>
          <w:szCs w:val="24"/>
        </w:rPr>
        <w:t>,</w:t>
      </w:r>
      <w:r w:rsidR="00C86AAF" w:rsidRPr="00327573">
        <w:rPr>
          <w:sz w:val="24"/>
          <w:szCs w:val="24"/>
        </w:rPr>
        <w:t xml:space="preserve"> i.e. </w:t>
      </w:r>
      <w:r w:rsidR="007F0E73" w:rsidRPr="00327573">
        <w:rPr>
          <w:sz w:val="24"/>
          <w:szCs w:val="24"/>
        </w:rPr>
        <w:t>does not consider management options to mitigate the impact</w:t>
      </w:r>
      <w:r w:rsidR="00C86AAF" w:rsidRPr="00327573">
        <w:rPr>
          <w:sz w:val="24"/>
          <w:szCs w:val="24"/>
        </w:rPr>
        <w:t xml:space="preserve">. </w:t>
      </w:r>
      <w:r w:rsidRPr="00327573">
        <w:rPr>
          <w:sz w:val="24"/>
          <w:szCs w:val="24"/>
        </w:rPr>
        <w:t xml:space="preserve">To inform the analysis, use of anchorage areas was rated according to a scale that ranged from negligible (&lt;3 per day) to significant (&gt;20 vessels per day). </w:t>
      </w:r>
    </w:p>
    <w:p w:rsidR="001A657F" w:rsidRPr="00B41CFA" w:rsidRDefault="001A657F" w:rsidP="001A657F">
      <w:pPr>
        <w:pStyle w:val="Heading3"/>
        <w:rPr>
          <w:sz w:val="24"/>
        </w:rPr>
      </w:pPr>
      <w:bookmarkStart w:id="202" w:name="_Toc343597224"/>
      <w:bookmarkStart w:id="203" w:name="_Toc362274286"/>
      <w:r w:rsidRPr="00B41CFA">
        <w:rPr>
          <w:sz w:val="24"/>
        </w:rPr>
        <w:t>Data sources</w:t>
      </w:r>
      <w:bookmarkEnd w:id="202"/>
      <w:bookmarkEnd w:id="203"/>
    </w:p>
    <w:p w:rsidR="001A657F" w:rsidRPr="00327573" w:rsidRDefault="001A657F" w:rsidP="001A657F">
      <w:pPr>
        <w:pStyle w:val="Body"/>
        <w:rPr>
          <w:sz w:val="24"/>
          <w:szCs w:val="24"/>
        </w:rPr>
      </w:pPr>
      <w:r w:rsidRPr="00327573">
        <w:rPr>
          <w:sz w:val="24"/>
          <w:szCs w:val="24"/>
        </w:rPr>
        <w:t>A number of sources of data were used to establish the demand for ship anchorages.</w:t>
      </w:r>
    </w:p>
    <w:p w:rsidR="001A657F" w:rsidRPr="00327573" w:rsidRDefault="001A657F" w:rsidP="001A657F">
      <w:pPr>
        <w:pStyle w:val="Body"/>
        <w:rPr>
          <w:sz w:val="24"/>
          <w:szCs w:val="24"/>
        </w:rPr>
      </w:pPr>
      <w:r w:rsidRPr="00327573">
        <w:rPr>
          <w:sz w:val="24"/>
          <w:szCs w:val="24"/>
        </w:rPr>
        <w:t>The current demand for ship anchorages was identified for the period 01</w:t>
      </w:r>
      <w:r w:rsidR="006E3423" w:rsidRPr="00327573">
        <w:rPr>
          <w:sz w:val="24"/>
          <w:szCs w:val="24"/>
        </w:rPr>
        <w:t xml:space="preserve"> January </w:t>
      </w:r>
      <w:r w:rsidR="008A43D6" w:rsidRPr="00327573">
        <w:rPr>
          <w:sz w:val="24"/>
          <w:szCs w:val="24"/>
        </w:rPr>
        <w:t xml:space="preserve">2009 to </w:t>
      </w:r>
      <w:r w:rsidRPr="00327573">
        <w:rPr>
          <w:sz w:val="24"/>
          <w:szCs w:val="24"/>
        </w:rPr>
        <w:t>30</w:t>
      </w:r>
      <w:r w:rsidR="00566468">
        <w:rPr>
          <w:sz w:val="24"/>
          <w:szCs w:val="24"/>
        </w:rPr>
        <w:t xml:space="preserve"> </w:t>
      </w:r>
      <w:r w:rsidR="006E3423" w:rsidRPr="00327573">
        <w:rPr>
          <w:sz w:val="24"/>
          <w:szCs w:val="24"/>
        </w:rPr>
        <w:t xml:space="preserve">September </w:t>
      </w:r>
      <w:r w:rsidRPr="00327573">
        <w:rPr>
          <w:sz w:val="24"/>
          <w:szCs w:val="24"/>
        </w:rPr>
        <w:t xml:space="preserve">2012 using Marine Safety Queensland actual (tracked) vessel movement data for commercially trading ships. Commercial trading ships being considered by this project are defined as those being greater than 50 metres (m) in length. This current demand data provided visibility on the current intensity of anchorage use of each of the five main ports, as well as the number of ship calls made at the five main ports in the study area. </w:t>
      </w:r>
    </w:p>
    <w:p w:rsidR="001A657F" w:rsidRPr="00327573" w:rsidRDefault="001A657F" w:rsidP="001A657F">
      <w:pPr>
        <w:pStyle w:val="Body"/>
        <w:rPr>
          <w:sz w:val="24"/>
          <w:szCs w:val="24"/>
        </w:rPr>
      </w:pPr>
      <w:r w:rsidRPr="00327573">
        <w:rPr>
          <w:sz w:val="24"/>
          <w:szCs w:val="24"/>
        </w:rPr>
        <w:t xml:space="preserve">As noted under section </w:t>
      </w:r>
      <w:r w:rsidR="00CD38ED" w:rsidRPr="00327573">
        <w:rPr>
          <w:sz w:val="24"/>
          <w:szCs w:val="24"/>
        </w:rPr>
        <w:fldChar w:fldCharType="begin"/>
      </w:r>
      <w:r w:rsidRPr="00327573">
        <w:rPr>
          <w:sz w:val="24"/>
          <w:szCs w:val="24"/>
        </w:rPr>
        <w:instrText xml:space="preserve"> REF _Ref347731636 \r \h </w:instrText>
      </w:r>
      <w:r w:rsidR="00327573">
        <w:rPr>
          <w:sz w:val="24"/>
          <w:szCs w:val="24"/>
        </w:rPr>
        <w:instrText xml:space="preserve"> \* MERGEFORMAT </w:instrText>
      </w:r>
      <w:r w:rsidR="00CD38ED" w:rsidRPr="00327573">
        <w:rPr>
          <w:sz w:val="24"/>
          <w:szCs w:val="24"/>
        </w:rPr>
      </w:r>
      <w:r w:rsidR="00CD38ED" w:rsidRPr="00327573">
        <w:rPr>
          <w:sz w:val="24"/>
          <w:szCs w:val="24"/>
        </w:rPr>
        <w:fldChar w:fldCharType="separate"/>
      </w:r>
      <w:r w:rsidR="005F6E51">
        <w:rPr>
          <w:sz w:val="24"/>
          <w:szCs w:val="24"/>
        </w:rPr>
        <w:t>2.1</w:t>
      </w:r>
      <w:r w:rsidR="00CD38ED" w:rsidRPr="00327573">
        <w:rPr>
          <w:sz w:val="24"/>
          <w:szCs w:val="24"/>
        </w:rPr>
        <w:fldChar w:fldCharType="end"/>
      </w:r>
      <w:r w:rsidRPr="00327573">
        <w:rPr>
          <w:sz w:val="24"/>
          <w:szCs w:val="24"/>
        </w:rPr>
        <w:t xml:space="preserve">, the evaluation of estimated future anchorage demand from 2012-2032 was based on recent forecasts prepared by PGM Environmental for the Reef (PGM Environment 2012). This study, completed as part of the Cumulative Environmental Impact Assessment for Abbot Point </w:t>
      </w:r>
      <w:r w:rsidR="000128A0" w:rsidRPr="00327573">
        <w:rPr>
          <w:sz w:val="24"/>
          <w:szCs w:val="24"/>
        </w:rPr>
        <w:t>(</w:t>
      </w:r>
      <w:r w:rsidRPr="00327573">
        <w:rPr>
          <w:sz w:val="24"/>
          <w:szCs w:val="24"/>
        </w:rPr>
        <w:t>PGM Environment 2012), provided ship number forecasts at the upper-end based on a calculated 100 per cent use of each ports planned capacity expansions (i.e. the maximum case situation for shipping demand). Data from this study was used as the basis of ship call forecasts and future anchorage demand in the CBA modelling work.</w:t>
      </w:r>
    </w:p>
    <w:p w:rsidR="001A657F" w:rsidRPr="00327573" w:rsidRDefault="001A657F" w:rsidP="001A657F">
      <w:pPr>
        <w:pStyle w:val="Body"/>
        <w:rPr>
          <w:sz w:val="24"/>
          <w:szCs w:val="24"/>
        </w:rPr>
      </w:pPr>
      <w:r w:rsidRPr="00327573">
        <w:rPr>
          <w:sz w:val="24"/>
          <w:szCs w:val="24"/>
        </w:rPr>
        <w:t>Future shipping</w:t>
      </w:r>
      <w:r w:rsidR="004C5547" w:rsidRPr="00327573">
        <w:rPr>
          <w:sz w:val="24"/>
          <w:szCs w:val="24"/>
        </w:rPr>
        <w:t>,</w:t>
      </w:r>
      <w:r w:rsidRPr="00327573">
        <w:rPr>
          <w:sz w:val="24"/>
          <w:szCs w:val="24"/>
        </w:rPr>
        <w:t xml:space="preserve"> and resulting demand for ship anchorages over the long-term</w:t>
      </w:r>
      <w:r w:rsidR="004C5547" w:rsidRPr="00327573">
        <w:rPr>
          <w:sz w:val="24"/>
          <w:szCs w:val="24"/>
        </w:rPr>
        <w:t>,</w:t>
      </w:r>
      <w:r w:rsidRPr="00327573">
        <w:rPr>
          <w:sz w:val="24"/>
          <w:szCs w:val="24"/>
        </w:rPr>
        <w:t xml:space="preserve"> was also supported by the Queensland Government’s “Great Barrier Reef Ports Strategy 2012-2022 – public consultation paper” </w:t>
      </w:r>
      <w:r w:rsidR="004C5547" w:rsidRPr="00327573">
        <w:rPr>
          <w:sz w:val="24"/>
          <w:szCs w:val="24"/>
        </w:rPr>
        <w:t>(</w:t>
      </w:r>
      <w:r w:rsidRPr="00327573">
        <w:rPr>
          <w:sz w:val="24"/>
          <w:szCs w:val="24"/>
        </w:rPr>
        <w:t>Department of State Development, Infrastructure and Planni</w:t>
      </w:r>
      <w:r w:rsidR="00566468">
        <w:rPr>
          <w:sz w:val="24"/>
          <w:szCs w:val="24"/>
        </w:rPr>
        <w:t>ng (</w:t>
      </w:r>
      <w:r w:rsidRPr="00327573">
        <w:rPr>
          <w:sz w:val="24"/>
          <w:szCs w:val="24"/>
        </w:rPr>
        <w:t>DSDIP</w:t>
      </w:r>
      <w:r w:rsidR="00566468">
        <w:rPr>
          <w:sz w:val="24"/>
          <w:szCs w:val="24"/>
        </w:rPr>
        <w:t>)</w:t>
      </w:r>
      <w:r w:rsidRPr="00327573">
        <w:rPr>
          <w:sz w:val="24"/>
          <w:szCs w:val="24"/>
        </w:rPr>
        <w:t xml:space="preserve"> 2012). This study provided forecasts based on estimates of future production and resulting seaborne trade (cargo demand). </w:t>
      </w:r>
    </w:p>
    <w:p w:rsidR="001A657F" w:rsidRPr="00B41CFA" w:rsidRDefault="001A657F" w:rsidP="001A657F">
      <w:pPr>
        <w:pStyle w:val="Heading2"/>
        <w:rPr>
          <w:sz w:val="24"/>
        </w:rPr>
      </w:pPr>
      <w:bookmarkStart w:id="204" w:name="_Toc343597225"/>
      <w:bookmarkStart w:id="205" w:name="_Toc362274287"/>
      <w:r w:rsidRPr="00B41CFA">
        <w:rPr>
          <w:sz w:val="24"/>
        </w:rPr>
        <w:t>How ships use anchorages and the drivers of demand for anchorages</w:t>
      </w:r>
      <w:bookmarkEnd w:id="204"/>
      <w:bookmarkEnd w:id="205"/>
    </w:p>
    <w:p w:rsidR="001A657F" w:rsidRPr="00327573" w:rsidRDefault="001A657F" w:rsidP="001A657F">
      <w:pPr>
        <w:pStyle w:val="Body"/>
        <w:rPr>
          <w:sz w:val="24"/>
          <w:szCs w:val="24"/>
        </w:rPr>
      </w:pPr>
      <w:r w:rsidRPr="00327573">
        <w:rPr>
          <w:sz w:val="24"/>
          <w:szCs w:val="24"/>
        </w:rPr>
        <w:t xml:space="preserve">Ship anchorages in the study area, and elsewhere around Australia, are effectively extensions of port infrastructure which serve the export and import trades of various commodities (see </w:t>
      </w:r>
      <w:r w:rsidR="00CC6DEA" w:rsidRPr="00327573">
        <w:rPr>
          <w:sz w:val="24"/>
          <w:szCs w:val="24"/>
        </w:rPr>
        <w:fldChar w:fldCharType="begin"/>
      </w:r>
      <w:r w:rsidR="00CC6DEA" w:rsidRPr="00327573">
        <w:rPr>
          <w:sz w:val="24"/>
          <w:szCs w:val="24"/>
        </w:rPr>
        <w:instrText xml:space="preserve"> REF  _Ref351988478 \* Lower \h </w:instrText>
      </w:r>
      <w:r w:rsidR="00327573">
        <w:rPr>
          <w:sz w:val="24"/>
          <w:szCs w:val="24"/>
        </w:rPr>
        <w:instrText xml:space="preserve"> \* MERGEFORMAT </w:instrText>
      </w:r>
      <w:r w:rsidR="00CC6DEA" w:rsidRPr="00327573">
        <w:rPr>
          <w:sz w:val="24"/>
          <w:szCs w:val="24"/>
        </w:rPr>
      </w:r>
      <w:r w:rsidR="00CC6DEA" w:rsidRPr="00327573">
        <w:rPr>
          <w:sz w:val="24"/>
          <w:szCs w:val="24"/>
        </w:rPr>
        <w:fldChar w:fldCharType="separate"/>
      </w:r>
      <w:r w:rsidR="005F6E51" w:rsidRPr="00327573">
        <w:rPr>
          <w:sz w:val="24"/>
          <w:szCs w:val="24"/>
        </w:rPr>
        <w:t xml:space="preserve">table </w:t>
      </w:r>
      <w:r w:rsidR="005F6E51">
        <w:rPr>
          <w:noProof/>
          <w:sz w:val="24"/>
          <w:szCs w:val="24"/>
        </w:rPr>
        <w:t>4</w:t>
      </w:r>
      <w:r w:rsidR="005F6E51" w:rsidRPr="00327573">
        <w:rPr>
          <w:noProof/>
          <w:sz w:val="24"/>
          <w:szCs w:val="24"/>
        </w:rPr>
        <w:noBreakHyphen/>
      </w:r>
      <w:r w:rsidR="005F6E51">
        <w:rPr>
          <w:noProof/>
          <w:sz w:val="24"/>
          <w:szCs w:val="24"/>
        </w:rPr>
        <w:t>1</w:t>
      </w:r>
      <w:r w:rsidR="00CC6DEA" w:rsidRPr="00327573">
        <w:rPr>
          <w:sz w:val="24"/>
          <w:szCs w:val="24"/>
        </w:rPr>
        <w:fldChar w:fldCharType="end"/>
      </w:r>
      <w:r w:rsidRPr="00327573">
        <w:rPr>
          <w:sz w:val="24"/>
          <w:szCs w:val="24"/>
        </w:rPr>
        <w:t xml:space="preserve">). </w:t>
      </w:r>
    </w:p>
    <w:p w:rsidR="001A657F" w:rsidRPr="00327573" w:rsidRDefault="001A657F" w:rsidP="001A657F">
      <w:pPr>
        <w:pStyle w:val="CaptionTable"/>
        <w:rPr>
          <w:sz w:val="24"/>
          <w:szCs w:val="24"/>
        </w:rPr>
      </w:pPr>
      <w:bookmarkStart w:id="206" w:name="_Ref351988478"/>
      <w:bookmarkStart w:id="207" w:name="_Toc343597151"/>
      <w:bookmarkStart w:id="208" w:name="_Toc362274365"/>
      <w:r w:rsidRPr="00327573">
        <w:rPr>
          <w:sz w:val="24"/>
          <w:szCs w:val="24"/>
        </w:rPr>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4</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1</w:t>
      </w:r>
      <w:r w:rsidR="00542883">
        <w:rPr>
          <w:sz w:val="24"/>
          <w:szCs w:val="24"/>
        </w:rPr>
        <w:fldChar w:fldCharType="end"/>
      </w:r>
      <w:bookmarkEnd w:id="206"/>
      <w:r w:rsidR="00327573">
        <w:rPr>
          <w:noProof/>
          <w:sz w:val="24"/>
          <w:szCs w:val="24"/>
        </w:rPr>
        <w:t>:</w:t>
      </w:r>
      <w:r w:rsidRPr="00327573">
        <w:rPr>
          <w:sz w:val="24"/>
          <w:szCs w:val="24"/>
        </w:rPr>
        <w:t xml:space="preserve"> </w:t>
      </w:r>
      <w:r w:rsidRPr="00327573">
        <w:rPr>
          <w:b w:val="0"/>
          <w:sz w:val="24"/>
          <w:szCs w:val="24"/>
        </w:rPr>
        <w:t>Overview of Great Barrier Reef ports and their key commodity trades</w:t>
      </w:r>
      <w:r w:rsidR="00CC6DEA" w:rsidRPr="00327573">
        <w:rPr>
          <w:b w:val="0"/>
          <w:sz w:val="24"/>
          <w:szCs w:val="24"/>
        </w:rPr>
        <w:t>,</w:t>
      </w:r>
      <w:r w:rsidRPr="00327573">
        <w:rPr>
          <w:b w:val="0"/>
          <w:sz w:val="24"/>
          <w:szCs w:val="24"/>
        </w:rPr>
        <w:t xml:space="preserve"> 2012</w:t>
      </w:r>
      <w:bookmarkEnd w:id="207"/>
      <w:r w:rsidR="00327573">
        <w:rPr>
          <w:b w:val="0"/>
          <w:sz w:val="24"/>
          <w:szCs w:val="24"/>
        </w:rPr>
        <w:t xml:space="preserve"> (</w:t>
      </w:r>
      <w:r w:rsidR="00327573" w:rsidRPr="00327573">
        <w:rPr>
          <w:b w:val="0"/>
          <w:sz w:val="24"/>
          <w:szCs w:val="24"/>
        </w:rPr>
        <w:t>Source: Data courtesy of Great Barrier Reef Marine Park Authority</w:t>
      </w:r>
      <w:r w:rsidR="00327573">
        <w:rPr>
          <w:b w:val="0"/>
          <w:sz w:val="24"/>
          <w:szCs w:val="24"/>
        </w:rPr>
        <w:t>)</w:t>
      </w:r>
      <w:bookmarkEnd w:id="208"/>
    </w:p>
    <w:tbl>
      <w:tblPr>
        <w:tblW w:w="9073" w:type="dxa"/>
        <w:tblBorders>
          <w:top w:val="single" w:sz="4" w:space="0" w:color="auto"/>
          <w:bottom w:val="single" w:sz="4" w:space="0" w:color="auto"/>
          <w:insideH w:val="single" w:sz="4" w:space="0" w:color="auto"/>
        </w:tblBorders>
        <w:tblLook w:val="0000" w:firstRow="0" w:lastRow="0" w:firstColumn="0" w:lastColumn="0" w:noHBand="0" w:noVBand="0"/>
        <w:tblCaption w:val="Overview of Great Barrier Reef ports and their key commodity trades, 2012"/>
        <w:tblDescription w:val="An overview of the Great Barrier Reef ports and their key commodity trades in 2012, with columns representing the port and the commodity trade."/>
      </w:tblPr>
      <w:tblGrid>
        <w:gridCol w:w="1875"/>
        <w:gridCol w:w="7198"/>
      </w:tblGrid>
      <w:tr w:rsidR="001A657F" w:rsidRPr="00327573" w:rsidTr="00DE2A47">
        <w:trPr>
          <w:trHeight w:val="453"/>
          <w:tblHeader/>
        </w:trPr>
        <w:tc>
          <w:tcPr>
            <w:tcW w:w="1875" w:type="dxa"/>
          </w:tcPr>
          <w:p w:rsidR="001A657F" w:rsidRPr="00327573" w:rsidRDefault="001A657F" w:rsidP="00FC1ADE">
            <w:pPr>
              <w:pStyle w:val="TableHead"/>
              <w:rPr>
                <w:sz w:val="24"/>
                <w:szCs w:val="24"/>
              </w:rPr>
            </w:pPr>
            <w:r w:rsidRPr="00327573">
              <w:rPr>
                <w:sz w:val="24"/>
                <w:szCs w:val="24"/>
              </w:rPr>
              <w:t>Port</w:t>
            </w:r>
          </w:p>
        </w:tc>
        <w:tc>
          <w:tcPr>
            <w:tcW w:w="7198" w:type="dxa"/>
          </w:tcPr>
          <w:p w:rsidR="001A657F" w:rsidRPr="00327573" w:rsidRDefault="001A657F" w:rsidP="00FC1ADE">
            <w:pPr>
              <w:pStyle w:val="TableHead"/>
              <w:rPr>
                <w:sz w:val="24"/>
                <w:szCs w:val="24"/>
              </w:rPr>
            </w:pPr>
            <w:r w:rsidRPr="00327573">
              <w:rPr>
                <w:sz w:val="24"/>
                <w:szCs w:val="24"/>
              </w:rPr>
              <w:t>Commodit</w:t>
            </w:r>
            <w:r w:rsidR="00327573">
              <w:rPr>
                <w:sz w:val="24"/>
                <w:szCs w:val="24"/>
              </w:rPr>
              <w:t>y t</w:t>
            </w:r>
            <w:r w:rsidRPr="00327573">
              <w:rPr>
                <w:sz w:val="24"/>
                <w:szCs w:val="24"/>
              </w:rPr>
              <w:t>rades</w:t>
            </w:r>
          </w:p>
        </w:tc>
      </w:tr>
      <w:tr w:rsidR="001A657F" w:rsidRPr="00327573" w:rsidTr="00DE2A47">
        <w:trPr>
          <w:trHeight w:val="453"/>
        </w:trPr>
        <w:tc>
          <w:tcPr>
            <w:tcW w:w="1875" w:type="dxa"/>
          </w:tcPr>
          <w:p w:rsidR="001A657F" w:rsidRPr="00327573" w:rsidRDefault="001A657F" w:rsidP="006E3423">
            <w:pPr>
              <w:pStyle w:val="Body"/>
              <w:rPr>
                <w:sz w:val="24"/>
                <w:szCs w:val="24"/>
              </w:rPr>
            </w:pPr>
            <w:r w:rsidRPr="00327573">
              <w:rPr>
                <w:sz w:val="24"/>
                <w:szCs w:val="24"/>
              </w:rPr>
              <w:t>Quintell Beach</w:t>
            </w:r>
          </w:p>
        </w:tc>
        <w:tc>
          <w:tcPr>
            <w:tcW w:w="7198" w:type="dxa"/>
          </w:tcPr>
          <w:p w:rsidR="001A657F" w:rsidRPr="00327573" w:rsidRDefault="001A657F" w:rsidP="006E3423">
            <w:pPr>
              <w:pStyle w:val="Body"/>
              <w:rPr>
                <w:sz w:val="24"/>
                <w:szCs w:val="24"/>
              </w:rPr>
            </w:pPr>
            <w:r w:rsidRPr="00327573">
              <w:rPr>
                <w:sz w:val="24"/>
                <w:szCs w:val="24"/>
              </w:rPr>
              <w:t>Imports general cargo</w:t>
            </w:r>
          </w:p>
        </w:tc>
      </w:tr>
      <w:tr w:rsidR="001A657F" w:rsidRPr="00327573" w:rsidTr="00DE2A47">
        <w:trPr>
          <w:trHeight w:val="453"/>
        </w:trPr>
        <w:tc>
          <w:tcPr>
            <w:tcW w:w="1875" w:type="dxa"/>
          </w:tcPr>
          <w:p w:rsidR="001A657F" w:rsidRPr="00327573" w:rsidRDefault="001A657F" w:rsidP="006E3423">
            <w:pPr>
              <w:pStyle w:val="Body"/>
              <w:rPr>
                <w:sz w:val="24"/>
                <w:szCs w:val="24"/>
              </w:rPr>
            </w:pPr>
            <w:r w:rsidRPr="00327573">
              <w:rPr>
                <w:sz w:val="24"/>
                <w:szCs w:val="24"/>
              </w:rPr>
              <w:t>Cape Flattery</w:t>
            </w:r>
          </w:p>
        </w:tc>
        <w:tc>
          <w:tcPr>
            <w:tcW w:w="7198" w:type="dxa"/>
          </w:tcPr>
          <w:p w:rsidR="001A657F" w:rsidRPr="00327573" w:rsidRDefault="001A657F" w:rsidP="006E3423">
            <w:pPr>
              <w:pStyle w:val="Body"/>
              <w:rPr>
                <w:sz w:val="24"/>
                <w:szCs w:val="24"/>
              </w:rPr>
            </w:pPr>
            <w:r w:rsidRPr="00327573">
              <w:rPr>
                <w:sz w:val="24"/>
                <w:szCs w:val="24"/>
              </w:rPr>
              <w:t>Exports silica sand</w:t>
            </w:r>
          </w:p>
        </w:tc>
      </w:tr>
      <w:tr w:rsidR="001A657F" w:rsidRPr="00327573" w:rsidTr="00DE2A47">
        <w:trPr>
          <w:trHeight w:val="453"/>
        </w:trPr>
        <w:tc>
          <w:tcPr>
            <w:tcW w:w="1875" w:type="dxa"/>
          </w:tcPr>
          <w:p w:rsidR="001A657F" w:rsidRPr="00327573" w:rsidRDefault="001A657F" w:rsidP="006E3423">
            <w:pPr>
              <w:pStyle w:val="Body"/>
              <w:rPr>
                <w:sz w:val="24"/>
                <w:szCs w:val="24"/>
              </w:rPr>
            </w:pPr>
            <w:r w:rsidRPr="00327573">
              <w:rPr>
                <w:sz w:val="24"/>
                <w:szCs w:val="24"/>
              </w:rPr>
              <w:t>Cooktown</w:t>
            </w:r>
          </w:p>
        </w:tc>
        <w:tc>
          <w:tcPr>
            <w:tcW w:w="7198" w:type="dxa"/>
          </w:tcPr>
          <w:p w:rsidR="001A657F" w:rsidRPr="00327573" w:rsidRDefault="001A657F" w:rsidP="006E3423">
            <w:pPr>
              <w:pStyle w:val="Body"/>
              <w:rPr>
                <w:sz w:val="24"/>
                <w:szCs w:val="24"/>
              </w:rPr>
            </w:pPr>
            <w:r w:rsidRPr="00327573">
              <w:rPr>
                <w:sz w:val="24"/>
                <w:szCs w:val="24"/>
              </w:rPr>
              <w:t>Non-trading cruise shipping</w:t>
            </w:r>
          </w:p>
        </w:tc>
      </w:tr>
      <w:tr w:rsidR="001A657F" w:rsidRPr="00327573" w:rsidTr="00DE2A47">
        <w:trPr>
          <w:trHeight w:val="1000"/>
        </w:trPr>
        <w:tc>
          <w:tcPr>
            <w:tcW w:w="1875" w:type="dxa"/>
          </w:tcPr>
          <w:p w:rsidR="001A657F" w:rsidRPr="00327573" w:rsidRDefault="001A657F" w:rsidP="006E3423">
            <w:pPr>
              <w:pStyle w:val="Body"/>
              <w:rPr>
                <w:sz w:val="24"/>
                <w:szCs w:val="24"/>
              </w:rPr>
            </w:pPr>
            <w:r w:rsidRPr="00327573">
              <w:rPr>
                <w:sz w:val="24"/>
                <w:szCs w:val="24"/>
              </w:rPr>
              <w:t>Cairns</w:t>
            </w:r>
          </w:p>
        </w:tc>
        <w:tc>
          <w:tcPr>
            <w:tcW w:w="7198" w:type="dxa"/>
          </w:tcPr>
          <w:p w:rsidR="001A657F" w:rsidRPr="00327573" w:rsidRDefault="001A657F" w:rsidP="006E3423">
            <w:pPr>
              <w:pStyle w:val="Body"/>
              <w:rPr>
                <w:sz w:val="24"/>
                <w:szCs w:val="24"/>
              </w:rPr>
            </w:pPr>
            <w:r w:rsidRPr="00327573">
              <w:rPr>
                <w:sz w:val="24"/>
                <w:szCs w:val="24"/>
              </w:rPr>
              <w:t>Imports petroleum</w:t>
            </w:r>
            <w:r w:rsidRPr="00327573">
              <w:rPr>
                <w:sz w:val="24"/>
                <w:szCs w:val="24"/>
              </w:rPr>
              <w:br/>
              <w:t>Exports sugar &amp; molasses, general cargo</w:t>
            </w:r>
            <w:r w:rsidRPr="00327573">
              <w:rPr>
                <w:sz w:val="24"/>
                <w:szCs w:val="24"/>
              </w:rPr>
              <w:br/>
              <w:t>Cruise shipping</w:t>
            </w:r>
          </w:p>
        </w:tc>
      </w:tr>
      <w:tr w:rsidR="001A657F" w:rsidRPr="00327573" w:rsidTr="00DE2A47">
        <w:trPr>
          <w:trHeight w:val="453"/>
        </w:trPr>
        <w:tc>
          <w:tcPr>
            <w:tcW w:w="1875" w:type="dxa"/>
          </w:tcPr>
          <w:p w:rsidR="001A657F" w:rsidRPr="00327573" w:rsidRDefault="001A657F" w:rsidP="006E3423">
            <w:pPr>
              <w:pStyle w:val="Body"/>
              <w:rPr>
                <w:sz w:val="24"/>
                <w:szCs w:val="24"/>
              </w:rPr>
            </w:pPr>
            <w:r w:rsidRPr="00327573">
              <w:rPr>
                <w:sz w:val="24"/>
                <w:szCs w:val="24"/>
              </w:rPr>
              <w:t>Mourilyan</w:t>
            </w:r>
          </w:p>
        </w:tc>
        <w:tc>
          <w:tcPr>
            <w:tcW w:w="7198" w:type="dxa"/>
          </w:tcPr>
          <w:p w:rsidR="001A657F" w:rsidRPr="00327573" w:rsidRDefault="001A657F" w:rsidP="006E3423">
            <w:pPr>
              <w:pStyle w:val="Body"/>
              <w:rPr>
                <w:sz w:val="24"/>
                <w:szCs w:val="24"/>
              </w:rPr>
            </w:pPr>
            <w:r w:rsidRPr="00327573">
              <w:rPr>
                <w:sz w:val="24"/>
                <w:szCs w:val="24"/>
              </w:rPr>
              <w:t>Exports sugar and molasses</w:t>
            </w:r>
          </w:p>
        </w:tc>
      </w:tr>
      <w:tr w:rsidR="001A657F" w:rsidRPr="00327573" w:rsidTr="00DE2A47">
        <w:trPr>
          <w:trHeight w:val="453"/>
        </w:trPr>
        <w:tc>
          <w:tcPr>
            <w:tcW w:w="1875" w:type="dxa"/>
          </w:tcPr>
          <w:p w:rsidR="001A657F" w:rsidRPr="00327573" w:rsidRDefault="001A657F" w:rsidP="006E3423">
            <w:pPr>
              <w:pStyle w:val="Body"/>
              <w:rPr>
                <w:sz w:val="24"/>
                <w:szCs w:val="24"/>
              </w:rPr>
            </w:pPr>
            <w:r w:rsidRPr="00327573">
              <w:rPr>
                <w:sz w:val="24"/>
                <w:szCs w:val="24"/>
              </w:rPr>
              <w:t>Lucinda</w:t>
            </w:r>
          </w:p>
        </w:tc>
        <w:tc>
          <w:tcPr>
            <w:tcW w:w="7198" w:type="dxa"/>
          </w:tcPr>
          <w:p w:rsidR="001A657F" w:rsidRPr="00327573" w:rsidRDefault="001A657F" w:rsidP="006E3423">
            <w:pPr>
              <w:pStyle w:val="Body"/>
              <w:rPr>
                <w:sz w:val="24"/>
                <w:szCs w:val="24"/>
              </w:rPr>
            </w:pPr>
            <w:r w:rsidRPr="00327573">
              <w:rPr>
                <w:sz w:val="24"/>
                <w:szCs w:val="24"/>
              </w:rPr>
              <w:t>Exports sugar</w:t>
            </w:r>
          </w:p>
        </w:tc>
      </w:tr>
      <w:tr w:rsidR="001A657F" w:rsidRPr="00327573" w:rsidTr="00DE2A47">
        <w:trPr>
          <w:trHeight w:val="1000"/>
        </w:trPr>
        <w:tc>
          <w:tcPr>
            <w:tcW w:w="1875" w:type="dxa"/>
          </w:tcPr>
          <w:p w:rsidR="001A657F" w:rsidRPr="00327573" w:rsidRDefault="001A657F" w:rsidP="006E3423">
            <w:pPr>
              <w:pStyle w:val="Body"/>
              <w:rPr>
                <w:sz w:val="24"/>
                <w:szCs w:val="24"/>
              </w:rPr>
            </w:pPr>
            <w:r w:rsidRPr="00327573">
              <w:rPr>
                <w:sz w:val="24"/>
                <w:szCs w:val="24"/>
              </w:rPr>
              <w:t>Townsville</w:t>
            </w:r>
          </w:p>
        </w:tc>
        <w:tc>
          <w:tcPr>
            <w:tcW w:w="7198" w:type="dxa"/>
          </w:tcPr>
          <w:p w:rsidR="001A657F" w:rsidRPr="00327573" w:rsidRDefault="001A657F" w:rsidP="006E3423">
            <w:pPr>
              <w:pStyle w:val="Body"/>
              <w:rPr>
                <w:sz w:val="24"/>
                <w:szCs w:val="24"/>
              </w:rPr>
            </w:pPr>
            <w:r w:rsidRPr="00327573">
              <w:rPr>
                <w:sz w:val="24"/>
                <w:szCs w:val="24"/>
              </w:rPr>
              <w:t>Imports nickel, ore, general oil</w:t>
            </w:r>
            <w:r w:rsidRPr="00327573">
              <w:rPr>
                <w:sz w:val="24"/>
                <w:szCs w:val="24"/>
              </w:rPr>
              <w:br/>
              <w:t>Exports sugar and molasses, fertiliser, zinc, lead, and copper</w:t>
            </w:r>
            <w:r w:rsidRPr="00327573">
              <w:rPr>
                <w:sz w:val="24"/>
                <w:szCs w:val="24"/>
              </w:rPr>
              <w:br/>
              <w:t>Cruise shipping</w:t>
            </w:r>
          </w:p>
        </w:tc>
      </w:tr>
      <w:tr w:rsidR="001A657F" w:rsidRPr="00327573" w:rsidTr="00DE2A47">
        <w:trPr>
          <w:trHeight w:val="453"/>
        </w:trPr>
        <w:tc>
          <w:tcPr>
            <w:tcW w:w="1875" w:type="dxa"/>
          </w:tcPr>
          <w:p w:rsidR="001A657F" w:rsidRPr="00327573" w:rsidRDefault="001A657F" w:rsidP="006E3423">
            <w:pPr>
              <w:pStyle w:val="Body"/>
              <w:rPr>
                <w:sz w:val="24"/>
                <w:szCs w:val="24"/>
              </w:rPr>
            </w:pPr>
            <w:r w:rsidRPr="00327573">
              <w:rPr>
                <w:sz w:val="24"/>
                <w:szCs w:val="24"/>
              </w:rPr>
              <w:t>Abbot Point</w:t>
            </w:r>
          </w:p>
        </w:tc>
        <w:tc>
          <w:tcPr>
            <w:tcW w:w="7198" w:type="dxa"/>
          </w:tcPr>
          <w:p w:rsidR="001A657F" w:rsidRPr="00327573" w:rsidRDefault="001A657F" w:rsidP="006E3423">
            <w:pPr>
              <w:pStyle w:val="Body"/>
              <w:rPr>
                <w:sz w:val="24"/>
                <w:szCs w:val="24"/>
              </w:rPr>
            </w:pPr>
            <w:r w:rsidRPr="00327573">
              <w:rPr>
                <w:sz w:val="24"/>
                <w:szCs w:val="24"/>
              </w:rPr>
              <w:t>Exports coal</w:t>
            </w:r>
          </w:p>
        </w:tc>
      </w:tr>
      <w:tr w:rsidR="001A657F" w:rsidRPr="00327573" w:rsidTr="00DE2A47">
        <w:trPr>
          <w:trHeight w:val="1019"/>
        </w:trPr>
        <w:tc>
          <w:tcPr>
            <w:tcW w:w="1875" w:type="dxa"/>
          </w:tcPr>
          <w:p w:rsidR="001A657F" w:rsidRPr="00327573" w:rsidRDefault="001A657F" w:rsidP="006E3423">
            <w:pPr>
              <w:pStyle w:val="Body"/>
              <w:rPr>
                <w:sz w:val="24"/>
                <w:szCs w:val="24"/>
              </w:rPr>
            </w:pPr>
            <w:r w:rsidRPr="00327573">
              <w:rPr>
                <w:sz w:val="24"/>
                <w:szCs w:val="24"/>
              </w:rPr>
              <w:t>Mackay</w:t>
            </w:r>
          </w:p>
        </w:tc>
        <w:tc>
          <w:tcPr>
            <w:tcW w:w="7198" w:type="dxa"/>
          </w:tcPr>
          <w:p w:rsidR="001A657F" w:rsidRPr="00327573" w:rsidRDefault="001A657F" w:rsidP="006E3423">
            <w:pPr>
              <w:pStyle w:val="Body"/>
              <w:rPr>
                <w:sz w:val="24"/>
                <w:szCs w:val="24"/>
              </w:rPr>
            </w:pPr>
            <w:r w:rsidRPr="00327573">
              <w:rPr>
                <w:sz w:val="24"/>
                <w:szCs w:val="24"/>
              </w:rPr>
              <w:t>Imports petroleum</w:t>
            </w:r>
            <w:r w:rsidRPr="00327573">
              <w:rPr>
                <w:sz w:val="24"/>
                <w:szCs w:val="24"/>
              </w:rPr>
              <w:br/>
              <w:t>Exports sugar, grain</w:t>
            </w:r>
            <w:r w:rsidRPr="00327573">
              <w:rPr>
                <w:sz w:val="24"/>
                <w:szCs w:val="24"/>
              </w:rPr>
              <w:br/>
              <w:t>Cruise shipping</w:t>
            </w:r>
          </w:p>
        </w:tc>
      </w:tr>
      <w:tr w:rsidR="001A657F" w:rsidRPr="00327573" w:rsidTr="00DE2A47">
        <w:trPr>
          <w:trHeight w:val="453"/>
        </w:trPr>
        <w:tc>
          <w:tcPr>
            <w:tcW w:w="1875" w:type="dxa"/>
          </w:tcPr>
          <w:p w:rsidR="001A657F" w:rsidRPr="00327573" w:rsidRDefault="001A657F" w:rsidP="006E3423">
            <w:pPr>
              <w:pStyle w:val="Body"/>
              <w:rPr>
                <w:sz w:val="24"/>
                <w:szCs w:val="24"/>
              </w:rPr>
            </w:pPr>
            <w:r w:rsidRPr="00327573">
              <w:rPr>
                <w:sz w:val="24"/>
                <w:szCs w:val="24"/>
              </w:rPr>
              <w:t>Hay Point</w:t>
            </w:r>
          </w:p>
        </w:tc>
        <w:tc>
          <w:tcPr>
            <w:tcW w:w="7198" w:type="dxa"/>
          </w:tcPr>
          <w:p w:rsidR="001A657F" w:rsidRPr="00327573" w:rsidRDefault="001A657F" w:rsidP="006E3423">
            <w:pPr>
              <w:pStyle w:val="Body"/>
              <w:rPr>
                <w:sz w:val="24"/>
                <w:szCs w:val="24"/>
              </w:rPr>
            </w:pPr>
            <w:r w:rsidRPr="00327573">
              <w:rPr>
                <w:sz w:val="24"/>
                <w:szCs w:val="24"/>
              </w:rPr>
              <w:t>Exports coal</w:t>
            </w:r>
          </w:p>
        </w:tc>
      </w:tr>
      <w:tr w:rsidR="001A657F" w:rsidRPr="00327573" w:rsidTr="00DE2A47">
        <w:trPr>
          <w:trHeight w:val="717"/>
        </w:trPr>
        <w:tc>
          <w:tcPr>
            <w:tcW w:w="1875" w:type="dxa"/>
          </w:tcPr>
          <w:p w:rsidR="001A657F" w:rsidRPr="00327573" w:rsidRDefault="001A657F" w:rsidP="006E3423">
            <w:pPr>
              <w:pStyle w:val="Body"/>
              <w:rPr>
                <w:sz w:val="24"/>
                <w:szCs w:val="24"/>
              </w:rPr>
            </w:pPr>
            <w:r w:rsidRPr="00327573">
              <w:rPr>
                <w:sz w:val="24"/>
                <w:szCs w:val="24"/>
              </w:rPr>
              <w:t>Rockhampton</w:t>
            </w:r>
          </w:p>
        </w:tc>
        <w:tc>
          <w:tcPr>
            <w:tcW w:w="7198" w:type="dxa"/>
          </w:tcPr>
          <w:p w:rsidR="001A657F" w:rsidRPr="00327573" w:rsidRDefault="001A657F" w:rsidP="006E3423">
            <w:pPr>
              <w:pStyle w:val="Body"/>
              <w:rPr>
                <w:sz w:val="24"/>
                <w:szCs w:val="24"/>
              </w:rPr>
            </w:pPr>
            <w:r w:rsidRPr="00327573">
              <w:rPr>
                <w:sz w:val="24"/>
                <w:szCs w:val="24"/>
              </w:rPr>
              <w:t>Imports and exports dangerous goods such as ammonium nitrate</w:t>
            </w:r>
          </w:p>
        </w:tc>
      </w:tr>
      <w:tr w:rsidR="001A657F" w:rsidRPr="00327573" w:rsidTr="00DE2A47">
        <w:trPr>
          <w:trHeight w:val="755"/>
        </w:trPr>
        <w:tc>
          <w:tcPr>
            <w:tcW w:w="1875" w:type="dxa"/>
          </w:tcPr>
          <w:p w:rsidR="001A657F" w:rsidRPr="00327573" w:rsidRDefault="001A657F" w:rsidP="006E3423">
            <w:pPr>
              <w:pStyle w:val="Body"/>
              <w:rPr>
                <w:sz w:val="24"/>
                <w:szCs w:val="24"/>
              </w:rPr>
            </w:pPr>
            <w:r w:rsidRPr="00327573">
              <w:rPr>
                <w:sz w:val="24"/>
                <w:szCs w:val="24"/>
              </w:rPr>
              <w:t>Gladstone</w:t>
            </w:r>
          </w:p>
        </w:tc>
        <w:tc>
          <w:tcPr>
            <w:tcW w:w="7198" w:type="dxa"/>
          </w:tcPr>
          <w:p w:rsidR="001A657F" w:rsidRPr="00327573" w:rsidRDefault="001A657F" w:rsidP="006E3423">
            <w:pPr>
              <w:pStyle w:val="Body"/>
              <w:rPr>
                <w:sz w:val="24"/>
                <w:szCs w:val="24"/>
              </w:rPr>
            </w:pPr>
            <w:r w:rsidRPr="00327573">
              <w:rPr>
                <w:sz w:val="24"/>
                <w:szCs w:val="24"/>
              </w:rPr>
              <w:t>Imports bauxite, industrial inputs</w:t>
            </w:r>
            <w:r w:rsidRPr="00327573">
              <w:rPr>
                <w:sz w:val="24"/>
                <w:szCs w:val="24"/>
              </w:rPr>
              <w:br/>
              <w:t>Exports coal, alumina and aluminium</w:t>
            </w:r>
          </w:p>
        </w:tc>
      </w:tr>
    </w:tbl>
    <w:p w:rsidR="001A657F" w:rsidRPr="00216F1C" w:rsidRDefault="001A657F" w:rsidP="001A657F">
      <w:pPr>
        <w:pStyle w:val="Body"/>
        <w:rPr>
          <w:sz w:val="16"/>
          <w:szCs w:val="16"/>
        </w:rPr>
      </w:pPr>
    </w:p>
    <w:p w:rsidR="001A657F" w:rsidRPr="00327573" w:rsidRDefault="001A657F" w:rsidP="001A657F">
      <w:pPr>
        <w:pStyle w:val="Body"/>
        <w:rPr>
          <w:sz w:val="24"/>
          <w:szCs w:val="24"/>
        </w:rPr>
      </w:pPr>
      <w:r w:rsidRPr="00327573">
        <w:rPr>
          <w:sz w:val="24"/>
          <w:szCs w:val="24"/>
        </w:rPr>
        <w:t>Ship anchorages, in the study area, are used in a number of ways by commercial cargo ships:</w:t>
      </w:r>
    </w:p>
    <w:p w:rsidR="001A657F" w:rsidRPr="00327573" w:rsidRDefault="001A657F" w:rsidP="001A657F">
      <w:pPr>
        <w:pStyle w:val="Body"/>
        <w:numPr>
          <w:ilvl w:val="0"/>
          <w:numId w:val="37"/>
        </w:numPr>
        <w:rPr>
          <w:sz w:val="24"/>
          <w:szCs w:val="24"/>
        </w:rPr>
      </w:pPr>
      <w:r w:rsidRPr="00327573">
        <w:rPr>
          <w:sz w:val="24"/>
          <w:szCs w:val="24"/>
        </w:rPr>
        <w:t>Waiting upon arrival from sea after notification that a berth slot will be available with set movement hours</w:t>
      </w:r>
      <w:r w:rsidR="004E4AA4" w:rsidRPr="00327573">
        <w:rPr>
          <w:sz w:val="24"/>
          <w:szCs w:val="24"/>
        </w:rPr>
        <w:t>,</w:t>
      </w:r>
      <w:r w:rsidRPr="00327573">
        <w:rPr>
          <w:sz w:val="24"/>
          <w:szCs w:val="24"/>
        </w:rPr>
        <w:t xml:space="preserve"> or date for mobilisation</w:t>
      </w:r>
      <w:r w:rsidR="004E4AA4" w:rsidRPr="00327573">
        <w:rPr>
          <w:sz w:val="24"/>
          <w:szCs w:val="24"/>
        </w:rPr>
        <w:t>,</w:t>
      </w:r>
      <w:r w:rsidRPr="00327573">
        <w:rPr>
          <w:sz w:val="24"/>
          <w:szCs w:val="24"/>
        </w:rPr>
        <w:t xml:space="preserve"> from anchorage to port berth once it becomes available.</w:t>
      </w:r>
    </w:p>
    <w:p w:rsidR="001A657F" w:rsidRPr="00327573" w:rsidRDefault="001A657F" w:rsidP="001A657F">
      <w:pPr>
        <w:pStyle w:val="Body"/>
        <w:numPr>
          <w:ilvl w:val="0"/>
          <w:numId w:val="37"/>
        </w:numPr>
        <w:rPr>
          <w:sz w:val="24"/>
          <w:szCs w:val="24"/>
        </w:rPr>
      </w:pPr>
      <w:r w:rsidRPr="00327573">
        <w:rPr>
          <w:sz w:val="24"/>
          <w:szCs w:val="24"/>
        </w:rPr>
        <w:t>Waiting upon arrival from sea based on speculation that a cargo could be booked for the ship – time at anchorage can be several days or weeks with the possibility that without cargo the vessel departs out to sea again.</w:t>
      </w:r>
    </w:p>
    <w:p w:rsidR="001A657F" w:rsidRPr="00327573" w:rsidRDefault="001A657F" w:rsidP="001A657F">
      <w:pPr>
        <w:pStyle w:val="Body"/>
        <w:numPr>
          <w:ilvl w:val="0"/>
          <w:numId w:val="37"/>
        </w:numPr>
        <w:rPr>
          <w:sz w:val="24"/>
          <w:szCs w:val="24"/>
        </w:rPr>
      </w:pPr>
      <w:r w:rsidRPr="00327573">
        <w:rPr>
          <w:sz w:val="24"/>
          <w:szCs w:val="24"/>
        </w:rPr>
        <w:t>Waiting as part of a port removal from one berth to a subsequent berth (where a ship temporarily leaves the port to wait to move to a subsequent berth in the same port, sometimes back to the same berth) driven by the handling of different cargoes and the temporary lack of berth availability – time at anchorage typically hours or a few days.</w:t>
      </w:r>
    </w:p>
    <w:p w:rsidR="001A657F" w:rsidRPr="00327573" w:rsidRDefault="001A657F" w:rsidP="001A657F">
      <w:pPr>
        <w:pStyle w:val="Body"/>
        <w:numPr>
          <w:ilvl w:val="0"/>
          <w:numId w:val="37"/>
        </w:numPr>
        <w:rPr>
          <w:sz w:val="24"/>
          <w:szCs w:val="24"/>
        </w:rPr>
      </w:pPr>
      <w:r w:rsidRPr="00327573">
        <w:rPr>
          <w:sz w:val="24"/>
          <w:szCs w:val="24"/>
        </w:rPr>
        <w:t>Waiting upon arrival from sea for the high tide to allow sufficient channel water depth for the vessel to enter the port – time at anchorage would be no more than 12 hours; this typically happens for cargo ships entering the Port of Cairns.</w:t>
      </w:r>
    </w:p>
    <w:p w:rsidR="001A657F" w:rsidRPr="00327573" w:rsidRDefault="001A657F" w:rsidP="001A657F">
      <w:pPr>
        <w:pStyle w:val="Body"/>
        <w:numPr>
          <w:ilvl w:val="0"/>
          <w:numId w:val="37"/>
        </w:numPr>
        <w:rPr>
          <w:sz w:val="24"/>
          <w:szCs w:val="24"/>
        </w:rPr>
      </w:pPr>
      <w:r w:rsidRPr="00327573">
        <w:rPr>
          <w:sz w:val="24"/>
          <w:szCs w:val="24"/>
        </w:rPr>
        <w:t>Temporary mooring facility (using ship’s own anchors) to accommodate a ship that may be either too large for the port or when the port does not have the required facilities or sufficient capacity to service all the ships calling. An example concerns the larger cruise-ships at the Port of Cairns which moor at a designated anchorage with passengers/crew tendered to/from shore. After anchoring for around 12-24 hours the ships depart the anchorage and travel out to sea.</w:t>
      </w:r>
    </w:p>
    <w:p w:rsidR="001A657F" w:rsidRPr="00327573" w:rsidRDefault="001A657F" w:rsidP="001A657F">
      <w:pPr>
        <w:pStyle w:val="Body"/>
        <w:numPr>
          <w:ilvl w:val="0"/>
          <w:numId w:val="37"/>
        </w:numPr>
        <w:rPr>
          <w:sz w:val="24"/>
          <w:szCs w:val="24"/>
        </w:rPr>
      </w:pPr>
      <w:r w:rsidRPr="00327573">
        <w:rPr>
          <w:sz w:val="24"/>
          <w:szCs w:val="24"/>
        </w:rPr>
        <w:t>Minor ship maintenance by the crew can also occur when waiting times at anchorages are several days or weeks, as can the opportunistic supply of the ship with consumables for the crew.</w:t>
      </w:r>
    </w:p>
    <w:p w:rsidR="001A657F" w:rsidRPr="00327573" w:rsidRDefault="001A657F" w:rsidP="001A657F">
      <w:pPr>
        <w:pStyle w:val="Body"/>
        <w:numPr>
          <w:ilvl w:val="0"/>
          <w:numId w:val="37"/>
        </w:numPr>
        <w:rPr>
          <w:sz w:val="24"/>
          <w:szCs w:val="24"/>
        </w:rPr>
      </w:pPr>
      <w:r w:rsidRPr="00327573">
        <w:rPr>
          <w:sz w:val="24"/>
          <w:szCs w:val="24"/>
        </w:rPr>
        <w:t>Safe area or temporary refuge for a stricken/damaged ship to be surveyed, repaired or salvaged in order to prevent or minimise the risk of further incidents to environmentally sensitive areas and/or to the safety of the crew – time at anchorage can be days or weeks.</w:t>
      </w:r>
    </w:p>
    <w:p w:rsidR="001A657F" w:rsidRPr="00327573" w:rsidRDefault="001A657F" w:rsidP="001A657F">
      <w:pPr>
        <w:pStyle w:val="Body"/>
        <w:rPr>
          <w:sz w:val="24"/>
          <w:szCs w:val="24"/>
        </w:rPr>
      </w:pPr>
      <w:r w:rsidRPr="00327573">
        <w:rPr>
          <w:sz w:val="24"/>
          <w:szCs w:val="24"/>
        </w:rPr>
        <w:t>It is important to note that not all ships arriving at a port go first to an anchorage. In many cases, where there are no queues for berths or where ships operate on a fixed calling schedule ships arriving from sea go directly to a berth in a port. This is the case for some container</w:t>
      </w:r>
      <w:r w:rsidR="00566468">
        <w:rPr>
          <w:sz w:val="24"/>
          <w:szCs w:val="24"/>
        </w:rPr>
        <w:t xml:space="preserve"> </w:t>
      </w:r>
      <w:r w:rsidRPr="00327573">
        <w:rPr>
          <w:sz w:val="24"/>
          <w:szCs w:val="24"/>
        </w:rPr>
        <w:t xml:space="preserve">ships and some domestic vessels. </w:t>
      </w:r>
    </w:p>
    <w:p w:rsidR="001A657F" w:rsidRPr="00327573" w:rsidRDefault="001A657F" w:rsidP="001A657F">
      <w:pPr>
        <w:pStyle w:val="Body"/>
        <w:rPr>
          <w:sz w:val="24"/>
          <w:szCs w:val="24"/>
        </w:rPr>
      </w:pPr>
      <w:r w:rsidRPr="00327573">
        <w:rPr>
          <w:sz w:val="24"/>
          <w:szCs w:val="24"/>
        </w:rPr>
        <w:t xml:space="preserve">The drivers of the demand for anchorages are essentially the growth developments in the underlying cargo trades and the supply and operation of port capacity. Ship numbers for each port, therefore, reflect the growth and cyclical nature of imports and exports through that port. When port berth utilisations become high </w:t>
      </w:r>
      <w:r w:rsidR="004E4AA4" w:rsidRPr="00327573">
        <w:rPr>
          <w:sz w:val="24"/>
          <w:szCs w:val="24"/>
        </w:rPr>
        <w:t>(</w:t>
      </w:r>
      <w:r w:rsidRPr="00327573">
        <w:rPr>
          <w:sz w:val="24"/>
          <w:szCs w:val="24"/>
        </w:rPr>
        <w:t>e.g. in excess of 60</w:t>
      </w:r>
      <w:r w:rsidR="00594761" w:rsidRPr="00327573">
        <w:rPr>
          <w:sz w:val="24"/>
          <w:szCs w:val="24"/>
        </w:rPr>
        <w:t xml:space="preserve"> to </w:t>
      </w:r>
      <w:r w:rsidRPr="00327573">
        <w:rPr>
          <w:sz w:val="24"/>
          <w:szCs w:val="24"/>
        </w:rPr>
        <w:t>80 per cent depending on the commodity-mix handled</w:t>
      </w:r>
      <w:r w:rsidR="004E4AA4" w:rsidRPr="00327573">
        <w:rPr>
          <w:sz w:val="24"/>
          <w:szCs w:val="24"/>
        </w:rPr>
        <w:t>)</w:t>
      </w:r>
      <w:r w:rsidRPr="00327573">
        <w:rPr>
          <w:sz w:val="24"/>
          <w:szCs w:val="24"/>
        </w:rPr>
        <w:t xml:space="preserve"> then ship queuing will occur and grow rapidly. Queuing requires the use of anchorages. Anchorage demand will also benefit (i.e. lessen) from increasing shipment and ship sizes as less ship calls are required to carry a given amount of cargo.</w:t>
      </w:r>
    </w:p>
    <w:p w:rsidR="001A657F" w:rsidRPr="00B41CFA" w:rsidRDefault="001A657F" w:rsidP="001A657F">
      <w:pPr>
        <w:pStyle w:val="Heading2"/>
        <w:rPr>
          <w:sz w:val="24"/>
        </w:rPr>
      </w:pPr>
      <w:bookmarkStart w:id="209" w:name="_Toc343597226"/>
      <w:bookmarkStart w:id="210" w:name="_Toc362274288"/>
      <w:r w:rsidRPr="00B41CFA">
        <w:rPr>
          <w:sz w:val="24"/>
        </w:rPr>
        <w:t>Other users of ship anchorage areas</w:t>
      </w:r>
      <w:bookmarkEnd w:id="209"/>
      <w:bookmarkEnd w:id="210"/>
    </w:p>
    <w:p w:rsidR="001A657F" w:rsidRPr="00327573" w:rsidRDefault="001A657F" w:rsidP="001A657F">
      <w:pPr>
        <w:pStyle w:val="Body"/>
        <w:rPr>
          <w:sz w:val="24"/>
          <w:szCs w:val="24"/>
        </w:rPr>
      </w:pPr>
      <w:r w:rsidRPr="00327573">
        <w:rPr>
          <w:sz w:val="24"/>
          <w:szCs w:val="24"/>
        </w:rPr>
        <w:t>Anchorage areas in the study area are not exclusively used by commercial cargo ships. There is the potential for both the undesignated and designated ship anchorage areas in the study area to be used by a number of other stakeholders, notably those engaged in:</w:t>
      </w:r>
    </w:p>
    <w:p w:rsidR="001A657F" w:rsidRPr="00327573" w:rsidRDefault="004E4AA4" w:rsidP="001A657F">
      <w:pPr>
        <w:pStyle w:val="Body"/>
        <w:numPr>
          <w:ilvl w:val="0"/>
          <w:numId w:val="15"/>
        </w:numPr>
        <w:rPr>
          <w:sz w:val="24"/>
          <w:szCs w:val="24"/>
        </w:rPr>
      </w:pPr>
      <w:r w:rsidRPr="00327573">
        <w:rPr>
          <w:sz w:val="24"/>
          <w:szCs w:val="24"/>
        </w:rPr>
        <w:t>C</w:t>
      </w:r>
      <w:r w:rsidR="001A657F" w:rsidRPr="00327573">
        <w:rPr>
          <w:sz w:val="24"/>
          <w:szCs w:val="24"/>
        </w:rPr>
        <w:t>ommercial fishing (trawling)</w:t>
      </w:r>
    </w:p>
    <w:p w:rsidR="001A657F" w:rsidRPr="00327573" w:rsidRDefault="004E4AA4" w:rsidP="001A657F">
      <w:pPr>
        <w:pStyle w:val="Body"/>
        <w:numPr>
          <w:ilvl w:val="0"/>
          <w:numId w:val="15"/>
        </w:numPr>
        <w:rPr>
          <w:sz w:val="24"/>
          <w:szCs w:val="24"/>
        </w:rPr>
      </w:pPr>
      <w:r w:rsidRPr="00327573">
        <w:rPr>
          <w:sz w:val="24"/>
          <w:szCs w:val="24"/>
        </w:rPr>
        <w:t>R</w:t>
      </w:r>
      <w:r w:rsidR="001A657F" w:rsidRPr="00327573">
        <w:rPr>
          <w:sz w:val="24"/>
          <w:szCs w:val="24"/>
        </w:rPr>
        <w:t>ecreational boating/fishing</w:t>
      </w:r>
    </w:p>
    <w:p w:rsidR="001A657F" w:rsidRPr="00327573" w:rsidRDefault="001A657F" w:rsidP="001A657F">
      <w:pPr>
        <w:pStyle w:val="Body"/>
        <w:numPr>
          <w:ilvl w:val="0"/>
          <w:numId w:val="15"/>
        </w:numPr>
        <w:rPr>
          <w:sz w:val="24"/>
          <w:szCs w:val="24"/>
        </w:rPr>
      </w:pPr>
      <w:r w:rsidRPr="00327573">
        <w:rPr>
          <w:sz w:val="24"/>
          <w:szCs w:val="24"/>
        </w:rPr>
        <w:t>Reef tourism</w:t>
      </w:r>
    </w:p>
    <w:p w:rsidR="001A657F" w:rsidRPr="00327573" w:rsidRDefault="001A657F" w:rsidP="001A657F">
      <w:pPr>
        <w:pStyle w:val="Body"/>
        <w:numPr>
          <w:ilvl w:val="0"/>
          <w:numId w:val="15"/>
        </w:numPr>
        <w:rPr>
          <w:sz w:val="24"/>
          <w:szCs w:val="24"/>
        </w:rPr>
      </w:pPr>
      <w:r w:rsidRPr="00327573">
        <w:rPr>
          <w:sz w:val="24"/>
          <w:szCs w:val="24"/>
        </w:rPr>
        <w:t>Traditional Owners’</w:t>
      </w:r>
      <w:r w:rsidR="004E4AA4" w:rsidRPr="00327573">
        <w:rPr>
          <w:sz w:val="24"/>
          <w:szCs w:val="24"/>
        </w:rPr>
        <w:t xml:space="preserve"> activities</w:t>
      </w:r>
      <w:r w:rsidR="00D41D3C">
        <w:rPr>
          <w:sz w:val="24"/>
          <w:szCs w:val="24"/>
        </w:rPr>
        <w:t>.</w:t>
      </w:r>
    </w:p>
    <w:p w:rsidR="001A657F" w:rsidRPr="00327573" w:rsidRDefault="004E4AA4" w:rsidP="001A657F">
      <w:pPr>
        <w:pStyle w:val="Body"/>
        <w:rPr>
          <w:sz w:val="24"/>
          <w:szCs w:val="24"/>
        </w:rPr>
      </w:pPr>
      <w:r w:rsidRPr="00327573">
        <w:rPr>
          <w:sz w:val="24"/>
          <w:szCs w:val="24"/>
        </w:rPr>
        <w:t xml:space="preserve">There may be some degree of overlap between stakeholders within anchorage areas which is relevant to the CBA in terms of the </w:t>
      </w:r>
      <w:r w:rsidR="00001AD8" w:rsidRPr="00327573">
        <w:rPr>
          <w:sz w:val="24"/>
          <w:szCs w:val="24"/>
        </w:rPr>
        <w:t>B</w:t>
      </w:r>
      <w:r w:rsidRPr="00327573">
        <w:rPr>
          <w:sz w:val="24"/>
          <w:szCs w:val="24"/>
        </w:rPr>
        <w:t xml:space="preserve">ase </w:t>
      </w:r>
      <w:r w:rsidR="00001AD8" w:rsidRPr="00327573">
        <w:rPr>
          <w:sz w:val="24"/>
          <w:szCs w:val="24"/>
        </w:rPr>
        <w:t>C</w:t>
      </w:r>
      <w:r w:rsidRPr="00327573">
        <w:rPr>
          <w:sz w:val="24"/>
          <w:szCs w:val="24"/>
        </w:rPr>
        <w:t xml:space="preserve">ase and changed impacts with different ship anchorage management options. </w:t>
      </w:r>
      <w:r w:rsidR="001A657F" w:rsidRPr="00327573">
        <w:rPr>
          <w:sz w:val="24"/>
          <w:szCs w:val="24"/>
        </w:rPr>
        <w:t>The degree to which overlaps occur in practice is discussed further as required throughout the report.</w:t>
      </w:r>
    </w:p>
    <w:p w:rsidR="001A657F" w:rsidRPr="00B41CFA" w:rsidRDefault="001A657F" w:rsidP="001A657F">
      <w:pPr>
        <w:pStyle w:val="Heading2"/>
        <w:rPr>
          <w:sz w:val="24"/>
        </w:rPr>
      </w:pPr>
      <w:bookmarkStart w:id="211" w:name="_Toc343597227"/>
      <w:bookmarkStart w:id="212" w:name="_Toc362274289"/>
      <w:r w:rsidRPr="00B41CFA">
        <w:rPr>
          <w:sz w:val="24"/>
        </w:rPr>
        <w:t>Overall demand for and use of ship anchorages along the study port range</w:t>
      </w:r>
      <w:bookmarkEnd w:id="211"/>
      <w:bookmarkEnd w:id="212"/>
    </w:p>
    <w:p w:rsidR="001A657F" w:rsidRPr="00B41CFA" w:rsidRDefault="001A657F" w:rsidP="001A657F">
      <w:pPr>
        <w:pStyle w:val="Heading3"/>
        <w:rPr>
          <w:sz w:val="24"/>
        </w:rPr>
      </w:pPr>
      <w:bookmarkStart w:id="213" w:name="_Toc343597228"/>
      <w:bookmarkStart w:id="214" w:name="_Toc362274290"/>
      <w:r w:rsidRPr="00B41CFA">
        <w:rPr>
          <w:sz w:val="24"/>
        </w:rPr>
        <w:t>Current total ship visits to the five main ports and the share of ships using anchorages</w:t>
      </w:r>
      <w:bookmarkEnd w:id="213"/>
      <w:bookmarkEnd w:id="214"/>
      <w:r w:rsidRPr="00B41CFA">
        <w:rPr>
          <w:sz w:val="24"/>
        </w:rPr>
        <w:t xml:space="preserve"> </w:t>
      </w:r>
    </w:p>
    <w:p w:rsidR="001A657F" w:rsidRDefault="001A657F" w:rsidP="001A657F">
      <w:pPr>
        <w:pStyle w:val="Body"/>
        <w:rPr>
          <w:sz w:val="24"/>
          <w:szCs w:val="24"/>
        </w:rPr>
      </w:pPr>
      <w:r w:rsidRPr="00327573">
        <w:rPr>
          <w:sz w:val="24"/>
          <w:szCs w:val="24"/>
        </w:rPr>
        <w:t>Based on MSQ historic vessel movements data for vessels over 50 m in length over the period 1</w:t>
      </w:r>
      <w:r w:rsidR="00327573">
        <w:rPr>
          <w:sz w:val="24"/>
          <w:szCs w:val="24"/>
        </w:rPr>
        <w:t xml:space="preserve"> </w:t>
      </w:r>
      <w:r w:rsidRPr="00327573">
        <w:rPr>
          <w:sz w:val="24"/>
          <w:szCs w:val="24"/>
        </w:rPr>
        <w:t>January 2009 to 30 September 2012, there ar</w:t>
      </w:r>
      <w:r w:rsidR="00940C20">
        <w:rPr>
          <w:sz w:val="24"/>
          <w:szCs w:val="24"/>
        </w:rPr>
        <w:t>e currently around a total of 4</w:t>
      </w:r>
      <w:r w:rsidRPr="00327573">
        <w:rPr>
          <w:sz w:val="24"/>
          <w:szCs w:val="24"/>
        </w:rPr>
        <w:t>000 ship arrivals per year covering the ports of Cairns, Townsville, Abbot Point, Hay Point and Gladstone. This number includes a number of naval vessel arrivals as well as cruise-ships, which are not included in the scope of the CBA.</w:t>
      </w:r>
    </w:p>
    <w:p w:rsidR="00985025" w:rsidRPr="00327573" w:rsidRDefault="00985025" w:rsidP="00985025">
      <w:pPr>
        <w:pStyle w:val="Body"/>
        <w:rPr>
          <w:sz w:val="24"/>
          <w:szCs w:val="24"/>
        </w:rPr>
      </w:pPr>
      <w:r w:rsidRPr="00327573">
        <w:rPr>
          <w:sz w:val="24"/>
          <w:szCs w:val="24"/>
        </w:rPr>
        <w:t>Significantly for this study, currently around 30 per cent of total ships arriving at the five subject ports proceed directly to berth at the port without requiring anchorage</w:t>
      </w:r>
      <w:r>
        <w:rPr>
          <w:sz w:val="24"/>
          <w:szCs w:val="24"/>
        </w:rPr>
        <w:t xml:space="preserve"> (</w:t>
      </w:r>
      <w:r>
        <w:rPr>
          <w:sz w:val="24"/>
          <w:szCs w:val="24"/>
        </w:rPr>
        <w:fldChar w:fldCharType="begin"/>
      </w:r>
      <w:r>
        <w:rPr>
          <w:sz w:val="24"/>
          <w:szCs w:val="24"/>
        </w:rPr>
        <w:instrText xml:space="preserve"> REF _Ref358879271 \h </w:instrText>
      </w:r>
      <w:r>
        <w:rPr>
          <w:sz w:val="24"/>
          <w:szCs w:val="24"/>
        </w:rPr>
      </w:r>
      <w:r>
        <w:rPr>
          <w:sz w:val="24"/>
          <w:szCs w:val="24"/>
        </w:rPr>
        <w:fldChar w:fldCharType="separate"/>
      </w:r>
      <w:r w:rsidR="00D41D3C">
        <w:rPr>
          <w:sz w:val="24"/>
          <w:szCs w:val="24"/>
        </w:rPr>
        <w:t>t</w:t>
      </w:r>
      <w:r w:rsidR="005F6E51" w:rsidRPr="00327573">
        <w:rPr>
          <w:sz w:val="24"/>
          <w:szCs w:val="24"/>
        </w:rPr>
        <w:t xml:space="preserve">able </w:t>
      </w:r>
      <w:r w:rsidR="005F6E51">
        <w:rPr>
          <w:noProof/>
          <w:sz w:val="24"/>
          <w:szCs w:val="24"/>
        </w:rPr>
        <w:t>4</w:t>
      </w:r>
      <w:r w:rsidR="005F6E51" w:rsidRPr="00327573">
        <w:rPr>
          <w:sz w:val="24"/>
          <w:szCs w:val="24"/>
        </w:rPr>
        <w:noBreakHyphen/>
      </w:r>
      <w:r w:rsidR="005F6E51">
        <w:rPr>
          <w:noProof/>
          <w:sz w:val="24"/>
          <w:szCs w:val="24"/>
        </w:rPr>
        <w:t>2</w:t>
      </w:r>
      <w:r>
        <w:rPr>
          <w:sz w:val="24"/>
          <w:szCs w:val="24"/>
        </w:rPr>
        <w:fldChar w:fldCharType="end"/>
      </w:r>
      <w:r>
        <w:rPr>
          <w:sz w:val="24"/>
          <w:szCs w:val="24"/>
        </w:rPr>
        <w:t>)</w:t>
      </w:r>
      <w:r w:rsidRPr="00327573">
        <w:rPr>
          <w:sz w:val="24"/>
          <w:szCs w:val="24"/>
        </w:rPr>
        <w:t>. This reflects the difference in the type of cargoes handled and berth availabilities or operations. An analysis of each of the five ports below shows that there are variations between the ports regarding the number of ships proceeding directly to a berth versus directly to anchor before entering the port. This is a reflection of the different types of trades serviced by the respective ports.</w:t>
      </w:r>
    </w:p>
    <w:p w:rsidR="00985025" w:rsidRPr="00327573" w:rsidRDefault="00985025" w:rsidP="00985025">
      <w:pPr>
        <w:pStyle w:val="Body"/>
        <w:rPr>
          <w:sz w:val="24"/>
          <w:szCs w:val="24"/>
        </w:rPr>
      </w:pPr>
      <w:r w:rsidRPr="00327573">
        <w:rPr>
          <w:sz w:val="24"/>
          <w:szCs w:val="24"/>
        </w:rPr>
        <w:t xml:space="preserve">However, this analysis only presents the current ship call demand for anchorages. The current utilisation of the anchorage areas, their current maximum capacities (of having ships simultaneously anchored), and the current distribution of times spent at anchor, all define the parameters of the ship anchorages currently in operation. It may well be the case that some anchorage areas (particularly those not designated) are not efficiently used in terms of comparison with the maximum ‘safe’ density of anchored ships. These factors, some of which are more controllable than others, will influence the future requirements for anchorage areas including the size and management options. </w:t>
      </w:r>
    </w:p>
    <w:p w:rsidR="001A657F" w:rsidRPr="00327573" w:rsidRDefault="001A657F" w:rsidP="00327573">
      <w:pPr>
        <w:pStyle w:val="CaptionTable"/>
        <w:rPr>
          <w:sz w:val="24"/>
          <w:szCs w:val="24"/>
        </w:rPr>
      </w:pPr>
      <w:bookmarkStart w:id="215" w:name="_Ref358879271"/>
      <w:bookmarkStart w:id="216" w:name="_Toc343582063"/>
      <w:bookmarkStart w:id="217" w:name="_Toc343597152"/>
      <w:bookmarkStart w:id="218" w:name="_Toc362274366"/>
      <w:r w:rsidRPr="00327573">
        <w:rPr>
          <w:sz w:val="24"/>
          <w:szCs w:val="24"/>
        </w:rPr>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4</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2</w:t>
      </w:r>
      <w:r w:rsidR="00542883">
        <w:rPr>
          <w:sz w:val="24"/>
          <w:szCs w:val="24"/>
        </w:rPr>
        <w:fldChar w:fldCharType="end"/>
      </w:r>
      <w:bookmarkEnd w:id="215"/>
      <w:r w:rsidR="00327573">
        <w:rPr>
          <w:noProof/>
          <w:sz w:val="24"/>
          <w:szCs w:val="24"/>
        </w:rPr>
        <w:t>:</w:t>
      </w:r>
      <w:r w:rsidRPr="00327573">
        <w:rPr>
          <w:sz w:val="24"/>
          <w:szCs w:val="24"/>
        </w:rPr>
        <w:t xml:space="preserve"> </w:t>
      </w:r>
      <w:r w:rsidRPr="00327573">
        <w:rPr>
          <w:b w:val="0"/>
          <w:sz w:val="24"/>
          <w:szCs w:val="24"/>
        </w:rPr>
        <w:t>Total ship visits to five main ports and share using ship anchorages, 2009-2012</w:t>
      </w:r>
      <w:bookmarkEnd w:id="216"/>
      <w:bookmarkEnd w:id="217"/>
      <w:r w:rsidR="00327573">
        <w:rPr>
          <w:b w:val="0"/>
          <w:sz w:val="24"/>
          <w:szCs w:val="24"/>
        </w:rPr>
        <w:t xml:space="preserve"> (</w:t>
      </w:r>
      <w:r w:rsidR="00327573" w:rsidRPr="00327573">
        <w:rPr>
          <w:b w:val="0"/>
          <w:sz w:val="24"/>
          <w:szCs w:val="24"/>
        </w:rPr>
        <w:t>* Excludes Port of Townsville in 2009 due to no data available on split of vessels direct to berth and direct to anchor. Hence, 2009 is the total for four ports.</w:t>
      </w:r>
      <w:r w:rsidR="00327573">
        <w:rPr>
          <w:b w:val="0"/>
          <w:sz w:val="24"/>
          <w:szCs w:val="24"/>
        </w:rPr>
        <w:t xml:space="preserve"> </w:t>
      </w:r>
      <w:r w:rsidR="00327573" w:rsidRPr="00327573">
        <w:rPr>
          <w:b w:val="0"/>
          <w:sz w:val="24"/>
          <w:szCs w:val="24"/>
        </w:rPr>
        <w:t>Source: MSQ data / GHD analysis.</w:t>
      </w:r>
      <w:r w:rsidR="00327573">
        <w:rPr>
          <w:b w:val="0"/>
          <w:sz w:val="24"/>
          <w:szCs w:val="24"/>
        </w:rPr>
        <w:t>)</w:t>
      </w:r>
      <w:bookmarkEnd w:id="218"/>
    </w:p>
    <w:tbl>
      <w:tblPr>
        <w:tblW w:w="0" w:type="auto"/>
        <w:tblBorders>
          <w:top w:val="single" w:sz="4" w:space="0" w:color="auto"/>
          <w:bottom w:val="single" w:sz="4" w:space="0" w:color="auto"/>
        </w:tblBorders>
        <w:tblLook w:val="0000" w:firstRow="0" w:lastRow="0" w:firstColumn="0" w:lastColumn="0" w:noHBand="0" w:noVBand="0"/>
        <w:tblCaption w:val="Total ship visits to five main ports and share using ship anchorages"/>
        <w:tblDescription w:val="The total ship visits to five main ports and the share of ships using anchorages from 2009-2012. Columns are each year from 2009-2012 and rows are number or per cent of vessels. "/>
      </w:tblPr>
      <w:tblGrid>
        <w:gridCol w:w="2235"/>
        <w:gridCol w:w="1304"/>
        <w:gridCol w:w="1304"/>
        <w:gridCol w:w="1304"/>
        <w:gridCol w:w="2150"/>
      </w:tblGrid>
      <w:tr w:rsidR="001A657F" w:rsidRPr="00327573" w:rsidTr="006E3423">
        <w:tc>
          <w:tcPr>
            <w:tcW w:w="2235" w:type="dxa"/>
            <w:tcBorders>
              <w:top w:val="single" w:sz="4" w:space="0" w:color="auto"/>
              <w:bottom w:val="single" w:sz="4" w:space="0" w:color="auto"/>
            </w:tcBorders>
          </w:tcPr>
          <w:p w:rsidR="001A657F" w:rsidRPr="00327573" w:rsidRDefault="001A657F" w:rsidP="006E3423">
            <w:pPr>
              <w:pStyle w:val="Body"/>
              <w:rPr>
                <w:b/>
                <w:sz w:val="24"/>
                <w:szCs w:val="24"/>
              </w:rPr>
            </w:pPr>
            <w:r w:rsidRPr="00327573">
              <w:rPr>
                <w:b/>
                <w:sz w:val="24"/>
                <w:szCs w:val="24"/>
              </w:rPr>
              <w:t>Five main ports</w:t>
            </w:r>
          </w:p>
        </w:tc>
        <w:tc>
          <w:tcPr>
            <w:tcW w:w="1304" w:type="dxa"/>
            <w:tcBorders>
              <w:top w:val="single" w:sz="4" w:space="0" w:color="auto"/>
              <w:bottom w:val="single" w:sz="4" w:space="0" w:color="auto"/>
            </w:tcBorders>
          </w:tcPr>
          <w:p w:rsidR="001A657F" w:rsidRPr="00327573" w:rsidRDefault="001A657F" w:rsidP="006E3423">
            <w:pPr>
              <w:pStyle w:val="Body"/>
              <w:rPr>
                <w:b/>
                <w:sz w:val="24"/>
                <w:szCs w:val="24"/>
              </w:rPr>
            </w:pPr>
            <w:r w:rsidRPr="00327573">
              <w:rPr>
                <w:b/>
                <w:sz w:val="24"/>
                <w:szCs w:val="24"/>
              </w:rPr>
              <w:t>2009*</w:t>
            </w:r>
          </w:p>
        </w:tc>
        <w:tc>
          <w:tcPr>
            <w:tcW w:w="1304" w:type="dxa"/>
            <w:tcBorders>
              <w:top w:val="single" w:sz="4" w:space="0" w:color="auto"/>
              <w:bottom w:val="single" w:sz="4" w:space="0" w:color="auto"/>
            </w:tcBorders>
          </w:tcPr>
          <w:p w:rsidR="001A657F" w:rsidRPr="00327573" w:rsidRDefault="001A657F" w:rsidP="006E3423">
            <w:pPr>
              <w:pStyle w:val="Body"/>
              <w:rPr>
                <w:b/>
                <w:sz w:val="24"/>
                <w:szCs w:val="24"/>
              </w:rPr>
            </w:pPr>
            <w:r w:rsidRPr="00327573">
              <w:rPr>
                <w:b/>
                <w:sz w:val="24"/>
                <w:szCs w:val="24"/>
              </w:rPr>
              <w:t>2010</w:t>
            </w:r>
          </w:p>
        </w:tc>
        <w:tc>
          <w:tcPr>
            <w:tcW w:w="1304" w:type="dxa"/>
            <w:tcBorders>
              <w:top w:val="single" w:sz="4" w:space="0" w:color="auto"/>
              <w:bottom w:val="single" w:sz="4" w:space="0" w:color="auto"/>
            </w:tcBorders>
          </w:tcPr>
          <w:p w:rsidR="001A657F" w:rsidRPr="00327573" w:rsidRDefault="001A657F" w:rsidP="006E3423">
            <w:pPr>
              <w:pStyle w:val="Body"/>
              <w:rPr>
                <w:b/>
                <w:sz w:val="24"/>
                <w:szCs w:val="24"/>
              </w:rPr>
            </w:pPr>
            <w:r w:rsidRPr="00327573">
              <w:rPr>
                <w:b/>
                <w:sz w:val="24"/>
                <w:szCs w:val="24"/>
              </w:rPr>
              <w:t>2011</w:t>
            </w:r>
          </w:p>
        </w:tc>
        <w:tc>
          <w:tcPr>
            <w:tcW w:w="2150" w:type="dxa"/>
            <w:tcBorders>
              <w:top w:val="single" w:sz="4" w:space="0" w:color="auto"/>
              <w:bottom w:val="single" w:sz="4" w:space="0" w:color="auto"/>
            </w:tcBorders>
          </w:tcPr>
          <w:p w:rsidR="001A657F" w:rsidRPr="00327573" w:rsidRDefault="001A657F" w:rsidP="006E3423">
            <w:pPr>
              <w:pStyle w:val="Body"/>
              <w:rPr>
                <w:b/>
                <w:sz w:val="24"/>
                <w:szCs w:val="24"/>
              </w:rPr>
            </w:pPr>
            <w:r w:rsidRPr="00327573">
              <w:rPr>
                <w:b/>
                <w:sz w:val="24"/>
                <w:szCs w:val="24"/>
              </w:rPr>
              <w:t>2012 (nine months)</w:t>
            </w:r>
          </w:p>
        </w:tc>
      </w:tr>
      <w:tr w:rsidR="001A657F" w:rsidRPr="00327573" w:rsidTr="006E3423">
        <w:tc>
          <w:tcPr>
            <w:tcW w:w="2235" w:type="dxa"/>
            <w:tcBorders>
              <w:top w:val="single" w:sz="4" w:space="0" w:color="auto"/>
              <w:bottom w:val="single" w:sz="4" w:space="0" w:color="auto"/>
            </w:tcBorders>
          </w:tcPr>
          <w:p w:rsidR="001A657F" w:rsidRPr="00327573" w:rsidRDefault="001A657F" w:rsidP="006E3423">
            <w:pPr>
              <w:pStyle w:val="Body"/>
              <w:rPr>
                <w:sz w:val="24"/>
                <w:szCs w:val="24"/>
              </w:rPr>
            </w:pPr>
            <w:r w:rsidRPr="00327573">
              <w:rPr>
                <w:sz w:val="24"/>
                <w:szCs w:val="24"/>
              </w:rPr>
              <w:t>Total ship arrivals</w:t>
            </w:r>
          </w:p>
        </w:tc>
        <w:tc>
          <w:tcPr>
            <w:tcW w:w="1304" w:type="dxa"/>
            <w:tcBorders>
              <w:top w:val="single" w:sz="4" w:space="0" w:color="auto"/>
              <w:bottom w:val="single" w:sz="4" w:space="0" w:color="auto"/>
            </w:tcBorders>
          </w:tcPr>
          <w:p w:rsidR="001A657F" w:rsidRPr="00327573" w:rsidRDefault="001A657F" w:rsidP="006E3423">
            <w:pPr>
              <w:pStyle w:val="Body"/>
              <w:rPr>
                <w:sz w:val="24"/>
                <w:szCs w:val="24"/>
              </w:rPr>
            </w:pPr>
            <w:r w:rsidRPr="00327573">
              <w:rPr>
                <w:sz w:val="24"/>
                <w:szCs w:val="24"/>
              </w:rPr>
              <w:t>3399</w:t>
            </w:r>
          </w:p>
        </w:tc>
        <w:tc>
          <w:tcPr>
            <w:tcW w:w="1304" w:type="dxa"/>
            <w:tcBorders>
              <w:top w:val="single" w:sz="4" w:space="0" w:color="auto"/>
              <w:bottom w:val="single" w:sz="4" w:space="0" w:color="auto"/>
            </w:tcBorders>
          </w:tcPr>
          <w:p w:rsidR="001A657F" w:rsidRPr="00327573" w:rsidRDefault="001A657F" w:rsidP="006E3423">
            <w:pPr>
              <w:pStyle w:val="Body"/>
              <w:rPr>
                <w:sz w:val="24"/>
                <w:szCs w:val="24"/>
              </w:rPr>
            </w:pPr>
            <w:r w:rsidRPr="00327573">
              <w:rPr>
                <w:sz w:val="24"/>
                <w:szCs w:val="24"/>
              </w:rPr>
              <w:t>4069</w:t>
            </w:r>
          </w:p>
        </w:tc>
        <w:tc>
          <w:tcPr>
            <w:tcW w:w="1304" w:type="dxa"/>
            <w:tcBorders>
              <w:top w:val="single" w:sz="4" w:space="0" w:color="auto"/>
              <w:bottom w:val="single" w:sz="4" w:space="0" w:color="auto"/>
            </w:tcBorders>
          </w:tcPr>
          <w:p w:rsidR="001A657F" w:rsidRPr="00327573" w:rsidRDefault="001A657F" w:rsidP="006E3423">
            <w:pPr>
              <w:pStyle w:val="Body"/>
              <w:rPr>
                <w:sz w:val="24"/>
                <w:szCs w:val="24"/>
              </w:rPr>
            </w:pPr>
            <w:r w:rsidRPr="00327573">
              <w:rPr>
                <w:sz w:val="24"/>
                <w:szCs w:val="24"/>
              </w:rPr>
              <w:t>3687</w:t>
            </w:r>
          </w:p>
        </w:tc>
        <w:tc>
          <w:tcPr>
            <w:tcW w:w="2150" w:type="dxa"/>
            <w:tcBorders>
              <w:top w:val="single" w:sz="4" w:space="0" w:color="auto"/>
              <w:bottom w:val="single" w:sz="4" w:space="0" w:color="auto"/>
            </w:tcBorders>
          </w:tcPr>
          <w:p w:rsidR="001A657F" w:rsidRPr="00327573" w:rsidRDefault="001A657F" w:rsidP="006E3423">
            <w:pPr>
              <w:pStyle w:val="Body"/>
              <w:rPr>
                <w:b/>
                <w:color w:val="999999"/>
                <w:sz w:val="24"/>
                <w:szCs w:val="24"/>
              </w:rPr>
            </w:pPr>
            <w:r w:rsidRPr="00327573">
              <w:rPr>
                <w:sz w:val="24"/>
                <w:szCs w:val="24"/>
              </w:rPr>
              <w:t>2824</w:t>
            </w:r>
          </w:p>
        </w:tc>
      </w:tr>
      <w:tr w:rsidR="001A657F" w:rsidRPr="00327573" w:rsidTr="006E3423">
        <w:tc>
          <w:tcPr>
            <w:tcW w:w="2235" w:type="dxa"/>
            <w:tcBorders>
              <w:top w:val="single" w:sz="4" w:space="0" w:color="auto"/>
              <w:bottom w:val="single" w:sz="4" w:space="0" w:color="auto"/>
            </w:tcBorders>
          </w:tcPr>
          <w:p w:rsidR="001A657F" w:rsidRPr="00327573" w:rsidRDefault="001A657F" w:rsidP="006E3423">
            <w:pPr>
              <w:pStyle w:val="Body"/>
              <w:rPr>
                <w:sz w:val="24"/>
                <w:szCs w:val="24"/>
              </w:rPr>
            </w:pPr>
            <w:r w:rsidRPr="00327573">
              <w:rPr>
                <w:sz w:val="24"/>
                <w:szCs w:val="24"/>
              </w:rPr>
              <w:t>Total direct to berth</w:t>
            </w:r>
          </w:p>
        </w:tc>
        <w:tc>
          <w:tcPr>
            <w:tcW w:w="1304" w:type="dxa"/>
            <w:tcBorders>
              <w:top w:val="single" w:sz="4" w:space="0" w:color="auto"/>
              <w:bottom w:val="single" w:sz="4" w:space="0" w:color="auto"/>
            </w:tcBorders>
          </w:tcPr>
          <w:p w:rsidR="001A657F" w:rsidRPr="00327573" w:rsidRDefault="001A657F" w:rsidP="006E3423">
            <w:pPr>
              <w:pStyle w:val="Body"/>
              <w:rPr>
                <w:sz w:val="24"/>
                <w:szCs w:val="24"/>
              </w:rPr>
            </w:pPr>
            <w:r w:rsidRPr="00327573">
              <w:rPr>
                <w:sz w:val="24"/>
                <w:szCs w:val="24"/>
              </w:rPr>
              <w:t>946</w:t>
            </w:r>
          </w:p>
        </w:tc>
        <w:tc>
          <w:tcPr>
            <w:tcW w:w="1304" w:type="dxa"/>
            <w:tcBorders>
              <w:top w:val="single" w:sz="4" w:space="0" w:color="auto"/>
              <w:bottom w:val="single" w:sz="4" w:space="0" w:color="auto"/>
            </w:tcBorders>
          </w:tcPr>
          <w:p w:rsidR="001A657F" w:rsidRPr="00327573" w:rsidRDefault="001A657F" w:rsidP="006E3423">
            <w:pPr>
              <w:pStyle w:val="Body"/>
              <w:rPr>
                <w:sz w:val="24"/>
                <w:szCs w:val="24"/>
              </w:rPr>
            </w:pPr>
            <w:r w:rsidRPr="00327573">
              <w:rPr>
                <w:sz w:val="24"/>
                <w:szCs w:val="24"/>
              </w:rPr>
              <w:t>1253</w:t>
            </w:r>
          </w:p>
        </w:tc>
        <w:tc>
          <w:tcPr>
            <w:tcW w:w="1304" w:type="dxa"/>
            <w:tcBorders>
              <w:top w:val="single" w:sz="4" w:space="0" w:color="auto"/>
              <w:bottom w:val="single" w:sz="4" w:space="0" w:color="auto"/>
            </w:tcBorders>
          </w:tcPr>
          <w:p w:rsidR="001A657F" w:rsidRPr="00327573" w:rsidRDefault="001A657F" w:rsidP="006E3423">
            <w:pPr>
              <w:pStyle w:val="Body"/>
              <w:rPr>
                <w:sz w:val="24"/>
                <w:szCs w:val="24"/>
              </w:rPr>
            </w:pPr>
            <w:r w:rsidRPr="00327573">
              <w:rPr>
                <w:sz w:val="24"/>
                <w:szCs w:val="24"/>
              </w:rPr>
              <w:t>1119</w:t>
            </w:r>
          </w:p>
        </w:tc>
        <w:tc>
          <w:tcPr>
            <w:tcW w:w="2150" w:type="dxa"/>
            <w:tcBorders>
              <w:top w:val="single" w:sz="4" w:space="0" w:color="auto"/>
              <w:bottom w:val="single" w:sz="4" w:space="0" w:color="auto"/>
            </w:tcBorders>
          </w:tcPr>
          <w:p w:rsidR="001A657F" w:rsidRPr="00327573" w:rsidRDefault="001A657F" w:rsidP="006E3423">
            <w:pPr>
              <w:pStyle w:val="Body"/>
              <w:rPr>
                <w:b/>
                <w:color w:val="999999"/>
                <w:sz w:val="24"/>
                <w:szCs w:val="24"/>
              </w:rPr>
            </w:pPr>
            <w:r w:rsidRPr="00327573">
              <w:rPr>
                <w:sz w:val="24"/>
                <w:szCs w:val="24"/>
              </w:rPr>
              <w:t>776</w:t>
            </w:r>
          </w:p>
        </w:tc>
      </w:tr>
      <w:tr w:rsidR="001A657F" w:rsidRPr="00327573" w:rsidTr="006E3423">
        <w:tc>
          <w:tcPr>
            <w:tcW w:w="2235" w:type="dxa"/>
            <w:tcBorders>
              <w:top w:val="single" w:sz="4" w:space="0" w:color="auto"/>
              <w:bottom w:val="single" w:sz="4" w:space="0" w:color="auto"/>
            </w:tcBorders>
          </w:tcPr>
          <w:p w:rsidR="001A657F" w:rsidRPr="00327573" w:rsidRDefault="001A657F" w:rsidP="006E3423">
            <w:pPr>
              <w:pStyle w:val="Body"/>
              <w:rPr>
                <w:sz w:val="24"/>
                <w:szCs w:val="24"/>
              </w:rPr>
            </w:pPr>
            <w:r w:rsidRPr="00327573">
              <w:rPr>
                <w:sz w:val="24"/>
                <w:szCs w:val="24"/>
              </w:rPr>
              <w:t>Total direct to anchor</w:t>
            </w:r>
          </w:p>
        </w:tc>
        <w:tc>
          <w:tcPr>
            <w:tcW w:w="1304" w:type="dxa"/>
            <w:tcBorders>
              <w:top w:val="single" w:sz="4" w:space="0" w:color="auto"/>
              <w:bottom w:val="single" w:sz="4" w:space="0" w:color="auto"/>
            </w:tcBorders>
          </w:tcPr>
          <w:p w:rsidR="001A657F" w:rsidRPr="00327573" w:rsidRDefault="001A657F" w:rsidP="006E3423">
            <w:pPr>
              <w:pStyle w:val="Body"/>
              <w:rPr>
                <w:sz w:val="24"/>
                <w:szCs w:val="24"/>
              </w:rPr>
            </w:pPr>
            <w:r w:rsidRPr="00327573">
              <w:rPr>
                <w:sz w:val="24"/>
                <w:szCs w:val="24"/>
              </w:rPr>
              <w:t>2453</w:t>
            </w:r>
          </w:p>
        </w:tc>
        <w:tc>
          <w:tcPr>
            <w:tcW w:w="1304" w:type="dxa"/>
            <w:tcBorders>
              <w:top w:val="single" w:sz="4" w:space="0" w:color="auto"/>
              <w:bottom w:val="single" w:sz="4" w:space="0" w:color="auto"/>
            </w:tcBorders>
          </w:tcPr>
          <w:p w:rsidR="001A657F" w:rsidRPr="00327573" w:rsidRDefault="001A657F" w:rsidP="006E3423">
            <w:pPr>
              <w:pStyle w:val="Body"/>
              <w:rPr>
                <w:sz w:val="24"/>
                <w:szCs w:val="24"/>
              </w:rPr>
            </w:pPr>
            <w:r w:rsidRPr="00327573">
              <w:rPr>
                <w:sz w:val="24"/>
                <w:szCs w:val="24"/>
              </w:rPr>
              <w:t>2816</w:t>
            </w:r>
          </w:p>
        </w:tc>
        <w:tc>
          <w:tcPr>
            <w:tcW w:w="1304" w:type="dxa"/>
            <w:tcBorders>
              <w:top w:val="single" w:sz="4" w:space="0" w:color="auto"/>
              <w:bottom w:val="single" w:sz="4" w:space="0" w:color="auto"/>
            </w:tcBorders>
          </w:tcPr>
          <w:p w:rsidR="001A657F" w:rsidRPr="00327573" w:rsidRDefault="001A657F" w:rsidP="006E3423">
            <w:pPr>
              <w:pStyle w:val="Body"/>
              <w:rPr>
                <w:sz w:val="24"/>
                <w:szCs w:val="24"/>
              </w:rPr>
            </w:pPr>
            <w:r w:rsidRPr="00327573">
              <w:rPr>
                <w:sz w:val="24"/>
                <w:szCs w:val="24"/>
              </w:rPr>
              <w:t>2568</w:t>
            </w:r>
          </w:p>
        </w:tc>
        <w:tc>
          <w:tcPr>
            <w:tcW w:w="2150" w:type="dxa"/>
            <w:tcBorders>
              <w:top w:val="single" w:sz="4" w:space="0" w:color="auto"/>
              <w:bottom w:val="single" w:sz="4" w:space="0" w:color="auto"/>
            </w:tcBorders>
          </w:tcPr>
          <w:p w:rsidR="001A657F" w:rsidRPr="00327573" w:rsidRDefault="001A657F" w:rsidP="006E3423">
            <w:pPr>
              <w:pStyle w:val="Body"/>
              <w:rPr>
                <w:b/>
                <w:color w:val="999999"/>
                <w:sz w:val="24"/>
                <w:szCs w:val="24"/>
              </w:rPr>
            </w:pPr>
            <w:r w:rsidRPr="00327573">
              <w:rPr>
                <w:sz w:val="24"/>
                <w:szCs w:val="24"/>
              </w:rPr>
              <w:t>2048</w:t>
            </w:r>
          </w:p>
        </w:tc>
      </w:tr>
      <w:tr w:rsidR="001A657F" w:rsidRPr="00327573" w:rsidTr="006E3423">
        <w:tc>
          <w:tcPr>
            <w:tcW w:w="2235" w:type="dxa"/>
            <w:tcBorders>
              <w:top w:val="single" w:sz="4" w:space="0" w:color="auto"/>
              <w:bottom w:val="single" w:sz="4" w:space="0" w:color="auto"/>
            </w:tcBorders>
          </w:tcPr>
          <w:p w:rsidR="001A657F" w:rsidRPr="00985025" w:rsidRDefault="00985025" w:rsidP="006E3423">
            <w:pPr>
              <w:pStyle w:val="Body"/>
              <w:rPr>
                <w:sz w:val="24"/>
                <w:szCs w:val="24"/>
              </w:rPr>
            </w:pPr>
            <w:r>
              <w:rPr>
                <w:sz w:val="24"/>
                <w:szCs w:val="24"/>
              </w:rPr>
              <w:t>Per cent</w:t>
            </w:r>
            <w:r w:rsidR="001A657F" w:rsidRPr="00985025">
              <w:rPr>
                <w:sz w:val="24"/>
                <w:szCs w:val="24"/>
              </w:rPr>
              <w:t xml:space="preserve"> direct to berth</w:t>
            </w:r>
          </w:p>
        </w:tc>
        <w:tc>
          <w:tcPr>
            <w:tcW w:w="1304" w:type="dxa"/>
            <w:tcBorders>
              <w:top w:val="single" w:sz="4" w:space="0" w:color="auto"/>
              <w:bottom w:val="single" w:sz="4" w:space="0" w:color="auto"/>
            </w:tcBorders>
          </w:tcPr>
          <w:p w:rsidR="001A657F" w:rsidRPr="00985025" w:rsidRDefault="006E0266" w:rsidP="006E3423">
            <w:pPr>
              <w:pStyle w:val="Body"/>
              <w:rPr>
                <w:sz w:val="24"/>
                <w:szCs w:val="24"/>
              </w:rPr>
            </w:pPr>
            <w:r>
              <w:rPr>
                <w:sz w:val="24"/>
                <w:szCs w:val="24"/>
              </w:rPr>
              <w:t>28</w:t>
            </w:r>
            <w:r w:rsidR="001A657F" w:rsidRPr="00985025">
              <w:rPr>
                <w:sz w:val="24"/>
                <w:szCs w:val="24"/>
              </w:rPr>
              <w:t>%</w:t>
            </w:r>
          </w:p>
        </w:tc>
        <w:tc>
          <w:tcPr>
            <w:tcW w:w="1304" w:type="dxa"/>
            <w:tcBorders>
              <w:top w:val="single" w:sz="4" w:space="0" w:color="auto"/>
              <w:bottom w:val="single" w:sz="4" w:space="0" w:color="auto"/>
            </w:tcBorders>
          </w:tcPr>
          <w:p w:rsidR="001A657F" w:rsidRPr="00985025" w:rsidRDefault="006E0266" w:rsidP="006E3423">
            <w:pPr>
              <w:pStyle w:val="Body"/>
              <w:rPr>
                <w:sz w:val="24"/>
                <w:szCs w:val="24"/>
              </w:rPr>
            </w:pPr>
            <w:r>
              <w:rPr>
                <w:sz w:val="24"/>
                <w:szCs w:val="24"/>
              </w:rPr>
              <w:t>31</w:t>
            </w:r>
            <w:r w:rsidR="001A657F" w:rsidRPr="00985025">
              <w:rPr>
                <w:sz w:val="24"/>
                <w:szCs w:val="24"/>
              </w:rPr>
              <w:t>%</w:t>
            </w:r>
          </w:p>
        </w:tc>
        <w:tc>
          <w:tcPr>
            <w:tcW w:w="1304" w:type="dxa"/>
            <w:tcBorders>
              <w:top w:val="single" w:sz="4" w:space="0" w:color="auto"/>
              <w:bottom w:val="single" w:sz="4" w:space="0" w:color="auto"/>
            </w:tcBorders>
          </w:tcPr>
          <w:p w:rsidR="001A657F" w:rsidRPr="00985025" w:rsidRDefault="006E0266" w:rsidP="006E3423">
            <w:pPr>
              <w:pStyle w:val="Body"/>
              <w:rPr>
                <w:sz w:val="24"/>
                <w:szCs w:val="24"/>
              </w:rPr>
            </w:pPr>
            <w:r>
              <w:rPr>
                <w:sz w:val="24"/>
                <w:szCs w:val="24"/>
              </w:rPr>
              <w:t>30</w:t>
            </w:r>
            <w:r w:rsidR="001A657F" w:rsidRPr="00985025">
              <w:rPr>
                <w:sz w:val="24"/>
                <w:szCs w:val="24"/>
              </w:rPr>
              <w:t>%</w:t>
            </w:r>
          </w:p>
        </w:tc>
        <w:tc>
          <w:tcPr>
            <w:tcW w:w="2150" w:type="dxa"/>
            <w:tcBorders>
              <w:top w:val="single" w:sz="4" w:space="0" w:color="auto"/>
              <w:bottom w:val="single" w:sz="4" w:space="0" w:color="auto"/>
            </w:tcBorders>
          </w:tcPr>
          <w:p w:rsidR="001A657F" w:rsidRPr="00985025" w:rsidRDefault="006E0266" w:rsidP="006E3423">
            <w:pPr>
              <w:pStyle w:val="Body"/>
              <w:rPr>
                <w:b/>
                <w:color w:val="999999"/>
                <w:sz w:val="24"/>
                <w:szCs w:val="24"/>
              </w:rPr>
            </w:pPr>
            <w:r>
              <w:rPr>
                <w:sz w:val="24"/>
                <w:szCs w:val="24"/>
              </w:rPr>
              <w:t>27</w:t>
            </w:r>
            <w:r w:rsidR="001A657F" w:rsidRPr="00985025">
              <w:rPr>
                <w:sz w:val="24"/>
                <w:szCs w:val="24"/>
              </w:rPr>
              <w:t>%</w:t>
            </w:r>
          </w:p>
        </w:tc>
      </w:tr>
      <w:tr w:rsidR="001A657F" w:rsidRPr="00327573" w:rsidTr="006E3423">
        <w:tc>
          <w:tcPr>
            <w:tcW w:w="2235" w:type="dxa"/>
            <w:tcBorders>
              <w:top w:val="single" w:sz="4" w:space="0" w:color="auto"/>
            </w:tcBorders>
          </w:tcPr>
          <w:p w:rsidR="001A657F" w:rsidRPr="00985025" w:rsidRDefault="00985025" w:rsidP="006E3423">
            <w:pPr>
              <w:pStyle w:val="Body"/>
              <w:rPr>
                <w:sz w:val="24"/>
                <w:szCs w:val="24"/>
              </w:rPr>
            </w:pPr>
            <w:r>
              <w:rPr>
                <w:sz w:val="24"/>
                <w:szCs w:val="24"/>
              </w:rPr>
              <w:t>Per cent</w:t>
            </w:r>
            <w:r w:rsidR="001A657F" w:rsidRPr="00985025">
              <w:rPr>
                <w:sz w:val="24"/>
                <w:szCs w:val="24"/>
              </w:rPr>
              <w:t xml:space="preserve"> direct to anchor</w:t>
            </w:r>
          </w:p>
        </w:tc>
        <w:tc>
          <w:tcPr>
            <w:tcW w:w="1304" w:type="dxa"/>
            <w:tcBorders>
              <w:top w:val="single" w:sz="4" w:space="0" w:color="auto"/>
            </w:tcBorders>
          </w:tcPr>
          <w:p w:rsidR="001A657F" w:rsidRPr="00985025" w:rsidRDefault="006E0266" w:rsidP="006E3423">
            <w:pPr>
              <w:pStyle w:val="Body"/>
              <w:rPr>
                <w:sz w:val="24"/>
                <w:szCs w:val="24"/>
              </w:rPr>
            </w:pPr>
            <w:r>
              <w:rPr>
                <w:sz w:val="24"/>
                <w:szCs w:val="24"/>
              </w:rPr>
              <w:t>72</w:t>
            </w:r>
            <w:r w:rsidR="001A657F" w:rsidRPr="00985025">
              <w:rPr>
                <w:sz w:val="24"/>
                <w:szCs w:val="24"/>
              </w:rPr>
              <w:t>%</w:t>
            </w:r>
          </w:p>
        </w:tc>
        <w:tc>
          <w:tcPr>
            <w:tcW w:w="1304" w:type="dxa"/>
            <w:tcBorders>
              <w:top w:val="single" w:sz="4" w:space="0" w:color="auto"/>
            </w:tcBorders>
          </w:tcPr>
          <w:p w:rsidR="001A657F" w:rsidRPr="00985025" w:rsidRDefault="006E0266" w:rsidP="006E3423">
            <w:pPr>
              <w:pStyle w:val="Body"/>
              <w:rPr>
                <w:sz w:val="24"/>
                <w:szCs w:val="24"/>
              </w:rPr>
            </w:pPr>
            <w:r>
              <w:rPr>
                <w:sz w:val="24"/>
                <w:szCs w:val="24"/>
              </w:rPr>
              <w:t>69</w:t>
            </w:r>
            <w:r w:rsidR="001A657F" w:rsidRPr="00985025">
              <w:rPr>
                <w:sz w:val="24"/>
                <w:szCs w:val="24"/>
              </w:rPr>
              <w:t>%</w:t>
            </w:r>
          </w:p>
        </w:tc>
        <w:tc>
          <w:tcPr>
            <w:tcW w:w="1304" w:type="dxa"/>
            <w:tcBorders>
              <w:top w:val="single" w:sz="4" w:space="0" w:color="auto"/>
            </w:tcBorders>
          </w:tcPr>
          <w:p w:rsidR="001A657F" w:rsidRPr="00985025" w:rsidRDefault="006E0266" w:rsidP="006E3423">
            <w:pPr>
              <w:pStyle w:val="Body"/>
              <w:rPr>
                <w:sz w:val="24"/>
                <w:szCs w:val="24"/>
              </w:rPr>
            </w:pPr>
            <w:r>
              <w:rPr>
                <w:sz w:val="24"/>
                <w:szCs w:val="24"/>
              </w:rPr>
              <w:t>70</w:t>
            </w:r>
            <w:r w:rsidR="001A657F" w:rsidRPr="00985025">
              <w:rPr>
                <w:sz w:val="24"/>
                <w:szCs w:val="24"/>
              </w:rPr>
              <w:t>%</w:t>
            </w:r>
          </w:p>
        </w:tc>
        <w:tc>
          <w:tcPr>
            <w:tcW w:w="2150" w:type="dxa"/>
            <w:tcBorders>
              <w:top w:val="single" w:sz="4" w:space="0" w:color="auto"/>
            </w:tcBorders>
          </w:tcPr>
          <w:p w:rsidR="001A657F" w:rsidRPr="00985025" w:rsidRDefault="006E0266" w:rsidP="006E3423">
            <w:pPr>
              <w:pStyle w:val="Body"/>
              <w:rPr>
                <w:b/>
                <w:color w:val="999999"/>
                <w:sz w:val="24"/>
                <w:szCs w:val="24"/>
              </w:rPr>
            </w:pPr>
            <w:r>
              <w:rPr>
                <w:sz w:val="24"/>
                <w:szCs w:val="24"/>
              </w:rPr>
              <w:t>73</w:t>
            </w:r>
            <w:r w:rsidR="001A657F" w:rsidRPr="00985025">
              <w:rPr>
                <w:sz w:val="24"/>
                <w:szCs w:val="24"/>
              </w:rPr>
              <w:t>%</w:t>
            </w:r>
          </w:p>
        </w:tc>
      </w:tr>
    </w:tbl>
    <w:p w:rsidR="001A657F" w:rsidRPr="00B41CFA" w:rsidRDefault="001A657F" w:rsidP="001A657F">
      <w:pPr>
        <w:pStyle w:val="Heading3"/>
        <w:rPr>
          <w:sz w:val="24"/>
        </w:rPr>
      </w:pPr>
      <w:bookmarkStart w:id="219" w:name="_Toc343597229"/>
      <w:bookmarkStart w:id="220" w:name="_Toc362274291"/>
      <w:r w:rsidRPr="00B41CFA">
        <w:rPr>
          <w:sz w:val="24"/>
        </w:rPr>
        <w:t>Expected future total ship calls to the five main ports</w:t>
      </w:r>
      <w:bookmarkEnd w:id="219"/>
      <w:bookmarkEnd w:id="220"/>
    </w:p>
    <w:p w:rsidR="001A657F" w:rsidRPr="00327573" w:rsidRDefault="001A657F" w:rsidP="001A657F">
      <w:pPr>
        <w:pStyle w:val="Body"/>
        <w:rPr>
          <w:sz w:val="24"/>
          <w:szCs w:val="24"/>
        </w:rPr>
      </w:pPr>
      <w:r w:rsidRPr="00327573">
        <w:rPr>
          <w:sz w:val="24"/>
          <w:szCs w:val="24"/>
        </w:rPr>
        <w:t xml:space="preserve">The total number of ship calls expected in the future for the five </w:t>
      </w:r>
      <w:r w:rsidR="00E071AA" w:rsidRPr="00327573">
        <w:rPr>
          <w:sz w:val="24"/>
          <w:szCs w:val="24"/>
        </w:rPr>
        <w:t xml:space="preserve">subject </w:t>
      </w:r>
      <w:r w:rsidRPr="00327573">
        <w:rPr>
          <w:sz w:val="24"/>
          <w:szCs w:val="24"/>
        </w:rPr>
        <w:t>ports ranges from a low-en</w:t>
      </w:r>
      <w:r w:rsidR="00940C20">
        <w:rPr>
          <w:sz w:val="24"/>
          <w:szCs w:val="24"/>
        </w:rPr>
        <w:t>d forecast scenario of around 5</w:t>
      </w:r>
      <w:r w:rsidR="00566468">
        <w:rPr>
          <w:sz w:val="24"/>
          <w:szCs w:val="24"/>
        </w:rPr>
        <w:t xml:space="preserve">650 in </w:t>
      </w:r>
      <w:r w:rsidRPr="00327573">
        <w:rPr>
          <w:sz w:val="24"/>
          <w:szCs w:val="24"/>
        </w:rPr>
        <w:t>2022 to a high-en</w:t>
      </w:r>
      <w:r w:rsidR="00940C20">
        <w:rPr>
          <w:sz w:val="24"/>
          <w:szCs w:val="24"/>
        </w:rPr>
        <w:t>d forecast scenario of around 7</w:t>
      </w:r>
      <w:r w:rsidRPr="00327573">
        <w:rPr>
          <w:sz w:val="24"/>
          <w:szCs w:val="24"/>
        </w:rPr>
        <w:t xml:space="preserve">450 in 2020. </w:t>
      </w:r>
    </w:p>
    <w:p w:rsidR="001A657F" w:rsidRPr="00327573" w:rsidRDefault="001A657F" w:rsidP="001A657F">
      <w:pPr>
        <w:pStyle w:val="Body"/>
        <w:rPr>
          <w:sz w:val="24"/>
          <w:szCs w:val="24"/>
        </w:rPr>
      </w:pPr>
      <w:r w:rsidRPr="00327573">
        <w:rPr>
          <w:sz w:val="24"/>
          <w:szCs w:val="24"/>
        </w:rPr>
        <w:t xml:space="preserve">The low-end forecast (based on three per cent per year future growth in the number of ship calls – equivalent to the last ten years) is presented in the </w:t>
      </w:r>
      <w:r w:rsidRPr="00327573">
        <w:rPr>
          <w:i/>
          <w:sz w:val="24"/>
          <w:szCs w:val="24"/>
        </w:rPr>
        <w:t>Great Barrier Reef Ports Strategy 2012-2022</w:t>
      </w:r>
      <w:r w:rsidRPr="00327573">
        <w:rPr>
          <w:sz w:val="24"/>
          <w:szCs w:val="24"/>
        </w:rPr>
        <w:t xml:space="preserve"> (DSDIP 2012) discussion document. Medium and high fo</w:t>
      </w:r>
      <w:r w:rsidR="00940C20">
        <w:rPr>
          <w:sz w:val="24"/>
          <w:szCs w:val="24"/>
        </w:rPr>
        <w:t>recasts were also included of 5</w:t>
      </w:r>
      <w:r w:rsidRPr="00327573">
        <w:rPr>
          <w:sz w:val="24"/>
          <w:szCs w:val="24"/>
        </w:rPr>
        <w:t xml:space="preserve">900 ship calls (based on four per cent per year growth in </w:t>
      </w:r>
      <w:r w:rsidR="00940C20">
        <w:rPr>
          <w:sz w:val="24"/>
          <w:szCs w:val="24"/>
        </w:rPr>
        <w:t>the number of ship calls) and 6</w:t>
      </w:r>
      <w:r w:rsidRPr="00327573">
        <w:rPr>
          <w:sz w:val="24"/>
          <w:szCs w:val="24"/>
        </w:rPr>
        <w:t>100 ship calls for 2022. Th</w:t>
      </w:r>
      <w:r w:rsidR="00940C20">
        <w:rPr>
          <w:sz w:val="24"/>
          <w:szCs w:val="24"/>
        </w:rPr>
        <w:t>e low and medium forecasts of 5650 and 5</w:t>
      </w:r>
      <w:r w:rsidRPr="00327573">
        <w:rPr>
          <w:sz w:val="24"/>
          <w:szCs w:val="24"/>
        </w:rPr>
        <w:t>900 ship calls are considered to be ‘more-likely’ scenarios by the Queensland Government (</w:t>
      </w:r>
      <w:r w:rsidR="00CD38ED" w:rsidRPr="00327573">
        <w:rPr>
          <w:sz w:val="24"/>
          <w:szCs w:val="24"/>
        </w:rPr>
        <w:fldChar w:fldCharType="begin"/>
      </w:r>
      <w:r w:rsidRPr="00327573">
        <w:rPr>
          <w:sz w:val="24"/>
          <w:szCs w:val="24"/>
        </w:rPr>
        <w:instrText xml:space="preserve"> REF  _Ref342396930 \* Lower \h </w:instrText>
      </w:r>
      <w:r w:rsidR="00327573">
        <w:rPr>
          <w:sz w:val="24"/>
          <w:szCs w:val="24"/>
        </w:rPr>
        <w:instrText xml:space="preserve"> \* MERGEFORMAT </w:instrText>
      </w:r>
      <w:r w:rsidR="00CD38ED" w:rsidRPr="00327573">
        <w:rPr>
          <w:sz w:val="24"/>
          <w:szCs w:val="24"/>
        </w:rPr>
      </w:r>
      <w:r w:rsidR="00CD38ED" w:rsidRPr="00327573">
        <w:rPr>
          <w:sz w:val="24"/>
          <w:szCs w:val="24"/>
        </w:rPr>
        <w:fldChar w:fldCharType="separate"/>
      </w:r>
      <w:r w:rsidR="005F6E51" w:rsidRPr="00815FEA">
        <w:rPr>
          <w:sz w:val="24"/>
          <w:szCs w:val="24"/>
        </w:rPr>
        <w:t xml:space="preserve">figure </w:t>
      </w:r>
      <w:r w:rsidR="005F6E51">
        <w:rPr>
          <w:noProof/>
          <w:sz w:val="24"/>
          <w:szCs w:val="24"/>
        </w:rPr>
        <w:t>4</w:t>
      </w:r>
      <w:r w:rsidR="005F6E51" w:rsidRPr="00815FEA">
        <w:rPr>
          <w:noProof/>
          <w:sz w:val="24"/>
          <w:szCs w:val="24"/>
        </w:rPr>
        <w:noBreakHyphen/>
      </w:r>
      <w:r w:rsidR="005F6E51">
        <w:rPr>
          <w:noProof/>
          <w:sz w:val="24"/>
          <w:szCs w:val="24"/>
        </w:rPr>
        <w:t>1</w:t>
      </w:r>
      <w:r w:rsidR="00CD38ED" w:rsidRPr="00327573">
        <w:rPr>
          <w:sz w:val="24"/>
          <w:szCs w:val="24"/>
        </w:rPr>
        <w:fldChar w:fldCharType="end"/>
      </w:r>
      <w:r w:rsidRPr="00327573">
        <w:rPr>
          <w:sz w:val="24"/>
          <w:szCs w:val="24"/>
        </w:rPr>
        <w:t xml:space="preserve">). </w:t>
      </w:r>
    </w:p>
    <w:p w:rsidR="001A657F" w:rsidRPr="00327573" w:rsidRDefault="001A657F" w:rsidP="001A657F">
      <w:pPr>
        <w:pStyle w:val="Body"/>
        <w:rPr>
          <w:sz w:val="24"/>
          <w:szCs w:val="24"/>
        </w:rPr>
      </w:pPr>
      <w:r w:rsidRPr="00327573">
        <w:rPr>
          <w:sz w:val="24"/>
          <w:szCs w:val="24"/>
        </w:rPr>
        <w:t xml:space="preserve">For the purpose of </w:t>
      </w:r>
      <w:r w:rsidR="00ED39F9" w:rsidRPr="00327573">
        <w:rPr>
          <w:sz w:val="24"/>
          <w:szCs w:val="24"/>
        </w:rPr>
        <w:fldChar w:fldCharType="begin"/>
      </w:r>
      <w:r w:rsidR="00ED39F9" w:rsidRPr="00327573">
        <w:rPr>
          <w:sz w:val="24"/>
          <w:szCs w:val="24"/>
        </w:rPr>
        <w:instrText xml:space="preserve"> REF  _Ref342396930 \* Lower \h  \* MERGEFORMAT </w:instrText>
      </w:r>
      <w:r w:rsidR="00ED39F9" w:rsidRPr="00327573">
        <w:rPr>
          <w:sz w:val="24"/>
          <w:szCs w:val="24"/>
        </w:rPr>
      </w:r>
      <w:r w:rsidR="00ED39F9" w:rsidRPr="00327573">
        <w:rPr>
          <w:sz w:val="24"/>
          <w:szCs w:val="24"/>
        </w:rPr>
        <w:fldChar w:fldCharType="separate"/>
      </w:r>
      <w:r w:rsidR="005F6E51" w:rsidRPr="00815FEA">
        <w:rPr>
          <w:sz w:val="24"/>
          <w:szCs w:val="24"/>
        </w:rPr>
        <w:t xml:space="preserve">figure </w:t>
      </w:r>
      <w:r w:rsidR="005F6E51">
        <w:rPr>
          <w:noProof/>
          <w:sz w:val="24"/>
          <w:szCs w:val="24"/>
        </w:rPr>
        <w:t>4</w:t>
      </w:r>
      <w:r w:rsidR="005F6E51" w:rsidRPr="00815FEA">
        <w:rPr>
          <w:noProof/>
          <w:sz w:val="24"/>
          <w:szCs w:val="24"/>
        </w:rPr>
        <w:noBreakHyphen/>
      </w:r>
      <w:r w:rsidR="005F6E51">
        <w:rPr>
          <w:noProof/>
          <w:sz w:val="24"/>
          <w:szCs w:val="24"/>
        </w:rPr>
        <w:t>1</w:t>
      </w:r>
      <w:r w:rsidR="00ED39F9" w:rsidRPr="00327573">
        <w:rPr>
          <w:sz w:val="24"/>
          <w:szCs w:val="24"/>
        </w:rPr>
        <w:fldChar w:fldCharType="end"/>
      </w:r>
      <w:r w:rsidRPr="00327573">
        <w:rPr>
          <w:sz w:val="24"/>
          <w:szCs w:val="24"/>
        </w:rPr>
        <w:t xml:space="preserve"> and </w:t>
      </w:r>
      <w:r w:rsidR="00ED39F9" w:rsidRPr="00327573">
        <w:rPr>
          <w:sz w:val="24"/>
          <w:szCs w:val="24"/>
        </w:rPr>
        <w:fldChar w:fldCharType="begin"/>
      </w:r>
      <w:r w:rsidR="00ED39F9" w:rsidRPr="00327573">
        <w:rPr>
          <w:sz w:val="24"/>
          <w:szCs w:val="24"/>
        </w:rPr>
        <w:instrText xml:space="preserve"> REF  _Ref342396954 \* Lower \h  \* MERGEFORMAT </w:instrText>
      </w:r>
      <w:r w:rsidR="00ED39F9" w:rsidRPr="00327573">
        <w:rPr>
          <w:sz w:val="24"/>
          <w:szCs w:val="24"/>
        </w:rPr>
      </w:r>
      <w:r w:rsidR="00ED39F9" w:rsidRPr="00327573">
        <w:rPr>
          <w:sz w:val="24"/>
          <w:szCs w:val="24"/>
        </w:rPr>
        <w:fldChar w:fldCharType="separate"/>
      </w:r>
      <w:r w:rsidR="005F6E51" w:rsidRPr="00815FEA">
        <w:rPr>
          <w:sz w:val="24"/>
          <w:szCs w:val="24"/>
        </w:rPr>
        <w:t xml:space="preserve">figure </w:t>
      </w:r>
      <w:r w:rsidR="005F6E51">
        <w:rPr>
          <w:noProof/>
          <w:sz w:val="24"/>
          <w:szCs w:val="24"/>
        </w:rPr>
        <w:t>4</w:t>
      </w:r>
      <w:r w:rsidR="005F6E51" w:rsidRPr="00815FEA">
        <w:rPr>
          <w:noProof/>
          <w:sz w:val="24"/>
          <w:szCs w:val="24"/>
        </w:rPr>
        <w:noBreakHyphen/>
      </w:r>
      <w:r w:rsidR="005F6E51">
        <w:rPr>
          <w:noProof/>
          <w:sz w:val="24"/>
          <w:szCs w:val="24"/>
        </w:rPr>
        <w:t>2</w:t>
      </w:r>
      <w:r w:rsidR="00ED39F9" w:rsidRPr="00327573">
        <w:rPr>
          <w:sz w:val="24"/>
          <w:szCs w:val="24"/>
        </w:rPr>
        <w:fldChar w:fldCharType="end"/>
      </w:r>
      <w:r w:rsidRPr="00327573">
        <w:rPr>
          <w:sz w:val="24"/>
          <w:szCs w:val="24"/>
        </w:rPr>
        <w:t xml:space="preserve"> “Reef ports” are defined as the 11 trading ports located within </w:t>
      </w:r>
      <w:r w:rsidR="000B3BB5" w:rsidRPr="00327573">
        <w:rPr>
          <w:sz w:val="24"/>
          <w:szCs w:val="24"/>
        </w:rPr>
        <w:t xml:space="preserve">the Marine Park </w:t>
      </w:r>
      <w:r w:rsidRPr="00327573">
        <w:rPr>
          <w:sz w:val="24"/>
          <w:szCs w:val="24"/>
        </w:rPr>
        <w:t xml:space="preserve">and </w:t>
      </w:r>
      <w:r w:rsidR="000B3BB5" w:rsidRPr="00327573">
        <w:rPr>
          <w:sz w:val="24"/>
          <w:szCs w:val="24"/>
        </w:rPr>
        <w:t>the World Heritage Area</w:t>
      </w:r>
      <w:r w:rsidRPr="00327573">
        <w:rPr>
          <w:sz w:val="24"/>
          <w:szCs w:val="24"/>
        </w:rPr>
        <w:t>, namely: Quintell Beach, Cape Flattery, Cairns, Mourilyan, Lucinda, Townsville, Abbot Point, Mackay, Hay Point, Rockhampton and Gladstone.</w:t>
      </w:r>
    </w:p>
    <w:p w:rsidR="001A657F" w:rsidRDefault="001A657F" w:rsidP="001A657F">
      <w:pPr>
        <w:pStyle w:val="Body"/>
        <w:jc w:val="center"/>
      </w:pPr>
      <w:r>
        <w:rPr>
          <w:noProof/>
          <w:lang w:eastAsia="en-AU"/>
        </w:rPr>
        <w:drawing>
          <wp:inline distT="0" distB="0" distL="0" distR="0" wp14:anchorId="41175D0E" wp14:editId="3859A812">
            <wp:extent cx="5380075" cy="3038552"/>
            <wp:effectExtent l="0" t="0" r="0" b="0"/>
            <wp:docPr id="33" name="Picture 33" descr="Queensland Government forecast ship call number scenarios for the Reef's ports from 2012-2022. The total number of ship calls expected in the future for the five subject ports ranges from a low-end forecast scenario of around 5,650 in 2022 to a high-end forecast scenario of around 7,450 in 2020. Further text provided in Section 4.4.2." title="Queensland Government forecast ship call number scenarios for the Reef ports (2012-202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384397" cy="3040993"/>
                    </a:xfrm>
                    <a:prstGeom prst="rect">
                      <a:avLst/>
                    </a:prstGeom>
                    <a:noFill/>
                    <a:ln>
                      <a:noFill/>
                    </a:ln>
                  </pic:spPr>
                </pic:pic>
              </a:graphicData>
            </a:graphic>
          </wp:inline>
        </w:drawing>
      </w:r>
    </w:p>
    <w:p w:rsidR="001A657F" w:rsidRPr="00815FEA" w:rsidRDefault="001A657F" w:rsidP="001A657F">
      <w:pPr>
        <w:pStyle w:val="Caption"/>
        <w:rPr>
          <w:sz w:val="24"/>
          <w:szCs w:val="24"/>
        </w:rPr>
      </w:pPr>
      <w:bookmarkStart w:id="221" w:name="_Ref342396930"/>
      <w:bookmarkStart w:id="222" w:name="_Toc343597590"/>
      <w:bookmarkStart w:id="223" w:name="_Toc362274380"/>
      <w:r w:rsidRPr="00815FEA">
        <w:rPr>
          <w:sz w:val="24"/>
          <w:szCs w:val="24"/>
        </w:rPr>
        <w:t xml:space="preserve">Figure </w:t>
      </w:r>
      <w:r w:rsidR="009108AD" w:rsidRPr="00815FEA">
        <w:rPr>
          <w:sz w:val="24"/>
          <w:szCs w:val="24"/>
        </w:rPr>
        <w:fldChar w:fldCharType="begin"/>
      </w:r>
      <w:r w:rsidR="009108AD" w:rsidRPr="00815FEA">
        <w:rPr>
          <w:sz w:val="24"/>
          <w:szCs w:val="24"/>
        </w:rPr>
        <w:instrText xml:space="preserve"> STYLEREF 1 \s </w:instrText>
      </w:r>
      <w:r w:rsidR="009108AD" w:rsidRPr="00815FEA">
        <w:rPr>
          <w:sz w:val="24"/>
          <w:szCs w:val="24"/>
        </w:rPr>
        <w:fldChar w:fldCharType="separate"/>
      </w:r>
      <w:r w:rsidR="005F6E51">
        <w:rPr>
          <w:noProof/>
          <w:sz w:val="24"/>
          <w:szCs w:val="24"/>
        </w:rPr>
        <w:t>4</w:t>
      </w:r>
      <w:r w:rsidR="009108AD" w:rsidRPr="00815FEA">
        <w:rPr>
          <w:noProof/>
          <w:sz w:val="24"/>
          <w:szCs w:val="24"/>
        </w:rPr>
        <w:fldChar w:fldCharType="end"/>
      </w:r>
      <w:r w:rsidRPr="00815FEA">
        <w:rPr>
          <w:sz w:val="24"/>
          <w:szCs w:val="24"/>
        </w:rPr>
        <w:noBreakHyphen/>
      </w:r>
      <w:r w:rsidR="009108AD" w:rsidRPr="00815FEA">
        <w:rPr>
          <w:sz w:val="24"/>
          <w:szCs w:val="24"/>
        </w:rPr>
        <w:fldChar w:fldCharType="begin"/>
      </w:r>
      <w:r w:rsidR="009108AD" w:rsidRPr="00815FEA">
        <w:rPr>
          <w:sz w:val="24"/>
          <w:szCs w:val="24"/>
        </w:rPr>
        <w:instrText xml:space="preserve"> SEQ Figure \* ARABIC \s 1 </w:instrText>
      </w:r>
      <w:r w:rsidR="009108AD" w:rsidRPr="00815FEA">
        <w:rPr>
          <w:sz w:val="24"/>
          <w:szCs w:val="24"/>
        </w:rPr>
        <w:fldChar w:fldCharType="separate"/>
      </w:r>
      <w:r w:rsidR="005F6E51">
        <w:rPr>
          <w:noProof/>
          <w:sz w:val="24"/>
          <w:szCs w:val="24"/>
        </w:rPr>
        <w:t>1</w:t>
      </w:r>
      <w:r w:rsidR="009108AD" w:rsidRPr="00815FEA">
        <w:rPr>
          <w:noProof/>
          <w:sz w:val="24"/>
          <w:szCs w:val="24"/>
        </w:rPr>
        <w:fldChar w:fldCharType="end"/>
      </w:r>
      <w:bookmarkEnd w:id="221"/>
      <w:r w:rsidR="00815FEA">
        <w:rPr>
          <w:sz w:val="24"/>
          <w:szCs w:val="24"/>
        </w:rPr>
        <w:t>:</w:t>
      </w:r>
      <w:r w:rsidRPr="00815FEA">
        <w:rPr>
          <w:sz w:val="24"/>
          <w:szCs w:val="24"/>
        </w:rPr>
        <w:t xml:space="preserve"> </w:t>
      </w:r>
      <w:r w:rsidRPr="00815FEA">
        <w:rPr>
          <w:b w:val="0"/>
          <w:sz w:val="24"/>
          <w:szCs w:val="24"/>
        </w:rPr>
        <w:t>Queensland Government forecast ship call number scenarios for the Reef ports (2012-2022) as extracted from DSDIP 2012</w:t>
      </w:r>
      <w:bookmarkEnd w:id="222"/>
      <w:bookmarkEnd w:id="223"/>
    </w:p>
    <w:p w:rsidR="001A657F" w:rsidRPr="00815FEA" w:rsidRDefault="001A657F" w:rsidP="001A657F">
      <w:pPr>
        <w:pStyle w:val="Body"/>
        <w:rPr>
          <w:sz w:val="24"/>
          <w:szCs w:val="24"/>
        </w:rPr>
      </w:pPr>
      <w:r w:rsidRPr="00815FEA">
        <w:rPr>
          <w:sz w:val="24"/>
          <w:szCs w:val="24"/>
        </w:rPr>
        <w:t>Th</w:t>
      </w:r>
      <w:r w:rsidR="00940C20">
        <w:rPr>
          <w:sz w:val="24"/>
          <w:szCs w:val="24"/>
        </w:rPr>
        <w:t>e high-end forecast of around 7</w:t>
      </w:r>
      <w:r w:rsidRPr="00815FEA">
        <w:rPr>
          <w:sz w:val="24"/>
          <w:szCs w:val="24"/>
        </w:rPr>
        <w:t>450 ship calls by 2020, increasing to around 10,100 ship calls by 2032, is presented as a “probable case” (based on four-five per cent per year growth in ship calls) in PGM Environment’s recent “Great Barrier Reef Shipping: Review of Environmental Implications - Abbot Point Cumulative Environmental Impact Assessment (</w:t>
      </w:r>
      <w:r w:rsidR="005751BA" w:rsidRPr="00815FEA">
        <w:rPr>
          <w:sz w:val="24"/>
          <w:szCs w:val="24"/>
        </w:rPr>
        <w:t>PGM Environment 2012</w:t>
      </w:r>
      <w:r w:rsidRPr="00815FEA">
        <w:rPr>
          <w:sz w:val="24"/>
          <w:szCs w:val="24"/>
        </w:rPr>
        <w:t>)” document (</w:t>
      </w:r>
      <w:r w:rsidR="00CD38ED" w:rsidRPr="00815FEA">
        <w:rPr>
          <w:sz w:val="24"/>
          <w:szCs w:val="24"/>
        </w:rPr>
        <w:fldChar w:fldCharType="begin"/>
      </w:r>
      <w:r w:rsidRPr="00815FEA">
        <w:rPr>
          <w:sz w:val="24"/>
          <w:szCs w:val="24"/>
        </w:rPr>
        <w:instrText xml:space="preserve"> REF  _Ref342396954 \* Lower \h </w:instrText>
      </w:r>
      <w:r w:rsidR="00815FEA">
        <w:rPr>
          <w:sz w:val="24"/>
          <w:szCs w:val="24"/>
        </w:rPr>
        <w:instrText xml:space="preserve"> \* MERGEFORMAT </w:instrText>
      </w:r>
      <w:r w:rsidR="00CD38ED" w:rsidRPr="00815FEA">
        <w:rPr>
          <w:sz w:val="24"/>
          <w:szCs w:val="24"/>
        </w:rPr>
      </w:r>
      <w:r w:rsidR="00CD38ED" w:rsidRPr="00815FEA">
        <w:rPr>
          <w:sz w:val="24"/>
          <w:szCs w:val="24"/>
        </w:rPr>
        <w:fldChar w:fldCharType="separate"/>
      </w:r>
      <w:r w:rsidR="005F6E51" w:rsidRPr="00815FEA">
        <w:rPr>
          <w:sz w:val="24"/>
          <w:szCs w:val="24"/>
        </w:rPr>
        <w:t xml:space="preserve">figure </w:t>
      </w:r>
      <w:r w:rsidR="005F6E51">
        <w:rPr>
          <w:noProof/>
          <w:sz w:val="24"/>
          <w:szCs w:val="24"/>
        </w:rPr>
        <w:t>4</w:t>
      </w:r>
      <w:r w:rsidR="005F6E51" w:rsidRPr="00815FEA">
        <w:rPr>
          <w:noProof/>
          <w:sz w:val="24"/>
          <w:szCs w:val="24"/>
        </w:rPr>
        <w:noBreakHyphen/>
      </w:r>
      <w:r w:rsidR="005F6E51">
        <w:rPr>
          <w:noProof/>
          <w:sz w:val="24"/>
          <w:szCs w:val="24"/>
        </w:rPr>
        <w:t>2</w:t>
      </w:r>
      <w:r w:rsidR="00CD38ED" w:rsidRPr="00815FEA">
        <w:rPr>
          <w:sz w:val="24"/>
          <w:szCs w:val="24"/>
        </w:rPr>
        <w:fldChar w:fldCharType="end"/>
      </w:r>
      <w:r w:rsidRPr="00815FEA">
        <w:rPr>
          <w:sz w:val="24"/>
          <w:szCs w:val="24"/>
        </w:rPr>
        <w:t xml:space="preserve">). It should be noted that the Queensland Government and PGM Environment </w:t>
      </w:r>
      <w:r w:rsidR="00725F5D" w:rsidRPr="00815FEA">
        <w:rPr>
          <w:sz w:val="24"/>
          <w:szCs w:val="24"/>
        </w:rPr>
        <w:t xml:space="preserve">analyses </w:t>
      </w:r>
      <w:r w:rsidRPr="00815FEA">
        <w:rPr>
          <w:sz w:val="24"/>
          <w:szCs w:val="24"/>
        </w:rPr>
        <w:t xml:space="preserve">have each used different methodologies to arrive at the future forecasts, each approach valid for its respective purpose (see section </w:t>
      </w:r>
      <w:r w:rsidR="00CD38ED" w:rsidRPr="00815FEA">
        <w:rPr>
          <w:sz w:val="24"/>
          <w:szCs w:val="24"/>
        </w:rPr>
        <w:fldChar w:fldCharType="begin"/>
      </w:r>
      <w:r w:rsidRPr="00815FEA">
        <w:rPr>
          <w:sz w:val="24"/>
          <w:szCs w:val="24"/>
        </w:rPr>
        <w:instrText xml:space="preserve"> REF _Ref342394873 \n \h </w:instrText>
      </w:r>
      <w:r w:rsidR="00815FEA">
        <w:rPr>
          <w:sz w:val="24"/>
          <w:szCs w:val="24"/>
        </w:rPr>
        <w:instrText xml:space="preserve"> \* MERGEFORMAT </w:instrText>
      </w:r>
      <w:r w:rsidR="00CD38ED" w:rsidRPr="00815FEA">
        <w:rPr>
          <w:sz w:val="24"/>
          <w:szCs w:val="24"/>
        </w:rPr>
      </w:r>
      <w:r w:rsidR="00CD38ED" w:rsidRPr="00815FEA">
        <w:rPr>
          <w:sz w:val="24"/>
          <w:szCs w:val="24"/>
        </w:rPr>
        <w:fldChar w:fldCharType="separate"/>
      </w:r>
      <w:r w:rsidR="005F6E51">
        <w:rPr>
          <w:sz w:val="24"/>
          <w:szCs w:val="24"/>
        </w:rPr>
        <w:t>4.1</w:t>
      </w:r>
      <w:r w:rsidR="00CD38ED" w:rsidRPr="00815FEA">
        <w:rPr>
          <w:sz w:val="24"/>
          <w:szCs w:val="24"/>
        </w:rPr>
        <w:fldChar w:fldCharType="end"/>
      </w:r>
      <w:r w:rsidRPr="00815FEA">
        <w:rPr>
          <w:sz w:val="24"/>
          <w:szCs w:val="24"/>
        </w:rPr>
        <w:t xml:space="preserve"> above).</w:t>
      </w:r>
    </w:p>
    <w:p w:rsidR="001A657F" w:rsidRDefault="001A657F" w:rsidP="001A657F">
      <w:pPr>
        <w:pStyle w:val="Body"/>
      </w:pPr>
    </w:p>
    <w:p w:rsidR="001A657F" w:rsidRPr="00815FEA" w:rsidRDefault="001A657F" w:rsidP="001A657F">
      <w:pPr>
        <w:pStyle w:val="Body"/>
        <w:jc w:val="center"/>
        <w:rPr>
          <w:sz w:val="24"/>
          <w:szCs w:val="24"/>
        </w:rPr>
      </w:pPr>
      <w:r w:rsidRPr="00815FEA">
        <w:rPr>
          <w:noProof/>
          <w:sz w:val="24"/>
          <w:szCs w:val="24"/>
          <w:lang w:eastAsia="en-AU"/>
        </w:rPr>
        <w:drawing>
          <wp:inline distT="0" distB="0" distL="0" distR="0" wp14:anchorId="6291870A" wp14:editId="03F675EF">
            <wp:extent cx="5303770" cy="2254102"/>
            <wp:effectExtent l="0" t="0" r="0" b="0"/>
            <wp:docPr id="12" name="Picture 12" descr="Forecast of ship call numbers for the Reef's ports from 2012-2032. The high-end forecast of around 7,450 ship calls by 2020, increasing to around 10,100 ship calls by 2032, is presented as a “probable case” (based on four-five per cent per year growth in ship calls). Further text provided in Section 4.4.2." title="PGM Environment forecast ship call numbers “probable case” for the Reef ports (2012-2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1078" t="23609" r="2519" b="1695"/>
                    <a:stretch/>
                  </pic:blipFill>
                  <pic:spPr bwMode="auto">
                    <a:xfrm>
                      <a:off x="0" y="0"/>
                      <a:ext cx="5304975" cy="2254614"/>
                    </a:xfrm>
                    <a:prstGeom prst="rect">
                      <a:avLst/>
                    </a:prstGeom>
                    <a:noFill/>
                    <a:ln>
                      <a:noFill/>
                    </a:ln>
                    <a:extLst>
                      <a:ext uri="{53640926-AAD7-44D8-BBD7-CCE9431645EC}">
                        <a14:shadowObscured xmlns:a14="http://schemas.microsoft.com/office/drawing/2010/main"/>
                      </a:ext>
                    </a:extLst>
                  </pic:spPr>
                </pic:pic>
              </a:graphicData>
            </a:graphic>
          </wp:inline>
        </w:drawing>
      </w:r>
    </w:p>
    <w:p w:rsidR="001A657F" w:rsidRPr="00815FEA" w:rsidRDefault="001A657F" w:rsidP="001A657F">
      <w:pPr>
        <w:pStyle w:val="Caption"/>
        <w:rPr>
          <w:b w:val="0"/>
          <w:sz w:val="24"/>
          <w:szCs w:val="24"/>
        </w:rPr>
      </w:pPr>
      <w:bookmarkStart w:id="224" w:name="_Ref342396954"/>
      <w:bookmarkStart w:id="225" w:name="_Toc343597591"/>
      <w:bookmarkStart w:id="226" w:name="_Toc362274381"/>
      <w:r w:rsidRPr="00815FEA">
        <w:rPr>
          <w:sz w:val="24"/>
          <w:szCs w:val="24"/>
        </w:rPr>
        <w:t xml:space="preserve">Figure </w:t>
      </w:r>
      <w:r w:rsidR="009108AD" w:rsidRPr="00815FEA">
        <w:rPr>
          <w:sz w:val="24"/>
          <w:szCs w:val="24"/>
        </w:rPr>
        <w:fldChar w:fldCharType="begin"/>
      </w:r>
      <w:r w:rsidR="009108AD" w:rsidRPr="00815FEA">
        <w:rPr>
          <w:sz w:val="24"/>
          <w:szCs w:val="24"/>
        </w:rPr>
        <w:instrText xml:space="preserve"> STYLEREF 1 \s </w:instrText>
      </w:r>
      <w:r w:rsidR="009108AD" w:rsidRPr="00815FEA">
        <w:rPr>
          <w:sz w:val="24"/>
          <w:szCs w:val="24"/>
        </w:rPr>
        <w:fldChar w:fldCharType="separate"/>
      </w:r>
      <w:r w:rsidR="005F6E51">
        <w:rPr>
          <w:noProof/>
          <w:sz w:val="24"/>
          <w:szCs w:val="24"/>
        </w:rPr>
        <w:t>4</w:t>
      </w:r>
      <w:r w:rsidR="009108AD" w:rsidRPr="00815FEA">
        <w:rPr>
          <w:noProof/>
          <w:sz w:val="24"/>
          <w:szCs w:val="24"/>
        </w:rPr>
        <w:fldChar w:fldCharType="end"/>
      </w:r>
      <w:r w:rsidRPr="00815FEA">
        <w:rPr>
          <w:sz w:val="24"/>
          <w:szCs w:val="24"/>
        </w:rPr>
        <w:noBreakHyphen/>
      </w:r>
      <w:r w:rsidR="009108AD" w:rsidRPr="00815FEA">
        <w:rPr>
          <w:sz w:val="24"/>
          <w:szCs w:val="24"/>
        </w:rPr>
        <w:fldChar w:fldCharType="begin"/>
      </w:r>
      <w:r w:rsidR="009108AD" w:rsidRPr="00815FEA">
        <w:rPr>
          <w:sz w:val="24"/>
          <w:szCs w:val="24"/>
        </w:rPr>
        <w:instrText xml:space="preserve"> SEQ Figure \* ARABIC \s 1 </w:instrText>
      </w:r>
      <w:r w:rsidR="009108AD" w:rsidRPr="00815FEA">
        <w:rPr>
          <w:sz w:val="24"/>
          <w:szCs w:val="24"/>
        </w:rPr>
        <w:fldChar w:fldCharType="separate"/>
      </w:r>
      <w:r w:rsidR="005F6E51">
        <w:rPr>
          <w:noProof/>
          <w:sz w:val="24"/>
          <w:szCs w:val="24"/>
        </w:rPr>
        <w:t>2</w:t>
      </w:r>
      <w:r w:rsidR="009108AD" w:rsidRPr="00815FEA">
        <w:rPr>
          <w:noProof/>
          <w:sz w:val="24"/>
          <w:szCs w:val="24"/>
        </w:rPr>
        <w:fldChar w:fldCharType="end"/>
      </w:r>
      <w:bookmarkEnd w:id="224"/>
      <w:r w:rsidR="00815FEA">
        <w:rPr>
          <w:sz w:val="24"/>
          <w:szCs w:val="24"/>
        </w:rPr>
        <w:t>:</w:t>
      </w:r>
      <w:r w:rsidRPr="00815FEA">
        <w:rPr>
          <w:sz w:val="24"/>
          <w:szCs w:val="24"/>
        </w:rPr>
        <w:t xml:space="preserve"> </w:t>
      </w:r>
      <w:r w:rsidRPr="00815FEA">
        <w:rPr>
          <w:b w:val="0"/>
          <w:sz w:val="24"/>
          <w:szCs w:val="24"/>
        </w:rPr>
        <w:t>PGM Environment forecast ship call numbers “probable case” for the Reef ports (2012-2032) as extracted from PGM Environment 2012</w:t>
      </w:r>
      <w:bookmarkEnd w:id="225"/>
      <w:bookmarkEnd w:id="226"/>
    </w:p>
    <w:p w:rsidR="00870CD3" w:rsidRDefault="00870CD3">
      <w:pPr>
        <w:rPr>
          <w:rFonts w:ascii="Arial" w:hAnsi="Arial"/>
          <w:b w:val="0"/>
          <w:color w:val="auto"/>
          <w:sz w:val="24"/>
          <w:szCs w:val="24"/>
        </w:rPr>
      </w:pPr>
      <w:r>
        <w:rPr>
          <w:sz w:val="24"/>
          <w:szCs w:val="24"/>
        </w:rPr>
        <w:br w:type="page"/>
      </w:r>
    </w:p>
    <w:p w:rsidR="001A657F" w:rsidRPr="00815FEA" w:rsidRDefault="001A657F" w:rsidP="001A657F">
      <w:pPr>
        <w:pStyle w:val="Body"/>
        <w:rPr>
          <w:sz w:val="24"/>
          <w:szCs w:val="24"/>
        </w:rPr>
      </w:pPr>
      <w:r w:rsidRPr="00815FEA">
        <w:rPr>
          <w:sz w:val="24"/>
          <w:szCs w:val="24"/>
        </w:rPr>
        <w:t xml:space="preserve">It is worth noting that according to PGM Environment’s </w:t>
      </w:r>
      <w:r w:rsidR="00725F5D" w:rsidRPr="00815FEA">
        <w:rPr>
          <w:sz w:val="24"/>
          <w:szCs w:val="24"/>
        </w:rPr>
        <w:t>analysis</w:t>
      </w:r>
      <w:r w:rsidRPr="00815FEA">
        <w:rPr>
          <w:sz w:val="24"/>
          <w:szCs w:val="24"/>
        </w:rPr>
        <w:t>, in 2012, 42 per cent of the total ship call numbers were coal vessels with this forecast to increase to 57 per cent by 2020 and 65</w:t>
      </w:r>
      <w:r w:rsidR="00566468">
        <w:rPr>
          <w:sz w:val="24"/>
          <w:szCs w:val="24"/>
        </w:rPr>
        <w:t xml:space="preserve"> </w:t>
      </w:r>
      <w:r w:rsidRPr="00815FEA">
        <w:rPr>
          <w:sz w:val="24"/>
          <w:szCs w:val="24"/>
        </w:rPr>
        <w:t>per cent by 2032.</w:t>
      </w:r>
    </w:p>
    <w:p w:rsidR="001A657F" w:rsidRPr="00815FEA" w:rsidRDefault="001A657F" w:rsidP="001A657F">
      <w:pPr>
        <w:pStyle w:val="Body"/>
        <w:rPr>
          <w:sz w:val="24"/>
          <w:szCs w:val="24"/>
        </w:rPr>
      </w:pPr>
      <w:r w:rsidRPr="00815FEA">
        <w:rPr>
          <w:sz w:val="24"/>
          <w:szCs w:val="24"/>
        </w:rPr>
        <w:t xml:space="preserve">For the purposes of this ship anchorage study, the Queensland Government and PGM Environmental </w:t>
      </w:r>
      <w:r w:rsidR="00725F5D" w:rsidRPr="00815FEA">
        <w:rPr>
          <w:sz w:val="24"/>
          <w:szCs w:val="24"/>
        </w:rPr>
        <w:t xml:space="preserve">analysis </w:t>
      </w:r>
      <w:r w:rsidRPr="00815FEA">
        <w:rPr>
          <w:sz w:val="24"/>
          <w:szCs w:val="24"/>
        </w:rPr>
        <w:t xml:space="preserve">are assumed to frame and inform the expected future ship call numbers for the CBA. The PGM Environment forecasts at the individual port level are considered to be better suited to the CBA given the port level content and their ability to better understand the upper bounds of the risk of possible negative impacts and the ultimate level of required mitigations. </w:t>
      </w:r>
    </w:p>
    <w:p w:rsidR="001A657F" w:rsidRPr="00B41CFA" w:rsidRDefault="001A657F" w:rsidP="001A657F">
      <w:pPr>
        <w:pStyle w:val="Heading3"/>
        <w:rPr>
          <w:sz w:val="24"/>
        </w:rPr>
      </w:pPr>
      <w:bookmarkStart w:id="227" w:name="_Toc343597230"/>
      <w:bookmarkStart w:id="228" w:name="_Toc362274292"/>
      <w:r w:rsidRPr="00B41CFA">
        <w:rPr>
          <w:sz w:val="24"/>
        </w:rPr>
        <w:t>Expected future total demand for ship anchorages covering the five main ports</w:t>
      </w:r>
      <w:bookmarkEnd w:id="227"/>
      <w:bookmarkEnd w:id="228"/>
    </w:p>
    <w:p w:rsidR="001A657F" w:rsidRPr="00815FEA" w:rsidRDefault="001A657F" w:rsidP="001A657F">
      <w:pPr>
        <w:pStyle w:val="Body"/>
        <w:rPr>
          <w:sz w:val="24"/>
          <w:szCs w:val="24"/>
        </w:rPr>
      </w:pPr>
      <w:r w:rsidRPr="00815FEA">
        <w:rPr>
          <w:sz w:val="24"/>
          <w:szCs w:val="24"/>
        </w:rPr>
        <w:t xml:space="preserve">The expected future total demand for ship anchorages covering the five main ports in the Reef study area will be primarily driven by a combination of the forecast number of ship calls, the average percentage use of anchorages by the ships calling (including removals from port when transferring between berths or awaiting additional cargoes), and the average time required by ships to be at anchor. </w:t>
      </w:r>
    </w:p>
    <w:p w:rsidR="001A657F" w:rsidRPr="00815FEA" w:rsidRDefault="001A657F" w:rsidP="001A657F">
      <w:pPr>
        <w:pStyle w:val="Body"/>
        <w:rPr>
          <w:sz w:val="24"/>
          <w:szCs w:val="24"/>
        </w:rPr>
      </w:pPr>
      <w:r w:rsidRPr="00815FEA">
        <w:rPr>
          <w:sz w:val="24"/>
          <w:szCs w:val="24"/>
        </w:rPr>
        <w:t xml:space="preserve">For the purposes of this study, it is reasonable to assume that the average time required by ships to be at anchor will not change compared with present. However, the percentage of ship calls requiring anchoring in the future may change depending on the nature of any new trades emerging. For example, the emerging Liquefied Natural Gas (LNG) trade at Gladstone, given its dedicated berth infrastructure and controlled/dedicated shipping requirements, is likely to have ships proceeding directly to berth and generally not requiring anchorage. Also </w:t>
      </w:r>
      <w:r w:rsidR="00725F5D" w:rsidRPr="00815FEA">
        <w:rPr>
          <w:sz w:val="24"/>
          <w:szCs w:val="24"/>
        </w:rPr>
        <w:t xml:space="preserve">proposed </w:t>
      </w:r>
      <w:r w:rsidRPr="00815FEA">
        <w:rPr>
          <w:sz w:val="24"/>
          <w:szCs w:val="24"/>
        </w:rPr>
        <w:t xml:space="preserve">new port infrastructure and/or deepened (all-tides access) shipping channels </w:t>
      </w:r>
      <w:r w:rsidR="00725F5D" w:rsidRPr="00815FEA">
        <w:rPr>
          <w:sz w:val="24"/>
          <w:szCs w:val="24"/>
        </w:rPr>
        <w:t>(</w:t>
      </w:r>
      <w:r w:rsidRPr="00815FEA">
        <w:rPr>
          <w:sz w:val="24"/>
          <w:szCs w:val="24"/>
        </w:rPr>
        <w:t xml:space="preserve">as is planned but yet to be assessed) for the Port of Cairns </w:t>
      </w:r>
      <w:r w:rsidR="00725F5D" w:rsidRPr="00815FEA">
        <w:rPr>
          <w:sz w:val="24"/>
          <w:szCs w:val="24"/>
        </w:rPr>
        <w:t xml:space="preserve">to service </w:t>
      </w:r>
      <w:r w:rsidRPr="00815FEA">
        <w:rPr>
          <w:sz w:val="24"/>
          <w:szCs w:val="24"/>
        </w:rPr>
        <w:t>cruise-ships, may cause more ships to proceed direct to berth as opposed to firstly anchoring.</w:t>
      </w:r>
    </w:p>
    <w:p w:rsidR="00391D29" w:rsidRDefault="001A657F" w:rsidP="001A657F">
      <w:pPr>
        <w:pStyle w:val="Body"/>
        <w:rPr>
          <w:sz w:val="24"/>
          <w:szCs w:val="24"/>
        </w:rPr>
        <w:sectPr w:rsidR="00391D29" w:rsidSect="00B6174B">
          <w:pgSz w:w="11906" w:h="16838" w:code="9"/>
          <w:pgMar w:top="1418" w:right="1701" w:bottom="1701" w:left="1418" w:header="709" w:footer="709" w:gutter="0"/>
          <w:cols w:space="720"/>
          <w:docGrid w:linePitch="273"/>
        </w:sectPr>
      </w:pPr>
      <w:r w:rsidRPr="00815FEA">
        <w:rPr>
          <w:sz w:val="24"/>
          <w:szCs w:val="24"/>
        </w:rPr>
        <w:t>The expected future demand for ship anchorages in the study area is quantified in the following sections for each of the five main ports</w:t>
      </w:r>
      <w:r w:rsidR="00EA410C">
        <w:rPr>
          <w:sz w:val="24"/>
          <w:szCs w:val="24"/>
        </w:rPr>
        <w:t xml:space="preserve">, and an overview of the current and future anchorage demand for the Reef’s five main ports is provided below in </w:t>
      </w:r>
      <w:r w:rsidR="00EA410C">
        <w:rPr>
          <w:sz w:val="24"/>
          <w:szCs w:val="24"/>
        </w:rPr>
        <w:fldChar w:fldCharType="begin"/>
      </w:r>
      <w:r w:rsidR="00EA410C">
        <w:rPr>
          <w:sz w:val="24"/>
          <w:szCs w:val="24"/>
        </w:rPr>
        <w:instrText xml:space="preserve"> REF _Ref358879937 \h </w:instrText>
      </w:r>
      <w:r w:rsidR="00EA410C">
        <w:rPr>
          <w:sz w:val="24"/>
          <w:szCs w:val="24"/>
        </w:rPr>
      </w:r>
      <w:r w:rsidR="00EA410C">
        <w:rPr>
          <w:sz w:val="24"/>
          <w:szCs w:val="24"/>
        </w:rPr>
        <w:fldChar w:fldCharType="separate"/>
      </w:r>
      <w:r w:rsidR="00D41D3C">
        <w:rPr>
          <w:sz w:val="24"/>
          <w:szCs w:val="24"/>
        </w:rPr>
        <w:t>t</w:t>
      </w:r>
      <w:r w:rsidR="005F6E51" w:rsidRPr="00815FEA">
        <w:rPr>
          <w:sz w:val="24"/>
          <w:szCs w:val="24"/>
        </w:rPr>
        <w:t xml:space="preserve">able </w:t>
      </w:r>
      <w:r w:rsidR="005F6E51">
        <w:rPr>
          <w:noProof/>
          <w:sz w:val="24"/>
          <w:szCs w:val="24"/>
        </w:rPr>
        <w:t>4</w:t>
      </w:r>
      <w:r w:rsidR="005F6E51" w:rsidRPr="00DE2A47">
        <w:rPr>
          <w:sz w:val="24"/>
          <w:szCs w:val="24"/>
        </w:rPr>
        <w:noBreakHyphen/>
      </w:r>
      <w:r w:rsidR="005F6E51">
        <w:rPr>
          <w:noProof/>
          <w:sz w:val="24"/>
          <w:szCs w:val="24"/>
        </w:rPr>
        <w:t>3</w:t>
      </w:r>
      <w:r w:rsidR="00EA410C">
        <w:rPr>
          <w:sz w:val="24"/>
          <w:szCs w:val="24"/>
        </w:rPr>
        <w:fldChar w:fldCharType="end"/>
      </w:r>
      <w:r w:rsidRPr="00815FEA">
        <w:rPr>
          <w:sz w:val="24"/>
          <w:szCs w:val="24"/>
        </w:rPr>
        <w:t>.</w:t>
      </w:r>
    </w:p>
    <w:p w:rsidR="001A657F" w:rsidRDefault="001A657F" w:rsidP="001A657F">
      <w:pPr>
        <w:pStyle w:val="CaptionTable"/>
        <w:rPr>
          <w:b w:val="0"/>
          <w:sz w:val="24"/>
          <w:szCs w:val="24"/>
        </w:rPr>
      </w:pPr>
      <w:bookmarkStart w:id="229" w:name="_Ref358879937"/>
      <w:bookmarkStart w:id="230" w:name="_Toc343597153"/>
      <w:bookmarkStart w:id="231" w:name="_Toc362274367"/>
      <w:r w:rsidRPr="00815FEA">
        <w:rPr>
          <w:sz w:val="24"/>
          <w:szCs w:val="24"/>
        </w:rPr>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4</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3</w:t>
      </w:r>
      <w:r w:rsidR="00542883">
        <w:rPr>
          <w:sz w:val="24"/>
          <w:szCs w:val="24"/>
        </w:rPr>
        <w:fldChar w:fldCharType="end"/>
      </w:r>
      <w:bookmarkEnd w:id="229"/>
      <w:r w:rsidR="00EA410C" w:rsidRPr="00DE2A47">
        <w:rPr>
          <w:noProof/>
          <w:sz w:val="24"/>
          <w:szCs w:val="24"/>
        </w:rPr>
        <w:t>:</w:t>
      </w:r>
      <w:r w:rsidRPr="00DE2A47">
        <w:rPr>
          <w:sz w:val="24"/>
          <w:szCs w:val="24"/>
        </w:rPr>
        <w:t xml:space="preserve"> </w:t>
      </w:r>
      <w:r w:rsidRPr="00DE2A47">
        <w:rPr>
          <w:b w:val="0"/>
          <w:sz w:val="24"/>
          <w:szCs w:val="24"/>
        </w:rPr>
        <w:t xml:space="preserve">Overview of current and future anchorage demand for the </w:t>
      </w:r>
      <w:r w:rsidR="003F4246" w:rsidRPr="00DE2A47">
        <w:rPr>
          <w:b w:val="0"/>
          <w:sz w:val="24"/>
          <w:szCs w:val="24"/>
        </w:rPr>
        <w:t xml:space="preserve">Reef’s </w:t>
      </w:r>
      <w:r w:rsidRPr="00DE2A47">
        <w:rPr>
          <w:b w:val="0"/>
          <w:sz w:val="24"/>
          <w:szCs w:val="24"/>
        </w:rPr>
        <w:t>five main ports</w:t>
      </w:r>
      <w:bookmarkEnd w:id="230"/>
      <w:r w:rsidR="00815FEA" w:rsidRPr="00DE2A47">
        <w:rPr>
          <w:b w:val="0"/>
          <w:sz w:val="24"/>
          <w:szCs w:val="24"/>
        </w:rPr>
        <w:t xml:space="preserve"> (* as at year 2032)</w:t>
      </w:r>
      <w:bookmarkEnd w:id="231"/>
    </w:p>
    <w:tbl>
      <w:tblPr>
        <w:tblStyle w:val="TableGrid"/>
        <w:tblW w:w="4969" w:type="pct"/>
        <w:tblInd w:w="113" w:type="dxa"/>
        <w:tblLayout w:type="fixed"/>
        <w:tblLook w:val="04A0" w:firstRow="1" w:lastRow="0" w:firstColumn="1" w:lastColumn="0" w:noHBand="0" w:noVBand="1"/>
        <w:tblCaption w:val="Overview of current and future anchorage demand for the five major ports"/>
        <w:tblDescription w:val="A summary of the current and future anchorage demand, with separate columns for each port assessed and further split into current and future periods. Rows are the number or per cent of vessels, number of anchors and average waiting days."/>
      </w:tblPr>
      <w:tblGrid>
        <w:gridCol w:w="1652"/>
        <w:gridCol w:w="1180"/>
        <w:gridCol w:w="1317"/>
        <w:gridCol w:w="1109"/>
        <w:gridCol w:w="1247"/>
        <w:gridCol w:w="1109"/>
        <w:gridCol w:w="1246"/>
        <w:gridCol w:w="1247"/>
        <w:gridCol w:w="1248"/>
        <w:gridCol w:w="1247"/>
        <w:gridCol w:w="1247"/>
      </w:tblGrid>
      <w:tr w:rsidR="00EA410C" w:rsidRPr="00D1300E" w:rsidTr="00DE2A47">
        <w:trPr>
          <w:trHeight w:val="379"/>
          <w:tblHeader/>
        </w:trPr>
        <w:tc>
          <w:tcPr>
            <w:tcW w:w="1651" w:type="dxa"/>
            <w:vMerge w:val="restart"/>
            <w:tcBorders>
              <w:top w:val="single" w:sz="4" w:space="0" w:color="auto"/>
              <w:left w:val="nil"/>
              <w:bottom w:val="single" w:sz="4" w:space="0" w:color="auto"/>
              <w:right w:val="nil"/>
            </w:tcBorders>
            <w:shd w:val="clear" w:color="auto" w:fill="FFFFFF" w:themeFill="background1"/>
          </w:tcPr>
          <w:p w:rsidR="00EA410C" w:rsidRPr="00D1300E" w:rsidRDefault="00EA410C" w:rsidP="004E48F3">
            <w:pPr>
              <w:pStyle w:val="Body"/>
              <w:rPr>
                <w:b/>
                <w:sz w:val="24"/>
                <w:szCs w:val="24"/>
              </w:rPr>
            </w:pPr>
            <w:r w:rsidRPr="00D1300E">
              <w:rPr>
                <w:b/>
                <w:sz w:val="24"/>
                <w:szCs w:val="24"/>
              </w:rPr>
              <w:t>Ports:</w:t>
            </w:r>
          </w:p>
        </w:tc>
        <w:tc>
          <w:tcPr>
            <w:tcW w:w="2497" w:type="dxa"/>
            <w:gridSpan w:val="2"/>
            <w:tcBorders>
              <w:top w:val="single" w:sz="4" w:space="0" w:color="auto"/>
              <w:left w:val="nil"/>
              <w:bottom w:val="single" w:sz="4" w:space="0" w:color="auto"/>
              <w:right w:val="nil"/>
            </w:tcBorders>
            <w:shd w:val="clear" w:color="auto" w:fill="FFFFFF" w:themeFill="background1"/>
          </w:tcPr>
          <w:p w:rsidR="00EA410C" w:rsidRPr="00D1300E" w:rsidRDefault="00EA410C" w:rsidP="004E48F3">
            <w:pPr>
              <w:pStyle w:val="Body"/>
              <w:rPr>
                <w:b/>
                <w:sz w:val="24"/>
                <w:szCs w:val="24"/>
              </w:rPr>
            </w:pPr>
            <w:r w:rsidRPr="00D1300E">
              <w:rPr>
                <w:b/>
                <w:sz w:val="24"/>
                <w:szCs w:val="24"/>
              </w:rPr>
              <w:t>Cairns</w:t>
            </w:r>
          </w:p>
        </w:tc>
        <w:tc>
          <w:tcPr>
            <w:tcW w:w="2356" w:type="dxa"/>
            <w:gridSpan w:val="2"/>
            <w:tcBorders>
              <w:top w:val="single" w:sz="4" w:space="0" w:color="auto"/>
              <w:left w:val="nil"/>
              <w:bottom w:val="single" w:sz="4" w:space="0" w:color="auto"/>
              <w:right w:val="nil"/>
            </w:tcBorders>
            <w:shd w:val="clear" w:color="auto" w:fill="FFFFFF" w:themeFill="background1"/>
          </w:tcPr>
          <w:p w:rsidR="00EA410C" w:rsidRPr="00D1300E" w:rsidRDefault="00EA410C" w:rsidP="004E48F3">
            <w:pPr>
              <w:pStyle w:val="Body"/>
              <w:rPr>
                <w:b/>
                <w:sz w:val="24"/>
                <w:szCs w:val="24"/>
              </w:rPr>
            </w:pPr>
            <w:r w:rsidRPr="00D1300E">
              <w:rPr>
                <w:b/>
                <w:sz w:val="24"/>
                <w:szCs w:val="24"/>
              </w:rPr>
              <w:t>Townsville</w:t>
            </w:r>
          </w:p>
        </w:tc>
        <w:tc>
          <w:tcPr>
            <w:tcW w:w="2355" w:type="dxa"/>
            <w:gridSpan w:val="2"/>
            <w:tcBorders>
              <w:top w:val="single" w:sz="4" w:space="0" w:color="auto"/>
              <w:left w:val="nil"/>
              <w:bottom w:val="single" w:sz="4" w:space="0" w:color="auto"/>
              <w:right w:val="nil"/>
            </w:tcBorders>
            <w:shd w:val="clear" w:color="auto" w:fill="FFFFFF" w:themeFill="background1"/>
          </w:tcPr>
          <w:p w:rsidR="00EA410C" w:rsidRPr="00D1300E" w:rsidRDefault="00EA410C" w:rsidP="004E48F3">
            <w:pPr>
              <w:pStyle w:val="Body"/>
              <w:rPr>
                <w:b/>
                <w:sz w:val="24"/>
                <w:szCs w:val="24"/>
              </w:rPr>
            </w:pPr>
            <w:r w:rsidRPr="00D1300E">
              <w:rPr>
                <w:b/>
                <w:sz w:val="24"/>
                <w:szCs w:val="24"/>
              </w:rPr>
              <w:t>Abbot Point</w:t>
            </w:r>
          </w:p>
        </w:tc>
        <w:tc>
          <w:tcPr>
            <w:tcW w:w="2495" w:type="dxa"/>
            <w:gridSpan w:val="2"/>
            <w:tcBorders>
              <w:top w:val="single" w:sz="4" w:space="0" w:color="auto"/>
              <w:left w:val="nil"/>
              <w:bottom w:val="single" w:sz="4" w:space="0" w:color="auto"/>
              <w:right w:val="nil"/>
            </w:tcBorders>
            <w:shd w:val="clear" w:color="auto" w:fill="FFFFFF" w:themeFill="background1"/>
          </w:tcPr>
          <w:p w:rsidR="00EA410C" w:rsidRPr="00D1300E" w:rsidRDefault="00EA410C" w:rsidP="004E48F3">
            <w:pPr>
              <w:pStyle w:val="Body"/>
              <w:rPr>
                <w:b/>
                <w:sz w:val="24"/>
                <w:szCs w:val="24"/>
              </w:rPr>
            </w:pPr>
            <w:r w:rsidRPr="00D1300E">
              <w:rPr>
                <w:b/>
                <w:sz w:val="24"/>
                <w:szCs w:val="24"/>
              </w:rPr>
              <w:t>Hay Point</w:t>
            </w:r>
          </w:p>
        </w:tc>
        <w:tc>
          <w:tcPr>
            <w:tcW w:w="2494" w:type="dxa"/>
            <w:gridSpan w:val="2"/>
            <w:tcBorders>
              <w:top w:val="single" w:sz="4" w:space="0" w:color="auto"/>
              <w:left w:val="nil"/>
              <w:bottom w:val="single" w:sz="4" w:space="0" w:color="auto"/>
              <w:right w:val="nil"/>
            </w:tcBorders>
            <w:shd w:val="clear" w:color="auto" w:fill="FFFFFF" w:themeFill="background1"/>
          </w:tcPr>
          <w:p w:rsidR="00EA410C" w:rsidRPr="00D1300E" w:rsidRDefault="00EA410C" w:rsidP="004E48F3">
            <w:pPr>
              <w:pStyle w:val="Body"/>
              <w:rPr>
                <w:b/>
                <w:sz w:val="24"/>
                <w:szCs w:val="24"/>
              </w:rPr>
            </w:pPr>
            <w:r w:rsidRPr="00D1300E">
              <w:rPr>
                <w:b/>
                <w:sz w:val="24"/>
                <w:szCs w:val="24"/>
              </w:rPr>
              <w:t>Gladstone</w:t>
            </w:r>
          </w:p>
        </w:tc>
      </w:tr>
      <w:tr w:rsidR="00EA410C" w:rsidRPr="00D1300E" w:rsidTr="00DE2A47">
        <w:trPr>
          <w:trHeight w:val="424"/>
          <w:tblHeader/>
        </w:trPr>
        <w:tc>
          <w:tcPr>
            <w:tcW w:w="1651" w:type="dxa"/>
            <w:vMerge/>
            <w:tcBorders>
              <w:top w:val="single" w:sz="4" w:space="0" w:color="auto"/>
              <w:left w:val="nil"/>
              <w:bottom w:val="nil"/>
              <w:right w:val="nil"/>
            </w:tcBorders>
            <w:shd w:val="clear" w:color="auto" w:fill="FFFFFF" w:themeFill="background1"/>
          </w:tcPr>
          <w:p w:rsidR="00EA410C" w:rsidRPr="00D1300E" w:rsidRDefault="00EA410C" w:rsidP="004E48F3">
            <w:pPr>
              <w:pStyle w:val="Body"/>
              <w:rPr>
                <w:sz w:val="24"/>
                <w:szCs w:val="24"/>
              </w:rPr>
            </w:pPr>
          </w:p>
        </w:tc>
        <w:tc>
          <w:tcPr>
            <w:tcW w:w="1180" w:type="dxa"/>
            <w:tcBorders>
              <w:top w:val="single" w:sz="4" w:space="0" w:color="auto"/>
              <w:left w:val="nil"/>
              <w:bottom w:val="single" w:sz="4" w:space="0" w:color="auto"/>
              <w:right w:val="nil"/>
            </w:tcBorders>
            <w:shd w:val="clear" w:color="auto" w:fill="FFFFFF" w:themeFill="background1"/>
          </w:tcPr>
          <w:p w:rsidR="00EA410C" w:rsidRPr="00D1300E" w:rsidRDefault="00EA410C" w:rsidP="004E48F3">
            <w:pPr>
              <w:pStyle w:val="Body"/>
              <w:rPr>
                <w:b/>
                <w:sz w:val="24"/>
                <w:szCs w:val="24"/>
              </w:rPr>
            </w:pPr>
            <w:r w:rsidRPr="00D1300E">
              <w:rPr>
                <w:b/>
                <w:sz w:val="24"/>
                <w:szCs w:val="24"/>
              </w:rPr>
              <w:t>Current</w:t>
            </w:r>
          </w:p>
        </w:tc>
        <w:tc>
          <w:tcPr>
            <w:tcW w:w="1316" w:type="dxa"/>
            <w:tcBorders>
              <w:top w:val="single" w:sz="4" w:space="0" w:color="auto"/>
              <w:left w:val="nil"/>
              <w:bottom w:val="single" w:sz="4" w:space="0" w:color="auto"/>
              <w:right w:val="nil"/>
            </w:tcBorders>
            <w:shd w:val="clear" w:color="auto" w:fill="FFFFFF" w:themeFill="background1"/>
          </w:tcPr>
          <w:p w:rsidR="00EA410C" w:rsidRPr="00D1300E" w:rsidRDefault="00EA410C" w:rsidP="004E48F3">
            <w:pPr>
              <w:pStyle w:val="Body"/>
              <w:rPr>
                <w:b/>
                <w:sz w:val="24"/>
                <w:szCs w:val="24"/>
              </w:rPr>
            </w:pPr>
            <w:r w:rsidRPr="00D1300E">
              <w:rPr>
                <w:b/>
                <w:sz w:val="24"/>
                <w:szCs w:val="24"/>
              </w:rPr>
              <w:t>Future*</w:t>
            </w:r>
          </w:p>
        </w:tc>
        <w:tc>
          <w:tcPr>
            <w:tcW w:w="1109" w:type="dxa"/>
            <w:tcBorders>
              <w:top w:val="single" w:sz="4" w:space="0" w:color="auto"/>
              <w:left w:val="nil"/>
              <w:bottom w:val="single" w:sz="4" w:space="0" w:color="auto"/>
              <w:right w:val="nil"/>
            </w:tcBorders>
            <w:shd w:val="clear" w:color="auto" w:fill="FFFFFF" w:themeFill="background1"/>
          </w:tcPr>
          <w:p w:rsidR="00EA410C" w:rsidRPr="00D1300E" w:rsidRDefault="00EA410C" w:rsidP="004E48F3">
            <w:pPr>
              <w:pStyle w:val="Body"/>
              <w:rPr>
                <w:b/>
                <w:sz w:val="24"/>
                <w:szCs w:val="24"/>
              </w:rPr>
            </w:pPr>
            <w:r w:rsidRPr="00D1300E">
              <w:rPr>
                <w:b/>
                <w:sz w:val="24"/>
                <w:szCs w:val="24"/>
              </w:rPr>
              <w:t>Current</w:t>
            </w:r>
          </w:p>
        </w:tc>
        <w:tc>
          <w:tcPr>
            <w:tcW w:w="1247" w:type="dxa"/>
            <w:tcBorders>
              <w:top w:val="single" w:sz="4" w:space="0" w:color="auto"/>
              <w:left w:val="nil"/>
              <w:bottom w:val="single" w:sz="4" w:space="0" w:color="auto"/>
              <w:right w:val="nil"/>
            </w:tcBorders>
            <w:shd w:val="clear" w:color="auto" w:fill="FFFFFF" w:themeFill="background1"/>
          </w:tcPr>
          <w:p w:rsidR="00EA410C" w:rsidRPr="00D1300E" w:rsidRDefault="00EA410C" w:rsidP="004E48F3">
            <w:pPr>
              <w:pStyle w:val="Body"/>
              <w:rPr>
                <w:b/>
                <w:sz w:val="24"/>
                <w:szCs w:val="24"/>
              </w:rPr>
            </w:pPr>
            <w:r w:rsidRPr="00D1300E">
              <w:rPr>
                <w:b/>
                <w:sz w:val="24"/>
                <w:szCs w:val="24"/>
              </w:rPr>
              <w:t>Future*</w:t>
            </w:r>
          </w:p>
        </w:tc>
        <w:tc>
          <w:tcPr>
            <w:tcW w:w="1109" w:type="dxa"/>
            <w:tcBorders>
              <w:top w:val="single" w:sz="4" w:space="0" w:color="auto"/>
              <w:left w:val="nil"/>
              <w:bottom w:val="single" w:sz="4" w:space="0" w:color="auto"/>
              <w:right w:val="nil"/>
            </w:tcBorders>
            <w:shd w:val="clear" w:color="auto" w:fill="FFFFFF" w:themeFill="background1"/>
          </w:tcPr>
          <w:p w:rsidR="00EA410C" w:rsidRPr="00D1300E" w:rsidRDefault="00EA410C" w:rsidP="004E48F3">
            <w:pPr>
              <w:pStyle w:val="Body"/>
              <w:rPr>
                <w:b/>
                <w:sz w:val="24"/>
                <w:szCs w:val="24"/>
              </w:rPr>
            </w:pPr>
            <w:r w:rsidRPr="00D1300E">
              <w:rPr>
                <w:b/>
                <w:sz w:val="24"/>
                <w:szCs w:val="24"/>
              </w:rPr>
              <w:t>Current</w:t>
            </w:r>
          </w:p>
        </w:tc>
        <w:tc>
          <w:tcPr>
            <w:tcW w:w="1246" w:type="dxa"/>
            <w:tcBorders>
              <w:top w:val="single" w:sz="4" w:space="0" w:color="auto"/>
              <w:left w:val="nil"/>
              <w:bottom w:val="single" w:sz="4" w:space="0" w:color="auto"/>
              <w:right w:val="nil"/>
            </w:tcBorders>
            <w:shd w:val="clear" w:color="auto" w:fill="FFFFFF" w:themeFill="background1"/>
          </w:tcPr>
          <w:p w:rsidR="00EA410C" w:rsidRPr="00D1300E" w:rsidRDefault="00EA410C" w:rsidP="004E48F3">
            <w:pPr>
              <w:pStyle w:val="Body"/>
              <w:rPr>
                <w:b/>
                <w:sz w:val="24"/>
                <w:szCs w:val="24"/>
              </w:rPr>
            </w:pPr>
            <w:r w:rsidRPr="00D1300E">
              <w:rPr>
                <w:b/>
                <w:sz w:val="24"/>
                <w:szCs w:val="24"/>
              </w:rPr>
              <w:t>Future*</w:t>
            </w:r>
          </w:p>
        </w:tc>
        <w:tc>
          <w:tcPr>
            <w:tcW w:w="1247" w:type="dxa"/>
            <w:tcBorders>
              <w:top w:val="single" w:sz="4" w:space="0" w:color="auto"/>
              <w:left w:val="nil"/>
              <w:bottom w:val="single" w:sz="4" w:space="0" w:color="auto"/>
              <w:right w:val="nil"/>
            </w:tcBorders>
            <w:shd w:val="clear" w:color="auto" w:fill="FFFFFF" w:themeFill="background1"/>
          </w:tcPr>
          <w:p w:rsidR="00EA410C" w:rsidRPr="00D1300E" w:rsidRDefault="00EA410C" w:rsidP="004E48F3">
            <w:pPr>
              <w:pStyle w:val="Body"/>
              <w:rPr>
                <w:b/>
                <w:sz w:val="24"/>
                <w:szCs w:val="24"/>
              </w:rPr>
            </w:pPr>
            <w:r w:rsidRPr="00D1300E">
              <w:rPr>
                <w:b/>
                <w:sz w:val="24"/>
                <w:szCs w:val="24"/>
              </w:rPr>
              <w:t>Current</w:t>
            </w:r>
          </w:p>
        </w:tc>
        <w:tc>
          <w:tcPr>
            <w:tcW w:w="1247" w:type="dxa"/>
            <w:tcBorders>
              <w:top w:val="single" w:sz="4" w:space="0" w:color="auto"/>
              <w:left w:val="nil"/>
              <w:bottom w:val="single" w:sz="4" w:space="0" w:color="auto"/>
              <w:right w:val="nil"/>
            </w:tcBorders>
            <w:shd w:val="clear" w:color="auto" w:fill="FFFFFF" w:themeFill="background1"/>
          </w:tcPr>
          <w:p w:rsidR="00EA410C" w:rsidRPr="00D1300E" w:rsidRDefault="00EA410C" w:rsidP="004E48F3">
            <w:pPr>
              <w:pStyle w:val="Body"/>
              <w:rPr>
                <w:b/>
                <w:sz w:val="24"/>
                <w:szCs w:val="24"/>
              </w:rPr>
            </w:pPr>
            <w:r w:rsidRPr="00D1300E">
              <w:rPr>
                <w:b/>
                <w:sz w:val="24"/>
                <w:szCs w:val="24"/>
              </w:rPr>
              <w:t>Future*</w:t>
            </w:r>
          </w:p>
        </w:tc>
        <w:tc>
          <w:tcPr>
            <w:tcW w:w="1247" w:type="dxa"/>
            <w:tcBorders>
              <w:top w:val="single" w:sz="4" w:space="0" w:color="auto"/>
              <w:left w:val="nil"/>
              <w:bottom w:val="single" w:sz="4" w:space="0" w:color="auto"/>
              <w:right w:val="nil"/>
            </w:tcBorders>
            <w:shd w:val="clear" w:color="auto" w:fill="FFFFFF" w:themeFill="background1"/>
          </w:tcPr>
          <w:p w:rsidR="00EA410C" w:rsidRPr="00D1300E" w:rsidRDefault="00EA410C" w:rsidP="004E48F3">
            <w:pPr>
              <w:pStyle w:val="Body"/>
              <w:rPr>
                <w:b/>
                <w:sz w:val="24"/>
                <w:szCs w:val="24"/>
              </w:rPr>
            </w:pPr>
            <w:r w:rsidRPr="00D1300E">
              <w:rPr>
                <w:b/>
                <w:sz w:val="24"/>
                <w:szCs w:val="24"/>
              </w:rPr>
              <w:t>Current</w:t>
            </w:r>
          </w:p>
        </w:tc>
        <w:tc>
          <w:tcPr>
            <w:tcW w:w="1246" w:type="dxa"/>
            <w:tcBorders>
              <w:top w:val="single" w:sz="4" w:space="0" w:color="auto"/>
              <w:left w:val="nil"/>
              <w:bottom w:val="single" w:sz="4" w:space="0" w:color="auto"/>
              <w:right w:val="nil"/>
            </w:tcBorders>
            <w:shd w:val="clear" w:color="auto" w:fill="FFFFFF" w:themeFill="background1"/>
          </w:tcPr>
          <w:p w:rsidR="00EA410C" w:rsidRPr="00D1300E" w:rsidRDefault="00EA410C" w:rsidP="004E48F3">
            <w:pPr>
              <w:pStyle w:val="Body"/>
              <w:rPr>
                <w:b/>
                <w:sz w:val="24"/>
                <w:szCs w:val="24"/>
              </w:rPr>
            </w:pPr>
            <w:r w:rsidRPr="00D1300E">
              <w:rPr>
                <w:b/>
                <w:sz w:val="24"/>
                <w:szCs w:val="24"/>
              </w:rPr>
              <w:t>Future*</w:t>
            </w:r>
          </w:p>
        </w:tc>
      </w:tr>
      <w:tr w:rsidR="00EA410C" w:rsidRPr="00D1300E" w:rsidTr="00DE2A47">
        <w:trPr>
          <w:trHeight w:val="736"/>
        </w:trPr>
        <w:tc>
          <w:tcPr>
            <w:tcW w:w="1651" w:type="dxa"/>
            <w:tcBorders>
              <w:top w:val="nil"/>
              <w:left w:val="nil"/>
              <w:bottom w:val="single" w:sz="4" w:space="0" w:color="auto"/>
              <w:right w:val="nil"/>
            </w:tcBorders>
            <w:shd w:val="clear" w:color="auto" w:fill="auto"/>
          </w:tcPr>
          <w:p w:rsidR="00EA410C" w:rsidRPr="00D1300E" w:rsidRDefault="00EA410C" w:rsidP="004E48F3">
            <w:pPr>
              <w:pStyle w:val="Body"/>
              <w:rPr>
                <w:sz w:val="24"/>
                <w:szCs w:val="24"/>
              </w:rPr>
            </w:pPr>
            <w:r w:rsidRPr="00D1300E">
              <w:rPr>
                <w:sz w:val="24"/>
                <w:szCs w:val="24"/>
              </w:rPr>
              <w:t>Ship calls per year</w:t>
            </w:r>
          </w:p>
        </w:tc>
        <w:tc>
          <w:tcPr>
            <w:tcW w:w="1180" w:type="dxa"/>
            <w:tcBorders>
              <w:top w:val="single" w:sz="4" w:space="0" w:color="auto"/>
              <w:left w:val="nil"/>
              <w:bottom w:val="single" w:sz="4" w:space="0" w:color="auto"/>
              <w:right w:val="nil"/>
            </w:tcBorders>
            <w:shd w:val="clear" w:color="auto" w:fill="auto"/>
          </w:tcPr>
          <w:p w:rsidR="00EA410C" w:rsidRPr="00D1300E" w:rsidRDefault="00EA410C" w:rsidP="004E48F3">
            <w:pPr>
              <w:pStyle w:val="Body"/>
              <w:rPr>
                <w:sz w:val="24"/>
                <w:szCs w:val="24"/>
              </w:rPr>
            </w:pPr>
            <w:r w:rsidRPr="00D1300E">
              <w:rPr>
                <w:sz w:val="24"/>
                <w:szCs w:val="24"/>
              </w:rPr>
              <w:t>476</w:t>
            </w:r>
          </w:p>
        </w:tc>
        <w:tc>
          <w:tcPr>
            <w:tcW w:w="1316" w:type="dxa"/>
            <w:tcBorders>
              <w:top w:val="single" w:sz="4" w:space="0" w:color="auto"/>
              <w:left w:val="nil"/>
              <w:bottom w:val="single" w:sz="4" w:space="0" w:color="auto"/>
              <w:right w:val="nil"/>
            </w:tcBorders>
            <w:shd w:val="clear" w:color="auto" w:fill="auto"/>
          </w:tcPr>
          <w:p w:rsidR="00EA410C" w:rsidRPr="00D1300E" w:rsidRDefault="00EA410C" w:rsidP="004E48F3">
            <w:pPr>
              <w:pStyle w:val="Body"/>
              <w:rPr>
                <w:sz w:val="24"/>
                <w:szCs w:val="24"/>
              </w:rPr>
            </w:pPr>
            <w:r w:rsidRPr="00D1300E">
              <w:rPr>
                <w:sz w:val="24"/>
                <w:szCs w:val="24"/>
              </w:rPr>
              <w:t>501</w:t>
            </w:r>
          </w:p>
        </w:tc>
        <w:tc>
          <w:tcPr>
            <w:tcW w:w="1109" w:type="dxa"/>
            <w:tcBorders>
              <w:top w:val="single" w:sz="4" w:space="0" w:color="auto"/>
              <w:left w:val="nil"/>
              <w:bottom w:val="single" w:sz="4" w:space="0" w:color="auto"/>
              <w:right w:val="nil"/>
            </w:tcBorders>
            <w:shd w:val="clear" w:color="auto" w:fill="auto"/>
          </w:tcPr>
          <w:p w:rsidR="00EA410C" w:rsidRPr="00D1300E" w:rsidRDefault="00EA410C" w:rsidP="004E48F3">
            <w:pPr>
              <w:pStyle w:val="Body"/>
              <w:rPr>
                <w:sz w:val="24"/>
                <w:szCs w:val="24"/>
              </w:rPr>
            </w:pPr>
            <w:r w:rsidRPr="00D1300E">
              <w:rPr>
                <w:sz w:val="24"/>
                <w:szCs w:val="24"/>
              </w:rPr>
              <w:t>726</w:t>
            </w:r>
          </w:p>
        </w:tc>
        <w:tc>
          <w:tcPr>
            <w:tcW w:w="1247" w:type="dxa"/>
            <w:tcBorders>
              <w:top w:val="single" w:sz="4" w:space="0" w:color="auto"/>
              <w:left w:val="nil"/>
              <w:bottom w:val="single" w:sz="4" w:space="0" w:color="auto"/>
              <w:right w:val="nil"/>
            </w:tcBorders>
            <w:shd w:val="clear" w:color="auto" w:fill="auto"/>
          </w:tcPr>
          <w:p w:rsidR="00EA410C" w:rsidRPr="00D1300E" w:rsidRDefault="00EA410C" w:rsidP="004E48F3">
            <w:pPr>
              <w:pStyle w:val="Body"/>
              <w:rPr>
                <w:sz w:val="24"/>
                <w:szCs w:val="24"/>
              </w:rPr>
            </w:pPr>
            <w:r w:rsidRPr="00D1300E">
              <w:rPr>
                <w:sz w:val="24"/>
                <w:szCs w:val="24"/>
              </w:rPr>
              <w:t>1161</w:t>
            </w:r>
          </w:p>
        </w:tc>
        <w:tc>
          <w:tcPr>
            <w:tcW w:w="1109" w:type="dxa"/>
            <w:tcBorders>
              <w:top w:val="single" w:sz="4" w:space="0" w:color="auto"/>
              <w:left w:val="nil"/>
              <w:bottom w:val="single" w:sz="4" w:space="0" w:color="auto"/>
              <w:right w:val="nil"/>
            </w:tcBorders>
          </w:tcPr>
          <w:p w:rsidR="00EA410C" w:rsidRPr="00D1300E" w:rsidRDefault="00EA410C" w:rsidP="004E48F3">
            <w:pPr>
              <w:pStyle w:val="Body"/>
              <w:rPr>
                <w:sz w:val="24"/>
                <w:szCs w:val="24"/>
              </w:rPr>
            </w:pPr>
            <w:r w:rsidRPr="00D1300E">
              <w:rPr>
                <w:sz w:val="24"/>
                <w:szCs w:val="24"/>
              </w:rPr>
              <w:t>179</w:t>
            </w:r>
          </w:p>
        </w:tc>
        <w:tc>
          <w:tcPr>
            <w:tcW w:w="1246" w:type="dxa"/>
            <w:tcBorders>
              <w:top w:val="single" w:sz="4" w:space="0" w:color="auto"/>
              <w:left w:val="nil"/>
              <w:bottom w:val="single" w:sz="4" w:space="0" w:color="auto"/>
              <w:right w:val="nil"/>
            </w:tcBorders>
          </w:tcPr>
          <w:p w:rsidR="00EA410C" w:rsidRPr="00D1300E" w:rsidRDefault="00EA410C" w:rsidP="004E48F3">
            <w:pPr>
              <w:pStyle w:val="Body"/>
              <w:rPr>
                <w:sz w:val="24"/>
                <w:szCs w:val="24"/>
              </w:rPr>
            </w:pPr>
            <w:r w:rsidRPr="00D1300E">
              <w:rPr>
                <w:sz w:val="24"/>
                <w:szCs w:val="24"/>
              </w:rPr>
              <w:t>1640</w:t>
            </w:r>
          </w:p>
        </w:tc>
        <w:tc>
          <w:tcPr>
            <w:tcW w:w="1247" w:type="dxa"/>
            <w:tcBorders>
              <w:top w:val="single" w:sz="4" w:space="0" w:color="auto"/>
              <w:left w:val="nil"/>
              <w:bottom w:val="single" w:sz="4" w:space="0" w:color="auto"/>
              <w:right w:val="nil"/>
            </w:tcBorders>
          </w:tcPr>
          <w:p w:rsidR="00EA410C" w:rsidRPr="00D1300E" w:rsidRDefault="00EA410C" w:rsidP="004E48F3">
            <w:pPr>
              <w:pStyle w:val="Body"/>
              <w:rPr>
                <w:sz w:val="24"/>
                <w:szCs w:val="24"/>
              </w:rPr>
            </w:pPr>
            <w:r w:rsidRPr="00D1300E">
              <w:rPr>
                <w:sz w:val="24"/>
                <w:szCs w:val="24"/>
              </w:rPr>
              <w:t>796</w:t>
            </w:r>
          </w:p>
        </w:tc>
        <w:tc>
          <w:tcPr>
            <w:tcW w:w="1247" w:type="dxa"/>
            <w:tcBorders>
              <w:top w:val="single" w:sz="4" w:space="0" w:color="auto"/>
              <w:left w:val="nil"/>
              <w:bottom w:val="single" w:sz="4" w:space="0" w:color="auto"/>
              <w:right w:val="nil"/>
            </w:tcBorders>
          </w:tcPr>
          <w:p w:rsidR="00EA410C" w:rsidRPr="00D1300E" w:rsidRDefault="00EA410C" w:rsidP="004E48F3">
            <w:pPr>
              <w:pStyle w:val="Body"/>
              <w:rPr>
                <w:sz w:val="24"/>
                <w:szCs w:val="24"/>
              </w:rPr>
            </w:pPr>
            <w:r w:rsidRPr="00D1300E">
              <w:rPr>
                <w:sz w:val="24"/>
                <w:szCs w:val="24"/>
              </w:rPr>
              <w:t>2380</w:t>
            </w:r>
          </w:p>
        </w:tc>
        <w:tc>
          <w:tcPr>
            <w:tcW w:w="1247" w:type="dxa"/>
            <w:tcBorders>
              <w:top w:val="single" w:sz="4" w:space="0" w:color="auto"/>
              <w:left w:val="nil"/>
              <w:bottom w:val="single" w:sz="4" w:space="0" w:color="auto"/>
              <w:right w:val="nil"/>
            </w:tcBorders>
          </w:tcPr>
          <w:p w:rsidR="00EA410C" w:rsidRPr="00D1300E" w:rsidRDefault="00EA410C" w:rsidP="004E48F3">
            <w:pPr>
              <w:pStyle w:val="Body"/>
              <w:rPr>
                <w:sz w:val="24"/>
                <w:szCs w:val="24"/>
              </w:rPr>
            </w:pPr>
            <w:r w:rsidRPr="00D1300E">
              <w:rPr>
                <w:sz w:val="24"/>
                <w:szCs w:val="24"/>
              </w:rPr>
              <w:t>1510</w:t>
            </w:r>
          </w:p>
        </w:tc>
        <w:tc>
          <w:tcPr>
            <w:tcW w:w="1246" w:type="dxa"/>
            <w:tcBorders>
              <w:top w:val="single" w:sz="4" w:space="0" w:color="auto"/>
              <w:left w:val="nil"/>
              <w:bottom w:val="single" w:sz="4" w:space="0" w:color="auto"/>
              <w:right w:val="nil"/>
            </w:tcBorders>
          </w:tcPr>
          <w:p w:rsidR="00EA410C" w:rsidRPr="00D1300E" w:rsidRDefault="00EA410C" w:rsidP="004E48F3">
            <w:pPr>
              <w:pStyle w:val="Body"/>
              <w:rPr>
                <w:sz w:val="24"/>
                <w:szCs w:val="24"/>
              </w:rPr>
            </w:pPr>
            <w:r w:rsidRPr="00D1300E">
              <w:rPr>
                <w:sz w:val="24"/>
                <w:szCs w:val="24"/>
              </w:rPr>
              <w:t>3029</w:t>
            </w:r>
          </w:p>
        </w:tc>
      </w:tr>
      <w:tr w:rsidR="00EA410C" w:rsidRPr="00D1300E" w:rsidTr="00DE2A47">
        <w:trPr>
          <w:trHeight w:val="1001"/>
        </w:trPr>
        <w:tc>
          <w:tcPr>
            <w:tcW w:w="1651" w:type="dxa"/>
            <w:tcBorders>
              <w:top w:val="single" w:sz="4" w:space="0" w:color="auto"/>
              <w:left w:val="nil"/>
              <w:bottom w:val="single" w:sz="4" w:space="0" w:color="auto"/>
              <w:right w:val="nil"/>
            </w:tcBorders>
            <w:shd w:val="clear" w:color="auto" w:fill="auto"/>
          </w:tcPr>
          <w:p w:rsidR="00EA410C" w:rsidRPr="00D1300E" w:rsidRDefault="00EA410C" w:rsidP="004E48F3">
            <w:pPr>
              <w:pStyle w:val="Body"/>
              <w:rPr>
                <w:sz w:val="24"/>
                <w:szCs w:val="24"/>
              </w:rPr>
            </w:pPr>
            <w:r w:rsidRPr="00D1300E">
              <w:rPr>
                <w:sz w:val="24"/>
                <w:szCs w:val="24"/>
              </w:rPr>
              <w:t>Average per cent direct to berth</w:t>
            </w:r>
          </w:p>
        </w:tc>
        <w:tc>
          <w:tcPr>
            <w:tcW w:w="1180" w:type="dxa"/>
            <w:tcBorders>
              <w:top w:val="single" w:sz="4" w:space="0" w:color="auto"/>
              <w:left w:val="nil"/>
              <w:bottom w:val="single" w:sz="4" w:space="0" w:color="auto"/>
              <w:right w:val="nil"/>
            </w:tcBorders>
            <w:shd w:val="clear" w:color="auto" w:fill="auto"/>
          </w:tcPr>
          <w:p w:rsidR="00EA410C" w:rsidRPr="00D1300E" w:rsidRDefault="006E0266" w:rsidP="004E48F3">
            <w:pPr>
              <w:pStyle w:val="Body"/>
              <w:rPr>
                <w:sz w:val="24"/>
                <w:szCs w:val="24"/>
              </w:rPr>
            </w:pPr>
            <w:r>
              <w:rPr>
                <w:sz w:val="24"/>
                <w:szCs w:val="24"/>
              </w:rPr>
              <w:t>85</w:t>
            </w:r>
            <w:r w:rsidR="00EA410C" w:rsidRPr="00D1300E">
              <w:rPr>
                <w:sz w:val="24"/>
                <w:szCs w:val="24"/>
              </w:rPr>
              <w:t>%</w:t>
            </w:r>
          </w:p>
        </w:tc>
        <w:tc>
          <w:tcPr>
            <w:tcW w:w="1316" w:type="dxa"/>
            <w:tcBorders>
              <w:top w:val="single" w:sz="4" w:space="0" w:color="auto"/>
              <w:left w:val="nil"/>
              <w:bottom w:val="single" w:sz="4" w:space="0" w:color="auto"/>
              <w:right w:val="nil"/>
            </w:tcBorders>
            <w:shd w:val="clear" w:color="auto" w:fill="auto"/>
          </w:tcPr>
          <w:p w:rsidR="00EA410C" w:rsidRPr="00D1300E" w:rsidRDefault="006E0266" w:rsidP="004E48F3">
            <w:pPr>
              <w:pStyle w:val="Body"/>
              <w:rPr>
                <w:sz w:val="24"/>
                <w:szCs w:val="24"/>
              </w:rPr>
            </w:pPr>
            <w:r>
              <w:rPr>
                <w:sz w:val="24"/>
                <w:szCs w:val="24"/>
              </w:rPr>
              <w:t>&gt;85</w:t>
            </w:r>
            <w:r w:rsidR="00EA410C" w:rsidRPr="00D1300E">
              <w:rPr>
                <w:sz w:val="24"/>
                <w:szCs w:val="24"/>
              </w:rPr>
              <w:t>%</w:t>
            </w:r>
          </w:p>
        </w:tc>
        <w:tc>
          <w:tcPr>
            <w:tcW w:w="1109" w:type="dxa"/>
            <w:tcBorders>
              <w:top w:val="single" w:sz="4" w:space="0" w:color="auto"/>
              <w:left w:val="nil"/>
              <w:bottom w:val="single" w:sz="4" w:space="0" w:color="auto"/>
              <w:right w:val="nil"/>
            </w:tcBorders>
            <w:shd w:val="clear" w:color="auto" w:fill="auto"/>
          </w:tcPr>
          <w:p w:rsidR="00EA410C" w:rsidRPr="00D1300E" w:rsidRDefault="006E0266" w:rsidP="004E48F3">
            <w:pPr>
              <w:pStyle w:val="Body"/>
              <w:rPr>
                <w:sz w:val="24"/>
                <w:szCs w:val="24"/>
              </w:rPr>
            </w:pPr>
            <w:r>
              <w:rPr>
                <w:sz w:val="24"/>
                <w:szCs w:val="24"/>
              </w:rPr>
              <w:t>44</w:t>
            </w:r>
            <w:r w:rsidR="00EA410C" w:rsidRPr="00D1300E">
              <w:rPr>
                <w:sz w:val="24"/>
                <w:szCs w:val="24"/>
              </w:rPr>
              <w:t>%</w:t>
            </w:r>
          </w:p>
        </w:tc>
        <w:tc>
          <w:tcPr>
            <w:tcW w:w="1247" w:type="dxa"/>
            <w:tcBorders>
              <w:top w:val="single" w:sz="4" w:space="0" w:color="auto"/>
              <w:left w:val="nil"/>
              <w:bottom w:val="single" w:sz="4" w:space="0" w:color="auto"/>
              <w:right w:val="nil"/>
            </w:tcBorders>
            <w:shd w:val="clear" w:color="auto" w:fill="auto"/>
          </w:tcPr>
          <w:p w:rsidR="00EA410C" w:rsidRPr="00D1300E" w:rsidRDefault="00EA410C" w:rsidP="004E48F3">
            <w:pPr>
              <w:pStyle w:val="Body"/>
              <w:rPr>
                <w:sz w:val="24"/>
                <w:szCs w:val="24"/>
              </w:rPr>
            </w:pPr>
            <w:r w:rsidRPr="00D1300E">
              <w:rPr>
                <w:sz w:val="24"/>
                <w:szCs w:val="24"/>
              </w:rPr>
              <w:t>Uncertain</w:t>
            </w:r>
          </w:p>
        </w:tc>
        <w:tc>
          <w:tcPr>
            <w:tcW w:w="1109" w:type="dxa"/>
            <w:tcBorders>
              <w:top w:val="single" w:sz="4" w:space="0" w:color="auto"/>
              <w:left w:val="nil"/>
              <w:bottom w:val="single" w:sz="4" w:space="0" w:color="auto"/>
              <w:right w:val="nil"/>
            </w:tcBorders>
          </w:tcPr>
          <w:p w:rsidR="00EA410C" w:rsidRPr="00D1300E" w:rsidRDefault="006E0266" w:rsidP="004E48F3">
            <w:pPr>
              <w:pStyle w:val="Body"/>
              <w:rPr>
                <w:sz w:val="24"/>
                <w:szCs w:val="24"/>
              </w:rPr>
            </w:pPr>
            <w:r>
              <w:rPr>
                <w:sz w:val="24"/>
                <w:szCs w:val="24"/>
              </w:rPr>
              <w:t>20</w:t>
            </w:r>
            <w:r w:rsidR="00EA410C" w:rsidRPr="00D1300E">
              <w:rPr>
                <w:sz w:val="24"/>
                <w:szCs w:val="24"/>
              </w:rPr>
              <w:t>%</w:t>
            </w:r>
          </w:p>
        </w:tc>
        <w:tc>
          <w:tcPr>
            <w:tcW w:w="1246" w:type="dxa"/>
            <w:tcBorders>
              <w:top w:val="single" w:sz="4" w:space="0" w:color="auto"/>
              <w:left w:val="nil"/>
              <w:bottom w:val="single" w:sz="4" w:space="0" w:color="auto"/>
              <w:right w:val="nil"/>
            </w:tcBorders>
          </w:tcPr>
          <w:p w:rsidR="00EA410C" w:rsidRPr="00D1300E" w:rsidRDefault="00EA410C" w:rsidP="004E48F3">
            <w:pPr>
              <w:pStyle w:val="Body"/>
              <w:rPr>
                <w:sz w:val="24"/>
                <w:szCs w:val="24"/>
              </w:rPr>
            </w:pPr>
            <w:r w:rsidRPr="00D1300E">
              <w:rPr>
                <w:sz w:val="24"/>
                <w:szCs w:val="24"/>
              </w:rPr>
              <w:t>Uncertain</w:t>
            </w:r>
          </w:p>
        </w:tc>
        <w:tc>
          <w:tcPr>
            <w:tcW w:w="1247" w:type="dxa"/>
            <w:tcBorders>
              <w:top w:val="single" w:sz="4" w:space="0" w:color="auto"/>
              <w:left w:val="nil"/>
              <w:bottom w:val="single" w:sz="4" w:space="0" w:color="auto"/>
              <w:right w:val="nil"/>
            </w:tcBorders>
          </w:tcPr>
          <w:p w:rsidR="00EA410C" w:rsidRPr="00D1300E" w:rsidRDefault="006E0266" w:rsidP="004E48F3">
            <w:pPr>
              <w:pStyle w:val="Body"/>
              <w:rPr>
                <w:sz w:val="24"/>
                <w:szCs w:val="24"/>
              </w:rPr>
            </w:pPr>
            <w:r>
              <w:rPr>
                <w:sz w:val="24"/>
                <w:szCs w:val="24"/>
              </w:rPr>
              <w:t>1</w:t>
            </w:r>
            <w:r w:rsidR="00EA410C" w:rsidRPr="00D1300E">
              <w:rPr>
                <w:sz w:val="24"/>
                <w:szCs w:val="24"/>
              </w:rPr>
              <w:t>%</w:t>
            </w:r>
          </w:p>
        </w:tc>
        <w:tc>
          <w:tcPr>
            <w:tcW w:w="1247" w:type="dxa"/>
            <w:tcBorders>
              <w:top w:val="single" w:sz="4" w:space="0" w:color="auto"/>
              <w:left w:val="nil"/>
              <w:bottom w:val="single" w:sz="4" w:space="0" w:color="auto"/>
              <w:right w:val="nil"/>
            </w:tcBorders>
          </w:tcPr>
          <w:p w:rsidR="00EA410C" w:rsidRPr="00D1300E" w:rsidRDefault="006E0266" w:rsidP="004E48F3">
            <w:pPr>
              <w:pStyle w:val="Body"/>
              <w:rPr>
                <w:sz w:val="24"/>
                <w:szCs w:val="24"/>
              </w:rPr>
            </w:pPr>
            <w:r>
              <w:rPr>
                <w:sz w:val="24"/>
                <w:szCs w:val="24"/>
              </w:rPr>
              <w:t>1</w:t>
            </w:r>
            <w:r w:rsidR="00EA410C" w:rsidRPr="00D1300E">
              <w:rPr>
                <w:sz w:val="24"/>
                <w:szCs w:val="24"/>
              </w:rPr>
              <w:t>%</w:t>
            </w:r>
          </w:p>
        </w:tc>
        <w:tc>
          <w:tcPr>
            <w:tcW w:w="1247" w:type="dxa"/>
            <w:tcBorders>
              <w:top w:val="single" w:sz="4" w:space="0" w:color="auto"/>
              <w:left w:val="nil"/>
              <w:bottom w:val="single" w:sz="4" w:space="0" w:color="auto"/>
              <w:right w:val="nil"/>
            </w:tcBorders>
          </w:tcPr>
          <w:p w:rsidR="00EA410C" w:rsidRPr="00D1300E" w:rsidRDefault="006E0266" w:rsidP="004E48F3">
            <w:pPr>
              <w:pStyle w:val="Body"/>
              <w:rPr>
                <w:sz w:val="24"/>
                <w:szCs w:val="24"/>
              </w:rPr>
            </w:pPr>
            <w:r>
              <w:rPr>
                <w:sz w:val="24"/>
                <w:szCs w:val="24"/>
              </w:rPr>
              <w:t>20</w:t>
            </w:r>
            <w:r w:rsidR="00EA410C" w:rsidRPr="00D1300E">
              <w:rPr>
                <w:sz w:val="24"/>
                <w:szCs w:val="24"/>
              </w:rPr>
              <w:t>%</w:t>
            </w:r>
          </w:p>
        </w:tc>
        <w:tc>
          <w:tcPr>
            <w:tcW w:w="1246" w:type="dxa"/>
            <w:tcBorders>
              <w:top w:val="single" w:sz="4" w:space="0" w:color="auto"/>
              <w:left w:val="nil"/>
              <w:bottom w:val="single" w:sz="4" w:space="0" w:color="auto"/>
              <w:right w:val="nil"/>
            </w:tcBorders>
          </w:tcPr>
          <w:p w:rsidR="00EA410C" w:rsidRPr="00D1300E" w:rsidRDefault="00EA410C" w:rsidP="004E48F3">
            <w:pPr>
              <w:pStyle w:val="Body"/>
              <w:rPr>
                <w:sz w:val="24"/>
                <w:szCs w:val="24"/>
              </w:rPr>
            </w:pPr>
            <w:r w:rsidRPr="00D1300E">
              <w:rPr>
                <w:sz w:val="24"/>
                <w:szCs w:val="24"/>
              </w:rPr>
              <w:t>Uncertain</w:t>
            </w:r>
          </w:p>
        </w:tc>
      </w:tr>
      <w:tr w:rsidR="00EA410C" w:rsidRPr="00D1300E" w:rsidTr="00DE2A47">
        <w:trPr>
          <w:trHeight w:val="1020"/>
        </w:trPr>
        <w:tc>
          <w:tcPr>
            <w:tcW w:w="1651" w:type="dxa"/>
            <w:tcBorders>
              <w:top w:val="single" w:sz="4" w:space="0" w:color="auto"/>
              <w:left w:val="nil"/>
              <w:bottom w:val="single" w:sz="4" w:space="0" w:color="auto"/>
              <w:right w:val="nil"/>
            </w:tcBorders>
            <w:shd w:val="clear" w:color="auto" w:fill="auto"/>
          </w:tcPr>
          <w:p w:rsidR="00EA410C" w:rsidRPr="00D1300E" w:rsidRDefault="00EA410C" w:rsidP="004E48F3">
            <w:pPr>
              <w:pStyle w:val="Body"/>
              <w:rPr>
                <w:sz w:val="24"/>
                <w:szCs w:val="24"/>
              </w:rPr>
            </w:pPr>
            <w:r w:rsidRPr="00D1300E">
              <w:rPr>
                <w:sz w:val="24"/>
                <w:szCs w:val="24"/>
              </w:rPr>
              <w:t>Average per cent direct to anchor</w:t>
            </w:r>
          </w:p>
        </w:tc>
        <w:tc>
          <w:tcPr>
            <w:tcW w:w="1180" w:type="dxa"/>
            <w:tcBorders>
              <w:top w:val="single" w:sz="4" w:space="0" w:color="auto"/>
              <w:left w:val="nil"/>
              <w:bottom w:val="single" w:sz="4" w:space="0" w:color="auto"/>
              <w:right w:val="nil"/>
            </w:tcBorders>
            <w:shd w:val="clear" w:color="auto" w:fill="auto"/>
          </w:tcPr>
          <w:p w:rsidR="00EA410C" w:rsidRPr="00D1300E" w:rsidRDefault="006E0266" w:rsidP="004E48F3">
            <w:pPr>
              <w:pStyle w:val="Body"/>
              <w:rPr>
                <w:sz w:val="24"/>
                <w:szCs w:val="24"/>
              </w:rPr>
            </w:pPr>
            <w:r>
              <w:rPr>
                <w:sz w:val="24"/>
                <w:szCs w:val="24"/>
              </w:rPr>
              <w:t>15</w:t>
            </w:r>
            <w:r w:rsidR="00EA410C" w:rsidRPr="00D1300E">
              <w:rPr>
                <w:sz w:val="24"/>
                <w:szCs w:val="24"/>
              </w:rPr>
              <w:t>%</w:t>
            </w:r>
          </w:p>
        </w:tc>
        <w:tc>
          <w:tcPr>
            <w:tcW w:w="1316" w:type="dxa"/>
            <w:tcBorders>
              <w:top w:val="single" w:sz="4" w:space="0" w:color="auto"/>
              <w:left w:val="nil"/>
              <w:bottom w:val="single" w:sz="4" w:space="0" w:color="auto"/>
              <w:right w:val="nil"/>
            </w:tcBorders>
            <w:shd w:val="clear" w:color="auto" w:fill="auto"/>
          </w:tcPr>
          <w:p w:rsidR="00EA410C" w:rsidRPr="00D1300E" w:rsidRDefault="006E0266" w:rsidP="004E48F3">
            <w:pPr>
              <w:pStyle w:val="Body"/>
              <w:rPr>
                <w:sz w:val="24"/>
                <w:szCs w:val="24"/>
              </w:rPr>
            </w:pPr>
            <w:r>
              <w:rPr>
                <w:sz w:val="24"/>
                <w:szCs w:val="24"/>
              </w:rPr>
              <w:t>&lt;15</w:t>
            </w:r>
            <w:r w:rsidR="00EA410C" w:rsidRPr="00D1300E">
              <w:rPr>
                <w:sz w:val="24"/>
                <w:szCs w:val="24"/>
              </w:rPr>
              <w:t>%</w:t>
            </w:r>
          </w:p>
        </w:tc>
        <w:tc>
          <w:tcPr>
            <w:tcW w:w="1109" w:type="dxa"/>
            <w:tcBorders>
              <w:top w:val="single" w:sz="4" w:space="0" w:color="auto"/>
              <w:left w:val="nil"/>
              <w:bottom w:val="single" w:sz="4" w:space="0" w:color="auto"/>
              <w:right w:val="nil"/>
            </w:tcBorders>
            <w:shd w:val="clear" w:color="auto" w:fill="auto"/>
          </w:tcPr>
          <w:p w:rsidR="00EA410C" w:rsidRPr="00D1300E" w:rsidRDefault="006E0266" w:rsidP="004E48F3">
            <w:pPr>
              <w:pStyle w:val="Body"/>
              <w:rPr>
                <w:sz w:val="24"/>
                <w:szCs w:val="24"/>
              </w:rPr>
            </w:pPr>
            <w:r>
              <w:rPr>
                <w:sz w:val="24"/>
                <w:szCs w:val="24"/>
              </w:rPr>
              <w:t>56</w:t>
            </w:r>
            <w:r w:rsidR="00EA410C" w:rsidRPr="00D1300E">
              <w:rPr>
                <w:sz w:val="24"/>
                <w:szCs w:val="24"/>
              </w:rPr>
              <w:t>%</w:t>
            </w:r>
          </w:p>
        </w:tc>
        <w:tc>
          <w:tcPr>
            <w:tcW w:w="1247" w:type="dxa"/>
            <w:tcBorders>
              <w:top w:val="single" w:sz="4" w:space="0" w:color="auto"/>
              <w:left w:val="nil"/>
              <w:bottom w:val="single" w:sz="4" w:space="0" w:color="auto"/>
              <w:right w:val="nil"/>
            </w:tcBorders>
            <w:shd w:val="clear" w:color="auto" w:fill="auto"/>
          </w:tcPr>
          <w:p w:rsidR="00EA410C" w:rsidRPr="00D1300E" w:rsidRDefault="00EA410C" w:rsidP="004E48F3">
            <w:pPr>
              <w:pStyle w:val="Body"/>
              <w:rPr>
                <w:sz w:val="24"/>
                <w:szCs w:val="24"/>
              </w:rPr>
            </w:pPr>
            <w:r w:rsidRPr="00D1300E">
              <w:rPr>
                <w:sz w:val="24"/>
                <w:szCs w:val="24"/>
              </w:rPr>
              <w:t>Uncertain</w:t>
            </w:r>
          </w:p>
        </w:tc>
        <w:tc>
          <w:tcPr>
            <w:tcW w:w="1109" w:type="dxa"/>
            <w:tcBorders>
              <w:top w:val="single" w:sz="4" w:space="0" w:color="auto"/>
              <w:left w:val="nil"/>
              <w:bottom w:val="single" w:sz="4" w:space="0" w:color="auto"/>
              <w:right w:val="nil"/>
            </w:tcBorders>
          </w:tcPr>
          <w:p w:rsidR="00EA410C" w:rsidRPr="00D1300E" w:rsidRDefault="006E0266" w:rsidP="004E48F3">
            <w:pPr>
              <w:pStyle w:val="Body"/>
              <w:rPr>
                <w:sz w:val="24"/>
                <w:szCs w:val="24"/>
              </w:rPr>
            </w:pPr>
            <w:r>
              <w:rPr>
                <w:sz w:val="24"/>
                <w:szCs w:val="24"/>
              </w:rPr>
              <w:t>80</w:t>
            </w:r>
            <w:r w:rsidR="00EA410C" w:rsidRPr="00D1300E">
              <w:rPr>
                <w:sz w:val="24"/>
                <w:szCs w:val="24"/>
              </w:rPr>
              <w:t>%</w:t>
            </w:r>
          </w:p>
        </w:tc>
        <w:tc>
          <w:tcPr>
            <w:tcW w:w="1246" w:type="dxa"/>
            <w:tcBorders>
              <w:top w:val="single" w:sz="4" w:space="0" w:color="auto"/>
              <w:left w:val="nil"/>
              <w:bottom w:val="single" w:sz="4" w:space="0" w:color="auto"/>
              <w:right w:val="nil"/>
            </w:tcBorders>
          </w:tcPr>
          <w:p w:rsidR="00EA410C" w:rsidRPr="00D1300E" w:rsidRDefault="00EA410C" w:rsidP="004E48F3">
            <w:pPr>
              <w:pStyle w:val="Body"/>
              <w:rPr>
                <w:sz w:val="24"/>
                <w:szCs w:val="24"/>
              </w:rPr>
            </w:pPr>
            <w:r w:rsidRPr="00D1300E">
              <w:rPr>
                <w:sz w:val="24"/>
                <w:szCs w:val="24"/>
              </w:rPr>
              <w:t>Uncertain</w:t>
            </w:r>
          </w:p>
        </w:tc>
        <w:tc>
          <w:tcPr>
            <w:tcW w:w="1247" w:type="dxa"/>
            <w:tcBorders>
              <w:top w:val="single" w:sz="4" w:space="0" w:color="auto"/>
              <w:left w:val="nil"/>
              <w:bottom w:val="single" w:sz="4" w:space="0" w:color="auto"/>
              <w:right w:val="nil"/>
            </w:tcBorders>
          </w:tcPr>
          <w:p w:rsidR="00EA410C" w:rsidRPr="00D1300E" w:rsidRDefault="006E0266" w:rsidP="004E48F3">
            <w:pPr>
              <w:pStyle w:val="Body"/>
              <w:rPr>
                <w:sz w:val="24"/>
                <w:szCs w:val="24"/>
              </w:rPr>
            </w:pPr>
            <w:r>
              <w:rPr>
                <w:sz w:val="24"/>
                <w:szCs w:val="24"/>
              </w:rPr>
              <w:t>99</w:t>
            </w:r>
            <w:r w:rsidR="00EA410C" w:rsidRPr="00D1300E">
              <w:rPr>
                <w:sz w:val="24"/>
                <w:szCs w:val="24"/>
              </w:rPr>
              <w:t>%</w:t>
            </w:r>
          </w:p>
        </w:tc>
        <w:tc>
          <w:tcPr>
            <w:tcW w:w="1247" w:type="dxa"/>
            <w:tcBorders>
              <w:top w:val="single" w:sz="4" w:space="0" w:color="auto"/>
              <w:left w:val="nil"/>
              <w:bottom w:val="single" w:sz="4" w:space="0" w:color="auto"/>
              <w:right w:val="nil"/>
            </w:tcBorders>
          </w:tcPr>
          <w:p w:rsidR="00EA410C" w:rsidRPr="00D1300E" w:rsidRDefault="006E0266" w:rsidP="004E48F3">
            <w:pPr>
              <w:pStyle w:val="Body"/>
              <w:rPr>
                <w:sz w:val="24"/>
                <w:szCs w:val="24"/>
              </w:rPr>
            </w:pPr>
            <w:r>
              <w:rPr>
                <w:sz w:val="24"/>
                <w:szCs w:val="24"/>
              </w:rPr>
              <w:t>99</w:t>
            </w:r>
            <w:r w:rsidR="00EA410C" w:rsidRPr="00D1300E">
              <w:rPr>
                <w:sz w:val="24"/>
                <w:szCs w:val="24"/>
              </w:rPr>
              <w:t>%</w:t>
            </w:r>
          </w:p>
        </w:tc>
        <w:tc>
          <w:tcPr>
            <w:tcW w:w="1247" w:type="dxa"/>
            <w:tcBorders>
              <w:top w:val="single" w:sz="4" w:space="0" w:color="auto"/>
              <w:left w:val="nil"/>
              <w:bottom w:val="single" w:sz="4" w:space="0" w:color="auto"/>
              <w:right w:val="nil"/>
            </w:tcBorders>
          </w:tcPr>
          <w:p w:rsidR="00EA410C" w:rsidRPr="00D1300E" w:rsidRDefault="006E0266" w:rsidP="004E48F3">
            <w:pPr>
              <w:pStyle w:val="Body"/>
              <w:rPr>
                <w:sz w:val="24"/>
                <w:szCs w:val="24"/>
              </w:rPr>
            </w:pPr>
            <w:r>
              <w:rPr>
                <w:sz w:val="24"/>
                <w:szCs w:val="24"/>
              </w:rPr>
              <w:t>80</w:t>
            </w:r>
            <w:r w:rsidR="00EA410C" w:rsidRPr="00D1300E">
              <w:rPr>
                <w:sz w:val="24"/>
                <w:szCs w:val="24"/>
              </w:rPr>
              <w:t>%</w:t>
            </w:r>
          </w:p>
        </w:tc>
        <w:tc>
          <w:tcPr>
            <w:tcW w:w="1246" w:type="dxa"/>
            <w:tcBorders>
              <w:top w:val="single" w:sz="4" w:space="0" w:color="auto"/>
              <w:left w:val="nil"/>
              <w:bottom w:val="single" w:sz="4" w:space="0" w:color="auto"/>
              <w:right w:val="nil"/>
            </w:tcBorders>
          </w:tcPr>
          <w:p w:rsidR="00EA410C" w:rsidRPr="00D1300E" w:rsidRDefault="00EA410C" w:rsidP="004E48F3">
            <w:pPr>
              <w:pStyle w:val="Body"/>
              <w:rPr>
                <w:sz w:val="24"/>
                <w:szCs w:val="24"/>
              </w:rPr>
            </w:pPr>
            <w:r w:rsidRPr="00D1300E">
              <w:rPr>
                <w:sz w:val="24"/>
                <w:szCs w:val="24"/>
              </w:rPr>
              <w:t>Uncertain</w:t>
            </w:r>
          </w:p>
        </w:tc>
      </w:tr>
      <w:tr w:rsidR="00EA410C" w:rsidRPr="00D1300E" w:rsidTr="00DE2A47">
        <w:trPr>
          <w:trHeight w:val="1284"/>
        </w:trPr>
        <w:tc>
          <w:tcPr>
            <w:tcW w:w="1651" w:type="dxa"/>
            <w:tcBorders>
              <w:top w:val="single" w:sz="4" w:space="0" w:color="auto"/>
              <w:left w:val="nil"/>
              <w:bottom w:val="single" w:sz="4" w:space="0" w:color="auto"/>
              <w:right w:val="nil"/>
            </w:tcBorders>
            <w:shd w:val="clear" w:color="auto" w:fill="auto"/>
          </w:tcPr>
          <w:p w:rsidR="00EA410C" w:rsidRPr="00D1300E" w:rsidRDefault="00EA410C" w:rsidP="004E48F3">
            <w:pPr>
              <w:pStyle w:val="Body"/>
              <w:rPr>
                <w:sz w:val="24"/>
                <w:szCs w:val="24"/>
              </w:rPr>
            </w:pPr>
            <w:r w:rsidRPr="00D1300E">
              <w:rPr>
                <w:sz w:val="24"/>
                <w:szCs w:val="24"/>
              </w:rPr>
              <w:t>Number of anchor locations (if designated)</w:t>
            </w:r>
          </w:p>
        </w:tc>
        <w:tc>
          <w:tcPr>
            <w:tcW w:w="1180" w:type="dxa"/>
            <w:tcBorders>
              <w:top w:val="single" w:sz="4" w:space="0" w:color="auto"/>
              <w:left w:val="nil"/>
              <w:bottom w:val="single" w:sz="4" w:space="0" w:color="auto"/>
              <w:right w:val="nil"/>
            </w:tcBorders>
            <w:shd w:val="clear" w:color="auto" w:fill="auto"/>
          </w:tcPr>
          <w:p w:rsidR="00EA410C" w:rsidRPr="00D1300E" w:rsidRDefault="00EA410C" w:rsidP="004E48F3">
            <w:pPr>
              <w:pStyle w:val="Body"/>
              <w:rPr>
                <w:sz w:val="24"/>
                <w:szCs w:val="24"/>
              </w:rPr>
            </w:pPr>
            <w:r w:rsidRPr="00D1300E">
              <w:rPr>
                <w:sz w:val="24"/>
                <w:szCs w:val="24"/>
              </w:rPr>
              <w:t>8</w:t>
            </w:r>
          </w:p>
        </w:tc>
        <w:tc>
          <w:tcPr>
            <w:tcW w:w="1316" w:type="dxa"/>
            <w:tcBorders>
              <w:top w:val="single" w:sz="4" w:space="0" w:color="auto"/>
              <w:left w:val="nil"/>
              <w:bottom w:val="single" w:sz="4" w:space="0" w:color="auto"/>
              <w:right w:val="nil"/>
            </w:tcBorders>
            <w:shd w:val="clear" w:color="auto" w:fill="auto"/>
          </w:tcPr>
          <w:p w:rsidR="00EA410C" w:rsidRPr="00D1300E" w:rsidRDefault="00566468" w:rsidP="004E48F3">
            <w:pPr>
              <w:pStyle w:val="Body"/>
              <w:rPr>
                <w:sz w:val="24"/>
                <w:szCs w:val="24"/>
              </w:rPr>
            </w:pPr>
            <w:r>
              <w:rPr>
                <w:sz w:val="24"/>
                <w:szCs w:val="24"/>
              </w:rPr>
              <w:t>Possibly</w:t>
            </w:r>
            <w:r w:rsidR="00EA410C" w:rsidRPr="00D1300E">
              <w:rPr>
                <w:sz w:val="24"/>
                <w:szCs w:val="24"/>
              </w:rPr>
              <w:t xml:space="preserve"> not &gt; current</w:t>
            </w:r>
          </w:p>
        </w:tc>
        <w:tc>
          <w:tcPr>
            <w:tcW w:w="1109" w:type="dxa"/>
            <w:tcBorders>
              <w:top w:val="single" w:sz="4" w:space="0" w:color="auto"/>
              <w:left w:val="nil"/>
              <w:bottom w:val="single" w:sz="4" w:space="0" w:color="auto"/>
              <w:right w:val="nil"/>
            </w:tcBorders>
            <w:shd w:val="clear" w:color="auto" w:fill="auto"/>
            <w:vAlign w:val="center"/>
          </w:tcPr>
          <w:p w:rsidR="00EA410C" w:rsidRPr="00D1300E" w:rsidRDefault="00EA410C" w:rsidP="004E48F3">
            <w:pPr>
              <w:pStyle w:val="Body"/>
              <w:rPr>
                <w:sz w:val="24"/>
                <w:szCs w:val="24"/>
              </w:rPr>
            </w:pPr>
            <w:r w:rsidRPr="00D1300E">
              <w:rPr>
                <w:sz w:val="24"/>
                <w:szCs w:val="24"/>
              </w:rPr>
              <w:t>-</w:t>
            </w:r>
          </w:p>
        </w:tc>
        <w:tc>
          <w:tcPr>
            <w:tcW w:w="1247" w:type="dxa"/>
            <w:tcBorders>
              <w:top w:val="single" w:sz="4" w:space="0" w:color="auto"/>
              <w:left w:val="nil"/>
              <w:bottom w:val="single" w:sz="4" w:space="0" w:color="auto"/>
              <w:right w:val="nil"/>
            </w:tcBorders>
            <w:shd w:val="clear" w:color="auto" w:fill="auto"/>
          </w:tcPr>
          <w:p w:rsidR="00EA410C" w:rsidRPr="00D1300E" w:rsidRDefault="00EA410C" w:rsidP="004E48F3">
            <w:pPr>
              <w:pStyle w:val="Body"/>
              <w:rPr>
                <w:sz w:val="24"/>
                <w:szCs w:val="24"/>
              </w:rPr>
            </w:pPr>
            <w:r w:rsidRPr="00D1300E">
              <w:rPr>
                <w:sz w:val="24"/>
                <w:szCs w:val="24"/>
              </w:rPr>
              <w:t>Possibly not &gt; current</w:t>
            </w:r>
          </w:p>
        </w:tc>
        <w:tc>
          <w:tcPr>
            <w:tcW w:w="1109" w:type="dxa"/>
            <w:tcBorders>
              <w:top w:val="single" w:sz="4" w:space="0" w:color="auto"/>
              <w:left w:val="nil"/>
              <w:bottom w:val="single" w:sz="4" w:space="0" w:color="auto"/>
              <w:right w:val="nil"/>
            </w:tcBorders>
            <w:vAlign w:val="center"/>
          </w:tcPr>
          <w:p w:rsidR="00EA410C" w:rsidRPr="00D1300E" w:rsidRDefault="00EA410C" w:rsidP="004E48F3">
            <w:pPr>
              <w:pStyle w:val="Body"/>
              <w:rPr>
                <w:sz w:val="24"/>
                <w:szCs w:val="24"/>
              </w:rPr>
            </w:pPr>
            <w:r w:rsidRPr="00D1300E">
              <w:rPr>
                <w:sz w:val="24"/>
                <w:szCs w:val="24"/>
              </w:rPr>
              <w:t>-</w:t>
            </w:r>
          </w:p>
        </w:tc>
        <w:tc>
          <w:tcPr>
            <w:tcW w:w="1246" w:type="dxa"/>
            <w:tcBorders>
              <w:top w:val="single" w:sz="4" w:space="0" w:color="auto"/>
              <w:left w:val="nil"/>
              <w:bottom w:val="single" w:sz="4" w:space="0" w:color="auto"/>
              <w:right w:val="nil"/>
            </w:tcBorders>
          </w:tcPr>
          <w:p w:rsidR="00EA410C" w:rsidRPr="00D1300E" w:rsidRDefault="00EA410C" w:rsidP="00566468">
            <w:pPr>
              <w:pStyle w:val="Body"/>
              <w:rPr>
                <w:sz w:val="24"/>
                <w:szCs w:val="24"/>
              </w:rPr>
            </w:pPr>
            <w:r w:rsidRPr="00D1300E">
              <w:rPr>
                <w:sz w:val="24"/>
                <w:szCs w:val="24"/>
              </w:rPr>
              <w:t>Possibl</w:t>
            </w:r>
            <w:r w:rsidR="00566468">
              <w:rPr>
                <w:sz w:val="24"/>
                <w:szCs w:val="24"/>
              </w:rPr>
              <w:t>y</w:t>
            </w:r>
            <w:r w:rsidRPr="00D1300E">
              <w:rPr>
                <w:sz w:val="24"/>
                <w:szCs w:val="24"/>
              </w:rPr>
              <w:t xml:space="preserve"> not &gt; current</w:t>
            </w:r>
          </w:p>
        </w:tc>
        <w:tc>
          <w:tcPr>
            <w:tcW w:w="1247" w:type="dxa"/>
            <w:tcBorders>
              <w:top w:val="single" w:sz="4" w:space="0" w:color="auto"/>
              <w:left w:val="nil"/>
              <w:bottom w:val="single" w:sz="4" w:space="0" w:color="auto"/>
              <w:right w:val="nil"/>
            </w:tcBorders>
          </w:tcPr>
          <w:p w:rsidR="00EA410C" w:rsidRPr="00D1300E" w:rsidRDefault="00EA410C" w:rsidP="004E48F3">
            <w:pPr>
              <w:pStyle w:val="Body"/>
              <w:rPr>
                <w:sz w:val="24"/>
                <w:szCs w:val="24"/>
              </w:rPr>
            </w:pPr>
            <w:r w:rsidRPr="00D1300E">
              <w:rPr>
                <w:sz w:val="24"/>
                <w:szCs w:val="24"/>
              </w:rPr>
              <w:t>102</w:t>
            </w:r>
          </w:p>
        </w:tc>
        <w:tc>
          <w:tcPr>
            <w:tcW w:w="1247" w:type="dxa"/>
            <w:tcBorders>
              <w:top w:val="single" w:sz="4" w:space="0" w:color="auto"/>
              <w:left w:val="nil"/>
              <w:bottom w:val="single" w:sz="4" w:space="0" w:color="auto"/>
              <w:right w:val="nil"/>
            </w:tcBorders>
          </w:tcPr>
          <w:p w:rsidR="00EA410C" w:rsidRPr="00D1300E" w:rsidRDefault="00EA410C" w:rsidP="004E48F3">
            <w:pPr>
              <w:pStyle w:val="Body"/>
              <w:rPr>
                <w:sz w:val="24"/>
                <w:szCs w:val="24"/>
              </w:rPr>
            </w:pPr>
            <w:r w:rsidRPr="00D1300E">
              <w:rPr>
                <w:sz w:val="24"/>
                <w:szCs w:val="24"/>
              </w:rPr>
              <w:t>Possibly 129</w:t>
            </w:r>
          </w:p>
        </w:tc>
        <w:tc>
          <w:tcPr>
            <w:tcW w:w="1247" w:type="dxa"/>
            <w:tcBorders>
              <w:top w:val="single" w:sz="4" w:space="0" w:color="auto"/>
              <w:left w:val="nil"/>
              <w:bottom w:val="single" w:sz="4" w:space="0" w:color="auto"/>
              <w:right w:val="nil"/>
            </w:tcBorders>
          </w:tcPr>
          <w:p w:rsidR="00EA410C" w:rsidRPr="00D1300E" w:rsidRDefault="00EA410C" w:rsidP="004E48F3">
            <w:pPr>
              <w:pStyle w:val="Body"/>
              <w:rPr>
                <w:sz w:val="24"/>
                <w:szCs w:val="24"/>
              </w:rPr>
            </w:pPr>
            <w:r w:rsidRPr="00D1300E">
              <w:rPr>
                <w:sz w:val="24"/>
                <w:szCs w:val="24"/>
              </w:rPr>
              <w:t>32</w:t>
            </w:r>
          </w:p>
        </w:tc>
        <w:tc>
          <w:tcPr>
            <w:tcW w:w="1246" w:type="dxa"/>
            <w:tcBorders>
              <w:top w:val="single" w:sz="4" w:space="0" w:color="auto"/>
              <w:left w:val="nil"/>
              <w:bottom w:val="single" w:sz="4" w:space="0" w:color="auto"/>
              <w:right w:val="nil"/>
            </w:tcBorders>
          </w:tcPr>
          <w:p w:rsidR="00EA410C" w:rsidRPr="00D1300E" w:rsidRDefault="00EA410C" w:rsidP="00566468">
            <w:pPr>
              <w:pStyle w:val="Body"/>
              <w:rPr>
                <w:sz w:val="24"/>
                <w:szCs w:val="24"/>
              </w:rPr>
            </w:pPr>
            <w:r w:rsidRPr="00D1300E">
              <w:rPr>
                <w:sz w:val="24"/>
                <w:szCs w:val="24"/>
              </w:rPr>
              <w:t>Possibl</w:t>
            </w:r>
            <w:r w:rsidR="00566468">
              <w:rPr>
                <w:sz w:val="24"/>
                <w:szCs w:val="24"/>
              </w:rPr>
              <w:t>y</w:t>
            </w:r>
            <w:r w:rsidRPr="00D1300E">
              <w:rPr>
                <w:sz w:val="24"/>
                <w:szCs w:val="24"/>
              </w:rPr>
              <w:t xml:space="preserve"> not &gt; current</w:t>
            </w:r>
          </w:p>
        </w:tc>
      </w:tr>
      <w:tr w:rsidR="00EA410C" w:rsidRPr="00D1300E" w:rsidTr="00DE2A47">
        <w:trPr>
          <w:trHeight w:val="736"/>
        </w:trPr>
        <w:tc>
          <w:tcPr>
            <w:tcW w:w="1651" w:type="dxa"/>
            <w:tcBorders>
              <w:top w:val="single" w:sz="4" w:space="0" w:color="auto"/>
              <w:left w:val="nil"/>
              <w:bottom w:val="single" w:sz="4" w:space="0" w:color="auto"/>
              <w:right w:val="nil"/>
            </w:tcBorders>
            <w:shd w:val="clear" w:color="auto" w:fill="auto"/>
          </w:tcPr>
          <w:p w:rsidR="00EA410C" w:rsidRPr="00D1300E" w:rsidRDefault="00EA410C" w:rsidP="004E48F3">
            <w:pPr>
              <w:pStyle w:val="Body"/>
              <w:rPr>
                <w:sz w:val="24"/>
                <w:szCs w:val="24"/>
              </w:rPr>
            </w:pPr>
            <w:r w:rsidRPr="00D1300E">
              <w:rPr>
                <w:sz w:val="24"/>
                <w:szCs w:val="24"/>
              </w:rPr>
              <w:t>Average waiting days</w:t>
            </w:r>
          </w:p>
        </w:tc>
        <w:tc>
          <w:tcPr>
            <w:tcW w:w="1180" w:type="dxa"/>
            <w:tcBorders>
              <w:top w:val="single" w:sz="4" w:space="0" w:color="auto"/>
              <w:left w:val="nil"/>
              <w:bottom w:val="single" w:sz="4" w:space="0" w:color="auto"/>
              <w:right w:val="nil"/>
            </w:tcBorders>
            <w:shd w:val="clear" w:color="auto" w:fill="auto"/>
          </w:tcPr>
          <w:p w:rsidR="00EA410C" w:rsidRPr="00D1300E" w:rsidRDefault="00EA410C" w:rsidP="004E48F3">
            <w:pPr>
              <w:pStyle w:val="Body"/>
              <w:rPr>
                <w:sz w:val="24"/>
                <w:szCs w:val="24"/>
              </w:rPr>
            </w:pPr>
            <w:r w:rsidRPr="00D1300E">
              <w:rPr>
                <w:sz w:val="24"/>
                <w:szCs w:val="24"/>
              </w:rPr>
              <w:t>0.5</w:t>
            </w:r>
          </w:p>
        </w:tc>
        <w:tc>
          <w:tcPr>
            <w:tcW w:w="1316" w:type="dxa"/>
            <w:tcBorders>
              <w:top w:val="single" w:sz="4" w:space="0" w:color="auto"/>
              <w:left w:val="nil"/>
              <w:bottom w:val="single" w:sz="4" w:space="0" w:color="auto"/>
              <w:right w:val="nil"/>
            </w:tcBorders>
            <w:shd w:val="clear" w:color="auto" w:fill="auto"/>
          </w:tcPr>
          <w:p w:rsidR="00EA410C" w:rsidRPr="00D1300E" w:rsidRDefault="00EA410C" w:rsidP="004E48F3">
            <w:pPr>
              <w:pStyle w:val="Body"/>
              <w:rPr>
                <w:sz w:val="24"/>
                <w:szCs w:val="24"/>
              </w:rPr>
            </w:pPr>
            <w:r w:rsidRPr="00D1300E">
              <w:rPr>
                <w:sz w:val="24"/>
                <w:szCs w:val="24"/>
              </w:rPr>
              <w:t>Uncertain</w:t>
            </w:r>
          </w:p>
        </w:tc>
        <w:tc>
          <w:tcPr>
            <w:tcW w:w="1109" w:type="dxa"/>
            <w:tcBorders>
              <w:top w:val="single" w:sz="4" w:space="0" w:color="auto"/>
              <w:left w:val="nil"/>
              <w:bottom w:val="single" w:sz="4" w:space="0" w:color="auto"/>
              <w:right w:val="nil"/>
            </w:tcBorders>
            <w:shd w:val="clear" w:color="auto" w:fill="auto"/>
          </w:tcPr>
          <w:p w:rsidR="00EA410C" w:rsidRPr="00D1300E" w:rsidRDefault="00EA410C" w:rsidP="004E48F3">
            <w:pPr>
              <w:pStyle w:val="Body"/>
              <w:rPr>
                <w:sz w:val="24"/>
                <w:szCs w:val="24"/>
              </w:rPr>
            </w:pPr>
            <w:r w:rsidRPr="00D1300E">
              <w:rPr>
                <w:sz w:val="24"/>
                <w:szCs w:val="24"/>
              </w:rPr>
              <w:t>3</w:t>
            </w:r>
          </w:p>
        </w:tc>
        <w:tc>
          <w:tcPr>
            <w:tcW w:w="1247" w:type="dxa"/>
            <w:tcBorders>
              <w:top w:val="single" w:sz="4" w:space="0" w:color="auto"/>
              <w:left w:val="nil"/>
              <w:bottom w:val="single" w:sz="4" w:space="0" w:color="auto"/>
              <w:right w:val="nil"/>
            </w:tcBorders>
            <w:shd w:val="clear" w:color="auto" w:fill="auto"/>
          </w:tcPr>
          <w:p w:rsidR="00EA410C" w:rsidRPr="00D1300E" w:rsidRDefault="00EA410C" w:rsidP="004E48F3">
            <w:pPr>
              <w:pStyle w:val="Body"/>
              <w:rPr>
                <w:sz w:val="24"/>
                <w:szCs w:val="24"/>
              </w:rPr>
            </w:pPr>
            <w:r w:rsidRPr="00D1300E">
              <w:rPr>
                <w:sz w:val="24"/>
                <w:szCs w:val="24"/>
              </w:rPr>
              <w:t>Uncertain</w:t>
            </w:r>
          </w:p>
        </w:tc>
        <w:tc>
          <w:tcPr>
            <w:tcW w:w="1109" w:type="dxa"/>
            <w:tcBorders>
              <w:top w:val="single" w:sz="4" w:space="0" w:color="auto"/>
              <w:left w:val="nil"/>
              <w:bottom w:val="single" w:sz="4" w:space="0" w:color="auto"/>
              <w:right w:val="nil"/>
            </w:tcBorders>
          </w:tcPr>
          <w:p w:rsidR="00EA410C" w:rsidRPr="00D1300E" w:rsidRDefault="00EA410C" w:rsidP="004E48F3">
            <w:pPr>
              <w:pStyle w:val="Body"/>
              <w:rPr>
                <w:sz w:val="24"/>
                <w:szCs w:val="24"/>
              </w:rPr>
            </w:pPr>
            <w:r w:rsidRPr="00D1300E">
              <w:rPr>
                <w:sz w:val="24"/>
                <w:szCs w:val="24"/>
              </w:rPr>
              <w:t>3</w:t>
            </w:r>
          </w:p>
        </w:tc>
        <w:tc>
          <w:tcPr>
            <w:tcW w:w="1246" w:type="dxa"/>
            <w:tcBorders>
              <w:top w:val="single" w:sz="4" w:space="0" w:color="auto"/>
              <w:left w:val="nil"/>
              <w:bottom w:val="single" w:sz="4" w:space="0" w:color="auto"/>
              <w:right w:val="nil"/>
            </w:tcBorders>
          </w:tcPr>
          <w:p w:rsidR="00EA410C" w:rsidRPr="00D1300E" w:rsidRDefault="00EA410C" w:rsidP="004E48F3">
            <w:pPr>
              <w:pStyle w:val="Body"/>
              <w:rPr>
                <w:sz w:val="24"/>
                <w:szCs w:val="24"/>
              </w:rPr>
            </w:pPr>
            <w:r w:rsidRPr="00D1300E">
              <w:rPr>
                <w:sz w:val="24"/>
                <w:szCs w:val="24"/>
              </w:rPr>
              <w:t>Uncertain</w:t>
            </w:r>
          </w:p>
        </w:tc>
        <w:tc>
          <w:tcPr>
            <w:tcW w:w="1247" w:type="dxa"/>
            <w:tcBorders>
              <w:top w:val="single" w:sz="4" w:space="0" w:color="auto"/>
              <w:left w:val="nil"/>
              <w:bottom w:val="single" w:sz="4" w:space="0" w:color="auto"/>
              <w:right w:val="nil"/>
            </w:tcBorders>
          </w:tcPr>
          <w:p w:rsidR="00EA410C" w:rsidRPr="00D1300E" w:rsidRDefault="00EA410C" w:rsidP="004E48F3">
            <w:pPr>
              <w:pStyle w:val="Body"/>
              <w:rPr>
                <w:sz w:val="24"/>
                <w:szCs w:val="24"/>
              </w:rPr>
            </w:pPr>
            <w:r w:rsidRPr="00D1300E">
              <w:rPr>
                <w:sz w:val="24"/>
                <w:szCs w:val="24"/>
              </w:rPr>
              <w:t>19 (sample)</w:t>
            </w:r>
          </w:p>
        </w:tc>
        <w:tc>
          <w:tcPr>
            <w:tcW w:w="1247" w:type="dxa"/>
            <w:tcBorders>
              <w:top w:val="single" w:sz="4" w:space="0" w:color="auto"/>
              <w:left w:val="nil"/>
              <w:bottom w:val="single" w:sz="4" w:space="0" w:color="auto"/>
              <w:right w:val="nil"/>
            </w:tcBorders>
          </w:tcPr>
          <w:p w:rsidR="00EA410C" w:rsidRPr="00D1300E" w:rsidRDefault="00EA410C" w:rsidP="004E48F3">
            <w:pPr>
              <w:pStyle w:val="Body"/>
              <w:rPr>
                <w:sz w:val="24"/>
                <w:szCs w:val="24"/>
              </w:rPr>
            </w:pPr>
            <w:r w:rsidRPr="00D1300E">
              <w:rPr>
                <w:sz w:val="24"/>
                <w:szCs w:val="24"/>
              </w:rPr>
              <w:t>Uncertain</w:t>
            </w:r>
          </w:p>
        </w:tc>
        <w:tc>
          <w:tcPr>
            <w:tcW w:w="1247" w:type="dxa"/>
            <w:tcBorders>
              <w:top w:val="single" w:sz="4" w:space="0" w:color="auto"/>
              <w:left w:val="nil"/>
              <w:bottom w:val="single" w:sz="4" w:space="0" w:color="auto"/>
              <w:right w:val="nil"/>
            </w:tcBorders>
          </w:tcPr>
          <w:p w:rsidR="00EA410C" w:rsidRPr="00D1300E" w:rsidRDefault="00EA410C" w:rsidP="004E48F3">
            <w:pPr>
              <w:pStyle w:val="Body"/>
              <w:rPr>
                <w:sz w:val="24"/>
                <w:szCs w:val="24"/>
              </w:rPr>
            </w:pPr>
            <w:r w:rsidRPr="00D1300E">
              <w:rPr>
                <w:sz w:val="24"/>
                <w:szCs w:val="24"/>
              </w:rPr>
              <w:t>4</w:t>
            </w:r>
          </w:p>
        </w:tc>
        <w:tc>
          <w:tcPr>
            <w:tcW w:w="1246" w:type="dxa"/>
            <w:tcBorders>
              <w:top w:val="single" w:sz="4" w:space="0" w:color="auto"/>
              <w:left w:val="nil"/>
              <w:bottom w:val="single" w:sz="4" w:space="0" w:color="auto"/>
              <w:right w:val="nil"/>
            </w:tcBorders>
          </w:tcPr>
          <w:p w:rsidR="00EA410C" w:rsidRPr="00D1300E" w:rsidRDefault="00EA410C" w:rsidP="004E48F3">
            <w:pPr>
              <w:pStyle w:val="Body"/>
              <w:rPr>
                <w:sz w:val="24"/>
                <w:szCs w:val="24"/>
              </w:rPr>
            </w:pPr>
            <w:r w:rsidRPr="00D1300E">
              <w:rPr>
                <w:sz w:val="24"/>
                <w:szCs w:val="24"/>
              </w:rPr>
              <w:t>Uncertain</w:t>
            </w:r>
          </w:p>
        </w:tc>
      </w:tr>
    </w:tbl>
    <w:p w:rsidR="00EA410C" w:rsidRDefault="00EA410C" w:rsidP="00391D29">
      <w:pPr>
        <w:pStyle w:val="Body"/>
      </w:pPr>
    </w:p>
    <w:p w:rsidR="00EA410C" w:rsidRDefault="00EA410C" w:rsidP="00391D29">
      <w:pPr>
        <w:pStyle w:val="Body"/>
        <w:sectPr w:rsidR="00EA410C" w:rsidSect="00EA410C">
          <w:headerReference w:type="default" r:id="rId21"/>
          <w:footerReference w:type="default" r:id="rId22"/>
          <w:pgSz w:w="16838" w:h="11906" w:orient="landscape" w:code="9"/>
          <w:pgMar w:top="1418" w:right="1418" w:bottom="1701" w:left="1701" w:header="709" w:footer="709" w:gutter="0"/>
          <w:cols w:space="720"/>
          <w:docGrid w:linePitch="273"/>
        </w:sectPr>
      </w:pPr>
    </w:p>
    <w:p w:rsidR="001A657F" w:rsidRPr="00B41CFA" w:rsidRDefault="001A657F" w:rsidP="001A657F">
      <w:pPr>
        <w:pStyle w:val="Heading2"/>
        <w:rPr>
          <w:sz w:val="24"/>
        </w:rPr>
      </w:pPr>
      <w:bookmarkStart w:id="232" w:name="_Toc343597231"/>
      <w:bookmarkStart w:id="233" w:name="_Ref347769254"/>
      <w:bookmarkStart w:id="234" w:name="_Toc362274293"/>
      <w:r w:rsidRPr="00B41CFA">
        <w:rPr>
          <w:sz w:val="24"/>
        </w:rPr>
        <w:t>Demand for and use of ship anchorages at the Port of Cairns</w:t>
      </w:r>
      <w:bookmarkEnd w:id="232"/>
      <w:bookmarkEnd w:id="233"/>
      <w:bookmarkEnd w:id="234"/>
    </w:p>
    <w:p w:rsidR="001A657F" w:rsidRPr="00B41CFA" w:rsidRDefault="001A657F" w:rsidP="001A657F">
      <w:pPr>
        <w:pStyle w:val="Heading3"/>
        <w:rPr>
          <w:sz w:val="24"/>
        </w:rPr>
      </w:pPr>
      <w:bookmarkStart w:id="235" w:name="_Toc343597232"/>
      <w:bookmarkStart w:id="236" w:name="_Toc362274294"/>
      <w:r w:rsidRPr="00B41CFA">
        <w:rPr>
          <w:sz w:val="24"/>
        </w:rPr>
        <w:t>Current profile of ship anchorages at the Port of Cairns</w:t>
      </w:r>
      <w:bookmarkEnd w:id="235"/>
      <w:bookmarkEnd w:id="236"/>
    </w:p>
    <w:p w:rsidR="001A657F" w:rsidRPr="00815FEA" w:rsidRDefault="001A657F" w:rsidP="001A657F">
      <w:pPr>
        <w:pStyle w:val="Body"/>
        <w:rPr>
          <w:sz w:val="24"/>
          <w:szCs w:val="24"/>
        </w:rPr>
      </w:pPr>
      <w:r w:rsidRPr="00815FEA">
        <w:rPr>
          <w:sz w:val="24"/>
          <w:szCs w:val="24"/>
        </w:rPr>
        <w:t xml:space="preserve">Anchorage points for ships servicing the Port of Cairns (see </w:t>
      </w:r>
      <w:r w:rsidR="00CD38ED" w:rsidRPr="00815FEA">
        <w:rPr>
          <w:sz w:val="24"/>
          <w:szCs w:val="24"/>
        </w:rPr>
        <w:fldChar w:fldCharType="begin"/>
      </w:r>
      <w:r w:rsidRPr="00815FEA">
        <w:rPr>
          <w:sz w:val="24"/>
          <w:szCs w:val="24"/>
        </w:rPr>
        <w:instrText xml:space="preserve"> REF  _Ref342400842 \* Lower \h </w:instrText>
      </w:r>
      <w:r w:rsidR="00815FEA">
        <w:rPr>
          <w:sz w:val="24"/>
          <w:szCs w:val="24"/>
        </w:rPr>
        <w:instrText xml:space="preserve"> \* MERGEFORMAT </w:instrText>
      </w:r>
      <w:r w:rsidR="00CD38ED" w:rsidRPr="00815FEA">
        <w:rPr>
          <w:sz w:val="24"/>
          <w:szCs w:val="24"/>
        </w:rPr>
      </w:r>
      <w:r w:rsidR="00CD38ED" w:rsidRPr="00815FEA">
        <w:rPr>
          <w:sz w:val="24"/>
          <w:szCs w:val="24"/>
        </w:rPr>
        <w:fldChar w:fldCharType="separate"/>
      </w:r>
      <w:r w:rsidR="005F6E51" w:rsidRPr="00815FEA">
        <w:rPr>
          <w:sz w:val="24"/>
          <w:szCs w:val="24"/>
        </w:rPr>
        <w:t xml:space="preserve">figure </w:t>
      </w:r>
      <w:r w:rsidR="005F6E51">
        <w:rPr>
          <w:noProof/>
          <w:sz w:val="24"/>
          <w:szCs w:val="24"/>
        </w:rPr>
        <w:t>4</w:t>
      </w:r>
      <w:r w:rsidR="005F6E51" w:rsidRPr="00815FEA">
        <w:rPr>
          <w:noProof/>
          <w:sz w:val="24"/>
          <w:szCs w:val="24"/>
        </w:rPr>
        <w:noBreakHyphen/>
      </w:r>
      <w:r w:rsidR="005F6E51">
        <w:rPr>
          <w:noProof/>
          <w:sz w:val="24"/>
          <w:szCs w:val="24"/>
        </w:rPr>
        <w:t>3</w:t>
      </w:r>
      <w:r w:rsidR="00CD38ED" w:rsidRPr="00815FEA">
        <w:rPr>
          <w:sz w:val="24"/>
          <w:szCs w:val="24"/>
        </w:rPr>
        <w:fldChar w:fldCharType="end"/>
      </w:r>
      <w:r w:rsidRPr="00815FEA">
        <w:rPr>
          <w:sz w:val="24"/>
          <w:szCs w:val="24"/>
        </w:rPr>
        <w:t>) are principally located at the mouth of Trinity Inlet, to the north-north-east of the port and the city of Cairns (essentially all within the port limits of Cairns). A single designated anchorage also occurs to the south of Cairns, approximately 3</w:t>
      </w:r>
      <w:r w:rsidR="00B04295" w:rsidRPr="00815FEA">
        <w:rPr>
          <w:sz w:val="24"/>
          <w:szCs w:val="24"/>
        </w:rPr>
        <w:t xml:space="preserve"> </w:t>
      </w:r>
      <w:r w:rsidRPr="00815FEA">
        <w:rPr>
          <w:sz w:val="24"/>
          <w:szCs w:val="24"/>
        </w:rPr>
        <w:t>km to the south-west of Fitzroy Island. The anchorage area is relatively large at 24,118 ha. However</w:t>
      </w:r>
      <w:r w:rsidR="00B04295" w:rsidRPr="00815FEA">
        <w:rPr>
          <w:sz w:val="24"/>
          <w:szCs w:val="24"/>
        </w:rPr>
        <w:t>,</w:t>
      </w:r>
      <w:r w:rsidRPr="00815FEA">
        <w:rPr>
          <w:sz w:val="24"/>
          <w:szCs w:val="24"/>
        </w:rPr>
        <w:t xml:space="preserve"> the southern designated anchorage point is rarely used, which reduces the effective anchorage area to approximately half the size. The anchorage area for the Port of Cairns is located within sight of the city of Cairns and as such anchored ships may be visible to residents and visitors to the city and surrounding islands within the World Heritage Area. </w:t>
      </w:r>
    </w:p>
    <w:p w:rsidR="001A657F" w:rsidRPr="00815FEA" w:rsidRDefault="00B04295" w:rsidP="001A657F">
      <w:pPr>
        <w:pStyle w:val="Body"/>
        <w:rPr>
          <w:sz w:val="24"/>
          <w:szCs w:val="24"/>
        </w:rPr>
      </w:pPr>
      <w:r w:rsidRPr="00815FEA">
        <w:rPr>
          <w:sz w:val="24"/>
          <w:szCs w:val="24"/>
        </w:rPr>
        <w:t>Cairns Port anchorage area is l</w:t>
      </w:r>
      <w:r w:rsidR="001A657F" w:rsidRPr="00815FEA">
        <w:rPr>
          <w:sz w:val="24"/>
          <w:szCs w:val="24"/>
        </w:rPr>
        <w:t>ocated within a Marine Park General Use Zone</w:t>
      </w:r>
      <w:r w:rsidRPr="00815FEA">
        <w:rPr>
          <w:sz w:val="24"/>
          <w:szCs w:val="24"/>
        </w:rPr>
        <w:t>. It</w:t>
      </w:r>
      <w:r w:rsidR="001A657F" w:rsidRPr="00815FEA">
        <w:rPr>
          <w:sz w:val="24"/>
          <w:szCs w:val="24"/>
        </w:rPr>
        <w:t xml:space="preserve"> is transited by commercial vessels accessing the port, but also by commercial and recreational fishing vessels accessing fishing areas and a high volume of tourism vessels accessing the Reef and islands within the Work Heritage Area. Adjacent to the anchorage area are a number of management zones offering habitat protection. In the vicinity of the anchorage area, there is an Estuarine Conservation Zone located immediately south and a Conservation Park Zone approximately 5 km to the south-east. Scientific Research, Habitat Protection and further Conservation Park Zones are located 9 km to the east of the main anchorage area but are within 3 km of the southern anchorage. The Yarrabah Aboriginal community is located approximately 2 km to the south of the anchorages area.</w:t>
      </w:r>
    </w:p>
    <w:p w:rsidR="001A657F" w:rsidRPr="00815FEA" w:rsidRDefault="001A657F" w:rsidP="001A657F">
      <w:pPr>
        <w:pStyle w:val="Body"/>
        <w:rPr>
          <w:sz w:val="24"/>
          <w:szCs w:val="24"/>
        </w:rPr>
      </w:pPr>
      <w:r w:rsidRPr="00815FEA">
        <w:rPr>
          <w:sz w:val="24"/>
          <w:szCs w:val="24"/>
        </w:rPr>
        <w:t xml:space="preserve">The anchorage area at the Port of Cairns is located in deepwater habitat and characterised by </w:t>
      </w:r>
      <w:r w:rsidRPr="00815FEA">
        <w:rPr>
          <w:i/>
          <w:sz w:val="24"/>
          <w:szCs w:val="24"/>
        </w:rPr>
        <w:t>“open, relatively bare, bioturbated habitat. Sediments in the northern portion of the anchorage area are dominated by silts and clays”</w:t>
      </w:r>
      <w:r w:rsidRPr="00815FEA">
        <w:rPr>
          <w:sz w:val="24"/>
          <w:szCs w:val="24"/>
        </w:rPr>
        <w:t xml:space="preserve"> (GHD 2012</w:t>
      </w:r>
      <w:r w:rsidR="0047666F" w:rsidRPr="00815FEA">
        <w:rPr>
          <w:sz w:val="24"/>
          <w:szCs w:val="24"/>
        </w:rPr>
        <w:t>a</w:t>
      </w:r>
      <w:r w:rsidRPr="00815FEA">
        <w:rPr>
          <w:sz w:val="24"/>
          <w:szCs w:val="24"/>
        </w:rPr>
        <w:t>). Some solitary corals and algae are sparsely distributed throughout the anchorage area, but it does not support any hard coral reefs or seagrass meadows. Mangroves and intertidal seagrass meadows are, however, present in high density along the mouth of Trinity Inlet and the Cairns foreshore, approximately 3 km away. Species present at the anchorage area, and of cultural and environmental value, include marine reptiles, dugong, dolphins and whales. EPBC listed migratory wetland and marine birds may also utilise the anchorage area. The anchorage provides habitat and/or resources for these protected marine fauna in addition to a range of pelagic fish targeted by commercial, charter and recreational fishers.</w:t>
      </w:r>
      <w:r w:rsidR="002344AB" w:rsidRPr="00815FEA">
        <w:rPr>
          <w:sz w:val="24"/>
          <w:szCs w:val="24"/>
        </w:rPr>
        <w:t xml:space="preserve"> </w:t>
      </w:r>
    </w:p>
    <w:p w:rsidR="001A657F" w:rsidRPr="00815FEA" w:rsidRDefault="001A657F" w:rsidP="001A657F">
      <w:pPr>
        <w:pStyle w:val="Body"/>
        <w:rPr>
          <w:sz w:val="24"/>
          <w:szCs w:val="24"/>
        </w:rPr>
      </w:pPr>
      <w:r w:rsidRPr="00815FEA">
        <w:rPr>
          <w:sz w:val="24"/>
          <w:szCs w:val="24"/>
        </w:rPr>
        <w:t>The Environmental Impact Assessment (EIA) (GHD 2012</w:t>
      </w:r>
      <w:r w:rsidR="0047666F" w:rsidRPr="00815FEA">
        <w:rPr>
          <w:sz w:val="24"/>
          <w:szCs w:val="24"/>
        </w:rPr>
        <w:t>a</w:t>
      </w:r>
      <w:r w:rsidRPr="00815FEA">
        <w:rPr>
          <w:sz w:val="24"/>
          <w:szCs w:val="24"/>
        </w:rPr>
        <w:t>) phase of this study, determined that:</w:t>
      </w:r>
    </w:p>
    <w:p w:rsidR="001A657F" w:rsidRPr="00815FEA" w:rsidRDefault="001A657F" w:rsidP="001A657F">
      <w:pPr>
        <w:pStyle w:val="Body"/>
        <w:rPr>
          <w:i/>
          <w:sz w:val="24"/>
          <w:szCs w:val="24"/>
        </w:rPr>
      </w:pPr>
      <w:r w:rsidRPr="00815FEA">
        <w:rPr>
          <w:i/>
          <w:sz w:val="24"/>
          <w:szCs w:val="24"/>
        </w:rPr>
        <w:t>“the anchorage area is not considered to provide highly valued habitat or geomorphic features that are integral to the ongoing maintenance of ecosystem processes or core feeding or breeding habitat critical for the persistence of any protected species”.</w:t>
      </w:r>
    </w:p>
    <w:p w:rsidR="001A657F" w:rsidRDefault="001A657F" w:rsidP="001A657F">
      <w:pPr>
        <w:pStyle w:val="Caption"/>
        <w:sectPr w:rsidR="001A657F" w:rsidSect="00B6174B">
          <w:headerReference w:type="default" r:id="rId23"/>
          <w:footerReference w:type="default" r:id="rId24"/>
          <w:pgSz w:w="11906" w:h="16838" w:code="9"/>
          <w:pgMar w:top="1418" w:right="1701" w:bottom="1701" w:left="1418" w:header="709" w:footer="709" w:gutter="0"/>
          <w:cols w:space="720"/>
          <w:docGrid w:linePitch="273"/>
        </w:sectPr>
      </w:pPr>
      <w:bookmarkStart w:id="237" w:name="_Ref342395146"/>
    </w:p>
    <w:bookmarkEnd w:id="237"/>
    <w:p w:rsidR="001A657F" w:rsidRDefault="006721A0" w:rsidP="001A657F">
      <w:pPr>
        <w:pStyle w:val="Body"/>
      </w:pPr>
      <w:r>
        <w:rPr>
          <w:noProof/>
          <w:szCs w:val="24"/>
          <w:lang w:eastAsia="en-AU"/>
        </w:rPr>
        <w:drawing>
          <wp:inline distT="0" distB="0" distL="0" distR="0" wp14:anchorId="21170980" wp14:editId="0BD42568">
            <wp:extent cx="8140170" cy="5760000"/>
            <wp:effectExtent l="0" t="0" r="0" b="0"/>
            <wp:docPr id="14" name="Picture 14" descr="The map shows the bounded anchorage area, as well as reefs and the different protection zones of the Great Barrier Reef in the vicinity of the anchorage area. A long description of the features in the figure is provided in Section 4.5.1." title="Map of the current anchorage area of the Port of Cair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21022a_AnchAreaCairnsNoGrid.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8140170" cy="5760000"/>
                    </a:xfrm>
                    <a:prstGeom prst="rect">
                      <a:avLst/>
                    </a:prstGeom>
                  </pic:spPr>
                </pic:pic>
              </a:graphicData>
            </a:graphic>
          </wp:inline>
        </w:drawing>
      </w:r>
    </w:p>
    <w:p w:rsidR="001A657F" w:rsidRDefault="001A657F" w:rsidP="006721A0">
      <w:pPr>
        <w:pStyle w:val="Caption"/>
      </w:pPr>
      <w:bookmarkStart w:id="238" w:name="_Ref342400842"/>
      <w:bookmarkStart w:id="239" w:name="_Toc343597592"/>
      <w:bookmarkStart w:id="240" w:name="_Toc362274382"/>
      <w:r w:rsidRPr="00815FEA">
        <w:rPr>
          <w:sz w:val="24"/>
          <w:szCs w:val="24"/>
        </w:rPr>
        <w:t xml:space="preserve">Figure </w:t>
      </w:r>
      <w:r w:rsidR="009108AD" w:rsidRPr="00815FEA">
        <w:rPr>
          <w:sz w:val="24"/>
          <w:szCs w:val="24"/>
        </w:rPr>
        <w:fldChar w:fldCharType="begin"/>
      </w:r>
      <w:r w:rsidR="009108AD" w:rsidRPr="00815FEA">
        <w:rPr>
          <w:sz w:val="24"/>
          <w:szCs w:val="24"/>
        </w:rPr>
        <w:instrText xml:space="preserve"> STYLEREF 1 \s </w:instrText>
      </w:r>
      <w:r w:rsidR="009108AD" w:rsidRPr="00815FEA">
        <w:rPr>
          <w:sz w:val="24"/>
          <w:szCs w:val="24"/>
        </w:rPr>
        <w:fldChar w:fldCharType="separate"/>
      </w:r>
      <w:r w:rsidR="005F6E51">
        <w:rPr>
          <w:noProof/>
          <w:sz w:val="24"/>
          <w:szCs w:val="24"/>
        </w:rPr>
        <w:t>4</w:t>
      </w:r>
      <w:r w:rsidR="009108AD" w:rsidRPr="00815FEA">
        <w:rPr>
          <w:noProof/>
          <w:sz w:val="24"/>
          <w:szCs w:val="24"/>
        </w:rPr>
        <w:fldChar w:fldCharType="end"/>
      </w:r>
      <w:r w:rsidRPr="00815FEA">
        <w:rPr>
          <w:sz w:val="24"/>
          <w:szCs w:val="24"/>
        </w:rPr>
        <w:noBreakHyphen/>
      </w:r>
      <w:r w:rsidR="009108AD" w:rsidRPr="00815FEA">
        <w:rPr>
          <w:sz w:val="24"/>
          <w:szCs w:val="24"/>
        </w:rPr>
        <w:fldChar w:fldCharType="begin"/>
      </w:r>
      <w:r w:rsidR="009108AD" w:rsidRPr="00815FEA">
        <w:rPr>
          <w:sz w:val="24"/>
          <w:szCs w:val="24"/>
        </w:rPr>
        <w:instrText xml:space="preserve"> SEQ Figure \* ARABIC \s 1 </w:instrText>
      </w:r>
      <w:r w:rsidR="009108AD" w:rsidRPr="00815FEA">
        <w:rPr>
          <w:sz w:val="24"/>
          <w:szCs w:val="24"/>
        </w:rPr>
        <w:fldChar w:fldCharType="separate"/>
      </w:r>
      <w:r w:rsidR="005F6E51">
        <w:rPr>
          <w:noProof/>
          <w:sz w:val="24"/>
          <w:szCs w:val="24"/>
        </w:rPr>
        <w:t>3</w:t>
      </w:r>
      <w:r w:rsidR="009108AD" w:rsidRPr="00815FEA">
        <w:rPr>
          <w:noProof/>
          <w:sz w:val="24"/>
          <w:szCs w:val="24"/>
        </w:rPr>
        <w:fldChar w:fldCharType="end"/>
      </w:r>
      <w:bookmarkEnd w:id="238"/>
      <w:r w:rsidR="00815FEA">
        <w:rPr>
          <w:noProof/>
          <w:sz w:val="24"/>
          <w:szCs w:val="24"/>
        </w:rPr>
        <w:t>:</w:t>
      </w:r>
      <w:r w:rsidRPr="00815FEA">
        <w:rPr>
          <w:sz w:val="24"/>
          <w:szCs w:val="24"/>
        </w:rPr>
        <w:t xml:space="preserve"> </w:t>
      </w:r>
      <w:r w:rsidRPr="00815FEA">
        <w:rPr>
          <w:b w:val="0"/>
          <w:sz w:val="24"/>
          <w:szCs w:val="24"/>
        </w:rPr>
        <w:t>Map of the current anchorage area of the Port of Cairns</w:t>
      </w:r>
      <w:bookmarkEnd w:id="239"/>
      <w:bookmarkEnd w:id="240"/>
      <w:r w:rsidR="006721A0">
        <w:rPr>
          <w:b w:val="0"/>
          <w:sz w:val="24"/>
          <w:szCs w:val="24"/>
        </w:rPr>
        <w:t xml:space="preserve"> </w:t>
      </w:r>
    </w:p>
    <w:p w:rsidR="001A657F" w:rsidRDefault="001A657F" w:rsidP="001A657F">
      <w:pPr>
        <w:pStyle w:val="Caption"/>
        <w:sectPr w:rsidR="001A657F" w:rsidSect="006721A0">
          <w:headerReference w:type="default" r:id="rId26"/>
          <w:footerReference w:type="default" r:id="rId27"/>
          <w:pgSz w:w="16838" w:h="11906" w:orient="landscape" w:code="9"/>
          <w:pgMar w:top="1134" w:right="1418" w:bottom="1134" w:left="1418" w:header="709" w:footer="709" w:gutter="0"/>
          <w:cols w:space="720"/>
          <w:docGrid w:linePitch="273"/>
        </w:sectPr>
      </w:pPr>
      <w:bookmarkStart w:id="241" w:name="_Ref342396974"/>
    </w:p>
    <w:p w:rsidR="001A657F" w:rsidRPr="00B41CFA" w:rsidRDefault="001A657F" w:rsidP="001A657F">
      <w:pPr>
        <w:pStyle w:val="Heading3"/>
        <w:rPr>
          <w:sz w:val="24"/>
        </w:rPr>
      </w:pPr>
      <w:bookmarkStart w:id="242" w:name="_Toc343526791"/>
      <w:bookmarkStart w:id="243" w:name="_Toc343527043"/>
      <w:bookmarkStart w:id="244" w:name="_Toc343581778"/>
      <w:bookmarkStart w:id="245" w:name="_Toc343597233"/>
      <w:bookmarkStart w:id="246" w:name="_Toc343526726"/>
      <w:bookmarkStart w:id="247" w:name="_Toc343526792"/>
      <w:bookmarkStart w:id="248" w:name="_Toc343527044"/>
      <w:bookmarkStart w:id="249" w:name="_Toc343578698"/>
      <w:bookmarkStart w:id="250" w:name="_Toc343581779"/>
      <w:bookmarkStart w:id="251" w:name="_Toc343582013"/>
      <w:bookmarkStart w:id="252" w:name="_Toc343584305"/>
      <w:bookmarkStart w:id="253" w:name="_Toc343584456"/>
      <w:bookmarkStart w:id="254" w:name="_Toc343584470"/>
      <w:bookmarkStart w:id="255" w:name="_Toc343584483"/>
      <w:bookmarkStart w:id="256" w:name="_Toc343584504"/>
      <w:bookmarkStart w:id="257" w:name="_Toc343586946"/>
      <w:bookmarkStart w:id="258" w:name="_Toc343596988"/>
      <w:bookmarkStart w:id="259" w:name="_Toc343597234"/>
      <w:bookmarkStart w:id="260" w:name="_Toc343597593"/>
      <w:bookmarkStart w:id="261" w:name="_Toc343597235"/>
      <w:bookmarkStart w:id="262" w:name="_Toc362274295"/>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r w:rsidRPr="00B41CFA">
        <w:rPr>
          <w:sz w:val="24"/>
        </w:rPr>
        <w:t>Current demand for ship anchorages at the Port of Cairns</w:t>
      </w:r>
      <w:bookmarkEnd w:id="261"/>
      <w:bookmarkEnd w:id="262"/>
    </w:p>
    <w:p w:rsidR="001A657F" w:rsidRPr="00815FEA" w:rsidRDefault="001A657F" w:rsidP="001A657F">
      <w:pPr>
        <w:pStyle w:val="Body"/>
        <w:rPr>
          <w:sz w:val="24"/>
          <w:szCs w:val="24"/>
        </w:rPr>
      </w:pPr>
      <w:r w:rsidRPr="00815FEA">
        <w:rPr>
          <w:sz w:val="24"/>
          <w:szCs w:val="24"/>
        </w:rPr>
        <w:t>Based on MSQ historic vessel movements data for vessels over 5</w:t>
      </w:r>
      <w:r w:rsidR="00374F9D">
        <w:rPr>
          <w:sz w:val="24"/>
          <w:szCs w:val="24"/>
        </w:rPr>
        <w:t xml:space="preserve">0 m in length over the period 1 </w:t>
      </w:r>
      <w:r w:rsidRPr="00815FEA">
        <w:rPr>
          <w:sz w:val="24"/>
          <w:szCs w:val="24"/>
        </w:rPr>
        <w:t>January 2009 to 30 September 2012, there are currently around a total of 500 ship arrivals per year at the Port of Cairns, of which around 15 per cent involve ships proceeding directly to anchor. This number includes a number of naval vessel arrivals as well as cruise-ships.</w:t>
      </w:r>
    </w:p>
    <w:p w:rsidR="001A657F" w:rsidRPr="00815FEA" w:rsidRDefault="001A657F" w:rsidP="001A657F">
      <w:pPr>
        <w:pStyle w:val="CaptionTable"/>
        <w:rPr>
          <w:sz w:val="24"/>
          <w:szCs w:val="24"/>
        </w:rPr>
      </w:pPr>
      <w:bookmarkStart w:id="263" w:name="_Toc343597154"/>
      <w:bookmarkStart w:id="264" w:name="_Toc362274368"/>
      <w:r w:rsidRPr="00815FEA">
        <w:rPr>
          <w:sz w:val="24"/>
          <w:szCs w:val="24"/>
        </w:rPr>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4</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4</w:t>
      </w:r>
      <w:r w:rsidR="00542883">
        <w:rPr>
          <w:sz w:val="24"/>
          <w:szCs w:val="24"/>
        </w:rPr>
        <w:fldChar w:fldCharType="end"/>
      </w:r>
      <w:r w:rsidR="00815FEA">
        <w:rPr>
          <w:noProof/>
          <w:sz w:val="24"/>
          <w:szCs w:val="24"/>
        </w:rPr>
        <w:t>:</w:t>
      </w:r>
      <w:r w:rsidRPr="00815FEA">
        <w:rPr>
          <w:sz w:val="24"/>
          <w:szCs w:val="24"/>
        </w:rPr>
        <w:t xml:space="preserve"> </w:t>
      </w:r>
      <w:r w:rsidRPr="00815FEA">
        <w:rPr>
          <w:b w:val="0"/>
          <w:sz w:val="24"/>
          <w:szCs w:val="24"/>
        </w:rPr>
        <w:t>Total ship visits to the Port of Cairns and share using ship anchorages, 2009-2012</w:t>
      </w:r>
      <w:bookmarkEnd w:id="263"/>
      <w:r w:rsidR="00815FEA">
        <w:rPr>
          <w:b w:val="0"/>
          <w:sz w:val="24"/>
          <w:szCs w:val="24"/>
        </w:rPr>
        <w:t xml:space="preserve"> (</w:t>
      </w:r>
      <w:r w:rsidR="008F549F">
        <w:rPr>
          <w:b w:val="0"/>
          <w:sz w:val="24"/>
          <w:szCs w:val="24"/>
        </w:rPr>
        <w:t>Source: MSQ data/</w:t>
      </w:r>
      <w:r w:rsidR="00815FEA" w:rsidRPr="00815FEA">
        <w:rPr>
          <w:b w:val="0"/>
          <w:sz w:val="24"/>
          <w:szCs w:val="24"/>
        </w:rPr>
        <w:t>GHD analysis</w:t>
      </w:r>
      <w:r w:rsidR="00815FEA">
        <w:rPr>
          <w:b w:val="0"/>
          <w:sz w:val="24"/>
          <w:szCs w:val="24"/>
        </w:rPr>
        <w:t>)</w:t>
      </w:r>
      <w:bookmarkEnd w:id="264"/>
    </w:p>
    <w:tbl>
      <w:tblPr>
        <w:tblW w:w="0" w:type="auto"/>
        <w:tblBorders>
          <w:top w:val="single" w:sz="4" w:space="0" w:color="auto"/>
          <w:bottom w:val="single" w:sz="4" w:space="0" w:color="auto"/>
        </w:tblBorders>
        <w:tblLook w:val="0000" w:firstRow="0" w:lastRow="0" w:firstColumn="0" w:lastColumn="0" w:noHBand="0" w:noVBand="0"/>
        <w:tblCaption w:val="Total ship visits to the Port of Cairns and share using ship anchorages"/>
        <w:tblDescription w:val="The total ship visits to the Port of Cairns and the share of ships using anchorages from 2009-2012. Columns are each year from 2009-2012 and rows are number or per cent of vessels. "/>
      </w:tblPr>
      <w:tblGrid>
        <w:gridCol w:w="2235"/>
        <w:gridCol w:w="1304"/>
        <w:gridCol w:w="1304"/>
        <w:gridCol w:w="1304"/>
        <w:gridCol w:w="2173"/>
      </w:tblGrid>
      <w:tr w:rsidR="001A657F" w:rsidRPr="00815FEA" w:rsidTr="006E3423">
        <w:tc>
          <w:tcPr>
            <w:tcW w:w="2235" w:type="dxa"/>
            <w:tcBorders>
              <w:top w:val="single" w:sz="4" w:space="0" w:color="auto"/>
              <w:bottom w:val="single" w:sz="4" w:space="0" w:color="auto"/>
            </w:tcBorders>
          </w:tcPr>
          <w:p w:rsidR="001A657F" w:rsidRPr="00815FEA" w:rsidRDefault="001A657F" w:rsidP="006E3423">
            <w:pPr>
              <w:pStyle w:val="Body"/>
              <w:rPr>
                <w:b/>
                <w:sz w:val="24"/>
                <w:szCs w:val="24"/>
              </w:rPr>
            </w:pPr>
            <w:r w:rsidRPr="00815FEA">
              <w:rPr>
                <w:b/>
                <w:sz w:val="24"/>
                <w:szCs w:val="24"/>
              </w:rPr>
              <w:t>Port of Cairns</w:t>
            </w:r>
          </w:p>
        </w:tc>
        <w:tc>
          <w:tcPr>
            <w:tcW w:w="1304" w:type="dxa"/>
            <w:tcBorders>
              <w:top w:val="single" w:sz="4" w:space="0" w:color="auto"/>
              <w:bottom w:val="single" w:sz="4" w:space="0" w:color="auto"/>
            </w:tcBorders>
          </w:tcPr>
          <w:p w:rsidR="001A657F" w:rsidRPr="00815FEA" w:rsidRDefault="001A657F" w:rsidP="006E3423">
            <w:pPr>
              <w:pStyle w:val="Body"/>
              <w:rPr>
                <w:b/>
                <w:sz w:val="24"/>
                <w:szCs w:val="24"/>
              </w:rPr>
            </w:pPr>
            <w:r w:rsidRPr="00815FEA">
              <w:rPr>
                <w:b/>
                <w:sz w:val="24"/>
                <w:szCs w:val="24"/>
              </w:rPr>
              <w:t>2009</w:t>
            </w:r>
          </w:p>
        </w:tc>
        <w:tc>
          <w:tcPr>
            <w:tcW w:w="1304" w:type="dxa"/>
            <w:tcBorders>
              <w:top w:val="single" w:sz="4" w:space="0" w:color="auto"/>
              <w:bottom w:val="single" w:sz="4" w:space="0" w:color="auto"/>
            </w:tcBorders>
          </w:tcPr>
          <w:p w:rsidR="001A657F" w:rsidRPr="00815FEA" w:rsidRDefault="001A657F" w:rsidP="006E3423">
            <w:pPr>
              <w:pStyle w:val="Body"/>
              <w:rPr>
                <w:b/>
                <w:sz w:val="24"/>
                <w:szCs w:val="24"/>
              </w:rPr>
            </w:pPr>
            <w:r w:rsidRPr="00815FEA">
              <w:rPr>
                <w:b/>
                <w:sz w:val="24"/>
                <w:szCs w:val="24"/>
              </w:rPr>
              <w:t>2010</w:t>
            </w:r>
          </w:p>
        </w:tc>
        <w:tc>
          <w:tcPr>
            <w:tcW w:w="1304" w:type="dxa"/>
            <w:tcBorders>
              <w:top w:val="single" w:sz="4" w:space="0" w:color="auto"/>
              <w:bottom w:val="single" w:sz="4" w:space="0" w:color="auto"/>
            </w:tcBorders>
          </w:tcPr>
          <w:p w:rsidR="001A657F" w:rsidRPr="00815FEA" w:rsidRDefault="001A657F" w:rsidP="006E3423">
            <w:pPr>
              <w:pStyle w:val="Body"/>
              <w:rPr>
                <w:b/>
                <w:sz w:val="24"/>
                <w:szCs w:val="24"/>
              </w:rPr>
            </w:pPr>
            <w:r w:rsidRPr="00815FEA">
              <w:rPr>
                <w:b/>
                <w:sz w:val="24"/>
                <w:szCs w:val="24"/>
              </w:rPr>
              <w:t>2011</w:t>
            </w:r>
          </w:p>
        </w:tc>
        <w:tc>
          <w:tcPr>
            <w:tcW w:w="2173" w:type="dxa"/>
            <w:tcBorders>
              <w:top w:val="single" w:sz="4" w:space="0" w:color="auto"/>
              <w:bottom w:val="single" w:sz="4" w:space="0" w:color="auto"/>
            </w:tcBorders>
          </w:tcPr>
          <w:p w:rsidR="001A657F" w:rsidRPr="00815FEA" w:rsidRDefault="001A657F" w:rsidP="006E3423">
            <w:pPr>
              <w:pStyle w:val="Body"/>
              <w:rPr>
                <w:b/>
                <w:sz w:val="24"/>
                <w:szCs w:val="24"/>
              </w:rPr>
            </w:pPr>
            <w:r w:rsidRPr="00815FEA">
              <w:rPr>
                <w:b/>
                <w:sz w:val="24"/>
                <w:szCs w:val="24"/>
              </w:rPr>
              <w:t>2012 (Nine months)</w:t>
            </w:r>
          </w:p>
        </w:tc>
      </w:tr>
      <w:tr w:rsidR="001A657F" w:rsidRPr="00815FEA" w:rsidTr="006E3423">
        <w:tc>
          <w:tcPr>
            <w:tcW w:w="2235" w:type="dxa"/>
            <w:tcBorders>
              <w:top w:val="single" w:sz="4" w:space="0" w:color="auto"/>
              <w:bottom w:val="single" w:sz="4" w:space="0" w:color="auto"/>
            </w:tcBorders>
          </w:tcPr>
          <w:p w:rsidR="001A657F" w:rsidRPr="00815FEA" w:rsidRDefault="001A657F" w:rsidP="006E3423">
            <w:pPr>
              <w:pStyle w:val="Body"/>
              <w:rPr>
                <w:sz w:val="24"/>
                <w:szCs w:val="24"/>
              </w:rPr>
            </w:pPr>
            <w:r w:rsidRPr="00815FEA">
              <w:rPr>
                <w:sz w:val="24"/>
                <w:szCs w:val="24"/>
              </w:rPr>
              <w:t>Total ship arrivals</w:t>
            </w:r>
          </w:p>
        </w:tc>
        <w:tc>
          <w:tcPr>
            <w:tcW w:w="1304" w:type="dxa"/>
            <w:tcBorders>
              <w:top w:val="single" w:sz="4" w:space="0" w:color="auto"/>
              <w:bottom w:val="single" w:sz="4" w:space="0" w:color="auto"/>
            </w:tcBorders>
          </w:tcPr>
          <w:p w:rsidR="001A657F" w:rsidRPr="00815FEA" w:rsidRDefault="001A657F" w:rsidP="006E3423">
            <w:pPr>
              <w:pStyle w:val="Body"/>
              <w:rPr>
                <w:sz w:val="24"/>
                <w:szCs w:val="24"/>
              </w:rPr>
            </w:pPr>
            <w:r w:rsidRPr="00815FEA">
              <w:rPr>
                <w:sz w:val="24"/>
                <w:szCs w:val="24"/>
              </w:rPr>
              <w:t>499</w:t>
            </w:r>
          </w:p>
        </w:tc>
        <w:tc>
          <w:tcPr>
            <w:tcW w:w="1304" w:type="dxa"/>
            <w:tcBorders>
              <w:top w:val="single" w:sz="4" w:space="0" w:color="auto"/>
              <w:bottom w:val="single" w:sz="4" w:space="0" w:color="auto"/>
            </w:tcBorders>
          </w:tcPr>
          <w:p w:rsidR="001A657F" w:rsidRPr="00815FEA" w:rsidRDefault="001A657F" w:rsidP="006E3423">
            <w:pPr>
              <w:pStyle w:val="Body"/>
              <w:rPr>
                <w:sz w:val="24"/>
                <w:szCs w:val="24"/>
              </w:rPr>
            </w:pPr>
            <w:r w:rsidRPr="00815FEA">
              <w:rPr>
                <w:sz w:val="24"/>
                <w:szCs w:val="24"/>
              </w:rPr>
              <w:t>466</w:t>
            </w:r>
          </w:p>
        </w:tc>
        <w:tc>
          <w:tcPr>
            <w:tcW w:w="1304" w:type="dxa"/>
            <w:tcBorders>
              <w:top w:val="single" w:sz="4" w:space="0" w:color="auto"/>
              <w:bottom w:val="single" w:sz="4" w:space="0" w:color="auto"/>
            </w:tcBorders>
          </w:tcPr>
          <w:p w:rsidR="001A657F" w:rsidRPr="00815FEA" w:rsidRDefault="001A657F" w:rsidP="006E3423">
            <w:pPr>
              <w:pStyle w:val="Body"/>
              <w:rPr>
                <w:sz w:val="24"/>
                <w:szCs w:val="24"/>
              </w:rPr>
            </w:pPr>
            <w:r w:rsidRPr="00815FEA">
              <w:rPr>
                <w:sz w:val="24"/>
                <w:szCs w:val="24"/>
              </w:rPr>
              <w:t>476</w:t>
            </w:r>
          </w:p>
        </w:tc>
        <w:tc>
          <w:tcPr>
            <w:tcW w:w="2173" w:type="dxa"/>
            <w:tcBorders>
              <w:top w:val="single" w:sz="4" w:space="0" w:color="auto"/>
              <w:bottom w:val="single" w:sz="4" w:space="0" w:color="auto"/>
            </w:tcBorders>
          </w:tcPr>
          <w:p w:rsidR="001A657F" w:rsidRPr="00815FEA" w:rsidRDefault="001A657F" w:rsidP="006E3423">
            <w:pPr>
              <w:pStyle w:val="Body"/>
              <w:rPr>
                <w:sz w:val="24"/>
                <w:szCs w:val="24"/>
              </w:rPr>
            </w:pPr>
            <w:r w:rsidRPr="00815FEA">
              <w:rPr>
                <w:sz w:val="24"/>
                <w:szCs w:val="24"/>
              </w:rPr>
              <w:t>351</w:t>
            </w:r>
          </w:p>
        </w:tc>
      </w:tr>
      <w:tr w:rsidR="001A657F" w:rsidRPr="00815FEA" w:rsidTr="006E3423">
        <w:tc>
          <w:tcPr>
            <w:tcW w:w="2235" w:type="dxa"/>
            <w:tcBorders>
              <w:top w:val="single" w:sz="4" w:space="0" w:color="auto"/>
              <w:bottom w:val="single" w:sz="4" w:space="0" w:color="auto"/>
            </w:tcBorders>
          </w:tcPr>
          <w:p w:rsidR="001A657F" w:rsidRPr="00815FEA" w:rsidRDefault="001A657F" w:rsidP="006E3423">
            <w:pPr>
              <w:pStyle w:val="Body"/>
              <w:rPr>
                <w:sz w:val="24"/>
                <w:szCs w:val="24"/>
              </w:rPr>
            </w:pPr>
            <w:r w:rsidRPr="00815FEA">
              <w:rPr>
                <w:sz w:val="24"/>
                <w:szCs w:val="24"/>
              </w:rPr>
              <w:t>Total direct to berth</w:t>
            </w:r>
          </w:p>
        </w:tc>
        <w:tc>
          <w:tcPr>
            <w:tcW w:w="1304" w:type="dxa"/>
            <w:tcBorders>
              <w:top w:val="single" w:sz="4" w:space="0" w:color="auto"/>
              <w:bottom w:val="single" w:sz="4" w:space="0" w:color="auto"/>
            </w:tcBorders>
          </w:tcPr>
          <w:p w:rsidR="001A657F" w:rsidRPr="00815FEA" w:rsidRDefault="001A657F" w:rsidP="006E3423">
            <w:pPr>
              <w:pStyle w:val="Body"/>
              <w:rPr>
                <w:sz w:val="24"/>
                <w:szCs w:val="24"/>
              </w:rPr>
            </w:pPr>
            <w:r w:rsidRPr="00815FEA">
              <w:rPr>
                <w:sz w:val="24"/>
                <w:szCs w:val="24"/>
              </w:rPr>
              <w:t>445</w:t>
            </w:r>
          </w:p>
        </w:tc>
        <w:tc>
          <w:tcPr>
            <w:tcW w:w="1304" w:type="dxa"/>
            <w:tcBorders>
              <w:top w:val="single" w:sz="4" w:space="0" w:color="auto"/>
              <w:bottom w:val="single" w:sz="4" w:space="0" w:color="auto"/>
            </w:tcBorders>
          </w:tcPr>
          <w:p w:rsidR="001A657F" w:rsidRPr="00815FEA" w:rsidRDefault="001A657F" w:rsidP="006E3423">
            <w:pPr>
              <w:pStyle w:val="Body"/>
              <w:rPr>
                <w:sz w:val="24"/>
                <w:szCs w:val="24"/>
              </w:rPr>
            </w:pPr>
            <w:r w:rsidRPr="00815FEA">
              <w:rPr>
                <w:sz w:val="24"/>
                <w:szCs w:val="24"/>
              </w:rPr>
              <w:t>401</w:t>
            </w:r>
          </w:p>
        </w:tc>
        <w:tc>
          <w:tcPr>
            <w:tcW w:w="1304" w:type="dxa"/>
            <w:tcBorders>
              <w:top w:val="single" w:sz="4" w:space="0" w:color="auto"/>
              <w:bottom w:val="single" w:sz="4" w:space="0" w:color="auto"/>
            </w:tcBorders>
          </w:tcPr>
          <w:p w:rsidR="001A657F" w:rsidRPr="00815FEA" w:rsidRDefault="001A657F" w:rsidP="006E3423">
            <w:pPr>
              <w:pStyle w:val="Body"/>
              <w:rPr>
                <w:sz w:val="24"/>
                <w:szCs w:val="24"/>
              </w:rPr>
            </w:pPr>
            <w:r w:rsidRPr="00815FEA">
              <w:rPr>
                <w:sz w:val="24"/>
                <w:szCs w:val="24"/>
              </w:rPr>
              <w:t>403</w:t>
            </w:r>
          </w:p>
        </w:tc>
        <w:tc>
          <w:tcPr>
            <w:tcW w:w="2173" w:type="dxa"/>
            <w:tcBorders>
              <w:top w:val="single" w:sz="4" w:space="0" w:color="auto"/>
              <w:bottom w:val="single" w:sz="4" w:space="0" w:color="auto"/>
            </w:tcBorders>
          </w:tcPr>
          <w:p w:rsidR="001A657F" w:rsidRPr="00815FEA" w:rsidRDefault="001A657F" w:rsidP="006E3423">
            <w:pPr>
              <w:pStyle w:val="Body"/>
              <w:rPr>
                <w:sz w:val="24"/>
                <w:szCs w:val="24"/>
              </w:rPr>
            </w:pPr>
            <w:r w:rsidRPr="00815FEA">
              <w:rPr>
                <w:sz w:val="24"/>
                <w:szCs w:val="24"/>
              </w:rPr>
              <w:t>290</w:t>
            </w:r>
          </w:p>
        </w:tc>
      </w:tr>
      <w:tr w:rsidR="001A657F" w:rsidRPr="00815FEA" w:rsidTr="006E3423">
        <w:tc>
          <w:tcPr>
            <w:tcW w:w="2235" w:type="dxa"/>
            <w:tcBorders>
              <w:top w:val="single" w:sz="4" w:space="0" w:color="auto"/>
              <w:bottom w:val="single" w:sz="4" w:space="0" w:color="auto"/>
            </w:tcBorders>
          </w:tcPr>
          <w:p w:rsidR="001A657F" w:rsidRPr="00815FEA" w:rsidRDefault="001A657F" w:rsidP="006E3423">
            <w:pPr>
              <w:pStyle w:val="Body"/>
              <w:rPr>
                <w:sz w:val="24"/>
                <w:szCs w:val="24"/>
              </w:rPr>
            </w:pPr>
            <w:r w:rsidRPr="00815FEA">
              <w:rPr>
                <w:sz w:val="24"/>
                <w:szCs w:val="24"/>
              </w:rPr>
              <w:t>Total direct to anchor</w:t>
            </w:r>
          </w:p>
        </w:tc>
        <w:tc>
          <w:tcPr>
            <w:tcW w:w="1304" w:type="dxa"/>
            <w:tcBorders>
              <w:top w:val="single" w:sz="4" w:space="0" w:color="auto"/>
              <w:bottom w:val="single" w:sz="4" w:space="0" w:color="auto"/>
            </w:tcBorders>
          </w:tcPr>
          <w:p w:rsidR="001A657F" w:rsidRPr="00815FEA" w:rsidRDefault="001A657F" w:rsidP="006E3423">
            <w:pPr>
              <w:pStyle w:val="Body"/>
              <w:rPr>
                <w:sz w:val="24"/>
                <w:szCs w:val="24"/>
              </w:rPr>
            </w:pPr>
            <w:r w:rsidRPr="00815FEA">
              <w:rPr>
                <w:sz w:val="24"/>
                <w:szCs w:val="24"/>
              </w:rPr>
              <w:t>54</w:t>
            </w:r>
          </w:p>
        </w:tc>
        <w:tc>
          <w:tcPr>
            <w:tcW w:w="1304" w:type="dxa"/>
            <w:tcBorders>
              <w:top w:val="single" w:sz="4" w:space="0" w:color="auto"/>
              <w:bottom w:val="single" w:sz="4" w:space="0" w:color="auto"/>
            </w:tcBorders>
          </w:tcPr>
          <w:p w:rsidR="001A657F" w:rsidRPr="00815FEA" w:rsidRDefault="001A657F" w:rsidP="006E3423">
            <w:pPr>
              <w:pStyle w:val="Body"/>
              <w:rPr>
                <w:sz w:val="24"/>
                <w:szCs w:val="24"/>
              </w:rPr>
            </w:pPr>
            <w:r w:rsidRPr="00815FEA">
              <w:rPr>
                <w:sz w:val="24"/>
                <w:szCs w:val="24"/>
              </w:rPr>
              <w:t>65</w:t>
            </w:r>
          </w:p>
        </w:tc>
        <w:tc>
          <w:tcPr>
            <w:tcW w:w="1304" w:type="dxa"/>
            <w:tcBorders>
              <w:top w:val="single" w:sz="4" w:space="0" w:color="auto"/>
              <w:bottom w:val="single" w:sz="4" w:space="0" w:color="auto"/>
            </w:tcBorders>
          </w:tcPr>
          <w:p w:rsidR="001A657F" w:rsidRPr="00815FEA" w:rsidRDefault="001A657F" w:rsidP="006E3423">
            <w:pPr>
              <w:pStyle w:val="Body"/>
              <w:rPr>
                <w:sz w:val="24"/>
                <w:szCs w:val="24"/>
              </w:rPr>
            </w:pPr>
            <w:r w:rsidRPr="00815FEA">
              <w:rPr>
                <w:sz w:val="24"/>
                <w:szCs w:val="24"/>
              </w:rPr>
              <w:t>73</w:t>
            </w:r>
          </w:p>
        </w:tc>
        <w:tc>
          <w:tcPr>
            <w:tcW w:w="2173" w:type="dxa"/>
            <w:tcBorders>
              <w:top w:val="single" w:sz="4" w:space="0" w:color="auto"/>
              <w:bottom w:val="single" w:sz="4" w:space="0" w:color="auto"/>
            </w:tcBorders>
          </w:tcPr>
          <w:p w:rsidR="001A657F" w:rsidRPr="00815FEA" w:rsidRDefault="001A657F" w:rsidP="006E3423">
            <w:pPr>
              <w:pStyle w:val="Body"/>
              <w:rPr>
                <w:sz w:val="24"/>
                <w:szCs w:val="24"/>
              </w:rPr>
            </w:pPr>
            <w:r w:rsidRPr="00815FEA">
              <w:rPr>
                <w:sz w:val="24"/>
                <w:szCs w:val="24"/>
              </w:rPr>
              <w:t>61</w:t>
            </w:r>
          </w:p>
        </w:tc>
      </w:tr>
      <w:tr w:rsidR="001A657F" w:rsidRPr="00815FEA" w:rsidTr="006E3423">
        <w:tc>
          <w:tcPr>
            <w:tcW w:w="2235" w:type="dxa"/>
            <w:tcBorders>
              <w:top w:val="single" w:sz="4" w:space="0" w:color="auto"/>
              <w:bottom w:val="single" w:sz="4" w:space="0" w:color="auto"/>
            </w:tcBorders>
          </w:tcPr>
          <w:p w:rsidR="001A657F" w:rsidRPr="00815FEA" w:rsidRDefault="00815FEA" w:rsidP="006E3423">
            <w:pPr>
              <w:pStyle w:val="Body"/>
              <w:rPr>
                <w:sz w:val="24"/>
                <w:szCs w:val="24"/>
              </w:rPr>
            </w:pPr>
            <w:r w:rsidRPr="00815FEA">
              <w:rPr>
                <w:sz w:val="24"/>
                <w:szCs w:val="24"/>
              </w:rPr>
              <w:t>Per cent</w:t>
            </w:r>
            <w:r w:rsidR="001A657F" w:rsidRPr="00815FEA">
              <w:rPr>
                <w:sz w:val="24"/>
                <w:szCs w:val="24"/>
              </w:rPr>
              <w:t xml:space="preserve"> direct to berth</w:t>
            </w:r>
          </w:p>
        </w:tc>
        <w:tc>
          <w:tcPr>
            <w:tcW w:w="1304" w:type="dxa"/>
            <w:tcBorders>
              <w:top w:val="single" w:sz="4" w:space="0" w:color="auto"/>
              <w:bottom w:val="single" w:sz="4" w:space="0" w:color="auto"/>
            </w:tcBorders>
          </w:tcPr>
          <w:p w:rsidR="001A657F" w:rsidRPr="00815FEA" w:rsidRDefault="006E0266" w:rsidP="006E3423">
            <w:pPr>
              <w:pStyle w:val="Body"/>
              <w:rPr>
                <w:sz w:val="24"/>
                <w:szCs w:val="24"/>
              </w:rPr>
            </w:pPr>
            <w:r>
              <w:rPr>
                <w:sz w:val="24"/>
                <w:szCs w:val="24"/>
              </w:rPr>
              <w:t>89</w:t>
            </w:r>
            <w:r w:rsidR="001A657F" w:rsidRPr="00815FEA">
              <w:rPr>
                <w:sz w:val="24"/>
                <w:szCs w:val="24"/>
              </w:rPr>
              <w:t>%</w:t>
            </w:r>
          </w:p>
        </w:tc>
        <w:tc>
          <w:tcPr>
            <w:tcW w:w="1304" w:type="dxa"/>
            <w:tcBorders>
              <w:top w:val="single" w:sz="4" w:space="0" w:color="auto"/>
              <w:bottom w:val="single" w:sz="4" w:space="0" w:color="auto"/>
            </w:tcBorders>
          </w:tcPr>
          <w:p w:rsidR="001A657F" w:rsidRPr="00815FEA" w:rsidRDefault="006E0266" w:rsidP="006E3423">
            <w:pPr>
              <w:pStyle w:val="Body"/>
              <w:rPr>
                <w:sz w:val="24"/>
                <w:szCs w:val="24"/>
              </w:rPr>
            </w:pPr>
            <w:r>
              <w:rPr>
                <w:sz w:val="24"/>
                <w:szCs w:val="24"/>
              </w:rPr>
              <w:t>86</w:t>
            </w:r>
            <w:r w:rsidR="001A657F" w:rsidRPr="00815FEA">
              <w:rPr>
                <w:sz w:val="24"/>
                <w:szCs w:val="24"/>
              </w:rPr>
              <w:t>%</w:t>
            </w:r>
          </w:p>
        </w:tc>
        <w:tc>
          <w:tcPr>
            <w:tcW w:w="1304" w:type="dxa"/>
            <w:tcBorders>
              <w:top w:val="single" w:sz="4" w:space="0" w:color="auto"/>
              <w:bottom w:val="single" w:sz="4" w:space="0" w:color="auto"/>
            </w:tcBorders>
          </w:tcPr>
          <w:p w:rsidR="001A657F" w:rsidRPr="00815FEA" w:rsidRDefault="006E0266" w:rsidP="006E3423">
            <w:pPr>
              <w:pStyle w:val="Body"/>
              <w:rPr>
                <w:sz w:val="24"/>
                <w:szCs w:val="24"/>
              </w:rPr>
            </w:pPr>
            <w:r>
              <w:rPr>
                <w:sz w:val="24"/>
                <w:szCs w:val="24"/>
              </w:rPr>
              <w:t>85</w:t>
            </w:r>
            <w:r w:rsidR="001A657F" w:rsidRPr="00815FEA">
              <w:rPr>
                <w:sz w:val="24"/>
                <w:szCs w:val="24"/>
              </w:rPr>
              <w:t>%</w:t>
            </w:r>
          </w:p>
        </w:tc>
        <w:tc>
          <w:tcPr>
            <w:tcW w:w="2173" w:type="dxa"/>
            <w:tcBorders>
              <w:top w:val="single" w:sz="4" w:space="0" w:color="auto"/>
              <w:bottom w:val="single" w:sz="4" w:space="0" w:color="auto"/>
            </w:tcBorders>
          </w:tcPr>
          <w:p w:rsidR="001A657F" w:rsidRPr="00815FEA" w:rsidRDefault="006E0266" w:rsidP="006E3423">
            <w:pPr>
              <w:pStyle w:val="Body"/>
              <w:rPr>
                <w:sz w:val="24"/>
                <w:szCs w:val="24"/>
              </w:rPr>
            </w:pPr>
            <w:r>
              <w:rPr>
                <w:sz w:val="24"/>
                <w:szCs w:val="24"/>
              </w:rPr>
              <w:t>83</w:t>
            </w:r>
            <w:r w:rsidR="001A657F" w:rsidRPr="00815FEA">
              <w:rPr>
                <w:sz w:val="24"/>
                <w:szCs w:val="24"/>
              </w:rPr>
              <w:t>%</w:t>
            </w:r>
          </w:p>
        </w:tc>
      </w:tr>
      <w:tr w:rsidR="001A657F" w:rsidRPr="00815FEA" w:rsidTr="006E3423">
        <w:tc>
          <w:tcPr>
            <w:tcW w:w="2235" w:type="dxa"/>
            <w:tcBorders>
              <w:top w:val="single" w:sz="4" w:space="0" w:color="auto"/>
            </w:tcBorders>
          </w:tcPr>
          <w:p w:rsidR="001A657F" w:rsidRPr="00815FEA" w:rsidRDefault="00815FEA" w:rsidP="006E3423">
            <w:pPr>
              <w:pStyle w:val="Body"/>
              <w:rPr>
                <w:sz w:val="24"/>
                <w:szCs w:val="24"/>
              </w:rPr>
            </w:pPr>
            <w:r w:rsidRPr="00815FEA">
              <w:rPr>
                <w:sz w:val="24"/>
                <w:szCs w:val="24"/>
              </w:rPr>
              <w:t>Per cent</w:t>
            </w:r>
            <w:r w:rsidR="001A657F" w:rsidRPr="00815FEA">
              <w:rPr>
                <w:sz w:val="24"/>
                <w:szCs w:val="24"/>
              </w:rPr>
              <w:t xml:space="preserve"> direct to anchor</w:t>
            </w:r>
          </w:p>
        </w:tc>
        <w:tc>
          <w:tcPr>
            <w:tcW w:w="1304" w:type="dxa"/>
            <w:tcBorders>
              <w:top w:val="single" w:sz="4" w:space="0" w:color="auto"/>
            </w:tcBorders>
          </w:tcPr>
          <w:p w:rsidR="001A657F" w:rsidRPr="00815FEA" w:rsidRDefault="006E0266" w:rsidP="006E3423">
            <w:pPr>
              <w:pStyle w:val="Body"/>
              <w:rPr>
                <w:sz w:val="24"/>
                <w:szCs w:val="24"/>
              </w:rPr>
            </w:pPr>
            <w:r>
              <w:rPr>
                <w:sz w:val="24"/>
                <w:szCs w:val="24"/>
              </w:rPr>
              <w:t>11</w:t>
            </w:r>
            <w:r w:rsidR="001A657F" w:rsidRPr="00815FEA">
              <w:rPr>
                <w:sz w:val="24"/>
                <w:szCs w:val="24"/>
              </w:rPr>
              <w:t>%</w:t>
            </w:r>
          </w:p>
        </w:tc>
        <w:tc>
          <w:tcPr>
            <w:tcW w:w="1304" w:type="dxa"/>
            <w:tcBorders>
              <w:top w:val="single" w:sz="4" w:space="0" w:color="auto"/>
            </w:tcBorders>
          </w:tcPr>
          <w:p w:rsidR="001A657F" w:rsidRPr="00815FEA" w:rsidRDefault="006E0266" w:rsidP="006E3423">
            <w:pPr>
              <w:pStyle w:val="Body"/>
              <w:rPr>
                <w:sz w:val="24"/>
                <w:szCs w:val="24"/>
              </w:rPr>
            </w:pPr>
            <w:r>
              <w:rPr>
                <w:sz w:val="24"/>
                <w:szCs w:val="24"/>
              </w:rPr>
              <w:t>14</w:t>
            </w:r>
            <w:r w:rsidR="001A657F" w:rsidRPr="00815FEA">
              <w:rPr>
                <w:sz w:val="24"/>
                <w:szCs w:val="24"/>
              </w:rPr>
              <w:t>%</w:t>
            </w:r>
          </w:p>
        </w:tc>
        <w:tc>
          <w:tcPr>
            <w:tcW w:w="1304" w:type="dxa"/>
            <w:tcBorders>
              <w:top w:val="single" w:sz="4" w:space="0" w:color="auto"/>
            </w:tcBorders>
          </w:tcPr>
          <w:p w:rsidR="001A657F" w:rsidRPr="00815FEA" w:rsidRDefault="006E0266" w:rsidP="006E3423">
            <w:pPr>
              <w:pStyle w:val="Body"/>
              <w:rPr>
                <w:sz w:val="24"/>
                <w:szCs w:val="24"/>
              </w:rPr>
            </w:pPr>
            <w:r>
              <w:rPr>
                <w:sz w:val="24"/>
                <w:szCs w:val="24"/>
              </w:rPr>
              <w:t>15</w:t>
            </w:r>
            <w:r w:rsidR="001A657F" w:rsidRPr="00815FEA">
              <w:rPr>
                <w:sz w:val="24"/>
                <w:szCs w:val="24"/>
              </w:rPr>
              <w:t>%</w:t>
            </w:r>
          </w:p>
        </w:tc>
        <w:tc>
          <w:tcPr>
            <w:tcW w:w="2173" w:type="dxa"/>
            <w:tcBorders>
              <w:top w:val="single" w:sz="4" w:space="0" w:color="auto"/>
            </w:tcBorders>
          </w:tcPr>
          <w:p w:rsidR="001A657F" w:rsidRPr="00815FEA" w:rsidRDefault="006E0266" w:rsidP="006E3423">
            <w:pPr>
              <w:pStyle w:val="Body"/>
              <w:rPr>
                <w:sz w:val="24"/>
                <w:szCs w:val="24"/>
              </w:rPr>
            </w:pPr>
            <w:r>
              <w:rPr>
                <w:sz w:val="24"/>
                <w:szCs w:val="24"/>
              </w:rPr>
              <w:t>17</w:t>
            </w:r>
            <w:r w:rsidR="001A657F" w:rsidRPr="00815FEA">
              <w:rPr>
                <w:sz w:val="24"/>
                <w:szCs w:val="24"/>
              </w:rPr>
              <w:t>%</w:t>
            </w:r>
          </w:p>
        </w:tc>
      </w:tr>
    </w:tbl>
    <w:p w:rsidR="001A657F" w:rsidRPr="00815FEA" w:rsidRDefault="001A657F" w:rsidP="001A657F">
      <w:pPr>
        <w:pStyle w:val="Body"/>
        <w:rPr>
          <w:sz w:val="24"/>
          <w:szCs w:val="24"/>
        </w:rPr>
      </w:pPr>
      <w:r w:rsidRPr="00815FEA">
        <w:rPr>
          <w:sz w:val="24"/>
          <w:szCs w:val="24"/>
        </w:rPr>
        <w:t xml:space="preserve">However, of the ships that proceed directly to anchor, a number do not proceed on to berth at Cairns but depart out to sea again. These are </w:t>
      </w:r>
      <w:r w:rsidR="002344AB" w:rsidRPr="00815FEA">
        <w:rPr>
          <w:sz w:val="24"/>
          <w:szCs w:val="24"/>
        </w:rPr>
        <w:t xml:space="preserve">typically </w:t>
      </w:r>
      <w:r w:rsidRPr="00815FEA">
        <w:rPr>
          <w:sz w:val="24"/>
          <w:szCs w:val="24"/>
        </w:rPr>
        <w:t>(large) cruise-ships which anchor at the designated passenger ship anchorage at Yorkeys Knob and typically only remain at anchor for 9-10 hours. In 2011, 10 of the ship calls proceeding directly to anchor involved cruise-ships not proceeding into port (i.e. they departed again out to sea from anchoring at Yorkeys Knob).</w:t>
      </w:r>
    </w:p>
    <w:p w:rsidR="001A657F" w:rsidRPr="00815FEA" w:rsidRDefault="001A657F" w:rsidP="001A657F">
      <w:pPr>
        <w:pStyle w:val="Body"/>
        <w:rPr>
          <w:sz w:val="24"/>
          <w:szCs w:val="24"/>
        </w:rPr>
      </w:pPr>
      <w:r w:rsidRPr="00815FEA">
        <w:rPr>
          <w:sz w:val="24"/>
          <w:szCs w:val="24"/>
        </w:rPr>
        <w:t>In 2011, the designated anchorages used by ships were:</w:t>
      </w:r>
    </w:p>
    <w:p w:rsidR="001A657F" w:rsidRPr="00815FEA" w:rsidRDefault="001A657F" w:rsidP="001A657F">
      <w:pPr>
        <w:pStyle w:val="Body"/>
        <w:numPr>
          <w:ilvl w:val="0"/>
          <w:numId w:val="16"/>
        </w:numPr>
        <w:rPr>
          <w:sz w:val="24"/>
          <w:szCs w:val="24"/>
        </w:rPr>
      </w:pPr>
      <w:r w:rsidRPr="00815FEA">
        <w:rPr>
          <w:sz w:val="24"/>
          <w:szCs w:val="24"/>
        </w:rPr>
        <w:t>Admiralty Anchorage</w:t>
      </w:r>
    </w:p>
    <w:p w:rsidR="001A657F" w:rsidRPr="00815FEA" w:rsidRDefault="001A657F" w:rsidP="001A657F">
      <w:pPr>
        <w:pStyle w:val="Body"/>
        <w:numPr>
          <w:ilvl w:val="0"/>
          <w:numId w:val="16"/>
        </w:numPr>
        <w:rPr>
          <w:sz w:val="24"/>
          <w:szCs w:val="24"/>
        </w:rPr>
      </w:pPr>
      <w:r w:rsidRPr="00815FEA">
        <w:rPr>
          <w:sz w:val="24"/>
          <w:szCs w:val="24"/>
        </w:rPr>
        <w:t>Cairns Anchorages 1, 2, 3 and 6</w:t>
      </w:r>
    </w:p>
    <w:p w:rsidR="001A657F" w:rsidRPr="00815FEA" w:rsidRDefault="001A657F" w:rsidP="001A657F">
      <w:pPr>
        <w:pStyle w:val="Body"/>
        <w:numPr>
          <w:ilvl w:val="0"/>
          <w:numId w:val="16"/>
        </w:numPr>
        <w:rPr>
          <w:sz w:val="24"/>
          <w:szCs w:val="24"/>
        </w:rPr>
      </w:pPr>
      <w:r w:rsidRPr="00815FEA">
        <w:rPr>
          <w:sz w:val="24"/>
          <w:szCs w:val="24"/>
        </w:rPr>
        <w:t>Cairns Passenger Ship Anchorages 1 (Yorkeys Knob) and 2 (Cairns).</w:t>
      </w:r>
    </w:p>
    <w:p w:rsidR="001A657F" w:rsidRPr="00815FEA" w:rsidRDefault="001A657F" w:rsidP="001A657F">
      <w:pPr>
        <w:pStyle w:val="Body"/>
        <w:rPr>
          <w:sz w:val="24"/>
          <w:szCs w:val="24"/>
        </w:rPr>
      </w:pPr>
      <w:r w:rsidRPr="00815FEA">
        <w:rPr>
          <w:sz w:val="24"/>
          <w:szCs w:val="24"/>
        </w:rPr>
        <w:t xml:space="preserve">Of these anchorages only Cairns Anchorages 1, 2, 3 and 6 are used by large cargo vessels and </w:t>
      </w:r>
      <w:r w:rsidR="002344AB" w:rsidRPr="00815FEA">
        <w:rPr>
          <w:sz w:val="24"/>
          <w:szCs w:val="24"/>
        </w:rPr>
        <w:t xml:space="preserve">therefore </w:t>
      </w:r>
      <w:r w:rsidRPr="00815FEA">
        <w:rPr>
          <w:sz w:val="24"/>
          <w:szCs w:val="24"/>
        </w:rPr>
        <w:t xml:space="preserve">included in this analysis (see </w:t>
      </w:r>
      <w:r w:rsidR="00CD38ED" w:rsidRPr="00815FEA">
        <w:rPr>
          <w:sz w:val="24"/>
          <w:szCs w:val="24"/>
        </w:rPr>
        <w:fldChar w:fldCharType="begin"/>
      </w:r>
      <w:r w:rsidRPr="00815FEA">
        <w:rPr>
          <w:sz w:val="24"/>
          <w:szCs w:val="24"/>
        </w:rPr>
        <w:instrText xml:space="preserve"> REF  _Ref342400842 \* Lower \h </w:instrText>
      </w:r>
      <w:r w:rsidR="00815FEA">
        <w:rPr>
          <w:sz w:val="24"/>
          <w:szCs w:val="24"/>
        </w:rPr>
        <w:instrText xml:space="preserve"> \* MERGEFORMAT </w:instrText>
      </w:r>
      <w:r w:rsidR="00CD38ED" w:rsidRPr="00815FEA">
        <w:rPr>
          <w:sz w:val="24"/>
          <w:szCs w:val="24"/>
        </w:rPr>
      </w:r>
      <w:r w:rsidR="00CD38ED" w:rsidRPr="00815FEA">
        <w:rPr>
          <w:sz w:val="24"/>
          <w:szCs w:val="24"/>
        </w:rPr>
        <w:fldChar w:fldCharType="separate"/>
      </w:r>
      <w:r w:rsidR="005F6E51" w:rsidRPr="00815FEA">
        <w:rPr>
          <w:sz w:val="24"/>
          <w:szCs w:val="24"/>
        </w:rPr>
        <w:t xml:space="preserve">figure </w:t>
      </w:r>
      <w:r w:rsidR="005F6E51">
        <w:rPr>
          <w:noProof/>
          <w:sz w:val="24"/>
          <w:szCs w:val="24"/>
        </w:rPr>
        <w:t>4</w:t>
      </w:r>
      <w:r w:rsidR="005F6E51" w:rsidRPr="00815FEA">
        <w:rPr>
          <w:noProof/>
          <w:sz w:val="24"/>
          <w:szCs w:val="24"/>
        </w:rPr>
        <w:noBreakHyphen/>
      </w:r>
      <w:r w:rsidR="005F6E51">
        <w:rPr>
          <w:noProof/>
          <w:sz w:val="24"/>
          <w:szCs w:val="24"/>
        </w:rPr>
        <w:t>3</w:t>
      </w:r>
      <w:r w:rsidR="00CD38ED" w:rsidRPr="00815FEA">
        <w:rPr>
          <w:sz w:val="24"/>
          <w:szCs w:val="24"/>
        </w:rPr>
        <w:fldChar w:fldCharType="end"/>
      </w:r>
      <w:r w:rsidRPr="00815FEA">
        <w:rPr>
          <w:sz w:val="24"/>
          <w:szCs w:val="24"/>
        </w:rPr>
        <w:t>).</w:t>
      </w:r>
      <w:r w:rsidR="00815FEA">
        <w:rPr>
          <w:sz w:val="24"/>
          <w:szCs w:val="24"/>
        </w:rPr>
        <w:t xml:space="preserve"> </w:t>
      </w:r>
      <w:r w:rsidR="00815FEA" w:rsidRPr="00815FEA">
        <w:rPr>
          <w:sz w:val="24"/>
          <w:szCs w:val="24"/>
        </w:rPr>
        <w:t>Note that only Port of Cairns anchorages are depicted in figures as the scope of this study does not extend to other anchorage areas. Call data for other anchorages is presented to assist in defining call data of relevance to this study.</w:t>
      </w:r>
    </w:p>
    <w:p w:rsidR="001A657F" w:rsidRPr="00815FEA" w:rsidRDefault="002344AB" w:rsidP="001A657F">
      <w:pPr>
        <w:pStyle w:val="Body"/>
        <w:rPr>
          <w:sz w:val="24"/>
          <w:szCs w:val="24"/>
        </w:rPr>
      </w:pPr>
      <w:r w:rsidRPr="00815FEA">
        <w:rPr>
          <w:sz w:val="24"/>
          <w:szCs w:val="24"/>
        </w:rPr>
        <w:t>The subject</w:t>
      </w:r>
      <w:r w:rsidR="001A657F" w:rsidRPr="00815FEA">
        <w:rPr>
          <w:sz w:val="24"/>
          <w:szCs w:val="24"/>
        </w:rPr>
        <w:t xml:space="preserve"> anchorages were used in 2011 by a range of ship types:</w:t>
      </w:r>
    </w:p>
    <w:p w:rsidR="001A657F" w:rsidRPr="00815FEA" w:rsidRDefault="001A657F" w:rsidP="001A657F">
      <w:pPr>
        <w:pStyle w:val="Body"/>
        <w:numPr>
          <w:ilvl w:val="0"/>
          <w:numId w:val="17"/>
        </w:numPr>
        <w:rPr>
          <w:sz w:val="24"/>
          <w:szCs w:val="24"/>
        </w:rPr>
      </w:pPr>
      <w:r w:rsidRPr="00815FEA">
        <w:rPr>
          <w:sz w:val="24"/>
          <w:szCs w:val="24"/>
        </w:rPr>
        <w:t>General cargo (40 per cent of anchorage calls)</w:t>
      </w:r>
    </w:p>
    <w:p w:rsidR="001A657F" w:rsidRPr="00815FEA" w:rsidRDefault="001A657F" w:rsidP="001A657F">
      <w:pPr>
        <w:pStyle w:val="Body"/>
        <w:numPr>
          <w:ilvl w:val="0"/>
          <w:numId w:val="17"/>
        </w:numPr>
        <w:rPr>
          <w:sz w:val="24"/>
          <w:szCs w:val="24"/>
        </w:rPr>
      </w:pPr>
      <w:r w:rsidRPr="00815FEA">
        <w:rPr>
          <w:sz w:val="24"/>
          <w:szCs w:val="24"/>
        </w:rPr>
        <w:t>Bulk carrier (18 per cent of anchorage calls)</w:t>
      </w:r>
    </w:p>
    <w:p w:rsidR="001A657F" w:rsidRPr="00815FEA" w:rsidRDefault="001A657F" w:rsidP="001A657F">
      <w:pPr>
        <w:pStyle w:val="Body"/>
        <w:numPr>
          <w:ilvl w:val="0"/>
          <w:numId w:val="17"/>
        </w:numPr>
        <w:rPr>
          <w:sz w:val="24"/>
          <w:szCs w:val="24"/>
        </w:rPr>
      </w:pPr>
      <w:r w:rsidRPr="00815FEA">
        <w:rPr>
          <w:sz w:val="24"/>
          <w:szCs w:val="24"/>
        </w:rPr>
        <w:t>Tanker (18 per cent of anchorage calls)</w:t>
      </w:r>
    </w:p>
    <w:p w:rsidR="001A657F" w:rsidRPr="00815FEA" w:rsidRDefault="001A657F" w:rsidP="001A657F">
      <w:pPr>
        <w:pStyle w:val="Body"/>
        <w:numPr>
          <w:ilvl w:val="0"/>
          <w:numId w:val="17"/>
        </w:numPr>
        <w:rPr>
          <w:sz w:val="24"/>
          <w:szCs w:val="24"/>
        </w:rPr>
      </w:pPr>
      <w:r w:rsidRPr="00815FEA">
        <w:rPr>
          <w:sz w:val="24"/>
          <w:szCs w:val="24"/>
        </w:rPr>
        <w:t>Passenger (15 per cent of anchorage calls)</w:t>
      </w:r>
    </w:p>
    <w:p w:rsidR="001A657F" w:rsidRPr="00815FEA" w:rsidRDefault="001A657F" w:rsidP="001A657F">
      <w:pPr>
        <w:pStyle w:val="Body"/>
        <w:numPr>
          <w:ilvl w:val="0"/>
          <w:numId w:val="17"/>
        </w:numPr>
        <w:rPr>
          <w:sz w:val="24"/>
          <w:szCs w:val="24"/>
        </w:rPr>
      </w:pPr>
      <w:r w:rsidRPr="00815FEA">
        <w:rPr>
          <w:sz w:val="24"/>
          <w:szCs w:val="24"/>
        </w:rPr>
        <w:t>Others (nine per cent comprising drill-ship, tug/offshore supply, naval, and landing-craft).</w:t>
      </w:r>
    </w:p>
    <w:p w:rsidR="001A657F" w:rsidRPr="00815FEA" w:rsidRDefault="001A657F" w:rsidP="001A657F">
      <w:pPr>
        <w:pStyle w:val="Body"/>
        <w:rPr>
          <w:sz w:val="24"/>
          <w:szCs w:val="24"/>
        </w:rPr>
      </w:pPr>
      <w:r w:rsidRPr="00815FEA">
        <w:rPr>
          <w:sz w:val="24"/>
          <w:szCs w:val="24"/>
        </w:rPr>
        <w:t>Typically, ships spent no more than 12 hours at anchor reflecting the general use of the anchorages at the Port of Cairns for either short cruise-ship visits or waiting for tidal assistance to enter the port.</w:t>
      </w:r>
    </w:p>
    <w:p w:rsidR="001A657F" w:rsidRPr="00815FEA" w:rsidRDefault="001A657F" w:rsidP="001A657F">
      <w:pPr>
        <w:pStyle w:val="Body"/>
        <w:rPr>
          <w:sz w:val="24"/>
          <w:szCs w:val="24"/>
        </w:rPr>
      </w:pPr>
      <w:r w:rsidRPr="00815FEA">
        <w:rPr>
          <w:sz w:val="24"/>
          <w:szCs w:val="24"/>
        </w:rPr>
        <w:t>The current scale of the use of ship anchorages at the Port of Cairns can be summarised as minor with an average of less than one ship call per day using the anchorages for typically stays of only several hours.</w:t>
      </w:r>
    </w:p>
    <w:p w:rsidR="001A657F" w:rsidRPr="00B41CFA" w:rsidRDefault="001A657F" w:rsidP="001A657F">
      <w:pPr>
        <w:pStyle w:val="Heading3"/>
        <w:rPr>
          <w:sz w:val="24"/>
        </w:rPr>
      </w:pPr>
      <w:bookmarkStart w:id="265" w:name="_Ref343519380"/>
      <w:bookmarkStart w:id="266" w:name="_Toc343597236"/>
      <w:bookmarkStart w:id="267" w:name="_Toc362274296"/>
      <w:r w:rsidRPr="00B41CFA">
        <w:rPr>
          <w:sz w:val="24"/>
        </w:rPr>
        <w:t>Future demand for ship anchorages at the Port of Cairns</w:t>
      </w:r>
      <w:bookmarkEnd w:id="265"/>
      <w:bookmarkEnd w:id="266"/>
      <w:bookmarkEnd w:id="267"/>
    </w:p>
    <w:p w:rsidR="001A657F" w:rsidRPr="008F549F" w:rsidRDefault="001A657F" w:rsidP="001A657F">
      <w:pPr>
        <w:pStyle w:val="Body"/>
        <w:rPr>
          <w:sz w:val="24"/>
          <w:szCs w:val="24"/>
        </w:rPr>
      </w:pPr>
      <w:r w:rsidRPr="008F549F">
        <w:rPr>
          <w:sz w:val="24"/>
          <w:szCs w:val="24"/>
        </w:rPr>
        <w:t>PGM Environment (2012) forecasts a probable case of approximately two per cent per year growth in ship calls over the period 2012-2032 (financial year end numbers)</w:t>
      </w:r>
      <w:r w:rsidR="002344AB" w:rsidRPr="008F549F">
        <w:rPr>
          <w:sz w:val="24"/>
          <w:szCs w:val="24"/>
        </w:rPr>
        <w:t>. This growth is</w:t>
      </w:r>
      <w:r w:rsidRPr="008F549F">
        <w:rPr>
          <w:sz w:val="24"/>
          <w:szCs w:val="24"/>
        </w:rPr>
        <w:t xml:space="preserve"> primarily driven by general cargo and passenger (cruise) ships, with the number of calls rising from a 2012 base of 342 to 408 in 2020</w:t>
      </w:r>
      <w:r w:rsidR="002344AB" w:rsidRPr="008F549F">
        <w:rPr>
          <w:sz w:val="24"/>
          <w:szCs w:val="24"/>
        </w:rPr>
        <w:t>,</w:t>
      </w:r>
      <w:r w:rsidRPr="008F549F">
        <w:rPr>
          <w:sz w:val="24"/>
          <w:szCs w:val="24"/>
        </w:rPr>
        <w:t xml:space="preserve"> and 501 in 2032 (</w:t>
      </w:r>
      <w:r w:rsidR="00CD38ED" w:rsidRPr="008F549F">
        <w:rPr>
          <w:sz w:val="24"/>
          <w:szCs w:val="24"/>
        </w:rPr>
        <w:fldChar w:fldCharType="begin"/>
      </w:r>
      <w:r w:rsidRPr="008F549F">
        <w:rPr>
          <w:sz w:val="24"/>
          <w:szCs w:val="24"/>
        </w:rPr>
        <w:instrText xml:space="preserve"> REF  _Ref342397010 \* Lower \h </w:instrText>
      </w:r>
      <w:r w:rsidR="008F549F">
        <w:rPr>
          <w:sz w:val="24"/>
          <w:szCs w:val="24"/>
        </w:rPr>
        <w:instrText xml:space="preserve"> \* MERGEFORMAT </w:instrText>
      </w:r>
      <w:r w:rsidR="00CD38ED" w:rsidRPr="008F549F">
        <w:rPr>
          <w:sz w:val="24"/>
          <w:szCs w:val="24"/>
        </w:rPr>
      </w:r>
      <w:r w:rsidR="00CD38ED" w:rsidRPr="008F549F">
        <w:rPr>
          <w:sz w:val="24"/>
          <w:szCs w:val="24"/>
        </w:rPr>
        <w:fldChar w:fldCharType="separate"/>
      </w:r>
      <w:r w:rsidR="005F6E51" w:rsidRPr="008F549F">
        <w:rPr>
          <w:sz w:val="24"/>
          <w:szCs w:val="24"/>
        </w:rPr>
        <w:t xml:space="preserve">figure </w:t>
      </w:r>
      <w:r w:rsidR="005F6E51">
        <w:rPr>
          <w:noProof/>
          <w:sz w:val="24"/>
          <w:szCs w:val="24"/>
        </w:rPr>
        <w:t>4</w:t>
      </w:r>
      <w:r w:rsidR="005F6E51" w:rsidRPr="008F549F">
        <w:rPr>
          <w:noProof/>
          <w:sz w:val="24"/>
          <w:szCs w:val="24"/>
        </w:rPr>
        <w:noBreakHyphen/>
      </w:r>
      <w:r w:rsidR="005F6E51">
        <w:rPr>
          <w:noProof/>
          <w:sz w:val="24"/>
          <w:szCs w:val="24"/>
        </w:rPr>
        <w:t>4</w:t>
      </w:r>
      <w:r w:rsidR="00CD38ED" w:rsidRPr="008F549F">
        <w:rPr>
          <w:sz w:val="24"/>
          <w:szCs w:val="24"/>
        </w:rPr>
        <w:fldChar w:fldCharType="end"/>
      </w:r>
      <w:r w:rsidRPr="008F549F">
        <w:rPr>
          <w:sz w:val="24"/>
          <w:szCs w:val="24"/>
        </w:rPr>
        <w:t>).</w:t>
      </w:r>
    </w:p>
    <w:p w:rsidR="001A657F" w:rsidRDefault="001A657F" w:rsidP="001A657F">
      <w:pPr>
        <w:pStyle w:val="Body"/>
        <w:jc w:val="center"/>
      </w:pPr>
      <w:r>
        <w:rPr>
          <w:noProof/>
          <w:lang w:eastAsia="en-AU"/>
        </w:rPr>
        <w:drawing>
          <wp:inline distT="0" distB="0" distL="0" distR="0" wp14:anchorId="38CED3E5" wp14:editId="71A3C391">
            <wp:extent cx="6017145" cy="2970000"/>
            <wp:effectExtent l="0" t="0" r="3175" b="1905"/>
            <wp:docPr id="3" name="Picture 3" descr="Forecast of a probable case of approximately two per cent per year growth in ship calls over the period 2012-2032 for the Port of Cairns. Further text provided in Section 4.5.3." title="Forecast ship call numbers “probable case” for Port of Cair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8" cstate="print">
                      <a:extLst>
                        <a:ext uri="{BEBA8EAE-BF5A-486C-A8C5-ECC9F3942E4B}">
                          <a14:imgProps xmlns:a14="http://schemas.microsoft.com/office/drawing/2010/main">
                            <a14:imgLayer r:embed="rId29">
                              <a14:imgEffect>
                                <a14:sharpenSoften amount="50000"/>
                              </a14:imgEffect>
                              <a14:imgEffect>
                                <a14:saturation sat="245000"/>
                              </a14:imgEffect>
                            </a14:imgLayer>
                          </a14:imgProps>
                        </a:ext>
                        <a:ext uri="{28A0092B-C50C-407E-A947-70E740481C1C}">
                          <a14:useLocalDpi xmlns:a14="http://schemas.microsoft.com/office/drawing/2010/main" val="0"/>
                        </a:ext>
                      </a:extLst>
                    </a:blip>
                    <a:srcRect l="1328" t="19936" r="6791" b="655"/>
                    <a:stretch/>
                  </pic:blipFill>
                  <pic:spPr bwMode="auto">
                    <a:xfrm>
                      <a:off x="0" y="0"/>
                      <a:ext cx="6017145" cy="2970000"/>
                    </a:xfrm>
                    <a:prstGeom prst="rect">
                      <a:avLst/>
                    </a:prstGeom>
                    <a:noFill/>
                    <a:ln>
                      <a:noFill/>
                    </a:ln>
                    <a:extLst>
                      <a:ext uri="{53640926-AAD7-44D8-BBD7-CCE9431645EC}">
                        <a14:shadowObscured xmlns:a14="http://schemas.microsoft.com/office/drawing/2010/main"/>
                      </a:ext>
                    </a:extLst>
                  </pic:spPr>
                </pic:pic>
              </a:graphicData>
            </a:graphic>
          </wp:inline>
        </w:drawing>
      </w:r>
    </w:p>
    <w:p w:rsidR="001A657F" w:rsidRPr="008F549F" w:rsidRDefault="001A657F" w:rsidP="001A657F">
      <w:pPr>
        <w:pStyle w:val="Caption"/>
        <w:rPr>
          <w:b w:val="0"/>
          <w:sz w:val="24"/>
          <w:szCs w:val="24"/>
        </w:rPr>
      </w:pPr>
      <w:bookmarkStart w:id="268" w:name="_Ref342397010"/>
      <w:bookmarkStart w:id="269" w:name="_Toc362274383"/>
      <w:r w:rsidRPr="008F549F">
        <w:rPr>
          <w:sz w:val="24"/>
          <w:szCs w:val="24"/>
        </w:rPr>
        <w:t xml:space="preserve">Figure </w:t>
      </w:r>
      <w:r w:rsidR="009108AD" w:rsidRPr="008F549F">
        <w:rPr>
          <w:sz w:val="24"/>
          <w:szCs w:val="24"/>
        </w:rPr>
        <w:fldChar w:fldCharType="begin"/>
      </w:r>
      <w:r w:rsidR="009108AD" w:rsidRPr="008F549F">
        <w:rPr>
          <w:sz w:val="24"/>
          <w:szCs w:val="24"/>
        </w:rPr>
        <w:instrText xml:space="preserve"> STYLEREF 1 \s </w:instrText>
      </w:r>
      <w:r w:rsidR="009108AD" w:rsidRPr="008F549F">
        <w:rPr>
          <w:sz w:val="24"/>
          <w:szCs w:val="24"/>
        </w:rPr>
        <w:fldChar w:fldCharType="separate"/>
      </w:r>
      <w:r w:rsidR="005F6E51">
        <w:rPr>
          <w:noProof/>
          <w:sz w:val="24"/>
          <w:szCs w:val="24"/>
        </w:rPr>
        <w:t>4</w:t>
      </w:r>
      <w:r w:rsidR="009108AD" w:rsidRPr="008F549F">
        <w:rPr>
          <w:noProof/>
          <w:sz w:val="24"/>
          <w:szCs w:val="24"/>
        </w:rPr>
        <w:fldChar w:fldCharType="end"/>
      </w:r>
      <w:r w:rsidRPr="008F549F">
        <w:rPr>
          <w:sz w:val="24"/>
          <w:szCs w:val="24"/>
        </w:rPr>
        <w:noBreakHyphen/>
      </w:r>
      <w:r w:rsidR="009108AD" w:rsidRPr="008F549F">
        <w:rPr>
          <w:sz w:val="24"/>
          <w:szCs w:val="24"/>
        </w:rPr>
        <w:fldChar w:fldCharType="begin"/>
      </w:r>
      <w:r w:rsidR="009108AD" w:rsidRPr="008F549F">
        <w:rPr>
          <w:sz w:val="24"/>
          <w:szCs w:val="24"/>
        </w:rPr>
        <w:instrText xml:space="preserve"> SEQ Figure \* ARABIC \s 1 </w:instrText>
      </w:r>
      <w:r w:rsidR="009108AD" w:rsidRPr="008F549F">
        <w:rPr>
          <w:sz w:val="24"/>
          <w:szCs w:val="24"/>
        </w:rPr>
        <w:fldChar w:fldCharType="separate"/>
      </w:r>
      <w:r w:rsidR="005F6E51">
        <w:rPr>
          <w:noProof/>
          <w:sz w:val="24"/>
          <w:szCs w:val="24"/>
        </w:rPr>
        <w:t>4</w:t>
      </w:r>
      <w:r w:rsidR="009108AD" w:rsidRPr="008F549F">
        <w:rPr>
          <w:noProof/>
          <w:sz w:val="24"/>
          <w:szCs w:val="24"/>
        </w:rPr>
        <w:fldChar w:fldCharType="end"/>
      </w:r>
      <w:bookmarkEnd w:id="268"/>
      <w:r w:rsidR="008F549F">
        <w:rPr>
          <w:noProof/>
          <w:sz w:val="24"/>
          <w:szCs w:val="24"/>
        </w:rPr>
        <w:t>:</w:t>
      </w:r>
      <w:r w:rsidRPr="008F549F">
        <w:rPr>
          <w:sz w:val="24"/>
          <w:szCs w:val="24"/>
        </w:rPr>
        <w:t xml:space="preserve"> </w:t>
      </w:r>
      <w:r w:rsidRPr="008F549F">
        <w:rPr>
          <w:b w:val="0"/>
          <w:sz w:val="24"/>
          <w:szCs w:val="24"/>
        </w:rPr>
        <w:t>Forecast ship call numbers “probable case” for Port of Cairns (2012-2032) as extracted from PGM Environment 2012</w:t>
      </w:r>
      <w:bookmarkEnd w:id="269"/>
    </w:p>
    <w:p w:rsidR="001A657F" w:rsidRPr="008F549F" w:rsidRDefault="002344AB" w:rsidP="001A657F">
      <w:pPr>
        <w:pStyle w:val="Body"/>
        <w:rPr>
          <w:sz w:val="24"/>
          <w:szCs w:val="24"/>
        </w:rPr>
      </w:pPr>
      <w:r w:rsidRPr="008F549F">
        <w:rPr>
          <w:sz w:val="24"/>
          <w:szCs w:val="24"/>
        </w:rPr>
        <w:t>S</w:t>
      </w:r>
      <w:r w:rsidR="001A657F" w:rsidRPr="008F549F">
        <w:rPr>
          <w:sz w:val="24"/>
          <w:szCs w:val="24"/>
        </w:rPr>
        <w:t xml:space="preserve">hip call numbers </w:t>
      </w:r>
      <w:r w:rsidRPr="008F549F">
        <w:rPr>
          <w:sz w:val="24"/>
          <w:szCs w:val="24"/>
        </w:rPr>
        <w:t xml:space="preserve">are forecast to </w:t>
      </w:r>
      <w:r w:rsidR="001A657F" w:rsidRPr="008F549F">
        <w:rPr>
          <w:sz w:val="24"/>
          <w:szCs w:val="24"/>
        </w:rPr>
        <w:t>increas</w:t>
      </w:r>
      <w:r w:rsidRPr="008F549F">
        <w:rPr>
          <w:sz w:val="24"/>
          <w:szCs w:val="24"/>
        </w:rPr>
        <w:t>e</w:t>
      </w:r>
      <w:r w:rsidR="001A657F" w:rsidRPr="008F549F">
        <w:rPr>
          <w:sz w:val="24"/>
          <w:szCs w:val="24"/>
        </w:rPr>
        <w:t>, albeit slowly, at the Port of Cairns</w:t>
      </w:r>
      <w:r w:rsidRPr="008F549F">
        <w:rPr>
          <w:sz w:val="24"/>
          <w:szCs w:val="24"/>
        </w:rPr>
        <w:t>.</w:t>
      </w:r>
      <w:r w:rsidR="001A657F" w:rsidRPr="008F549F">
        <w:rPr>
          <w:sz w:val="24"/>
          <w:szCs w:val="24"/>
        </w:rPr>
        <w:t xml:space="preserve"> </w:t>
      </w:r>
      <w:r w:rsidRPr="008F549F">
        <w:rPr>
          <w:sz w:val="24"/>
          <w:szCs w:val="24"/>
        </w:rPr>
        <w:t xml:space="preserve">Despite this, </w:t>
      </w:r>
      <w:r w:rsidR="001A657F" w:rsidRPr="008F549F">
        <w:rPr>
          <w:sz w:val="24"/>
          <w:szCs w:val="24"/>
        </w:rPr>
        <w:t>it is likely that the future demand for ship anchorages over the study period will decrease if the planned accommodation of large cruise-ships via channel access upgrades occurs</w:t>
      </w:r>
      <w:r w:rsidR="00374F9D">
        <w:rPr>
          <w:sz w:val="24"/>
          <w:szCs w:val="24"/>
        </w:rPr>
        <w:t xml:space="preserve">. </w:t>
      </w:r>
      <w:r w:rsidRPr="008F549F">
        <w:rPr>
          <w:sz w:val="24"/>
          <w:szCs w:val="24"/>
        </w:rPr>
        <w:t>The proposed upgrades</w:t>
      </w:r>
      <w:r w:rsidR="001A657F" w:rsidRPr="008F549F">
        <w:rPr>
          <w:sz w:val="24"/>
          <w:szCs w:val="24"/>
        </w:rPr>
        <w:t xml:space="preserve"> will also benefit all ships entering the port</w:t>
      </w:r>
      <w:r w:rsidRPr="008F549F">
        <w:rPr>
          <w:sz w:val="24"/>
          <w:szCs w:val="24"/>
        </w:rPr>
        <w:t xml:space="preserve"> by reducing competition for ship anchorages between cruise-ships and commercial vessels</w:t>
      </w:r>
      <w:r w:rsidR="001A657F" w:rsidRPr="008F549F">
        <w:rPr>
          <w:sz w:val="24"/>
          <w:szCs w:val="24"/>
        </w:rPr>
        <w:t>. If improved port access is assumed, the future share of ship arrivals directly entering the Port of Cairns could increase to over 95 per cent. It should be noted that there is likely to be some sporadic/unforeseen demand for anchorages due to port closures, berth conflicts, and/or climatic events. As such, a buffer or reserve anchorage capacity needs to be permanently maintained to support port operations.</w:t>
      </w:r>
    </w:p>
    <w:p w:rsidR="001A657F" w:rsidRPr="008F549F" w:rsidRDefault="001A657F" w:rsidP="001A657F">
      <w:pPr>
        <w:pStyle w:val="Body"/>
        <w:rPr>
          <w:sz w:val="24"/>
          <w:szCs w:val="24"/>
        </w:rPr>
      </w:pPr>
      <w:r w:rsidRPr="008F549F">
        <w:rPr>
          <w:sz w:val="24"/>
          <w:szCs w:val="24"/>
        </w:rPr>
        <w:t>The future scale of the use of ship anchorages at the Port of Cairns in future can be summarised as possibly becoming negligible from an already minor position, and if planned port access does not eventuate, then the future scale will likely continue to be minor.</w:t>
      </w:r>
    </w:p>
    <w:p w:rsidR="001A657F" w:rsidRPr="00B41CFA" w:rsidRDefault="001A657F" w:rsidP="001A657F">
      <w:pPr>
        <w:pStyle w:val="Heading2"/>
        <w:rPr>
          <w:sz w:val="24"/>
        </w:rPr>
      </w:pPr>
      <w:bookmarkStart w:id="270" w:name="_Toc343597237"/>
      <w:bookmarkStart w:id="271" w:name="_Ref347770132"/>
      <w:bookmarkStart w:id="272" w:name="_Toc362274297"/>
      <w:r w:rsidRPr="00B41CFA">
        <w:rPr>
          <w:sz w:val="24"/>
        </w:rPr>
        <w:t>Demand for and use of ship anchorages at the Port of Townsville</w:t>
      </w:r>
      <w:bookmarkEnd w:id="270"/>
      <w:bookmarkEnd w:id="271"/>
      <w:bookmarkEnd w:id="272"/>
    </w:p>
    <w:p w:rsidR="001A657F" w:rsidRPr="00B41CFA" w:rsidRDefault="001A657F" w:rsidP="001A657F">
      <w:pPr>
        <w:pStyle w:val="Heading3"/>
        <w:rPr>
          <w:sz w:val="24"/>
        </w:rPr>
      </w:pPr>
      <w:bookmarkStart w:id="273" w:name="_Toc343597238"/>
      <w:bookmarkStart w:id="274" w:name="_Toc362274298"/>
      <w:r w:rsidRPr="00B41CFA">
        <w:rPr>
          <w:sz w:val="24"/>
        </w:rPr>
        <w:t>Current profile of ship anchorages at the Port of Townsville</w:t>
      </w:r>
      <w:bookmarkEnd w:id="273"/>
      <w:bookmarkEnd w:id="274"/>
    </w:p>
    <w:p w:rsidR="001A657F" w:rsidRPr="008F549F" w:rsidRDefault="001A657F" w:rsidP="001A657F">
      <w:pPr>
        <w:pStyle w:val="Body"/>
        <w:rPr>
          <w:sz w:val="24"/>
          <w:szCs w:val="24"/>
        </w:rPr>
      </w:pPr>
      <w:r w:rsidRPr="008F549F">
        <w:rPr>
          <w:sz w:val="24"/>
          <w:szCs w:val="24"/>
        </w:rPr>
        <w:t xml:space="preserve">The anchorage area servicing the Port of Townsville (see </w:t>
      </w:r>
      <w:r w:rsidR="00CD38ED" w:rsidRPr="008F549F">
        <w:rPr>
          <w:sz w:val="24"/>
          <w:szCs w:val="24"/>
        </w:rPr>
        <w:fldChar w:fldCharType="begin"/>
      </w:r>
      <w:r w:rsidRPr="008F549F">
        <w:rPr>
          <w:sz w:val="24"/>
          <w:szCs w:val="24"/>
        </w:rPr>
        <w:instrText xml:space="preserve"> REF  _Ref342401275 \* Lower \h </w:instrText>
      </w:r>
      <w:r w:rsidR="008F549F">
        <w:rPr>
          <w:sz w:val="24"/>
          <w:szCs w:val="24"/>
        </w:rPr>
        <w:instrText xml:space="preserve"> \* MERGEFORMAT </w:instrText>
      </w:r>
      <w:r w:rsidR="00CD38ED" w:rsidRPr="008F549F">
        <w:rPr>
          <w:sz w:val="24"/>
          <w:szCs w:val="24"/>
        </w:rPr>
      </w:r>
      <w:r w:rsidR="00CD38ED" w:rsidRPr="008F549F">
        <w:rPr>
          <w:sz w:val="24"/>
          <w:szCs w:val="24"/>
        </w:rPr>
        <w:fldChar w:fldCharType="separate"/>
      </w:r>
      <w:r w:rsidR="005F6E51" w:rsidRPr="008F549F">
        <w:rPr>
          <w:sz w:val="24"/>
          <w:szCs w:val="24"/>
        </w:rPr>
        <w:t xml:space="preserve">figure </w:t>
      </w:r>
      <w:r w:rsidR="005F6E51">
        <w:rPr>
          <w:noProof/>
          <w:sz w:val="24"/>
          <w:szCs w:val="24"/>
        </w:rPr>
        <w:t>4</w:t>
      </w:r>
      <w:r w:rsidR="005F6E51" w:rsidRPr="008F549F">
        <w:rPr>
          <w:noProof/>
          <w:sz w:val="24"/>
          <w:szCs w:val="24"/>
        </w:rPr>
        <w:noBreakHyphen/>
      </w:r>
      <w:r w:rsidR="005F6E51">
        <w:rPr>
          <w:noProof/>
          <w:sz w:val="24"/>
          <w:szCs w:val="24"/>
        </w:rPr>
        <w:t>5</w:t>
      </w:r>
      <w:r w:rsidR="00CD38ED" w:rsidRPr="008F549F">
        <w:rPr>
          <w:sz w:val="24"/>
          <w:szCs w:val="24"/>
        </w:rPr>
        <w:fldChar w:fldCharType="end"/>
      </w:r>
      <w:r w:rsidRPr="008F549F">
        <w:rPr>
          <w:sz w:val="24"/>
          <w:szCs w:val="24"/>
        </w:rPr>
        <w:t>) is located approximately 7 km north-east of the port and the city of Townsville and approximately 2 km to the east-south-east of Magnetic Island</w:t>
      </w:r>
      <w:r w:rsidR="002344AB" w:rsidRPr="008F549F">
        <w:rPr>
          <w:sz w:val="24"/>
          <w:szCs w:val="24"/>
        </w:rPr>
        <w:t xml:space="preserve">. </w:t>
      </w:r>
      <w:r w:rsidRPr="008F549F">
        <w:rPr>
          <w:sz w:val="24"/>
          <w:szCs w:val="24"/>
        </w:rPr>
        <w:t xml:space="preserve">The ship anchorage area defined for this study totals an area of 23,762 </w:t>
      </w:r>
      <w:r w:rsidR="009C4624" w:rsidRPr="008F549F">
        <w:rPr>
          <w:sz w:val="24"/>
          <w:szCs w:val="24"/>
        </w:rPr>
        <w:t xml:space="preserve">ha </w:t>
      </w:r>
      <w:r w:rsidRPr="008F549F">
        <w:rPr>
          <w:sz w:val="24"/>
          <w:szCs w:val="24"/>
        </w:rPr>
        <w:t>(essentially all outside of the port limits of Townsville)</w:t>
      </w:r>
      <w:r w:rsidR="002344AB" w:rsidRPr="008F549F">
        <w:rPr>
          <w:sz w:val="24"/>
          <w:szCs w:val="24"/>
        </w:rPr>
        <w:t xml:space="preserve"> and does not currently have any designated anchorage points</w:t>
      </w:r>
      <w:r w:rsidRPr="008F549F">
        <w:rPr>
          <w:sz w:val="24"/>
          <w:szCs w:val="24"/>
        </w:rPr>
        <w:t xml:space="preserve">. </w:t>
      </w:r>
    </w:p>
    <w:p w:rsidR="001A657F" w:rsidRPr="008F549F" w:rsidRDefault="001A657F" w:rsidP="001A657F">
      <w:pPr>
        <w:pStyle w:val="Body"/>
        <w:rPr>
          <w:sz w:val="24"/>
          <w:szCs w:val="24"/>
        </w:rPr>
      </w:pPr>
      <w:r w:rsidRPr="008F549F">
        <w:rPr>
          <w:sz w:val="24"/>
          <w:szCs w:val="24"/>
        </w:rPr>
        <w:t xml:space="preserve">The coastal proximity of the anchorage area means anchored ships are highly visible to residents and visitors alike to Townsville and Magnetic Island. Additionally, the anchorage area is transited by commercial and recreational fishing vessels and tourism operators accessing the Reef and World Heritage Area islands. </w:t>
      </w:r>
      <w:r w:rsidR="005C1F8C" w:rsidRPr="008F549F">
        <w:rPr>
          <w:sz w:val="24"/>
          <w:szCs w:val="24"/>
        </w:rPr>
        <w:t>The anchorage area is l</w:t>
      </w:r>
      <w:r w:rsidRPr="008F549F">
        <w:rPr>
          <w:sz w:val="24"/>
          <w:szCs w:val="24"/>
        </w:rPr>
        <w:t>ocated in a General Use Zone of the Marine Park</w:t>
      </w:r>
      <w:r w:rsidR="005C1F8C" w:rsidRPr="008F549F">
        <w:rPr>
          <w:sz w:val="24"/>
          <w:szCs w:val="24"/>
        </w:rPr>
        <w:t>.</w:t>
      </w:r>
      <w:r w:rsidRPr="008F549F">
        <w:rPr>
          <w:sz w:val="24"/>
          <w:szCs w:val="24"/>
        </w:rPr>
        <w:t xml:space="preserve"> The anchorage area is immediately adjacent to a Marine Park Habitat Protection Zone and </w:t>
      </w:r>
      <w:r w:rsidR="005C1F8C" w:rsidRPr="008F549F">
        <w:rPr>
          <w:sz w:val="24"/>
          <w:szCs w:val="24"/>
        </w:rPr>
        <w:t xml:space="preserve">located </w:t>
      </w:r>
      <w:r w:rsidRPr="008F549F">
        <w:rPr>
          <w:sz w:val="24"/>
          <w:szCs w:val="24"/>
        </w:rPr>
        <w:t xml:space="preserve">within approximately 2 km of Conservation Park and Marine National Park Zones that fringe Magnetic Island. A Marine National Park Zone, that includes Great Palm Island and potentially culturally significant sites, is </w:t>
      </w:r>
      <w:r w:rsidR="005C1F8C" w:rsidRPr="008F549F">
        <w:rPr>
          <w:sz w:val="24"/>
          <w:szCs w:val="24"/>
        </w:rPr>
        <w:t xml:space="preserve">located </w:t>
      </w:r>
      <w:r w:rsidRPr="008F549F">
        <w:rPr>
          <w:sz w:val="24"/>
          <w:szCs w:val="24"/>
        </w:rPr>
        <w:t xml:space="preserve">more than 15 km to the north of the anchorage area. In addition, Bowling Green Bay, a Ramsar listed wetland with high aesthetic and cultural value, is </w:t>
      </w:r>
      <w:r w:rsidR="005C1F8C" w:rsidRPr="008F549F">
        <w:rPr>
          <w:sz w:val="24"/>
          <w:szCs w:val="24"/>
        </w:rPr>
        <w:t xml:space="preserve">located </w:t>
      </w:r>
      <w:r w:rsidRPr="008F549F">
        <w:rPr>
          <w:sz w:val="24"/>
          <w:szCs w:val="24"/>
        </w:rPr>
        <w:t>over 10 km away to the south of the ship anchorage.</w:t>
      </w:r>
    </w:p>
    <w:p w:rsidR="001A657F" w:rsidRPr="008F549F" w:rsidRDefault="001A657F" w:rsidP="001A657F">
      <w:pPr>
        <w:pStyle w:val="Body"/>
        <w:rPr>
          <w:sz w:val="24"/>
          <w:szCs w:val="24"/>
        </w:rPr>
      </w:pPr>
      <w:r w:rsidRPr="008F549F">
        <w:rPr>
          <w:sz w:val="24"/>
          <w:szCs w:val="24"/>
        </w:rPr>
        <w:t>The seabed habitat type in the area is “</w:t>
      </w:r>
      <w:r w:rsidRPr="008F549F">
        <w:rPr>
          <w:i/>
          <w:sz w:val="24"/>
          <w:szCs w:val="24"/>
        </w:rPr>
        <w:t>mainly bioturbated, comprising of soft sediments, mainly silts and soft mud with a coarser biogenic carbonate component</w:t>
      </w:r>
      <w:r w:rsidRPr="008F549F">
        <w:rPr>
          <w:sz w:val="24"/>
          <w:szCs w:val="24"/>
        </w:rPr>
        <w:t>” (</w:t>
      </w:r>
      <w:r w:rsidR="00112BD0" w:rsidRPr="008F549F">
        <w:rPr>
          <w:sz w:val="24"/>
          <w:szCs w:val="24"/>
        </w:rPr>
        <w:t xml:space="preserve">Cruz-Motta and Collins 2004, Pitcher et al. 2007 in </w:t>
      </w:r>
      <w:r w:rsidRPr="008F549F">
        <w:rPr>
          <w:sz w:val="24"/>
          <w:szCs w:val="24"/>
        </w:rPr>
        <w:t>GHD 2012</w:t>
      </w:r>
      <w:r w:rsidR="0047666F" w:rsidRPr="008F549F">
        <w:rPr>
          <w:sz w:val="24"/>
          <w:szCs w:val="24"/>
        </w:rPr>
        <w:t>a</w:t>
      </w:r>
      <w:r w:rsidRPr="008F549F">
        <w:rPr>
          <w:sz w:val="24"/>
          <w:szCs w:val="24"/>
        </w:rPr>
        <w:t xml:space="preserve">). There are no hard coral reefs in the anchorage area, however, some solitary corals are sparsely distributed throughout and fringing coral reefs are </w:t>
      </w:r>
      <w:r w:rsidR="005C1F8C" w:rsidRPr="008F549F">
        <w:rPr>
          <w:sz w:val="24"/>
          <w:szCs w:val="24"/>
        </w:rPr>
        <w:t xml:space="preserve">located </w:t>
      </w:r>
      <w:r w:rsidRPr="008F549F">
        <w:rPr>
          <w:sz w:val="24"/>
          <w:szCs w:val="24"/>
        </w:rPr>
        <w:t>nearby at Magnetic Island (3 km from the anchorage area). Patchy, low biomass seagrass meadows are known to have previously occurred within the anchorage area, but recent studies have not been completed to confirm their ongoing persistence. Mangroves are located within Cockle Bay on Magnetic Island, approximately 18 km south-west of the anchorage area. The anchorage area is known to be utilised by a large range of megafauna species of conservation significance, including the Australian snubfin dolphin, inshore bottle nosed dolphins, marine turtles, humpback whales and sharks. However, this area is also likely to be utilised by other marine megafauna, EPBC Act listed migratory wetland and marine birds (GHD 2012</w:t>
      </w:r>
      <w:r w:rsidR="0047666F" w:rsidRPr="008F549F">
        <w:rPr>
          <w:sz w:val="24"/>
          <w:szCs w:val="24"/>
        </w:rPr>
        <w:t>a</w:t>
      </w:r>
      <w:r w:rsidRPr="008F549F">
        <w:rPr>
          <w:sz w:val="24"/>
          <w:szCs w:val="24"/>
        </w:rPr>
        <w:t>).</w:t>
      </w:r>
    </w:p>
    <w:p w:rsidR="001A657F" w:rsidRPr="008F549F" w:rsidRDefault="001A657F" w:rsidP="001A657F">
      <w:pPr>
        <w:pStyle w:val="Body"/>
        <w:rPr>
          <w:sz w:val="24"/>
          <w:szCs w:val="24"/>
        </w:rPr>
      </w:pPr>
      <w:r w:rsidRPr="008F549F">
        <w:rPr>
          <w:sz w:val="24"/>
          <w:szCs w:val="24"/>
        </w:rPr>
        <w:t xml:space="preserve">The commercial fisheries that operate out of Townsville and specifically report catch from the anchorage area (grid numbers J21 and K21) are line, net, pot and trawl (otter) fisheries (refer to </w:t>
      </w:r>
      <w:r w:rsidR="00CD38ED" w:rsidRPr="008F549F">
        <w:rPr>
          <w:sz w:val="24"/>
          <w:szCs w:val="24"/>
        </w:rPr>
        <w:fldChar w:fldCharType="begin"/>
      </w:r>
      <w:r w:rsidRPr="008F549F">
        <w:rPr>
          <w:sz w:val="24"/>
          <w:szCs w:val="24"/>
        </w:rPr>
        <w:instrText xml:space="preserve"> REF  _Ref342400842 \* Lower \h </w:instrText>
      </w:r>
      <w:r w:rsidR="008F549F">
        <w:rPr>
          <w:sz w:val="24"/>
          <w:szCs w:val="24"/>
        </w:rPr>
        <w:instrText xml:space="preserve"> \* MERGEFORMAT </w:instrText>
      </w:r>
      <w:r w:rsidR="00CD38ED" w:rsidRPr="008F549F">
        <w:rPr>
          <w:sz w:val="24"/>
          <w:szCs w:val="24"/>
        </w:rPr>
      </w:r>
      <w:r w:rsidR="00CD38ED" w:rsidRPr="008F549F">
        <w:rPr>
          <w:sz w:val="24"/>
          <w:szCs w:val="24"/>
        </w:rPr>
        <w:fldChar w:fldCharType="separate"/>
      </w:r>
      <w:r w:rsidR="005F6E51" w:rsidRPr="00815FEA">
        <w:rPr>
          <w:sz w:val="24"/>
          <w:szCs w:val="24"/>
        </w:rPr>
        <w:t xml:space="preserve">figure </w:t>
      </w:r>
      <w:r w:rsidR="005F6E51">
        <w:rPr>
          <w:noProof/>
          <w:sz w:val="24"/>
          <w:szCs w:val="24"/>
        </w:rPr>
        <w:t>4</w:t>
      </w:r>
      <w:r w:rsidR="005F6E51" w:rsidRPr="00815FEA">
        <w:rPr>
          <w:noProof/>
          <w:sz w:val="24"/>
          <w:szCs w:val="24"/>
        </w:rPr>
        <w:noBreakHyphen/>
      </w:r>
      <w:r w:rsidR="005F6E51">
        <w:rPr>
          <w:noProof/>
          <w:sz w:val="24"/>
          <w:szCs w:val="24"/>
        </w:rPr>
        <w:t>3</w:t>
      </w:r>
      <w:r w:rsidR="00CD38ED" w:rsidRPr="008F549F">
        <w:rPr>
          <w:sz w:val="24"/>
          <w:szCs w:val="24"/>
        </w:rPr>
        <w:fldChar w:fldCharType="end"/>
      </w:r>
      <w:r w:rsidRPr="008F549F">
        <w:rPr>
          <w:sz w:val="24"/>
          <w:szCs w:val="24"/>
        </w:rPr>
        <w:t>). The primary target species across these are prawns (trawl), crabs (pot), and shark (all fishery types). The line fishers that operate in the anchorage area target grey and Spanish mackerel (</w:t>
      </w:r>
      <w:r w:rsidRPr="008F549F">
        <w:rPr>
          <w:rFonts w:cs="Arial"/>
          <w:color w:val="000000"/>
          <w:sz w:val="24"/>
          <w:szCs w:val="24"/>
          <w:lang w:eastAsia="en-AU"/>
        </w:rPr>
        <w:t>Department of Agriculture, Fisheries and Forestry</w:t>
      </w:r>
      <w:r w:rsidRPr="008F549F">
        <w:rPr>
          <w:sz w:val="24"/>
          <w:szCs w:val="24"/>
        </w:rPr>
        <w:t xml:space="preserve"> (DAFF) 2012).</w:t>
      </w:r>
    </w:p>
    <w:p w:rsidR="001A657F" w:rsidRPr="008F549F" w:rsidRDefault="001A657F" w:rsidP="001A657F">
      <w:pPr>
        <w:pStyle w:val="Body"/>
        <w:rPr>
          <w:sz w:val="24"/>
          <w:szCs w:val="24"/>
        </w:rPr>
      </w:pPr>
      <w:r w:rsidRPr="008F549F">
        <w:rPr>
          <w:sz w:val="24"/>
          <w:szCs w:val="24"/>
        </w:rPr>
        <w:t>The EIA (GHD 2012</w:t>
      </w:r>
      <w:r w:rsidR="0047666F" w:rsidRPr="008F549F">
        <w:rPr>
          <w:sz w:val="24"/>
          <w:szCs w:val="24"/>
        </w:rPr>
        <w:t>a</w:t>
      </w:r>
      <w:r w:rsidRPr="008F549F">
        <w:rPr>
          <w:sz w:val="24"/>
          <w:szCs w:val="24"/>
        </w:rPr>
        <w:t>) of this study determined that:</w:t>
      </w:r>
    </w:p>
    <w:p w:rsidR="001A657F" w:rsidRPr="008F549F" w:rsidRDefault="001A657F" w:rsidP="001A657F">
      <w:pPr>
        <w:pStyle w:val="Body"/>
        <w:rPr>
          <w:sz w:val="24"/>
          <w:szCs w:val="24"/>
        </w:rPr>
      </w:pPr>
      <w:r w:rsidRPr="008F549F">
        <w:rPr>
          <w:sz w:val="24"/>
          <w:szCs w:val="24"/>
        </w:rPr>
        <w:t xml:space="preserve"> “</w:t>
      </w:r>
      <w:r w:rsidRPr="008F549F">
        <w:rPr>
          <w:i/>
          <w:sz w:val="24"/>
          <w:szCs w:val="24"/>
        </w:rPr>
        <w:t>the anchorage area is not considered to contain significant geomorphic features or important habitat core to feeding or breeding of any protected species. However, the anchorage area is a part of a matrix of habitat and environmental features which supports the diversity for which the Reef is recognised”</w:t>
      </w:r>
      <w:r w:rsidRPr="008F549F">
        <w:rPr>
          <w:sz w:val="24"/>
          <w:szCs w:val="24"/>
        </w:rPr>
        <w:t>.</w:t>
      </w:r>
    </w:p>
    <w:p w:rsidR="001A657F" w:rsidRDefault="001A657F" w:rsidP="001A657F">
      <w:pPr>
        <w:pStyle w:val="Caption"/>
        <w:sectPr w:rsidR="001A657F" w:rsidSect="00B6174B">
          <w:headerReference w:type="default" r:id="rId30"/>
          <w:footerReference w:type="default" r:id="rId31"/>
          <w:pgSz w:w="11906" w:h="16838" w:code="9"/>
          <w:pgMar w:top="1418" w:right="1701" w:bottom="1701" w:left="1418" w:header="709" w:footer="709" w:gutter="0"/>
          <w:cols w:space="720"/>
          <w:docGrid w:linePitch="273"/>
        </w:sectPr>
      </w:pPr>
      <w:bookmarkStart w:id="275" w:name="_Ref342395558"/>
    </w:p>
    <w:bookmarkEnd w:id="275"/>
    <w:p w:rsidR="001A657F" w:rsidRDefault="006721A0" w:rsidP="001A657F">
      <w:pPr>
        <w:pStyle w:val="Body"/>
      </w:pPr>
      <w:r>
        <w:rPr>
          <w:noProof/>
          <w:lang w:eastAsia="en-AU"/>
        </w:rPr>
        <w:drawing>
          <wp:inline distT="0" distB="0" distL="0" distR="0" wp14:anchorId="6290BA39" wp14:editId="65450C0C">
            <wp:extent cx="8140170" cy="5760000"/>
            <wp:effectExtent l="0" t="0" r="0" b="0"/>
            <wp:docPr id="18" name="Picture 18" descr="The map shows the bounded anchorage area, as well as reefs and the different protection zones of the Great Barrier Reef in the vicinity of the anchorage area. A long description of the features in the figure is provided in Section 4.6.1." title="Map of the current anchorage area of the Port of Townsvil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21022b_AnchAreaTownsvilleNoGrid.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8140170" cy="5760000"/>
                    </a:xfrm>
                    <a:prstGeom prst="rect">
                      <a:avLst/>
                    </a:prstGeom>
                  </pic:spPr>
                </pic:pic>
              </a:graphicData>
            </a:graphic>
          </wp:inline>
        </w:drawing>
      </w:r>
    </w:p>
    <w:p w:rsidR="001A657F" w:rsidRDefault="001A657F" w:rsidP="006721A0">
      <w:pPr>
        <w:pStyle w:val="Caption"/>
      </w:pPr>
      <w:bookmarkStart w:id="276" w:name="_Ref342401275"/>
      <w:bookmarkStart w:id="277" w:name="_Toc343597594"/>
      <w:bookmarkStart w:id="278" w:name="_Toc362274384"/>
      <w:r w:rsidRPr="008F549F">
        <w:rPr>
          <w:sz w:val="24"/>
          <w:szCs w:val="24"/>
        </w:rPr>
        <w:t xml:space="preserve">Figure </w:t>
      </w:r>
      <w:r w:rsidR="009108AD" w:rsidRPr="008F549F">
        <w:rPr>
          <w:sz w:val="24"/>
          <w:szCs w:val="24"/>
        </w:rPr>
        <w:fldChar w:fldCharType="begin"/>
      </w:r>
      <w:r w:rsidR="009108AD" w:rsidRPr="008F549F">
        <w:rPr>
          <w:sz w:val="24"/>
          <w:szCs w:val="24"/>
        </w:rPr>
        <w:instrText xml:space="preserve"> STYLEREF 1 \s </w:instrText>
      </w:r>
      <w:r w:rsidR="009108AD" w:rsidRPr="008F549F">
        <w:rPr>
          <w:sz w:val="24"/>
          <w:szCs w:val="24"/>
        </w:rPr>
        <w:fldChar w:fldCharType="separate"/>
      </w:r>
      <w:r w:rsidR="005F6E51">
        <w:rPr>
          <w:noProof/>
          <w:sz w:val="24"/>
          <w:szCs w:val="24"/>
        </w:rPr>
        <w:t>4</w:t>
      </w:r>
      <w:r w:rsidR="009108AD" w:rsidRPr="008F549F">
        <w:rPr>
          <w:noProof/>
          <w:sz w:val="24"/>
          <w:szCs w:val="24"/>
        </w:rPr>
        <w:fldChar w:fldCharType="end"/>
      </w:r>
      <w:r w:rsidRPr="008F549F">
        <w:rPr>
          <w:sz w:val="24"/>
          <w:szCs w:val="24"/>
        </w:rPr>
        <w:noBreakHyphen/>
      </w:r>
      <w:r w:rsidR="009108AD" w:rsidRPr="008F549F">
        <w:rPr>
          <w:sz w:val="24"/>
          <w:szCs w:val="24"/>
        </w:rPr>
        <w:fldChar w:fldCharType="begin"/>
      </w:r>
      <w:r w:rsidR="009108AD" w:rsidRPr="008F549F">
        <w:rPr>
          <w:sz w:val="24"/>
          <w:szCs w:val="24"/>
        </w:rPr>
        <w:instrText xml:space="preserve"> SEQ Figure \* ARABIC \s 1 </w:instrText>
      </w:r>
      <w:r w:rsidR="009108AD" w:rsidRPr="008F549F">
        <w:rPr>
          <w:sz w:val="24"/>
          <w:szCs w:val="24"/>
        </w:rPr>
        <w:fldChar w:fldCharType="separate"/>
      </w:r>
      <w:r w:rsidR="005F6E51">
        <w:rPr>
          <w:noProof/>
          <w:sz w:val="24"/>
          <w:szCs w:val="24"/>
        </w:rPr>
        <w:t>5</w:t>
      </w:r>
      <w:r w:rsidR="009108AD" w:rsidRPr="008F549F">
        <w:rPr>
          <w:noProof/>
          <w:sz w:val="24"/>
          <w:szCs w:val="24"/>
        </w:rPr>
        <w:fldChar w:fldCharType="end"/>
      </w:r>
      <w:bookmarkEnd w:id="276"/>
      <w:r w:rsidR="008F549F">
        <w:rPr>
          <w:noProof/>
          <w:sz w:val="24"/>
          <w:szCs w:val="24"/>
        </w:rPr>
        <w:t>:</w:t>
      </w:r>
      <w:r w:rsidRPr="008F549F">
        <w:rPr>
          <w:sz w:val="24"/>
          <w:szCs w:val="24"/>
        </w:rPr>
        <w:t xml:space="preserve"> </w:t>
      </w:r>
      <w:r w:rsidRPr="008F549F">
        <w:rPr>
          <w:b w:val="0"/>
          <w:sz w:val="24"/>
          <w:szCs w:val="24"/>
        </w:rPr>
        <w:t>Map of the current anchorage area of the Port of Townsville</w:t>
      </w:r>
      <w:bookmarkEnd w:id="277"/>
      <w:bookmarkEnd w:id="278"/>
    </w:p>
    <w:p w:rsidR="001A657F" w:rsidRDefault="001A657F" w:rsidP="001A657F">
      <w:pPr>
        <w:pStyle w:val="Body"/>
        <w:sectPr w:rsidR="001A657F" w:rsidSect="006721A0">
          <w:headerReference w:type="default" r:id="rId33"/>
          <w:footerReference w:type="default" r:id="rId34"/>
          <w:pgSz w:w="16838" w:h="11906" w:orient="landscape" w:code="9"/>
          <w:pgMar w:top="1134" w:right="1418" w:bottom="1134" w:left="1418" w:header="709" w:footer="709" w:gutter="0"/>
          <w:cols w:space="720"/>
          <w:docGrid w:linePitch="273"/>
        </w:sectPr>
      </w:pPr>
    </w:p>
    <w:p w:rsidR="001A657F" w:rsidRPr="00B41CFA" w:rsidRDefault="001A657F" w:rsidP="001A657F">
      <w:pPr>
        <w:pStyle w:val="Heading3"/>
        <w:rPr>
          <w:sz w:val="24"/>
        </w:rPr>
      </w:pPr>
      <w:bookmarkStart w:id="279" w:name="_Toc343526797"/>
      <w:bookmarkStart w:id="280" w:name="_Toc343527049"/>
      <w:bookmarkStart w:id="281" w:name="_Toc343581784"/>
      <w:bookmarkStart w:id="282" w:name="_Toc343597239"/>
      <w:bookmarkStart w:id="283" w:name="_Toc343526728"/>
      <w:bookmarkStart w:id="284" w:name="_Toc343526798"/>
      <w:bookmarkStart w:id="285" w:name="_Toc343527050"/>
      <w:bookmarkStart w:id="286" w:name="_Toc343578700"/>
      <w:bookmarkStart w:id="287" w:name="_Toc343581785"/>
      <w:bookmarkStart w:id="288" w:name="_Toc343582015"/>
      <w:bookmarkStart w:id="289" w:name="_Toc343584307"/>
      <w:bookmarkStart w:id="290" w:name="_Toc343584458"/>
      <w:bookmarkStart w:id="291" w:name="_Toc343584472"/>
      <w:bookmarkStart w:id="292" w:name="_Toc343584485"/>
      <w:bookmarkStart w:id="293" w:name="_Toc343584506"/>
      <w:bookmarkStart w:id="294" w:name="_Toc343586948"/>
      <w:bookmarkStart w:id="295" w:name="_Toc343596990"/>
      <w:bookmarkStart w:id="296" w:name="_Toc343597240"/>
      <w:bookmarkStart w:id="297" w:name="_Toc343597595"/>
      <w:bookmarkStart w:id="298" w:name="_Toc343597241"/>
      <w:bookmarkStart w:id="299" w:name="_Toc362274299"/>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r w:rsidRPr="00B41CFA">
        <w:rPr>
          <w:sz w:val="24"/>
        </w:rPr>
        <w:t>Current demand for ship anchorages at the Port of Townsville</w:t>
      </w:r>
      <w:bookmarkEnd w:id="298"/>
      <w:bookmarkEnd w:id="299"/>
    </w:p>
    <w:p w:rsidR="001A657F" w:rsidRPr="008F549F" w:rsidRDefault="001A657F" w:rsidP="001A657F">
      <w:pPr>
        <w:pStyle w:val="Body"/>
        <w:rPr>
          <w:sz w:val="24"/>
          <w:szCs w:val="24"/>
        </w:rPr>
      </w:pPr>
      <w:r w:rsidRPr="008F549F">
        <w:rPr>
          <w:sz w:val="24"/>
          <w:szCs w:val="24"/>
        </w:rPr>
        <w:t>Based on MSQ historic vessel movements data for vessels over 50 m in length over the period 1</w:t>
      </w:r>
      <w:r w:rsidR="00374F9D">
        <w:rPr>
          <w:sz w:val="24"/>
          <w:szCs w:val="24"/>
        </w:rPr>
        <w:t xml:space="preserve"> </w:t>
      </w:r>
      <w:r w:rsidRPr="008F549F">
        <w:rPr>
          <w:sz w:val="24"/>
          <w:szCs w:val="24"/>
        </w:rPr>
        <w:t>January 2009 to 30 September 2012, there are currently around a total of 730 ship arrivals per year at the Port of Townsville. This number includes a number of naval vessel arrivals as well as cruise-ships. In 2011 and 2012</w:t>
      </w:r>
      <w:r w:rsidR="00E4044A" w:rsidRPr="008F549F">
        <w:rPr>
          <w:sz w:val="24"/>
          <w:szCs w:val="24"/>
        </w:rPr>
        <w:t>,</w:t>
      </w:r>
      <w:r w:rsidRPr="008F549F">
        <w:rPr>
          <w:sz w:val="24"/>
          <w:szCs w:val="24"/>
        </w:rPr>
        <w:t xml:space="preserve"> around 55-60 per cent of ship arrivals proceeded directly to anchor each year. In 2010, around 40 per cent of vessels went to directly anchor with the majority of ships proceeding directly to berth.</w:t>
      </w:r>
    </w:p>
    <w:p w:rsidR="001A657F" w:rsidRPr="008F549F" w:rsidRDefault="001A657F" w:rsidP="001A657F">
      <w:pPr>
        <w:pStyle w:val="CaptionTable"/>
        <w:rPr>
          <w:sz w:val="24"/>
          <w:szCs w:val="24"/>
        </w:rPr>
      </w:pPr>
      <w:bookmarkStart w:id="300" w:name="_Toc343597155"/>
      <w:bookmarkStart w:id="301" w:name="_Toc362274369"/>
      <w:r w:rsidRPr="008F549F">
        <w:rPr>
          <w:sz w:val="24"/>
          <w:szCs w:val="24"/>
        </w:rPr>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4</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5</w:t>
      </w:r>
      <w:r w:rsidR="00542883">
        <w:rPr>
          <w:sz w:val="24"/>
          <w:szCs w:val="24"/>
        </w:rPr>
        <w:fldChar w:fldCharType="end"/>
      </w:r>
      <w:r w:rsidR="008F549F">
        <w:rPr>
          <w:noProof/>
          <w:sz w:val="24"/>
          <w:szCs w:val="24"/>
        </w:rPr>
        <w:t>:</w:t>
      </w:r>
      <w:r w:rsidRPr="008F549F">
        <w:rPr>
          <w:sz w:val="24"/>
          <w:szCs w:val="24"/>
        </w:rPr>
        <w:t xml:space="preserve"> </w:t>
      </w:r>
      <w:r w:rsidRPr="008F549F">
        <w:rPr>
          <w:b w:val="0"/>
          <w:sz w:val="24"/>
          <w:szCs w:val="24"/>
        </w:rPr>
        <w:t>Total ship visits to the Port of Townsville and share using ship anchorages, 2009-2012</w:t>
      </w:r>
      <w:bookmarkEnd w:id="300"/>
      <w:r w:rsidR="008F549F">
        <w:rPr>
          <w:b w:val="0"/>
          <w:sz w:val="24"/>
          <w:szCs w:val="24"/>
        </w:rPr>
        <w:t xml:space="preserve"> (</w:t>
      </w:r>
      <w:r w:rsidR="008F549F" w:rsidRPr="008F549F">
        <w:rPr>
          <w:b w:val="0"/>
          <w:sz w:val="24"/>
          <w:szCs w:val="24"/>
        </w:rPr>
        <w:t>* No data available for 2009 at the Port of</w:t>
      </w:r>
      <w:r w:rsidR="008F549F">
        <w:rPr>
          <w:b w:val="0"/>
          <w:sz w:val="24"/>
          <w:szCs w:val="24"/>
        </w:rPr>
        <w:t xml:space="preserve"> Townsville. Source: MSQ data/</w:t>
      </w:r>
      <w:r w:rsidR="008F549F" w:rsidRPr="008F549F">
        <w:rPr>
          <w:b w:val="0"/>
          <w:sz w:val="24"/>
          <w:szCs w:val="24"/>
        </w:rPr>
        <w:t>GHD analysis.</w:t>
      </w:r>
      <w:r w:rsidR="008F549F">
        <w:rPr>
          <w:b w:val="0"/>
          <w:sz w:val="24"/>
          <w:szCs w:val="24"/>
        </w:rPr>
        <w:t>)</w:t>
      </w:r>
      <w:bookmarkEnd w:id="301"/>
    </w:p>
    <w:tbl>
      <w:tblPr>
        <w:tblW w:w="0" w:type="auto"/>
        <w:tblBorders>
          <w:top w:val="single" w:sz="4" w:space="0" w:color="auto"/>
          <w:bottom w:val="single" w:sz="4" w:space="0" w:color="auto"/>
        </w:tblBorders>
        <w:tblLook w:val="0000" w:firstRow="0" w:lastRow="0" w:firstColumn="0" w:lastColumn="0" w:noHBand="0" w:noVBand="0"/>
        <w:tblCaption w:val="Total ship visits to the Port of Townsville and share using ship anchorages"/>
        <w:tblDescription w:val="The total ship visits to the Port of Townsville and the share of ships using anchorages from 2009-2012. Columns are each year from 2009-2012 and rows are number or per cent of vessels. "/>
      </w:tblPr>
      <w:tblGrid>
        <w:gridCol w:w="2235"/>
        <w:gridCol w:w="1304"/>
        <w:gridCol w:w="1304"/>
        <w:gridCol w:w="1304"/>
        <w:gridCol w:w="2173"/>
      </w:tblGrid>
      <w:tr w:rsidR="001A657F" w:rsidRPr="008F549F" w:rsidTr="006E3423">
        <w:tc>
          <w:tcPr>
            <w:tcW w:w="2235" w:type="dxa"/>
            <w:tcBorders>
              <w:top w:val="single" w:sz="4" w:space="0" w:color="auto"/>
              <w:bottom w:val="single" w:sz="4" w:space="0" w:color="auto"/>
            </w:tcBorders>
          </w:tcPr>
          <w:p w:rsidR="001A657F" w:rsidRPr="008F549F" w:rsidRDefault="001A657F" w:rsidP="006E3423">
            <w:pPr>
              <w:pStyle w:val="Body"/>
              <w:rPr>
                <w:b/>
                <w:sz w:val="24"/>
                <w:szCs w:val="24"/>
              </w:rPr>
            </w:pPr>
            <w:r w:rsidRPr="008F549F">
              <w:rPr>
                <w:b/>
                <w:sz w:val="24"/>
                <w:szCs w:val="24"/>
              </w:rPr>
              <w:t>Port of Townsville</w:t>
            </w:r>
          </w:p>
        </w:tc>
        <w:tc>
          <w:tcPr>
            <w:tcW w:w="1304" w:type="dxa"/>
            <w:tcBorders>
              <w:top w:val="single" w:sz="4" w:space="0" w:color="auto"/>
              <w:bottom w:val="single" w:sz="4" w:space="0" w:color="auto"/>
            </w:tcBorders>
          </w:tcPr>
          <w:p w:rsidR="001A657F" w:rsidRPr="008F549F" w:rsidRDefault="001A657F" w:rsidP="006E3423">
            <w:pPr>
              <w:pStyle w:val="Body"/>
              <w:rPr>
                <w:b/>
                <w:sz w:val="24"/>
                <w:szCs w:val="24"/>
              </w:rPr>
            </w:pPr>
            <w:r w:rsidRPr="008F549F">
              <w:rPr>
                <w:b/>
                <w:sz w:val="24"/>
                <w:szCs w:val="24"/>
              </w:rPr>
              <w:t>2009</w:t>
            </w:r>
          </w:p>
        </w:tc>
        <w:tc>
          <w:tcPr>
            <w:tcW w:w="1304" w:type="dxa"/>
            <w:tcBorders>
              <w:top w:val="single" w:sz="4" w:space="0" w:color="auto"/>
              <w:bottom w:val="single" w:sz="4" w:space="0" w:color="auto"/>
            </w:tcBorders>
          </w:tcPr>
          <w:p w:rsidR="001A657F" w:rsidRPr="008F549F" w:rsidRDefault="001A657F" w:rsidP="006E3423">
            <w:pPr>
              <w:pStyle w:val="Body"/>
              <w:rPr>
                <w:b/>
                <w:sz w:val="24"/>
                <w:szCs w:val="24"/>
              </w:rPr>
            </w:pPr>
            <w:r w:rsidRPr="008F549F">
              <w:rPr>
                <w:b/>
                <w:sz w:val="24"/>
                <w:szCs w:val="24"/>
              </w:rPr>
              <w:t>2010</w:t>
            </w:r>
          </w:p>
        </w:tc>
        <w:tc>
          <w:tcPr>
            <w:tcW w:w="1304" w:type="dxa"/>
            <w:tcBorders>
              <w:top w:val="single" w:sz="4" w:space="0" w:color="auto"/>
              <w:bottom w:val="single" w:sz="4" w:space="0" w:color="auto"/>
            </w:tcBorders>
          </w:tcPr>
          <w:p w:rsidR="001A657F" w:rsidRPr="008F549F" w:rsidRDefault="001A657F" w:rsidP="006E3423">
            <w:pPr>
              <w:pStyle w:val="Body"/>
              <w:rPr>
                <w:b/>
                <w:sz w:val="24"/>
                <w:szCs w:val="24"/>
              </w:rPr>
            </w:pPr>
            <w:r w:rsidRPr="008F549F">
              <w:rPr>
                <w:b/>
                <w:sz w:val="24"/>
                <w:szCs w:val="24"/>
              </w:rPr>
              <w:t>2011</w:t>
            </w:r>
          </w:p>
        </w:tc>
        <w:tc>
          <w:tcPr>
            <w:tcW w:w="2173" w:type="dxa"/>
            <w:tcBorders>
              <w:top w:val="single" w:sz="4" w:space="0" w:color="auto"/>
              <w:bottom w:val="single" w:sz="4" w:space="0" w:color="auto"/>
            </w:tcBorders>
          </w:tcPr>
          <w:p w:rsidR="001A657F" w:rsidRPr="008F549F" w:rsidRDefault="001A657F" w:rsidP="006E3423">
            <w:pPr>
              <w:pStyle w:val="Body"/>
              <w:rPr>
                <w:b/>
                <w:sz w:val="24"/>
                <w:szCs w:val="24"/>
              </w:rPr>
            </w:pPr>
            <w:r w:rsidRPr="008F549F">
              <w:rPr>
                <w:b/>
                <w:sz w:val="24"/>
                <w:szCs w:val="24"/>
              </w:rPr>
              <w:t>2012 (Nine months)</w:t>
            </w:r>
          </w:p>
        </w:tc>
      </w:tr>
      <w:tr w:rsidR="001A657F" w:rsidRPr="008F549F" w:rsidTr="006E3423">
        <w:tc>
          <w:tcPr>
            <w:tcW w:w="2235"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Total ship arrivals</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668</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731</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726</w:t>
            </w:r>
          </w:p>
        </w:tc>
        <w:tc>
          <w:tcPr>
            <w:tcW w:w="2173"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550</w:t>
            </w:r>
          </w:p>
        </w:tc>
      </w:tr>
      <w:tr w:rsidR="001A657F" w:rsidRPr="008F549F" w:rsidTr="006E3423">
        <w:tc>
          <w:tcPr>
            <w:tcW w:w="2235"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Total direct to berth*</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n.a.</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462</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322</w:t>
            </w:r>
          </w:p>
        </w:tc>
        <w:tc>
          <w:tcPr>
            <w:tcW w:w="2173"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226</w:t>
            </w:r>
          </w:p>
        </w:tc>
      </w:tr>
      <w:tr w:rsidR="001A657F" w:rsidRPr="008F549F" w:rsidTr="006E3423">
        <w:tc>
          <w:tcPr>
            <w:tcW w:w="2235"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Total direct to anchor*</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n.a.</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269</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404</w:t>
            </w:r>
          </w:p>
        </w:tc>
        <w:tc>
          <w:tcPr>
            <w:tcW w:w="2173"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324</w:t>
            </w:r>
          </w:p>
        </w:tc>
      </w:tr>
      <w:tr w:rsidR="001A657F" w:rsidRPr="008F549F" w:rsidTr="006E3423">
        <w:tc>
          <w:tcPr>
            <w:tcW w:w="2235" w:type="dxa"/>
            <w:tcBorders>
              <w:top w:val="single" w:sz="4" w:space="0" w:color="auto"/>
              <w:bottom w:val="single" w:sz="4" w:space="0" w:color="auto"/>
            </w:tcBorders>
          </w:tcPr>
          <w:p w:rsidR="001A657F" w:rsidRPr="008F549F" w:rsidRDefault="008F549F" w:rsidP="006E3423">
            <w:pPr>
              <w:pStyle w:val="Body"/>
              <w:rPr>
                <w:sz w:val="24"/>
                <w:szCs w:val="24"/>
              </w:rPr>
            </w:pPr>
            <w:r w:rsidRPr="008F549F">
              <w:rPr>
                <w:sz w:val="24"/>
                <w:szCs w:val="24"/>
              </w:rPr>
              <w:t>Per cent</w:t>
            </w:r>
            <w:r w:rsidR="001A657F" w:rsidRPr="008F549F">
              <w:rPr>
                <w:sz w:val="24"/>
                <w:szCs w:val="24"/>
              </w:rPr>
              <w:t xml:space="preserve"> direct to berth</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n.a.</w:t>
            </w:r>
          </w:p>
        </w:tc>
        <w:tc>
          <w:tcPr>
            <w:tcW w:w="1304" w:type="dxa"/>
            <w:tcBorders>
              <w:top w:val="single" w:sz="4" w:space="0" w:color="auto"/>
              <w:bottom w:val="single" w:sz="4" w:space="0" w:color="auto"/>
            </w:tcBorders>
          </w:tcPr>
          <w:p w:rsidR="001A657F" w:rsidRPr="008F549F" w:rsidRDefault="006E0266" w:rsidP="006E3423">
            <w:pPr>
              <w:pStyle w:val="Body"/>
              <w:rPr>
                <w:sz w:val="24"/>
                <w:szCs w:val="24"/>
              </w:rPr>
            </w:pPr>
            <w:r>
              <w:rPr>
                <w:sz w:val="24"/>
                <w:szCs w:val="24"/>
              </w:rPr>
              <w:t>63</w:t>
            </w:r>
            <w:r w:rsidR="001A657F" w:rsidRPr="008F549F">
              <w:rPr>
                <w:sz w:val="24"/>
                <w:szCs w:val="24"/>
              </w:rPr>
              <w:t>%</w:t>
            </w:r>
          </w:p>
        </w:tc>
        <w:tc>
          <w:tcPr>
            <w:tcW w:w="1304" w:type="dxa"/>
            <w:tcBorders>
              <w:top w:val="single" w:sz="4" w:space="0" w:color="auto"/>
              <w:bottom w:val="single" w:sz="4" w:space="0" w:color="auto"/>
            </w:tcBorders>
          </w:tcPr>
          <w:p w:rsidR="001A657F" w:rsidRPr="008F549F" w:rsidRDefault="006E0266" w:rsidP="006E3423">
            <w:pPr>
              <w:pStyle w:val="Body"/>
              <w:rPr>
                <w:sz w:val="24"/>
                <w:szCs w:val="24"/>
              </w:rPr>
            </w:pPr>
            <w:r>
              <w:rPr>
                <w:sz w:val="24"/>
                <w:szCs w:val="24"/>
              </w:rPr>
              <w:t>44</w:t>
            </w:r>
            <w:r w:rsidR="001A657F" w:rsidRPr="008F549F">
              <w:rPr>
                <w:sz w:val="24"/>
                <w:szCs w:val="24"/>
              </w:rPr>
              <w:t>%</w:t>
            </w:r>
          </w:p>
        </w:tc>
        <w:tc>
          <w:tcPr>
            <w:tcW w:w="2173" w:type="dxa"/>
            <w:tcBorders>
              <w:top w:val="single" w:sz="4" w:space="0" w:color="auto"/>
              <w:bottom w:val="single" w:sz="4" w:space="0" w:color="auto"/>
            </w:tcBorders>
          </w:tcPr>
          <w:p w:rsidR="001A657F" w:rsidRPr="008F549F" w:rsidRDefault="006E0266" w:rsidP="006E3423">
            <w:pPr>
              <w:pStyle w:val="Body"/>
              <w:rPr>
                <w:sz w:val="24"/>
                <w:szCs w:val="24"/>
              </w:rPr>
            </w:pPr>
            <w:r>
              <w:rPr>
                <w:sz w:val="24"/>
                <w:szCs w:val="24"/>
              </w:rPr>
              <w:t>41</w:t>
            </w:r>
            <w:r w:rsidR="001A657F" w:rsidRPr="008F549F">
              <w:rPr>
                <w:sz w:val="24"/>
                <w:szCs w:val="24"/>
              </w:rPr>
              <w:t>%</w:t>
            </w:r>
          </w:p>
        </w:tc>
      </w:tr>
      <w:tr w:rsidR="001A657F" w:rsidRPr="008F549F" w:rsidTr="006E3423">
        <w:tc>
          <w:tcPr>
            <w:tcW w:w="2235" w:type="dxa"/>
            <w:tcBorders>
              <w:top w:val="single" w:sz="4" w:space="0" w:color="auto"/>
            </w:tcBorders>
          </w:tcPr>
          <w:p w:rsidR="001A657F" w:rsidRPr="008F549F" w:rsidRDefault="008F549F" w:rsidP="006E3423">
            <w:pPr>
              <w:pStyle w:val="Body"/>
              <w:rPr>
                <w:sz w:val="24"/>
                <w:szCs w:val="24"/>
              </w:rPr>
            </w:pPr>
            <w:r w:rsidRPr="008F549F">
              <w:rPr>
                <w:sz w:val="24"/>
                <w:szCs w:val="24"/>
              </w:rPr>
              <w:t>Per cent</w:t>
            </w:r>
            <w:r w:rsidR="001A657F" w:rsidRPr="008F549F">
              <w:rPr>
                <w:sz w:val="24"/>
                <w:szCs w:val="24"/>
              </w:rPr>
              <w:t xml:space="preserve"> direct to anchor</w:t>
            </w:r>
          </w:p>
        </w:tc>
        <w:tc>
          <w:tcPr>
            <w:tcW w:w="1304" w:type="dxa"/>
            <w:tcBorders>
              <w:top w:val="single" w:sz="4" w:space="0" w:color="auto"/>
            </w:tcBorders>
          </w:tcPr>
          <w:p w:rsidR="001A657F" w:rsidRPr="008F549F" w:rsidRDefault="001A657F" w:rsidP="006E3423">
            <w:pPr>
              <w:pStyle w:val="Body"/>
              <w:rPr>
                <w:sz w:val="24"/>
                <w:szCs w:val="24"/>
              </w:rPr>
            </w:pPr>
            <w:r w:rsidRPr="008F549F">
              <w:rPr>
                <w:sz w:val="24"/>
                <w:szCs w:val="24"/>
              </w:rPr>
              <w:t xml:space="preserve">n.a. </w:t>
            </w:r>
          </w:p>
        </w:tc>
        <w:tc>
          <w:tcPr>
            <w:tcW w:w="1304" w:type="dxa"/>
            <w:tcBorders>
              <w:top w:val="single" w:sz="4" w:space="0" w:color="auto"/>
            </w:tcBorders>
          </w:tcPr>
          <w:p w:rsidR="001A657F" w:rsidRPr="008F549F" w:rsidRDefault="006E0266" w:rsidP="006E3423">
            <w:pPr>
              <w:pStyle w:val="Body"/>
              <w:rPr>
                <w:sz w:val="24"/>
                <w:szCs w:val="24"/>
              </w:rPr>
            </w:pPr>
            <w:r>
              <w:rPr>
                <w:sz w:val="24"/>
                <w:szCs w:val="24"/>
              </w:rPr>
              <w:t>37</w:t>
            </w:r>
            <w:r w:rsidR="001A657F" w:rsidRPr="008F549F">
              <w:rPr>
                <w:sz w:val="24"/>
                <w:szCs w:val="24"/>
              </w:rPr>
              <w:t>%</w:t>
            </w:r>
          </w:p>
        </w:tc>
        <w:tc>
          <w:tcPr>
            <w:tcW w:w="1304" w:type="dxa"/>
            <w:tcBorders>
              <w:top w:val="single" w:sz="4" w:space="0" w:color="auto"/>
            </w:tcBorders>
          </w:tcPr>
          <w:p w:rsidR="001A657F" w:rsidRPr="008F549F" w:rsidRDefault="006E0266" w:rsidP="006E3423">
            <w:pPr>
              <w:pStyle w:val="Body"/>
              <w:rPr>
                <w:sz w:val="24"/>
                <w:szCs w:val="24"/>
              </w:rPr>
            </w:pPr>
            <w:r>
              <w:rPr>
                <w:sz w:val="24"/>
                <w:szCs w:val="24"/>
              </w:rPr>
              <w:t>56</w:t>
            </w:r>
            <w:r w:rsidR="001A657F" w:rsidRPr="008F549F">
              <w:rPr>
                <w:sz w:val="24"/>
                <w:szCs w:val="24"/>
              </w:rPr>
              <w:t>%</w:t>
            </w:r>
          </w:p>
        </w:tc>
        <w:tc>
          <w:tcPr>
            <w:tcW w:w="2173" w:type="dxa"/>
            <w:tcBorders>
              <w:top w:val="single" w:sz="4" w:space="0" w:color="auto"/>
            </w:tcBorders>
          </w:tcPr>
          <w:p w:rsidR="001A657F" w:rsidRPr="008F549F" w:rsidRDefault="006E0266" w:rsidP="006E3423">
            <w:pPr>
              <w:pStyle w:val="Body"/>
              <w:rPr>
                <w:sz w:val="24"/>
                <w:szCs w:val="24"/>
              </w:rPr>
            </w:pPr>
            <w:r>
              <w:rPr>
                <w:sz w:val="24"/>
                <w:szCs w:val="24"/>
              </w:rPr>
              <w:t>59</w:t>
            </w:r>
            <w:r w:rsidR="001A657F" w:rsidRPr="008F549F">
              <w:rPr>
                <w:sz w:val="24"/>
                <w:szCs w:val="24"/>
              </w:rPr>
              <w:t>%</w:t>
            </w:r>
          </w:p>
        </w:tc>
      </w:tr>
    </w:tbl>
    <w:p w:rsidR="001A657F" w:rsidRPr="008F549F" w:rsidRDefault="001A657F" w:rsidP="001A657F">
      <w:pPr>
        <w:pStyle w:val="Body"/>
        <w:rPr>
          <w:sz w:val="24"/>
          <w:szCs w:val="24"/>
        </w:rPr>
      </w:pPr>
      <w:r w:rsidRPr="008F549F">
        <w:rPr>
          <w:sz w:val="24"/>
          <w:szCs w:val="24"/>
        </w:rPr>
        <w:t>However, out of the ships which proceed directly to anchor, a number (eight in 2011) were recorded as first “Drifting Townsville” (</w:t>
      </w:r>
      <w:r w:rsidR="00804919" w:rsidRPr="008F549F">
        <w:rPr>
          <w:sz w:val="24"/>
          <w:szCs w:val="24"/>
        </w:rPr>
        <w:t xml:space="preserve">i.e. </w:t>
      </w:r>
      <w:r w:rsidRPr="008F549F">
        <w:rPr>
          <w:sz w:val="24"/>
          <w:szCs w:val="24"/>
        </w:rPr>
        <w:t xml:space="preserve">idling or floating around, not at anchor) for a few hours prior to entering the port. These ships were not physically anchored in one location but were, likewise, not under steam to any destination. Some passenger (cruise) ships also only anchor </w:t>
      </w:r>
      <w:r w:rsidR="00E4044A" w:rsidRPr="008F549F">
        <w:rPr>
          <w:sz w:val="24"/>
          <w:szCs w:val="24"/>
        </w:rPr>
        <w:t xml:space="preserve">for a short period </w:t>
      </w:r>
      <w:r w:rsidRPr="008F549F">
        <w:rPr>
          <w:sz w:val="24"/>
          <w:szCs w:val="24"/>
        </w:rPr>
        <w:t>and then proceed to sea without entering port (five calls in 2011).</w:t>
      </w:r>
    </w:p>
    <w:p w:rsidR="001A657F" w:rsidRPr="008F549F" w:rsidRDefault="001A657F" w:rsidP="001A657F">
      <w:pPr>
        <w:pStyle w:val="Body"/>
        <w:rPr>
          <w:sz w:val="24"/>
          <w:szCs w:val="24"/>
        </w:rPr>
      </w:pPr>
      <w:r w:rsidRPr="008F549F">
        <w:rPr>
          <w:sz w:val="24"/>
          <w:szCs w:val="24"/>
        </w:rPr>
        <w:t>All ships were recorded as using one anchorage area “Townsville Anchorage”</w:t>
      </w:r>
      <w:r w:rsidR="008F549F">
        <w:rPr>
          <w:sz w:val="24"/>
          <w:szCs w:val="24"/>
        </w:rPr>
        <w:t xml:space="preserve"> as t</w:t>
      </w:r>
      <w:r w:rsidR="008F549F" w:rsidRPr="008F549F">
        <w:rPr>
          <w:sz w:val="24"/>
          <w:szCs w:val="24"/>
        </w:rPr>
        <w:t xml:space="preserve">here are currently no designated anchorage areas at Port of Townsville. The Townsville anchorage area assessed in this project has been determined in consultation with the Regional Harbour Master. Refer section </w:t>
      </w:r>
      <w:r w:rsidR="008F549F" w:rsidRPr="008F549F">
        <w:rPr>
          <w:sz w:val="24"/>
          <w:szCs w:val="24"/>
        </w:rPr>
        <w:fldChar w:fldCharType="begin"/>
      </w:r>
      <w:r w:rsidR="008F549F" w:rsidRPr="008F549F">
        <w:rPr>
          <w:sz w:val="24"/>
          <w:szCs w:val="24"/>
        </w:rPr>
        <w:instrText xml:space="preserve"> REF _Ref347733279 \r \h </w:instrText>
      </w:r>
      <w:r w:rsidR="008F549F">
        <w:rPr>
          <w:sz w:val="24"/>
          <w:szCs w:val="24"/>
        </w:rPr>
        <w:instrText xml:space="preserve"> \* MERGEFORMAT </w:instrText>
      </w:r>
      <w:r w:rsidR="008F549F" w:rsidRPr="008F549F">
        <w:rPr>
          <w:sz w:val="24"/>
          <w:szCs w:val="24"/>
        </w:rPr>
      </w:r>
      <w:r w:rsidR="008F549F" w:rsidRPr="008F549F">
        <w:rPr>
          <w:sz w:val="24"/>
          <w:szCs w:val="24"/>
        </w:rPr>
        <w:fldChar w:fldCharType="separate"/>
      </w:r>
      <w:r w:rsidR="005F6E51">
        <w:rPr>
          <w:sz w:val="24"/>
          <w:szCs w:val="24"/>
        </w:rPr>
        <w:t>1.4</w:t>
      </w:r>
      <w:r w:rsidR="008F549F" w:rsidRPr="008F549F">
        <w:rPr>
          <w:sz w:val="24"/>
          <w:szCs w:val="24"/>
        </w:rPr>
        <w:fldChar w:fldCharType="end"/>
      </w:r>
      <w:r w:rsidR="008F549F" w:rsidRPr="008F549F">
        <w:rPr>
          <w:sz w:val="24"/>
          <w:szCs w:val="24"/>
        </w:rPr>
        <w:t xml:space="preserve"> for further information.</w:t>
      </w:r>
    </w:p>
    <w:p w:rsidR="001A657F" w:rsidRPr="008F549F" w:rsidRDefault="001A657F" w:rsidP="001A657F">
      <w:pPr>
        <w:pStyle w:val="Body"/>
        <w:rPr>
          <w:sz w:val="24"/>
          <w:szCs w:val="24"/>
        </w:rPr>
      </w:pPr>
      <w:r w:rsidRPr="008F549F">
        <w:rPr>
          <w:sz w:val="24"/>
          <w:szCs w:val="24"/>
        </w:rPr>
        <w:t>The Townsville Anchorage was used in 2011 by a range of ship types (as defined in MSQ statistics):</w:t>
      </w:r>
    </w:p>
    <w:p w:rsidR="001A657F" w:rsidRPr="008F549F" w:rsidRDefault="001A657F" w:rsidP="001A657F">
      <w:pPr>
        <w:pStyle w:val="Body"/>
        <w:numPr>
          <w:ilvl w:val="0"/>
          <w:numId w:val="17"/>
        </w:numPr>
        <w:rPr>
          <w:sz w:val="24"/>
          <w:szCs w:val="24"/>
        </w:rPr>
      </w:pPr>
      <w:r w:rsidRPr="008F549F">
        <w:rPr>
          <w:sz w:val="24"/>
          <w:szCs w:val="24"/>
        </w:rPr>
        <w:t>Bulk carrier (46 per cent of anchorage calls, spending on average around 3.5 days at anchor)</w:t>
      </w:r>
    </w:p>
    <w:p w:rsidR="001A657F" w:rsidRPr="008F549F" w:rsidRDefault="001A657F" w:rsidP="001A657F">
      <w:pPr>
        <w:pStyle w:val="Body"/>
        <w:numPr>
          <w:ilvl w:val="0"/>
          <w:numId w:val="17"/>
        </w:numPr>
        <w:rPr>
          <w:sz w:val="24"/>
          <w:szCs w:val="24"/>
        </w:rPr>
      </w:pPr>
      <w:r w:rsidRPr="008F549F">
        <w:rPr>
          <w:sz w:val="24"/>
          <w:szCs w:val="24"/>
        </w:rPr>
        <w:t>General cargo (24 per cent of anchorage calls, spending on average around two days at anchor)</w:t>
      </w:r>
    </w:p>
    <w:p w:rsidR="001A657F" w:rsidRPr="008F549F" w:rsidRDefault="001A657F" w:rsidP="001A657F">
      <w:pPr>
        <w:pStyle w:val="Body"/>
        <w:numPr>
          <w:ilvl w:val="0"/>
          <w:numId w:val="17"/>
        </w:numPr>
        <w:rPr>
          <w:sz w:val="24"/>
          <w:szCs w:val="24"/>
        </w:rPr>
      </w:pPr>
      <w:r w:rsidRPr="008F549F">
        <w:rPr>
          <w:sz w:val="24"/>
          <w:szCs w:val="24"/>
        </w:rPr>
        <w:t>Tanker (</w:t>
      </w:r>
      <w:r w:rsidR="00945863">
        <w:rPr>
          <w:sz w:val="24"/>
          <w:szCs w:val="24"/>
        </w:rPr>
        <w:t>9</w:t>
      </w:r>
      <w:r w:rsidRPr="008F549F">
        <w:rPr>
          <w:sz w:val="24"/>
          <w:szCs w:val="24"/>
        </w:rPr>
        <w:t xml:space="preserve"> per cent of anchorage calls, spending on average around 1.5 days at anchor)</w:t>
      </w:r>
    </w:p>
    <w:p w:rsidR="001A657F" w:rsidRPr="008F549F" w:rsidRDefault="001A657F" w:rsidP="001A657F">
      <w:pPr>
        <w:pStyle w:val="Body"/>
        <w:numPr>
          <w:ilvl w:val="0"/>
          <w:numId w:val="17"/>
        </w:numPr>
        <w:rPr>
          <w:sz w:val="24"/>
          <w:szCs w:val="24"/>
        </w:rPr>
      </w:pPr>
      <w:r w:rsidRPr="008F549F">
        <w:rPr>
          <w:sz w:val="24"/>
          <w:szCs w:val="24"/>
        </w:rPr>
        <w:t>Vehicles carrier (</w:t>
      </w:r>
      <w:r w:rsidR="00945863">
        <w:rPr>
          <w:sz w:val="24"/>
          <w:szCs w:val="24"/>
        </w:rPr>
        <w:t>7</w:t>
      </w:r>
      <w:r w:rsidRPr="008F549F">
        <w:rPr>
          <w:sz w:val="24"/>
          <w:szCs w:val="24"/>
        </w:rPr>
        <w:t xml:space="preserve"> per cent of anchorage calls, spending on average around one day at anchor)</w:t>
      </w:r>
    </w:p>
    <w:p w:rsidR="001A657F" w:rsidRPr="008F549F" w:rsidRDefault="001A657F" w:rsidP="001A657F">
      <w:pPr>
        <w:pStyle w:val="Body"/>
        <w:numPr>
          <w:ilvl w:val="0"/>
          <w:numId w:val="17"/>
        </w:numPr>
        <w:rPr>
          <w:sz w:val="24"/>
          <w:szCs w:val="24"/>
        </w:rPr>
      </w:pPr>
      <w:r w:rsidRPr="008F549F">
        <w:rPr>
          <w:sz w:val="24"/>
          <w:szCs w:val="24"/>
        </w:rPr>
        <w:t>Container ship (</w:t>
      </w:r>
      <w:r w:rsidR="00945863">
        <w:rPr>
          <w:sz w:val="24"/>
          <w:szCs w:val="24"/>
        </w:rPr>
        <w:t>5</w:t>
      </w:r>
      <w:r w:rsidRPr="008F549F">
        <w:rPr>
          <w:sz w:val="24"/>
          <w:szCs w:val="24"/>
        </w:rPr>
        <w:t xml:space="preserve"> per cent of anchorage calls, spending on average around one day at anchor)</w:t>
      </w:r>
    </w:p>
    <w:p w:rsidR="001A657F" w:rsidRPr="008F549F" w:rsidRDefault="001A657F" w:rsidP="001A657F">
      <w:pPr>
        <w:pStyle w:val="Body"/>
        <w:numPr>
          <w:ilvl w:val="0"/>
          <w:numId w:val="17"/>
        </w:numPr>
        <w:rPr>
          <w:sz w:val="24"/>
          <w:szCs w:val="24"/>
        </w:rPr>
      </w:pPr>
      <w:r w:rsidRPr="008F549F">
        <w:rPr>
          <w:sz w:val="24"/>
          <w:szCs w:val="24"/>
        </w:rPr>
        <w:t>Others (10 per cent comprising cement carrier, gas tanker, livestock carrier, passenger ship, supply vessel, ro-ro cargo, and landing craft).</w:t>
      </w:r>
    </w:p>
    <w:p w:rsidR="001A657F" w:rsidRPr="008F549F" w:rsidRDefault="001A657F" w:rsidP="001A657F">
      <w:pPr>
        <w:pStyle w:val="Body"/>
        <w:rPr>
          <w:sz w:val="24"/>
          <w:szCs w:val="24"/>
        </w:rPr>
      </w:pPr>
      <w:bookmarkStart w:id="302" w:name="_Ref343520055"/>
      <w:r w:rsidRPr="008F549F">
        <w:rPr>
          <w:sz w:val="24"/>
          <w:szCs w:val="24"/>
        </w:rPr>
        <w:t>The Townsville Anchorage is also used on occasion for port removals, where a ship temporarily leaves the port to await a move to a subsequent berth in the same port (25 instances in 2011), and for a temporary wait at anchor after departing the port on route to sea (15 instances in 2011). The reason for this is unclear, but could be related to the ship master awaiting instructions on next destinations or weather-related factors).</w:t>
      </w:r>
    </w:p>
    <w:p w:rsidR="001A657F" w:rsidRPr="008F549F" w:rsidRDefault="001A657F" w:rsidP="001A657F">
      <w:pPr>
        <w:pStyle w:val="Body"/>
        <w:rPr>
          <w:sz w:val="24"/>
          <w:szCs w:val="24"/>
        </w:rPr>
      </w:pPr>
      <w:r w:rsidRPr="008F549F">
        <w:rPr>
          <w:sz w:val="24"/>
          <w:szCs w:val="24"/>
        </w:rPr>
        <w:t>It is worth noting that two out of nine operational berths at the Port of Townsville have been offline since October 2011 (due to come back on line again in 2013)</w:t>
      </w:r>
      <w:r w:rsidR="00867DAB" w:rsidRPr="008F549F">
        <w:rPr>
          <w:sz w:val="24"/>
          <w:szCs w:val="24"/>
        </w:rPr>
        <w:t>. T</w:t>
      </w:r>
      <w:r w:rsidRPr="008F549F">
        <w:rPr>
          <w:sz w:val="24"/>
          <w:szCs w:val="24"/>
        </w:rPr>
        <w:t xml:space="preserve">his may have altered anchorage demand in the last quarter of the 2012 calendar year statistics presented in this study. </w:t>
      </w:r>
    </w:p>
    <w:p w:rsidR="001A657F" w:rsidRPr="008F549F" w:rsidRDefault="001A657F" w:rsidP="001A657F">
      <w:pPr>
        <w:pStyle w:val="Body"/>
        <w:rPr>
          <w:sz w:val="24"/>
          <w:szCs w:val="24"/>
        </w:rPr>
      </w:pPr>
      <w:r w:rsidRPr="008F549F">
        <w:rPr>
          <w:sz w:val="24"/>
          <w:szCs w:val="24"/>
        </w:rPr>
        <w:t>The current scale of the use of ship anchorages at the Port of Townsville can be summarised as minor with an average of around one ship call per day (including removals and departures) using the anchorages for typically stays of only several days (average of three days for all ships in 2011).</w:t>
      </w:r>
    </w:p>
    <w:p w:rsidR="001A657F" w:rsidRPr="00B41CFA" w:rsidRDefault="001A657F" w:rsidP="001A657F">
      <w:pPr>
        <w:pStyle w:val="Heading3"/>
        <w:rPr>
          <w:sz w:val="24"/>
        </w:rPr>
      </w:pPr>
      <w:bookmarkStart w:id="303" w:name="_Ref343580491"/>
      <w:bookmarkStart w:id="304" w:name="_Ref343580495"/>
      <w:bookmarkStart w:id="305" w:name="_Toc343597242"/>
      <w:bookmarkStart w:id="306" w:name="_Toc362274300"/>
      <w:r w:rsidRPr="00B41CFA">
        <w:rPr>
          <w:sz w:val="24"/>
        </w:rPr>
        <w:t>Future demand for ship anchorages at the Port of Townsville</w:t>
      </w:r>
      <w:bookmarkEnd w:id="302"/>
      <w:bookmarkEnd w:id="303"/>
      <w:bookmarkEnd w:id="304"/>
      <w:bookmarkEnd w:id="305"/>
      <w:bookmarkEnd w:id="306"/>
    </w:p>
    <w:p w:rsidR="001A657F" w:rsidRDefault="001A657F" w:rsidP="001A657F">
      <w:pPr>
        <w:pStyle w:val="Body"/>
        <w:rPr>
          <w:sz w:val="24"/>
          <w:szCs w:val="24"/>
        </w:rPr>
      </w:pPr>
      <w:r w:rsidRPr="008F549F">
        <w:rPr>
          <w:sz w:val="24"/>
          <w:szCs w:val="24"/>
        </w:rPr>
        <w:t>PGM Environment (2012) forecasts a probable case of around two per cent per year growth in ship calls over the period 2012-2032 (financial year end numbers), primarily driven by bulk carriers (the trade volume increasing</w:t>
      </w:r>
      <w:r w:rsidR="00B441EA" w:rsidRPr="008F549F">
        <w:rPr>
          <w:sz w:val="24"/>
          <w:szCs w:val="24"/>
        </w:rPr>
        <w:t xml:space="preserve"> and</w:t>
      </w:r>
      <w:r w:rsidRPr="008F549F">
        <w:rPr>
          <w:sz w:val="24"/>
          <w:szCs w:val="24"/>
        </w:rPr>
        <w:t xml:space="preserve"> larger ships used)</w:t>
      </w:r>
      <w:r w:rsidR="009406D8">
        <w:rPr>
          <w:sz w:val="24"/>
          <w:szCs w:val="24"/>
        </w:rPr>
        <w:t xml:space="preserve">. </w:t>
      </w:r>
      <w:r w:rsidR="00AF16BF" w:rsidRPr="008F549F">
        <w:rPr>
          <w:sz w:val="24"/>
          <w:szCs w:val="24"/>
        </w:rPr>
        <w:t>If</w:t>
      </w:r>
      <w:r w:rsidRPr="008F549F">
        <w:rPr>
          <w:sz w:val="24"/>
          <w:szCs w:val="24"/>
        </w:rPr>
        <w:t xml:space="preserve"> berth upgrades and port expansion plans</w:t>
      </w:r>
      <w:r w:rsidR="00804919" w:rsidRPr="008F549F">
        <w:rPr>
          <w:sz w:val="24"/>
          <w:szCs w:val="24"/>
        </w:rPr>
        <w:t xml:space="preserve"> proceed</w:t>
      </w:r>
      <w:r w:rsidR="008F549F">
        <w:rPr>
          <w:sz w:val="24"/>
          <w:szCs w:val="24"/>
        </w:rPr>
        <w:t>,</w:t>
      </w:r>
      <w:r w:rsidR="00B441EA" w:rsidRPr="008F549F">
        <w:rPr>
          <w:sz w:val="24"/>
          <w:szCs w:val="24"/>
        </w:rPr>
        <w:t xml:space="preserve"> </w:t>
      </w:r>
      <w:r w:rsidRPr="008F549F">
        <w:rPr>
          <w:sz w:val="24"/>
          <w:szCs w:val="24"/>
        </w:rPr>
        <w:t xml:space="preserve">the number of calls </w:t>
      </w:r>
      <w:r w:rsidR="00AF16BF" w:rsidRPr="008F549F">
        <w:rPr>
          <w:sz w:val="24"/>
          <w:szCs w:val="24"/>
        </w:rPr>
        <w:t xml:space="preserve">are forecast to rise </w:t>
      </w:r>
      <w:r w:rsidRPr="008F549F">
        <w:rPr>
          <w:sz w:val="24"/>
          <w:szCs w:val="24"/>
        </w:rPr>
        <w:t>from a 2012 b</w:t>
      </w:r>
      <w:r w:rsidR="00940C20">
        <w:rPr>
          <w:sz w:val="24"/>
          <w:szCs w:val="24"/>
        </w:rPr>
        <w:t>ase of 753 to 999 in 2020 and 1</w:t>
      </w:r>
      <w:r w:rsidRPr="008F549F">
        <w:rPr>
          <w:sz w:val="24"/>
          <w:szCs w:val="24"/>
        </w:rPr>
        <w:t>161 in 2032 (</w:t>
      </w:r>
      <w:r w:rsidR="00CD38ED" w:rsidRPr="008F549F">
        <w:rPr>
          <w:sz w:val="24"/>
          <w:szCs w:val="24"/>
        </w:rPr>
        <w:fldChar w:fldCharType="begin"/>
      </w:r>
      <w:r w:rsidRPr="008F549F">
        <w:rPr>
          <w:sz w:val="24"/>
          <w:szCs w:val="24"/>
        </w:rPr>
        <w:instrText xml:space="preserve"> REF  _Ref342397052 \* Lower \h </w:instrText>
      </w:r>
      <w:r w:rsidR="008F549F">
        <w:rPr>
          <w:sz w:val="24"/>
          <w:szCs w:val="24"/>
        </w:rPr>
        <w:instrText xml:space="preserve"> \* MERGEFORMAT </w:instrText>
      </w:r>
      <w:r w:rsidR="00CD38ED" w:rsidRPr="008F549F">
        <w:rPr>
          <w:sz w:val="24"/>
          <w:szCs w:val="24"/>
        </w:rPr>
      </w:r>
      <w:r w:rsidR="00CD38ED" w:rsidRPr="008F549F">
        <w:rPr>
          <w:sz w:val="24"/>
          <w:szCs w:val="24"/>
        </w:rPr>
        <w:fldChar w:fldCharType="separate"/>
      </w:r>
      <w:r w:rsidR="005F6E51" w:rsidRPr="008F549F">
        <w:rPr>
          <w:sz w:val="24"/>
          <w:szCs w:val="24"/>
        </w:rPr>
        <w:t xml:space="preserve">figure </w:t>
      </w:r>
      <w:r w:rsidR="005F6E51">
        <w:rPr>
          <w:noProof/>
          <w:sz w:val="24"/>
          <w:szCs w:val="24"/>
        </w:rPr>
        <w:t>4</w:t>
      </w:r>
      <w:r w:rsidR="005F6E51" w:rsidRPr="008F549F">
        <w:rPr>
          <w:noProof/>
          <w:sz w:val="24"/>
          <w:szCs w:val="24"/>
        </w:rPr>
        <w:noBreakHyphen/>
      </w:r>
      <w:r w:rsidR="005F6E51">
        <w:rPr>
          <w:noProof/>
          <w:sz w:val="24"/>
          <w:szCs w:val="24"/>
        </w:rPr>
        <w:t>6</w:t>
      </w:r>
      <w:r w:rsidR="00CD38ED" w:rsidRPr="008F549F">
        <w:rPr>
          <w:sz w:val="24"/>
          <w:szCs w:val="24"/>
        </w:rPr>
        <w:fldChar w:fldCharType="end"/>
      </w:r>
      <w:r w:rsidRPr="008F549F">
        <w:rPr>
          <w:sz w:val="24"/>
          <w:szCs w:val="24"/>
        </w:rPr>
        <w:t>).</w:t>
      </w:r>
    </w:p>
    <w:p w:rsidR="008F549F" w:rsidRPr="008F549F" w:rsidRDefault="008F549F" w:rsidP="008F549F">
      <w:pPr>
        <w:pStyle w:val="Body"/>
        <w:rPr>
          <w:sz w:val="24"/>
          <w:szCs w:val="24"/>
        </w:rPr>
      </w:pPr>
      <w:r w:rsidRPr="008F549F">
        <w:rPr>
          <w:sz w:val="24"/>
          <w:szCs w:val="24"/>
        </w:rPr>
        <w:t>With forecast ship call numbers increasing, albeit slowly, at the Port of Townsville, it is likely that the future demand for ship anchorages over the next 20 years will increase at a rate similar to the increase forecast in ship call numbers. However, as port infrastructure is upgraded and expanded, it is also likely that certain types of ships will not to have to wait at anchor for a berth (i.e. container ships, vehicle carriers and some general cargo ships). This will have the effect of a lower growth rate in the demand for anchorage over the next 20 years. This may be compensated to some degree by Townsville handling coal ships, amongst other potential bulk trade vessels, in the future, which generally require some of the calls to use anchorages.</w:t>
      </w:r>
    </w:p>
    <w:p w:rsidR="001A657F" w:rsidRPr="008F549F" w:rsidRDefault="001A657F" w:rsidP="001A657F">
      <w:pPr>
        <w:pStyle w:val="Body"/>
        <w:jc w:val="center"/>
        <w:rPr>
          <w:sz w:val="24"/>
          <w:szCs w:val="24"/>
        </w:rPr>
      </w:pPr>
      <w:r w:rsidRPr="008F549F">
        <w:rPr>
          <w:noProof/>
          <w:sz w:val="24"/>
          <w:szCs w:val="24"/>
          <w:lang w:eastAsia="en-AU"/>
        </w:rPr>
        <w:drawing>
          <wp:inline distT="0" distB="0" distL="0" distR="0" wp14:anchorId="4F237DBA" wp14:editId="1F9B1C58">
            <wp:extent cx="5890349" cy="2968831"/>
            <wp:effectExtent l="0" t="0" r="0" b="3175"/>
            <wp:docPr id="4" name="Picture 4" descr="Forecast of ship call numbers for Port of Townsville from 2012-2032. Forecasts a probable case of around two per cent per year growth in ship calls over the period 2012-2032  for the Port of Townsville. Further text provided in Section 4.6.3." title="Forecast ship call numbers “probable case” for Port of Townsvill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5" cstate="print">
                      <a:extLst>
                        <a:ext uri="{BEBA8EAE-BF5A-486C-A8C5-ECC9F3942E4B}">
                          <a14:imgProps xmlns:a14="http://schemas.microsoft.com/office/drawing/2010/main">
                            <a14:imgLayer r:embed="rId36">
                              <a14:imgEffect>
                                <a14:sharpenSoften amount="50000"/>
                              </a14:imgEffect>
                            </a14:imgLayer>
                          </a14:imgProps>
                        </a:ext>
                        <a:ext uri="{28A0092B-C50C-407E-A947-70E740481C1C}">
                          <a14:useLocalDpi xmlns:a14="http://schemas.microsoft.com/office/drawing/2010/main" val="0"/>
                        </a:ext>
                      </a:extLst>
                    </a:blip>
                    <a:srcRect l="1273" t="20259" r="6259" b="1277"/>
                    <a:stretch/>
                  </pic:blipFill>
                  <pic:spPr bwMode="auto">
                    <a:xfrm>
                      <a:off x="0" y="0"/>
                      <a:ext cx="5903937" cy="2975680"/>
                    </a:xfrm>
                    <a:prstGeom prst="rect">
                      <a:avLst/>
                    </a:prstGeom>
                    <a:noFill/>
                    <a:ln>
                      <a:noFill/>
                    </a:ln>
                    <a:extLst>
                      <a:ext uri="{53640926-AAD7-44D8-BBD7-CCE9431645EC}">
                        <a14:shadowObscured xmlns:a14="http://schemas.microsoft.com/office/drawing/2010/main"/>
                      </a:ext>
                    </a:extLst>
                  </pic:spPr>
                </pic:pic>
              </a:graphicData>
            </a:graphic>
          </wp:inline>
        </w:drawing>
      </w:r>
    </w:p>
    <w:p w:rsidR="001A657F" w:rsidRPr="008F549F" w:rsidRDefault="001A657F" w:rsidP="001A657F">
      <w:pPr>
        <w:pStyle w:val="Caption"/>
        <w:rPr>
          <w:b w:val="0"/>
          <w:sz w:val="24"/>
          <w:szCs w:val="24"/>
        </w:rPr>
      </w:pPr>
      <w:bookmarkStart w:id="307" w:name="_Ref342397052"/>
      <w:bookmarkStart w:id="308" w:name="_Toc343597596"/>
      <w:bookmarkStart w:id="309" w:name="_Toc362274385"/>
      <w:r w:rsidRPr="008F549F">
        <w:rPr>
          <w:sz w:val="24"/>
          <w:szCs w:val="24"/>
        </w:rPr>
        <w:t xml:space="preserve">Figure </w:t>
      </w:r>
      <w:r w:rsidR="009108AD" w:rsidRPr="008F549F">
        <w:rPr>
          <w:sz w:val="24"/>
          <w:szCs w:val="24"/>
        </w:rPr>
        <w:fldChar w:fldCharType="begin"/>
      </w:r>
      <w:r w:rsidR="009108AD" w:rsidRPr="008F549F">
        <w:rPr>
          <w:sz w:val="24"/>
          <w:szCs w:val="24"/>
        </w:rPr>
        <w:instrText xml:space="preserve"> STYLEREF 1 \s </w:instrText>
      </w:r>
      <w:r w:rsidR="009108AD" w:rsidRPr="008F549F">
        <w:rPr>
          <w:sz w:val="24"/>
          <w:szCs w:val="24"/>
        </w:rPr>
        <w:fldChar w:fldCharType="separate"/>
      </w:r>
      <w:r w:rsidR="005F6E51">
        <w:rPr>
          <w:noProof/>
          <w:sz w:val="24"/>
          <w:szCs w:val="24"/>
        </w:rPr>
        <w:t>4</w:t>
      </w:r>
      <w:r w:rsidR="009108AD" w:rsidRPr="008F549F">
        <w:rPr>
          <w:noProof/>
          <w:sz w:val="24"/>
          <w:szCs w:val="24"/>
        </w:rPr>
        <w:fldChar w:fldCharType="end"/>
      </w:r>
      <w:r w:rsidRPr="008F549F">
        <w:rPr>
          <w:sz w:val="24"/>
          <w:szCs w:val="24"/>
        </w:rPr>
        <w:noBreakHyphen/>
      </w:r>
      <w:r w:rsidR="009108AD" w:rsidRPr="008F549F">
        <w:rPr>
          <w:sz w:val="24"/>
          <w:szCs w:val="24"/>
        </w:rPr>
        <w:fldChar w:fldCharType="begin"/>
      </w:r>
      <w:r w:rsidR="009108AD" w:rsidRPr="008F549F">
        <w:rPr>
          <w:sz w:val="24"/>
          <w:szCs w:val="24"/>
        </w:rPr>
        <w:instrText xml:space="preserve"> SEQ Figure \* ARABIC \s 1 </w:instrText>
      </w:r>
      <w:r w:rsidR="009108AD" w:rsidRPr="008F549F">
        <w:rPr>
          <w:sz w:val="24"/>
          <w:szCs w:val="24"/>
        </w:rPr>
        <w:fldChar w:fldCharType="separate"/>
      </w:r>
      <w:r w:rsidR="005F6E51">
        <w:rPr>
          <w:noProof/>
          <w:sz w:val="24"/>
          <w:szCs w:val="24"/>
        </w:rPr>
        <w:t>6</w:t>
      </w:r>
      <w:r w:rsidR="009108AD" w:rsidRPr="008F549F">
        <w:rPr>
          <w:noProof/>
          <w:sz w:val="24"/>
          <w:szCs w:val="24"/>
        </w:rPr>
        <w:fldChar w:fldCharType="end"/>
      </w:r>
      <w:bookmarkEnd w:id="307"/>
      <w:r w:rsidR="008F549F">
        <w:rPr>
          <w:sz w:val="24"/>
          <w:szCs w:val="24"/>
        </w:rPr>
        <w:t>:</w:t>
      </w:r>
      <w:r w:rsidRPr="008F549F">
        <w:rPr>
          <w:sz w:val="24"/>
          <w:szCs w:val="24"/>
        </w:rPr>
        <w:t xml:space="preserve"> </w:t>
      </w:r>
      <w:r w:rsidRPr="008F549F">
        <w:rPr>
          <w:b w:val="0"/>
          <w:sz w:val="24"/>
          <w:szCs w:val="24"/>
        </w:rPr>
        <w:t>Forecast ship call numbers “probable case” for Port of Townsville (2012-2032) as extracted from PGM Environment 2012</w:t>
      </w:r>
      <w:bookmarkEnd w:id="308"/>
      <w:bookmarkEnd w:id="309"/>
    </w:p>
    <w:p w:rsidR="001A657F" w:rsidRPr="008F549F" w:rsidRDefault="001A657F" w:rsidP="001A657F">
      <w:pPr>
        <w:pStyle w:val="Body"/>
        <w:rPr>
          <w:sz w:val="24"/>
          <w:szCs w:val="24"/>
        </w:rPr>
      </w:pPr>
      <w:r w:rsidRPr="008F549F">
        <w:rPr>
          <w:sz w:val="24"/>
          <w:szCs w:val="24"/>
        </w:rPr>
        <w:t xml:space="preserve">The future scale of the use of ship anchorages at the Port of Townsville over the next 20 years can be summarised as possibly remaining minor with the demand possibly increasing by around </w:t>
      </w:r>
      <w:r w:rsidR="00867DAB" w:rsidRPr="008F549F">
        <w:rPr>
          <w:sz w:val="24"/>
          <w:szCs w:val="24"/>
        </w:rPr>
        <w:t>one</w:t>
      </w:r>
      <w:r w:rsidRPr="008F549F">
        <w:rPr>
          <w:sz w:val="24"/>
          <w:szCs w:val="24"/>
        </w:rPr>
        <w:t xml:space="preserve"> third in 2032 compared with today</w:t>
      </w:r>
      <w:r w:rsidR="00867DAB" w:rsidRPr="008F549F">
        <w:rPr>
          <w:sz w:val="24"/>
          <w:szCs w:val="24"/>
        </w:rPr>
        <w:t xml:space="preserve">. This equates to </w:t>
      </w:r>
      <w:r w:rsidRPr="008F549F">
        <w:rPr>
          <w:sz w:val="24"/>
          <w:szCs w:val="24"/>
        </w:rPr>
        <w:t xml:space="preserve">less than two ship calls per day requiring the use of anchorage. Based on preliminary observations, this limited future growth in anchorage demand </w:t>
      </w:r>
      <w:r w:rsidR="00867DAB" w:rsidRPr="008F549F">
        <w:rPr>
          <w:sz w:val="24"/>
          <w:szCs w:val="24"/>
        </w:rPr>
        <w:t>can</w:t>
      </w:r>
      <w:r w:rsidRPr="008F549F">
        <w:rPr>
          <w:sz w:val="24"/>
          <w:szCs w:val="24"/>
        </w:rPr>
        <w:t xml:space="preserve"> be accommodated in the existing anchorage areas, particularly if designated anchorages and/or more densely organised anchorages are used within the defined anchorage area. </w:t>
      </w:r>
    </w:p>
    <w:p w:rsidR="001A657F" w:rsidRPr="00B41CFA" w:rsidRDefault="001A657F" w:rsidP="001A657F">
      <w:pPr>
        <w:pStyle w:val="Heading2"/>
        <w:rPr>
          <w:sz w:val="24"/>
        </w:rPr>
      </w:pPr>
      <w:bookmarkStart w:id="310" w:name="_Toc343597243"/>
      <w:bookmarkStart w:id="311" w:name="_Toc362274301"/>
      <w:r w:rsidRPr="00B41CFA">
        <w:rPr>
          <w:sz w:val="24"/>
        </w:rPr>
        <w:t>Demand for and use of ship anchorages at the Port of Abbot Point</w:t>
      </w:r>
      <w:bookmarkEnd w:id="310"/>
      <w:bookmarkEnd w:id="311"/>
    </w:p>
    <w:p w:rsidR="001A657F" w:rsidRPr="00B41CFA" w:rsidRDefault="001A657F" w:rsidP="001A657F">
      <w:pPr>
        <w:pStyle w:val="Heading3"/>
        <w:rPr>
          <w:sz w:val="24"/>
        </w:rPr>
      </w:pPr>
      <w:bookmarkStart w:id="312" w:name="_Toc343597244"/>
      <w:bookmarkStart w:id="313" w:name="_Toc362274302"/>
      <w:r w:rsidRPr="00B41CFA">
        <w:rPr>
          <w:sz w:val="24"/>
        </w:rPr>
        <w:t>Current profile of ship anchorages at the Port of Abbot Point</w:t>
      </w:r>
      <w:bookmarkEnd w:id="312"/>
      <w:bookmarkEnd w:id="313"/>
    </w:p>
    <w:p w:rsidR="001A657F" w:rsidRPr="008F549F" w:rsidRDefault="001A657F" w:rsidP="001A657F">
      <w:pPr>
        <w:pStyle w:val="Body"/>
        <w:rPr>
          <w:sz w:val="24"/>
          <w:szCs w:val="24"/>
        </w:rPr>
      </w:pPr>
      <w:r w:rsidRPr="008F549F">
        <w:rPr>
          <w:sz w:val="24"/>
          <w:szCs w:val="24"/>
        </w:rPr>
        <w:t xml:space="preserve">The anchorage area servicing the Port of Abbot Point (see </w:t>
      </w:r>
      <w:r w:rsidR="00CD38ED" w:rsidRPr="008F549F">
        <w:rPr>
          <w:sz w:val="24"/>
          <w:szCs w:val="24"/>
        </w:rPr>
        <w:fldChar w:fldCharType="begin"/>
      </w:r>
      <w:r w:rsidRPr="008F549F">
        <w:rPr>
          <w:sz w:val="24"/>
          <w:szCs w:val="24"/>
        </w:rPr>
        <w:instrText xml:space="preserve"> REF  _Ref342401369 \* Lower \h </w:instrText>
      </w:r>
      <w:r w:rsidR="008F549F">
        <w:rPr>
          <w:sz w:val="24"/>
          <w:szCs w:val="24"/>
        </w:rPr>
        <w:instrText xml:space="preserve"> \* MERGEFORMAT </w:instrText>
      </w:r>
      <w:r w:rsidR="00CD38ED" w:rsidRPr="008F549F">
        <w:rPr>
          <w:sz w:val="24"/>
          <w:szCs w:val="24"/>
        </w:rPr>
      </w:r>
      <w:r w:rsidR="00CD38ED" w:rsidRPr="008F549F">
        <w:rPr>
          <w:sz w:val="24"/>
          <w:szCs w:val="24"/>
        </w:rPr>
        <w:fldChar w:fldCharType="separate"/>
      </w:r>
      <w:r w:rsidR="005F6E51" w:rsidRPr="008F549F">
        <w:rPr>
          <w:sz w:val="24"/>
          <w:szCs w:val="24"/>
        </w:rPr>
        <w:t xml:space="preserve">figure </w:t>
      </w:r>
      <w:r w:rsidR="005F6E51">
        <w:rPr>
          <w:noProof/>
          <w:sz w:val="24"/>
          <w:szCs w:val="24"/>
        </w:rPr>
        <w:t>4</w:t>
      </w:r>
      <w:r w:rsidR="005F6E51" w:rsidRPr="008F549F">
        <w:rPr>
          <w:noProof/>
          <w:sz w:val="24"/>
          <w:szCs w:val="24"/>
        </w:rPr>
        <w:noBreakHyphen/>
      </w:r>
      <w:r w:rsidR="005F6E51">
        <w:rPr>
          <w:noProof/>
          <w:sz w:val="24"/>
          <w:szCs w:val="24"/>
        </w:rPr>
        <w:t>7</w:t>
      </w:r>
      <w:r w:rsidR="00CD38ED" w:rsidRPr="008F549F">
        <w:rPr>
          <w:sz w:val="24"/>
          <w:szCs w:val="24"/>
        </w:rPr>
        <w:fldChar w:fldCharType="end"/>
      </w:r>
      <w:r w:rsidRPr="008F549F">
        <w:rPr>
          <w:sz w:val="24"/>
          <w:szCs w:val="24"/>
        </w:rPr>
        <w:t xml:space="preserve">) </w:t>
      </w:r>
      <w:r w:rsidR="008F549F">
        <w:rPr>
          <w:sz w:val="24"/>
          <w:szCs w:val="24"/>
        </w:rPr>
        <w:t xml:space="preserve">is located approximately </w:t>
      </w:r>
      <w:r w:rsidRPr="008F549F">
        <w:rPr>
          <w:sz w:val="24"/>
          <w:szCs w:val="24"/>
        </w:rPr>
        <w:t>5</w:t>
      </w:r>
      <w:r w:rsidR="009C4624" w:rsidRPr="008F549F">
        <w:rPr>
          <w:sz w:val="24"/>
          <w:szCs w:val="24"/>
        </w:rPr>
        <w:t xml:space="preserve"> </w:t>
      </w:r>
      <w:r w:rsidRPr="008F549F">
        <w:rPr>
          <w:sz w:val="24"/>
          <w:szCs w:val="24"/>
        </w:rPr>
        <w:t xml:space="preserve">km north-north-west of the port and does not have any designated anchorage points. The ship anchorage area defined for this study totals an area of 58,818 </w:t>
      </w:r>
      <w:r w:rsidR="009C4624" w:rsidRPr="008F549F">
        <w:rPr>
          <w:sz w:val="24"/>
          <w:szCs w:val="24"/>
        </w:rPr>
        <w:t xml:space="preserve">ha </w:t>
      </w:r>
      <w:r w:rsidRPr="008F549F">
        <w:rPr>
          <w:sz w:val="24"/>
          <w:szCs w:val="24"/>
        </w:rPr>
        <w:t xml:space="preserve">(partly inside of the port limits of Abbot Point). </w:t>
      </w:r>
    </w:p>
    <w:p w:rsidR="001A657F" w:rsidRPr="008F549F" w:rsidRDefault="001A657F" w:rsidP="001A657F">
      <w:pPr>
        <w:pStyle w:val="Body"/>
        <w:rPr>
          <w:sz w:val="24"/>
          <w:szCs w:val="24"/>
        </w:rPr>
      </w:pPr>
      <w:r w:rsidRPr="008F549F">
        <w:rPr>
          <w:sz w:val="24"/>
          <w:szCs w:val="24"/>
        </w:rPr>
        <w:t>The only facilities at Abbot Point are associated with the operation of the existing port</w:t>
      </w:r>
      <w:r w:rsidR="009C4624" w:rsidRPr="008F549F">
        <w:rPr>
          <w:sz w:val="24"/>
          <w:szCs w:val="24"/>
        </w:rPr>
        <w:t>. The port</w:t>
      </w:r>
      <w:r w:rsidRPr="008F549F">
        <w:rPr>
          <w:sz w:val="24"/>
          <w:szCs w:val="24"/>
        </w:rPr>
        <w:t xml:space="preserve"> does not have a residential centre</w:t>
      </w:r>
      <w:r w:rsidR="009C4624" w:rsidRPr="008F549F">
        <w:rPr>
          <w:sz w:val="24"/>
          <w:szCs w:val="24"/>
        </w:rPr>
        <w:t>; t</w:t>
      </w:r>
      <w:r w:rsidRPr="008F549F">
        <w:rPr>
          <w:sz w:val="24"/>
          <w:szCs w:val="24"/>
        </w:rPr>
        <w:t>he nearest residential centre is at Bowen, located approximately 30</w:t>
      </w:r>
      <w:r w:rsidR="009C4624" w:rsidRPr="008F549F">
        <w:rPr>
          <w:sz w:val="24"/>
          <w:szCs w:val="24"/>
        </w:rPr>
        <w:t xml:space="preserve"> </w:t>
      </w:r>
      <w:r w:rsidRPr="008F549F">
        <w:rPr>
          <w:sz w:val="24"/>
          <w:szCs w:val="24"/>
        </w:rPr>
        <w:t>km south of Abbot Point. The anchorage area at Abbot Point does not, therefore, have a high level of visibility to residents and visitors to Bowen. The anchorage area is transited principally by commercial vessels servicing the Port of Abbot Point and fishing vessels returning to ports north or south of Abbot Point</w:t>
      </w:r>
      <w:r w:rsidR="009C4624" w:rsidRPr="008F549F">
        <w:rPr>
          <w:sz w:val="24"/>
          <w:szCs w:val="24"/>
        </w:rPr>
        <w:t xml:space="preserve">. The anchorage area </w:t>
      </w:r>
      <w:r w:rsidRPr="008F549F">
        <w:rPr>
          <w:sz w:val="24"/>
          <w:szCs w:val="24"/>
        </w:rPr>
        <w:t>is not typically transited by tourism operators accessing the Reef.</w:t>
      </w:r>
    </w:p>
    <w:p w:rsidR="001A657F" w:rsidRPr="008F549F" w:rsidRDefault="001A657F" w:rsidP="001A657F">
      <w:pPr>
        <w:pStyle w:val="Body"/>
        <w:rPr>
          <w:sz w:val="24"/>
          <w:szCs w:val="24"/>
        </w:rPr>
      </w:pPr>
      <w:r w:rsidRPr="008F549F">
        <w:rPr>
          <w:sz w:val="24"/>
          <w:szCs w:val="24"/>
        </w:rPr>
        <w:t>The anchorage area is located in a General Use Zone of the Marine Park. Habitat Protection, Marine National Park and Conservation Park Zones are located at least 9 km west and inshore of the anchorage area. Sites of significant cultural value are located onshore of the anchorage area, up to 10 km away, in the form of shell middens and rock fish traps. The Caley Valley Wetland is located at Abbot Point, approximately 10 km south from the anchorage area and is listed under the Directory of Important Wetland i</w:t>
      </w:r>
      <w:r w:rsidR="00940C20">
        <w:rPr>
          <w:sz w:val="24"/>
          <w:szCs w:val="24"/>
        </w:rPr>
        <w:t>n Australia (DIWA</w:t>
      </w:r>
      <w:r w:rsidRPr="008F549F">
        <w:rPr>
          <w:sz w:val="24"/>
          <w:szCs w:val="24"/>
        </w:rPr>
        <w:t xml:space="preserve"> 2001).</w:t>
      </w:r>
    </w:p>
    <w:p w:rsidR="001A657F" w:rsidRPr="008F549F" w:rsidRDefault="001A657F" w:rsidP="001A657F">
      <w:pPr>
        <w:pStyle w:val="Body"/>
        <w:rPr>
          <w:sz w:val="24"/>
          <w:szCs w:val="24"/>
        </w:rPr>
      </w:pPr>
      <w:r w:rsidRPr="008F549F">
        <w:rPr>
          <w:sz w:val="24"/>
          <w:szCs w:val="24"/>
        </w:rPr>
        <w:t>The seabed in this area is relatively flat and recent surveys indicate that sediments across the anchorage area are “</w:t>
      </w:r>
      <w:r w:rsidRPr="008F549F">
        <w:rPr>
          <w:i/>
          <w:sz w:val="24"/>
          <w:szCs w:val="24"/>
        </w:rPr>
        <w:t>likely to be comprised of sands and silts, predominantly terrigenous in source</w:t>
      </w:r>
      <w:r w:rsidRPr="008F549F">
        <w:rPr>
          <w:sz w:val="24"/>
          <w:szCs w:val="24"/>
        </w:rPr>
        <w:t>” (GHD 2012</w:t>
      </w:r>
      <w:r w:rsidR="0047666F" w:rsidRPr="008F549F">
        <w:rPr>
          <w:sz w:val="24"/>
          <w:szCs w:val="24"/>
        </w:rPr>
        <w:t>a</w:t>
      </w:r>
      <w:r w:rsidRPr="008F549F">
        <w:rPr>
          <w:sz w:val="24"/>
          <w:szCs w:val="24"/>
        </w:rPr>
        <w:t>). Recent studies have confirmed that seagrasses and coral reefs are not present in the anchorage area. Coral reefs are located 8 km away to the east at Nares Rock and Holbourne Island, and approximately 6 km to the west at Camp Island. Mangroves and other sensitive ecosystem receptors are also known to occur over 5 km away along the coast of Abbot Point, particularly to the south-west of the anchorage area. The anchorage area is known to provide habitat for EPBC listed fish and given the diversity of megafauna and avifauna observed coastally at Abbot Point</w:t>
      </w:r>
      <w:r w:rsidR="00AC6C71" w:rsidRPr="008F549F">
        <w:rPr>
          <w:sz w:val="24"/>
          <w:szCs w:val="24"/>
        </w:rPr>
        <w:t>.</w:t>
      </w:r>
      <w:r w:rsidRPr="008F549F">
        <w:rPr>
          <w:sz w:val="24"/>
          <w:szCs w:val="24"/>
        </w:rPr>
        <w:t xml:space="preserve"> </w:t>
      </w:r>
      <w:r w:rsidR="00AC6C71" w:rsidRPr="008F549F">
        <w:rPr>
          <w:sz w:val="24"/>
          <w:szCs w:val="24"/>
        </w:rPr>
        <w:t>T</w:t>
      </w:r>
      <w:r w:rsidRPr="008F549F">
        <w:rPr>
          <w:sz w:val="24"/>
          <w:szCs w:val="24"/>
        </w:rPr>
        <w:t>he anchorage area is also expected to be transited by marine reptiles, dugong, cetaceans, elasmobranchs and EPBC listed wetland migratory and marine birds afforded protection under the World Heritage listing of the Reef.</w:t>
      </w:r>
    </w:p>
    <w:p w:rsidR="001A657F" w:rsidRPr="008F549F" w:rsidRDefault="001A657F" w:rsidP="001A657F">
      <w:pPr>
        <w:pStyle w:val="Body"/>
        <w:rPr>
          <w:sz w:val="24"/>
          <w:szCs w:val="24"/>
        </w:rPr>
      </w:pPr>
      <w:r w:rsidRPr="008F549F">
        <w:rPr>
          <w:sz w:val="24"/>
          <w:szCs w:val="24"/>
        </w:rPr>
        <w:t xml:space="preserve">Line, net, pot and trawl (beam and otter) are the most predominant commercial fisheries that operate in the areas associated with the Port of Abbot Point anchorage area (grid numbers M22 and L22) (refer to </w:t>
      </w:r>
      <w:r w:rsidR="00CD38ED" w:rsidRPr="008F549F">
        <w:rPr>
          <w:sz w:val="24"/>
          <w:szCs w:val="24"/>
        </w:rPr>
        <w:fldChar w:fldCharType="begin"/>
      </w:r>
      <w:r w:rsidRPr="008F549F">
        <w:rPr>
          <w:sz w:val="24"/>
          <w:szCs w:val="24"/>
        </w:rPr>
        <w:instrText xml:space="preserve"> REF  _Ref342401275 \* Lower \h </w:instrText>
      </w:r>
      <w:r w:rsidR="008F549F">
        <w:rPr>
          <w:sz w:val="24"/>
          <w:szCs w:val="24"/>
        </w:rPr>
        <w:instrText xml:space="preserve"> \* MERGEFORMAT </w:instrText>
      </w:r>
      <w:r w:rsidR="00CD38ED" w:rsidRPr="008F549F">
        <w:rPr>
          <w:sz w:val="24"/>
          <w:szCs w:val="24"/>
        </w:rPr>
      </w:r>
      <w:r w:rsidR="00CD38ED" w:rsidRPr="008F549F">
        <w:rPr>
          <w:sz w:val="24"/>
          <w:szCs w:val="24"/>
        </w:rPr>
        <w:fldChar w:fldCharType="separate"/>
      </w:r>
      <w:r w:rsidR="005F6E51" w:rsidRPr="008F549F">
        <w:rPr>
          <w:sz w:val="24"/>
          <w:szCs w:val="24"/>
        </w:rPr>
        <w:t xml:space="preserve">figure </w:t>
      </w:r>
      <w:r w:rsidR="005F6E51">
        <w:rPr>
          <w:noProof/>
          <w:sz w:val="24"/>
          <w:szCs w:val="24"/>
        </w:rPr>
        <w:t>4</w:t>
      </w:r>
      <w:r w:rsidR="005F6E51" w:rsidRPr="008F549F">
        <w:rPr>
          <w:noProof/>
          <w:sz w:val="24"/>
          <w:szCs w:val="24"/>
        </w:rPr>
        <w:noBreakHyphen/>
      </w:r>
      <w:r w:rsidR="005F6E51">
        <w:rPr>
          <w:noProof/>
          <w:sz w:val="24"/>
          <w:szCs w:val="24"/>
        </w:rPr>
        <w:t>5</w:t>
      </w:r>
      <w:r w:rsidR="00CD38ED" w:rsidRPr="008F549F">
        <w:rPr>
          <w:sz w:val="24"/>
          <w:szCs w:val="24"/>
        </w:rPr>
        <w:fldChar w:fldCharType="end"/>
      </w:r>
      <w:r w:rsidRPr="008F549F">
        <w:rPr>
          <w:sz w:val="24"/>
          <w:szCs w:val="24"/>
        </w:rPr>
        <w:t>). The target species of these industries are prawns and scallops from the trawl fisheries, and shark from net fishery. Line fisheries operating across the anchorage area target transient Spanish mackerel (DAFF 2012).</w:t>
      </w:r>
    </w:p>
    <w:p w:rsidR="001A657F" w:rsidRPr="008F549F" w:rsidRDefault="001A657F" w:rsidP="001A657F">
      <w:pPr>
        <w:pStyle w:val="Body"/>
        <w:rPr>
          <w:sz w:val="24"/>
          <w:szCs w:val="24"/>
        </w:rPr>
      </w:pPr>
      <w:r w:rsidRPr="008F549F">
        <w:rPr>
          <w:sz w:val="24"/>
          <w:szCs w:val="24"/>
        </w:rPr>
        <w:t>The EIA (GHD 2012</w:t>
      </w:r>
      <w:r w:rsidR="0047666F" w:rsidRPr="008F549F">
        <w:rPr>
          <w:sz w:val="24"/>
          <w:szCs w:val="24"/>
        </w:rPr>
        <w:t>a</w:t>
      </w:r>
      <w:r w:rsidRPr="008F549F">
        <w:rPr>
          <w:sz w:val="24"/>
          <w:szCs w:val="24"/>
        </w:rPr>
        <w:t>) of this study determined that:</w:t>
      </w:r>
    </w:p>
    <w:p w:rsidR="001A657F" w:rsidRPr="008F549F" w:rsidRDefault="001A657F" w:rsidP="001A657F">
      <w:pPr>
        <w:pStyle w:val="Body"/>
        <w:rPr>
          <w:sz w:val="24"/>
          <w:szCs w:val="24"/>
        </w:rPr>
      </w:pPr>
      <w:r w:rsidRPr="008F549F">
        <w:rPr>
          <w:sz w:val="24"/>
          <w:szCs w:val="24"/>
        </w:rPr>
        <w:t>“</w:t>
      </w:r>
      <w:r w:rsidRPr="008F549F">
        <w:rPr>
          <w:i/>
          <w:sz w:val="24"/>
          <w:szCs w:val="24"/>
        </w:rPr>
        <w:t>the anchorage area is characterised by open seabed with patchily distributed benthic fauna and flora. The anchorage area does not support unique features or habitats requiring a higher level of management protection, as reflected by the Marine Park General Use Zoning of the anchorage. Species represented are not unique and are well represented locally in the geography outside of the anchorage area</w:t>
      </w:r>
      <w:r w:rsidRPr="008F549F">
        <w:rPr>
          <w:sz w:val="24"/>
          <w:szCs w:val="24"/>
        </w:rPr>
        <w:t>”.</w:t>
      </w:r>
    </w:p>
    <w:p w:rsidR="001A657F" w:rsidRDefault="001A657F" w:rsidP="001A657F">
      <w:pPr>
        <w:pStyle w:val="Caption"/>
        <w:sectPr w:rsidR="001A657F" w:rsidSect="00B6174B">
          <w:headerReference w:type="default" r:id="rId37"/>
          <w:footerReference w:type="default" r:id="rId38"/>
          <w:pgSz w:w="11906" w:h="16838" w:code="9"/>
          <w:pgMar w:top="1418" w:right="1701" w:bottom="1701" w:left="1418" w:header="709" w:footer="709" w:gutter="0"/>
          <w:cols w:space="720"/>
          <w:docGrid w:linePitch="273"/>
        </w:sectPr>
      </w:pPr>
      <w:bookmarkStart w:id="314" w:name="_Ref342395720"/>
    </w:p>
    <w:bookmarkEnd w:id="314"/>
    <w:p w:rsidR="001A657F" w:rsidRDefault="006721A0" w:rsidP="001A657F">
      <w:pPr>
        <w:pStyle w:val="Body"/>
      </w:pPr>
      <w:r>
        <w:rPr>
          <w:noProof/>
          <w:lang w:eastAsia="en-AU"/>
        </w:rPr>
        <w:drawing>
          <wp:inline distT="0" distB="0" distL="0" distR="0" wp14:anchorId="29155688" wp14:editId="32A55DE6">
            <wp:extent cx="8140170" cy="5760000"/>
            <wp:effectExtent l="0" t="0" r="0" b="0"/>
            <wp:docPr id="19" name="Picture 19" descr="The map shows the bounded anchorage area, as well as reefs and the different protection zones of the Great Barrier Reef in the vicinity of the anchorage area. A long description of the features in the figure is provided in Section 4.7.1." title="Map of the current anchorage area of the Port of Abbot Po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21022c_AnchAreaAbbotPointNoGrid.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8140170" cy="5760000"/>
                    </a:xfrm>
                    <a:prstGeom prst="rect">
                      <a:avLst/>
                    </a:prstGeom>
                  </pic:spPr>
                </pic:pic>
              </a:graphicData>
            </a:graphic>
          </wp:inline>
        </w:drawing>
      </w:r>
    </w:p>
    <w:p w:rsidR="001A657F" w:rsidRDefault="001A657F" w:rsidP="006721A0">
      <w:pPr>
        <w:pStyle w:val="Caption"/>
      </w:pPr>
      <w:bookmarkStart w:id="315" w:name="_Ref342401369"/>
      <w:bookmarkStart w:id="316" w:name="_Toc343597597"/>
      <w:bookmarkStart w:id="317" w:name="_Toc362274386"/>
      <w:r w:rsidRPr="008F549F">
        <w:rPr>
          <w:sz w:val="24"/>
          <w:szCs w:val="24"/>
        </w:rPr>
        <w:t xml:space="preserve">Figure </w:t>
      </w:r>
      <w:r w:rsidR="00CD38ED" w:rsidRPr="008F549F">
        <w:rPr>
          <w:sz w:val="24"/>
          <w:szCs w:val="24"/>
        </w:rPr>
        <w:fldChar w:fldCharType="begin"/>
      </w:r>
      <w:r w:rsidR="008368DD" w:rsidRPr="008F549F">
        <w:rPr>
          <w:sz w:val="24"/>
          <w:szCs w:val="24"/>
        </w:rPr>
        <w:instrText xml:space="preserve"> STYLEREF 1 \s </w:instrText>
      </w:r>
      <w:r w:rsidR="00CD38ED" w:rsidRPr="008F549F">
        <w:rPr>
          <w:sz w:val="24"/>
          <w:szCs w:val="24"/>
        </w:rPr>
        <w:fldChar w:fldCharType="separate"/>
      </w:r>
      <w:r w:rsidR="005F6E51">
        <w:rPr>
          <w:noProof/>
          <w:sz w:val="24"/>
          <w:szCs w:val="24"/>
        </w:rPr>
        <w:t>4</w:t>
      </w:r>
      <w:r w:rsidR="00CD38ED" w:rsidRPr="008F549F">
        <w:rPr>
          <w:sz w:val="24"/>
          <w:szCs w:val="24"/>
        </w:rPr>
        <w:fldChar w:fldCharType="end"/>
      </w:r>
      <w:r w:rsidRPr="008F549F">
        <w:rPr>
          <w:sz w:val="24"/>
          <w:szCs w:val="24"/>
        </w:rPr>
        <w:noBreakHyphen/>
      </w:r>
      <w:r w:rsidR="009108AD" w:rsidRPr="008F549F">
        <w:rPr>
          <w:sz w:val="24"/>
          <w:szCs w:val="24"/>
        </w:rPr>
        <w:fldChar w:fldCharType="begin"/>
      </w:r>
      <w:r w:rsidR="009108AD" w:rsidRPr="008F549F">
        <w:rPr>
          <w:sz w:val="24"/>
          <w:szCs w:val="24"/>
        </w:rPr>
        <w:instrText xml:space="preserve"> SEQ Figure \* ARABIC \s 1 </w:instrText>
      </w:r>
      <w:r w:rsidR="009108AD" w:rsidRPr="008F549F">
        <w:rPr>
          <w:sz w:val="24"/>
          <w:szCs w:val="24"/>
        </w:rPr>
        <w:fldChar w:fldCharType="separate"/>
      </w:r>
      <w:r w:rsidR="005F6E51">
        <w:rPr>
          <w:noProof/>
          <w:sz w:val="24"/>
          <w:szCs w:val="24"/>
        </w:rPr>
        <w:t>7</w:t>
      </w:r>
      <w:r w:rsidR="009108AD" w:rsidRPr="008F549F">
        <w:rPr>
          <w:noProof/>
          <w:sz w:val="24"/>
          <w:szCs w:val="24"/>
        </w:rPr>
        <w:fldChar w:fldCharType="end"/>
      </w:r>
      <w:bookmarkEnd w:id="315"/>
      <w:r w:rsidR="008F549F">
        <w:rPr>
          <w:noProof/>
          <w:sz w:val="24"/>
          <w:szCs w:val="24"/>
        </w:rPr>
        <w:t>:</w:t>
      </w:r>
      <w:r w:rsidRPr="008F549F">
        <w:rPr>
          <w:sz w:val="24"/>
          <w:szCs w:val="24"/>
        </w:rPr>
        <w:t xml:space="preserve"> </w:t>
      </w:r>
      <w:r w:rsidRPr="008F549F">
        <w:rPr>
          <w:b w:val="0"/>
          <w:sz w:val="24"/>
          <w:szCs w:val="24"/>
        </w:rPr>
        <w:t>Map of the current anchorage area of the Port of Abbot Point</w:t>
      </w:r>
      <w:bookmarkEnd w:id="316"/>
      <w:bookmarkEnd w:id="317"/>
      <w:r w:rsidRPr="008F549F">
        <w:rPr>
          <w:b w:val="0"/>
          <w:sz w:val="24"/>
          <w:szCs w:val="24"/>
        </w:rPr>
        <w:t xml:space="preserve"> </w:t>
      </w:r>
    </w:p>
    <w:p w:rsidR="001A657F" w:rsidRDefault="001A657F" w:rsidP="001A657F">
      <w:pPr>
        <w:pStyle w:val="Body"/>
        <w:sectPr w:rsidR="001A657F" w:rsidSect="006721A0">
          <w:headerReference w:type="default" r:id="rId40"/>
          <w:footerReference w:type="default" r:id="rId41"/>
          <w:pgSz w:w="16838" w:h="11906" w:orient="landscape" w:code="9"/>
          <w:pgMar w:top="1134" w:right="1418" w:bottom="1134" w:left="1418" w:header="709" w:footer="709" w:gutter="0"/>
          <w:cols w:space="720"/>
          <w:docGrid w:linePitch="273"/>
        </w:sectPr>
      </w:pPr>
    </w:p>
    <w:p w:rsidR="001A657F" w:rsidRPr="00B41CFA" w:rsidRDefault="001A657F" w:rsidP="001A657F">
      <w:pPr>
        <w:pStyle w:val="Heading3"/>
        <w:rPr>
          <w:sz w:val="24"/>
        </w:rPr>
      </w:pPr>
      <w:bookmarkStart w:id="318" w:name="_Toc343581790"/>
      <w:bookmarkStart w:id="319" w:name="_Toc343597245"/>
      <w:bookmarkStart w:id="320" w:name="_Toc343581791"/>
      <w:bookmarkStart w:id="321" w:name="_Toc343582017"/>
      <w:bookmarkStart w:id="322" w:name="_Toc343584309"/>
      <w:bookmarkStart w:id="323" w:name="_Toc343584460"/>
      <w:bookmarkStart w:id="324" w:name="_Toc343584474"/>
      <w:bookmarkStart w:id="325" w:name="_Toc343584487"/>
      <w:bookmarkStart w:id="326" w:name="_Toc343584508"/>
      <w:bookmarkStart w:id="327" w:name="_Toc343586951"/>
      <w:bookmarkStart w:id="328" w:name="_Toc343596993"/>
      <w:bookmarkStart w:id="329" w:name="_Toc343597246"/>
      <w:bookmarkStart w:id="330" w:name="_Toc343597598"/>
      <w:bookmarkStart w:id="331" w:name="_Toc343581792"/>
      <w:bookmarkStart w:id="332" w:name="_Toc343597247"/>
      <w:bookmarkStart w:id="333" w:name="_Toc343597248"/>
      <w:bookmarkStart w:id="334" w:name="_Toc362274303"/>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r w:rsidRPr="00B41CFA">
        <w:rPr>
          <w:sz w:val="24"/>
        </w:rPr>
        <w:t>Current demand for ship anchorages at the Port of Abbot Point</w:t>
      </w:r>
      <w:bookmarkEnd w:id="333"/>
      <w:bookmarkEnd w:id="334"/>
    </w:p>
    <w:p w:rsidR="001A657F" w:rsidRPr="008F549F" w:rsidRDefault="001A657F" w:rsidP="001A657F">
      <w:pPr>
        <w:pStyle w:val="Body"/>
        <w:rPr>
          <w:sz w:val="24"/>
          <w:szCs w:val="24"/>
        </w:rPr>
      </w:pPr>
      <w:r w:rsidRPr="008F549F">
        <w:rPr>
          <w:sz w:val="24"/>
          <w:szCs w:val="24"/>
        </w:rPr>
        <w:t>Based on MSQ historic vessel movements data for vessels over 50 m in length over the period 1 January 2009 to 30 September 2012, there are currently around a total of 180 ship arrivals per year (all coal ships) at the Port of Abbot Point. Of these around 60-80 per cent involve ships proceeding directly to anchor. In 2009, around 80 per cent of ships proceeded direct to berth which is likely to have been related to cargo availabilities at the terminal.</w:t>
      </w:r>
    </w:p>
    <w:p w:rsidR="001A657F" w:rsidRPr="008F549F" w:rsidRDefault="001A657F" w:rsidP="001A657F">
      <w:pPr>
        <w:pStyle w:val="CaptionTable"/>
        <w:rPr>
          <w:sz w:val="24"/>
          <w:szCs w:val="24"/>
        </w:rPr>
      </w:pPr>
      <w:bookmarkStart w:id="335" w:name="_Toc343597156"/>
      <w:bookmarkStart w:id="336" w:name="_Toc362274370"/>
      <w:r w:rsidRPr="008F549F">
        <w:rPr>
          <w:sz w:val="24"/>
          <w:szCs w:val="24"/>
        </w:rPr>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4</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6</w:t>
      </w:r>
      <w:r w:rsidR="00542883">
        <w:rPr>
          <w:sz w:val="24"/>
          <w:szCs w:val="24"/>
        </w:rPr>
        <w:fldChar w:fldCharType="end"/>
      </w:r>
      <w:r w:rsidR="008F549F">
        <w:rPr>
          <w:noProof/>
          <w:sz w:val="24"/>
          <w:szCs w:val="24"/>
        </w:rPr>
        <w:t>:</w:t>
      </w:r>
      <w:r w:rsidRPr="008F549F">
        <w:rPr>
          <w:sz w:val="24"/>
          <w:szCs w:val="24"/>
        </w:rPr>
        <w:t xml:space="preserve"> </w:t>
      </w:r>
      <w:r w:rsidRPr="008F549F">
        <w:rPr>
          <w:b w:val="0"/>
          <w:sz w:val="24"/>
          <w:szCs w:val="24"/>
        </w:rPr>
        <w:t>Total ship visits to the Port of Abbot Point and share using ship anchorages, 2009-2012</w:t>
      </w:r>
      <w:bookmarkEnd w:id="335"/>
      <w:r w:rsidR="008F549F">
        <w:rPr>
          <w:b w:val="0"/>
          <w:sz w:val="24"/>
          <w:szCs w:val="24"/>
        </w:rPr>
        <w:t xml:space="preserve"> (Source: MSQ data/GHD analysis)</w:t>
      </w:r>
      <w:bookmarkEnd w:id="336"/>
    </w:p>
    <w:tbl>
      <w:tblPr>
        <w:tblW w:w="0" w:type="auto"/>
        <w:tblBorders>
          <w:top w:val="single" w:sz="4" w:space="0" w:color="auto"/>
          <w:bottom w:val="single" w:sz="4" w:space="0" w:color="auto"/>
        </w:tblBorders>
        <w:tblLook w:val="0000" w:firstRow="0" w:lastRow="0" w:firstColumn="0" w:lastColumn="0" w:noHBand="0" w:noVBand="0"/>
        <w:tblCaption w:val="Total ship visits to the Port of Abbot Point and share using ship anchorages"/>
        <w:tblDescription w:val="The total ship visits to the Port of Abbot Point and the share of ships using anchorages from 2009-2012. Columns are each year from 2009-2012 and rows are number or per cent of vessels. "/>
      </w:tblPr>
      <w:tblGrid>
        <w:gridCol w:w="2235"/>
        <w:gridCol w:w="1304"/>
        <w:gridCol w:w="1304"/>
        <w:gridCol w:w="1304"/>
        <w:gridCol w:w="2173"/>
      </w:tblGrid>
      <w:tr w:rsidR="001A657F" w:rsidRPr="008F549F" w:rsidTr="006E3423">
        <w:tc>
          <w:tcPr>
            <w:tcW w:w="2235" w:type="dxa"/>
            <w:tcBorders>
              <w:top w:val="single" w:sz="4" w:space="0" w:color="auto"/>
              <w:bottom w:val="single" w:sz="4" w:space="0" w:color="auto"/>
            </w:tcBorders>
          </w:tcPr>
          <w:p w:rsidR="001A657F" w:rsidRPr="008F549F" w:rsidRDefault="001A657F" w:rsidP="006E3423">
            <w:pPr>
              <w:pStyle w:val="Body"/>
              <w:rPr>
                <w:b/>
                <w:sz w:val="24"/>
                <w:szCs w:val="24"/>
              </w:rPr>
            </w:pPr>
            <w:r w:rsidRPr="008F549F">
              <w:rPr>
                <w:b/>
                <w:sz w:val="24"/>
                <w:szCs w:val="24"/>
              </w:rPr>
              <w:t>Port of Abbot Point</w:t>
            </w:r>
          </w:p>
        </w:tc>
        <w:tc>
          <w:tcPr>
            <w:tcW w:w="1304" w:type="dxa"/>
            <w:tcBorders>
              <w:top w:val="single" w:sz="4" w:space="0" w:color="auto"/>
              <w:bottom w:val="single" w:sz="4" w:space="0" w:color="auto"/>
            </w:tcBorders>
          </w:tcPr>
          <w:p w:rsidR="001A657F" w:rsidRPr="008F549F" w:rsidRDefault="001A657F" w:rsidP="006E3423">
            <w:pPr>
              <w:pStyle w:val="Body"/>
              <w:rPr>
                <w:b/>
                <w:sz w:val="24"/>
                <w:szCs w:val="24"/>
              </w:rPr>
            </w:pPr>
            <w:r w:rsidRPr="008F549F">
              <w:rPr>
                <w:b/>
                <w:sz w:val="24"/>
                <w:szCs w:val="24"/>
              </w:rPr>
              <w:t>2009</w:t>
            </w:r>
          </w:p>
        </w:tc>
        <w:tc>
          <w:tcPr>
            <w:tcW w:w="1304" w:type="dxa"/>
            <w:tcBorders>
              <w:top w:val="single" w:sz="4" w:space="0" w:color="auto"/>
              <w:bottom w:val="single" w:sz="4" w:space="0" w:color="auto"/>
            </w:tcBorders>
          </w:tcPr>
          <w:p w:rsidR="001A657F" w:rsidRPr="008F549F" w:rsidRDefault="001A657F" w:rsidP="006E3423">
            <w:pPr>
              <w:pStyle w:val="Body"/>
              <w:rPr>
                <w:b/>
                <w:sz w:val="24"/>
                <w:szCs w:val="24"/>
              </w:rPr>
            </w:pPr>
            <w:r w:rsidRPr="008F549F">
              <w:rPr>
                <w:b/>
                <w:sz w:val="24"/>
                <w:szCs w:val="24"/>
              </w:rPr>
              <w:t>2010</w:t>
            </w:r>
          </w:p>
        </w:tc>
        <w:tc>
          <w:tcPr>
            <w:tcW w:w="1304" w:type="dxa"/>
            <w:tcBorders>
              <w:top w:val="single" w:sz="4" w:space="0" w:color="auto"/>
              <w:bottom w:val="single" w:sz="4" w:space="0" w:color="auto"/>
            </w:tcBorders>
          </w:tcPr>
          <w:p w:rsidR="001A657F" w:rsidRPr="008F549F" w:rsidRDefault="001A657F" w:rsidP="006E3423">
            <w:pPr>
              <w:pStyle w:val="Body"/>
              <w:rPr>
                <w:b/>
                <w:sz w:val="24"/>
                <w:szCs w:val="24"/>
              </w:rPr>
            </w:pPr>
            <w:r w:rsidRPr="008F549F">
              <w:rPr>
                <w:b/>
                <w:sz w:val="24"/>
                <w:szCs w:val="24"/>
              </w:rPr>
              <w:t>2011</w:t>
            </w:r>
          </w:p>
        </w:tc>
        <w:tc>
          <w:tcPr>
            <w:tcW w:w="2173" w:type="dxa"/>
            <w:tcBorders>
              <w:top w:val="single" w:sz="4" w:space="0" w:color="auto"/>
              <w:bottom w:val="single" w:sz="4" w:space="0" w:color="auto"/>
            </w:tcBorders>
          </w:tcPr>
          <w:p w:rsidR="001A657F" w:rsidRPr="008F549F" w:rsidRDefault="001A657F" w:rsidP="006E3423">
            <w:pPr>
              <w:pStyle w:val="Body"/>
              <w:rPr>
                <w:b/>
                <w:sz w:val="24"/>
                <w:szCs w:val="24"/>
              </w:rPr>
            </w:pPr>
            <w:r w:rsidRPr="008F549F">
              <w:rPr>
                <w:b/>
                <w:sz w:val="24"/>
                <w:szCs w:val="24"/>
              </w:rPr>
              <w:t>2012 (Nine months)</w:t>
            </w:r>
          </w:p>
        </w:tc>
      </w:tr>
      <w:tr w:rsidR="001A657F" w:rsidRPr="008F549F" w:rsidTr="006E3423">
        <w:tc>
          <w:tcPr>
            <w:tcW w:w="2235"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Total ship arrivals</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200</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232</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179</w:t>
            </w:r>
          </w:p>
        </w:tc>
        <w:tc>
          <w:tcPr>
            <w:tcW w:w="2173"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121</w:t>
            </w:r>
          </w:p>
        </w:tc>
      </w:tr>
      <w:tr w:rsidR="001A657F" w:rsidRPr="008F549F" w:rsidTr="006E3423">
        <w:tc>
          <w:tcPr>
            <w:tcW w:w="2235"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Total direct to berth</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155</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52</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76</w:t>
            </w:r>
          </w:p>
        </w:tc>
        <w:tc>
          <w:tcPr>
            <w:tcW w:w="2173"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24</w:t>
            </w:r>
          </w:p>
        </w:tc>
      </w:tr>
      <w:tr w:rsidR="001A657F" w:rsidRPr="008F549F" w:rsidTr="006E3423">
        <w:tc>
          <w:tcPr>
            <w:tcW w:w="2235"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Total direct to anchor</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45</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180</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103</w:t>
            </w:r>
          </w:p>
        </w:tc>
        <w:tc>
          <w:tcPr>
            <w:tcW w:w="2173"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97</w:t>
            </w:r>
          </w:p>
        </w:tc>
      </w:tr>
      <w:tr w:rsidR="001A657F" w:rsidRPr="008F549F" w:rsidTr="006E3423">
        <w:tc>
          <w:tcPr>
            <w:tcW w:w="2235" w:type="dxa"/>
            <w:tcBorders>
              <w:top w:val="single" w:sz="4" w:space="0" w:color="auto"/>
              <w:bottom w:val="single" w:sz="4" w:space="0" w:color="auto"/>
            </w:tcBorders>
          </w:tcPr>
          <w:p w:rsidR="001A657F" w:rsidRPr="008F549F" w:rsidRDefault="008F549F" w:rsidP="006E3423">
            <w:pPr>
              <w:pStyle w:val="Body"/>
              <w:rPr>
                <w:sz w:val="24"/>
                <w:szCs w:val="24"/>
              </w:rPr>
            </w:pPr>
            <w:r>
              <w:rPr>
                <w:sz w:val="24"/>
                <w:szCs w:val="24"/>
              </w:rPr>
              <w:t>Per cent</w:t>
            </w:r>
            <w:r w:rsidR="001A657F" w:rsidRPr="008F549F">
              <w:rPr>
                <w:sz w:val="24"/>
                <w:szCs w:val="24"/>
              </w:rPr>
              <w:t xml:space="preserve"> direct to berth</w:t>
            </w:r>
          </w:p>
        </w:tc>
        <w:tc>
          <w:tcPr>
            <w:tcW w:w="1304" w:type="dxa"/>
            <w:tcBorders>
              <w:top w:val="single" w:sz="4" w:space="0" w:color="auto"/>
              <w:bottom w:val="single" w:sz="4" w:space="0" w:color="auto"/>
            </w:tcBorders>
          </w:tcPr>
          <w:p w:rsidR="001A657F" w:rsidRPr="008F549F" w:rsidRDefault="006E0266" w:rsidP="006E3423">
            <w:pPr>
              <w:pStyle w:val="Body"/>
              <w:rPr>
                <w:sz w:val="24"/>
                <w:szCs w:val="24"/>
              </w:rPr>
            </w:pPr>
            <w:r>
              <w:rPr>
                <w:sz w:val="24"/>
                <w:szCs w:val="24"/>
              </w:rPr>
              <w:t>78</w:t>
            </w:r>
            <w:r w:rsidR="001A657F" w:rsidRPr="008F549F">
              <w:rPr>
                <w:sz w:val="24"/>
                <w:szCs w:val="24"/>
              </w:rPr>
              <w:t>%</w:t>
            </w:r>
          </w:p>
        </w:tc>
        <w:tc>
          <w:tcPr>
            <w:tcW w:w="1304" w:type="dxa"/>
            <w:tcBorders>
              <w:top w:val="single" w:sz="4" w:space="0" w:color="auto"/>
              <w:bottom w:val="single" w:sz="4" w:space="0" w:color="auto"/>
            </w:tcBorders>
          </w:tcPr>
          <w:p w:rsidR="001A657F" w:rsidRPr="008F549F" w:rsidRDefault="006E0266" w:rsidP="006E3423">
            <w:pPr>
              <w:pStyle w:val="Body"/>
              <w:rPr>
                <w:sz w:val="24"/>
                <w:szCs w:val="24"/>
              </w:rPr>
            </w:pPr>
            <w:r>
              <w:rPr>
                <w:sz w:val="24"/>
                <w:szCs w:val="24"/>
              </w:rPr>
              <w:t>22</w:t>
            </w:r>
            <w:r w:rsidR="001A657F" w:rsidRPr="008F549F">
              <w:rPr>
                <w:sz w:val="24"/>
                <w:szCs w:val="24"/>
              </w:rPr>
              <w:t>%</w:t>
            </w:r>
          </w:p>
        </w:tc>
        <w:tc>
          <w:tcPr>
            <w:tcW w:w="1304" w:type="dxa"/>
            <w:tcBorders>
              <w:top w:val="single" w:sz="4" w:space="0" w:color="auto"/>
              <w:bottom w:val="single" w:sz="4" w:space="0" w:color="auto"/>
            </w:tcBorders>
          </w:tcPr>
          <w:p w:rsidR="001A657F" w:rsidRPr="008F549F" w:rsidRDefault="006E0266" w:rsidP="006E3423">
            <w:pPr>
              <w:pStyle w:val="Body"/>
              <w:rPr>
                <w:sz w:val="24"/>
                <w:szCs w:val="24"/>
              </w:rPr>
            </w:pPr>
            <w:r>
              <w:rPr>
                <w:sz w:val="24"/>
                <w:szCs w:val="24"/>
              </w:rPr>
              <w:t>42</w:t>
            </w:r>
            <w:r w:rsidR="001A657F" w:rsidRPr="008F549F">
              <w:rPr>
                <w:sz w:val="24"/>
                <w:szCs w:val="24"/>
              </w:rPr>
              <w:t>%</w:t>
            </w:r>
          </w:p>
        </w:tc>
        <w:tc>
          <w:tcPr>
            <w:tcW w:w="2173" w:type="dxa"/>
            <w:tcBorders>
              <w:top w:val="single" w:sz="4" w:space="0" w:color="auto"/>
              <w:bottom w:val="single" w:sz="4" w:space="0" w:color="auto"/>
            </w:tcBorders>
          </w:tcPr>
          <w:p w:rsidR="001A657F" w:rsidRPr="008F549F" w:rsidRDefault="006E0266" w:rsidP="006E3423">
            <w:pPr>
              <w:pStyle w:val="Body"/>
              <w:rPr>
                <w:sz w:val="24"/>
                <w:szCs w:val="24"/>
              </w:rPr>
            </w:pPr>
            <w:r>
              <w:rPr>
                <w:sz w:val="24"/>
                <w:szCs w:val="24"/>
              </w:rPr>
              <w:t>20</w:t>
            </w:r>
            <w:r w:rsidR="001A657F" w:rsidRPr="008F549F">
              <w:rPr>
                <w:sz w:val="24"/>
                <w:szCs w:val="24"/>
              </w:rPr>
              <w:t>%</w:t>
            </w:r>
          </w:p>
        </w:tc>
      </w:tr>
      <w:tr w:rsidR="001A657F" w:rsidRPr="008F549F" w:rsidTr="006E3423">
        <w:tc>
          <w:tcPr>
            <w:tcW w:w="2235" w:type="dxa"/>
            <w:tcBorders>
              <w:top w:val="single" w:sz="4" w:space="0" w:color="auto"/>
            </w:tcBorders>
          </w:tcPr>
          <w:p w:rsidR="001A657F" w:rsidRPr="008F549F" w:rsidRDefault="008F549F" w:rsidP="006E3423">
            <w:pPr>
              <w:pStyle w:val="Body"/>
              <w:rPr>
                <w:sz w:val="24"/>
                <w:szCs w:val="24"/>
              </w:rPr>
            </w:pPr>
            <w:r>
              <w:rPr>
                <w:sz w:val="24"/>
                <w:szCs w:val="24"/>
              </w:rPr>
              <w:t>Per cent</w:t>
            </w:r>
            <w:r w:rsidR="001A657F" w:rsidRPr="008F549F">
              <w:rPr>
                <w:sz w:val="24"/>
                <w:szCs w:val="24"/>
              </w:rPr>
              <w:t xml:space="preserve"> direct to anchor</w:t>
            </w:r>
          </w:p>
        </w:tc>
        <w:tc>
          <w:tcPr>
            <w:tcW w:w="1304" w:type="dxa"/>
            <w:tcBorders>
              <w:top w:val="single" w:sz="4" w:space="0" w:color="auto"/>
            </w:tcBorders>
          </w:tcPr>
          <w:p w:rsidR="001A657F" w:rsidRPr="008F549F" w:rsidRDefault="006E0266" w:rsidP="006E3423">
            <w:pPr>
              <w:pStyle w:val="Body"/>
              <w:rPr>
                <w:sz w:val="24"/>
                <w:szCs w:val="24"/>
              </w:rPr>
            </w:pPr>
            <w:r>
              <w:rPr>
                <w:sz w:val="24"/>
                <w:szCs w:val="24"/>
              </w:rPr>
              <w:t>23</w:t>
            </w:r>
            <w:r w:rsidR="001A657F" w:rsidRPr="008F549F">
              <w:rPr>
                <w:sz w:val="24"/>
                <w:szCs w:val="24"/>
              </w:rPr>
              <w:t>%</w:t>
            </w:r>
          </w:p>
        </w:tc>
        <w:tc>
          <w:tcPr>
            <w:tcW w:w="1304" w:type="dxa"/>
            <w:tcBorders>
              <w:top w:val="single" w:sz="4" w:space="0" w:color="auto"/>
            </w:tcBorders>
          </w:tcPr>
          <w:p w:rsidR="001A657F" w:rsidRPr="008F549F" w:rsidRDefault="006E0266" w:rsidP="006E3423">
            <w:pPr>
              <w:pStyle w:val="Body"/>
              <w:rPr>
                <w:sz w:val="24"/>
                <w:szCs w:val="24"/>
              </w:rPr>
            </w:pPr>
            <w:r>
              <w:rPr>
                <w:sz w:val="24"/>
                <w:szCs w:val="24"/>
              </w:rPr>
              <w:t>78</w:t>
            </w:r>
            <w:r w:rsidR="001A657F" w:rsidRPr="008F549F">
              <w:rPr>
                <w:sz w:val="24"/>
                <w:szCs w:val="24"/>
              </w:rPr>
              <w:t>%</w:t>
            </w:r>
          </w:p>
        </w:tc>
        <w:tc>
          <w:tcPr>
            <w:tcW w:w="1304" w:type="dxa"/>
            <w:tcBorders>
              <w:top w:val="single" w:sz="4" w:space="0" w:color="auto"/>
            </w:tcBorders>
          </w:tcPr>
          <w:p w:rsidR="001A657F" w:rsidRPr="008F549F" w:rsidRDefault="006E0266" w:rsidP="006E3423">
            <w:pPr>
              <w:pStyle w:val="Body"/>
              <w:rPr>
                <w:sz w:val="24"/>
                <w:szCs w:val="24"/>
              </w:rPr>
            </w:pPr>
            <w:r>
              <w:rPr>
                <w:sz w:val="24"/>
                <w:szCs w:val="24"/>
              </w:rPr>
              <w:t>58</w:t>
            </w:r>
            <w:r w:rsidR="001A657F" w:rsidRPr="008F549F">
              <w:rPr>
                <w:sz w:val="24"/>
                <w:szCs w:val="24"/>
              </w:rPr>
              <w:t>%</w:t>
            </w:r>
          </w:p>
        </w:tc>
        <w:tc>
          <w:tcPr>
            <w:tcW w:w="2173" w:type="dxa"/>
            <w:tcBorders>
              <w:top w:val="single" w:sz="4" w:space="0" w:color="auto"/>
            </w:tcBorders>
          </w:tcPr>
          <w:p w:rsidR="001A657F" w:rsidRPr="008F549F" w:rsidRDefault="006E0266" w:rsidP="006E3423">
            <w:pPr>
              <w:pStyle w:val="Body"/>
              <w:rPr>
                <w:sz w:val="24"/>
                <w:szCs w:val="24"/>
              </w:rPr>
            </w:pPr>
            <w:r>
              <w:rPr>
                <w:sz w:val="24"/>
                <w:szCs w:val="24"/>
              </w:rPr>
              <w:t>80</w:t>
            </w:r>
            <w:r w:rsidR="001A657F" w:rsidRPr="008F549F">
              <w:rPr>
                <w:sz w:val="24"/>
                <w:szCs w:val="24"/>
              </w:rPr>
              <w:t>%</w:t>
            </w:r>
          </w:p>
        </w:tc>
      </w:tr>
    </w:tbl>
    <w:p w:rsidR="008F549F" w:rsidRDefault="008F549F" w:rsidP="001A657F">
      <w:pPr>
        <w:pStyle w:val="Body"/>
        <w:rPr>
          <w:sz w:val="24"/>
          <w:szCs w:val="24"/>
        </w:rPr>
      </w:pPr>
    </w:p>
    <w:p w:rsidR="001A657F" w:rsidRPr="008F549F" w:rsidRDefault="001A657F" w:rsidP="001A657F">
      <w:pPr>
        <w:pStyle w:val="Body"/>
        <w:rPr>
          <w:sz w:val="24"/>
          <w:szCs w:val="24"/>
        </w:rPr>
      </w:pPr>
      <w:r w:rsidRPr="008F549F">
        <w:rPr>
          <w:sz w:val="24"/>
          <w:szCs w:val="24"/>
        </w:rPr>
        <w:t xml:space="preserve">All ships were recorded as using one anchorage area “Abbot Point Anchorage”, and all were bulk carriers (i.e. arriving to load coal for export). </w:t>
      </w:r>
      <w:r w:rsidR="008F549F" w:rsidRPr="008F549F">
        <w:rPr>
          <w:sz w:val="24"/>
          <w:szCs w:val="24"/>
        </w:rPr>
        <w:t xml:space="preserve">There are currently no designated anchorage areas at Port of Abbot Point. The Abbot Point anchorage area assessed in this project has been determined in consultation with the Regional Harbour Master. Refer section </w:t>
      </w:r>
      <w:r w:rsidR="008F549F" w:rsidRPr="008F549F">
        <w:rPr>
          <w:sz w:val="24"/>
          <w:szCs w:val="24"/>
        </w:rPr>
        <w:fldChar w:fldCharType="begin"/>
      </w:r>
      <w:r w:rsidR="008F549F" w:rsidRPr="008F549F">
        <w:rPr>
          <w:sz w:val="24"/>
          <w:szCs w:val="24"/>
        </w:rPr>
        <w:instrText xml:space="preserve"> REF _Ref347733279 \r \h </w:instrText>
      </w:r>
      <w:r w:rsidR="008F549F">
        <w:rPr>
          <w:sz w:val="24"/>
          <w:szCs w:val="24"/>
        </w:rPr>
        <w:instrText xml:space="preserve"> \* MERGEFORMAT </w:instrText>
      </w:r>
      <w:r w:rsidR="008F549F" w:rsidRPr="008F549F">
        <w:rPr>
          <w:sz w:val="24"/>
          <w:szCs w:val="24"/>
        </w:rPr>
      </w:r>
      <w:r w:rsidR="008F549F" w:rsidRPr="008F549F">
        <w:rPr>
          <w:sz w:val="24"/>
          <w:szCs w:val="24"/>
        </w:rPr>
        <w:fldChar w:fldCharType="separate"/>
      </w:r>
      <w:r w:rsidR="005F6E51">
        <w:rPr>
          <w:sz w:val="24"/>
          <w:szCs w:val="24"/>
        </w:rPr>
        <w:t>1.4</w:t>
      </w:r>
      <w:r w:rsidR="008F549F" w:rsidRPr="008F549F">
        <w:rPr>
          <w:sz w:val="24"/>
          <w:szCs w:val="24"/>
        </w:rPr>
        <w:fldChar w:fldCharType="end"/>
      </w:r>
      <w:r w:rsidR="008F549F" w:rsidRPr="008F549F">
        <w:rPr>
          <w:sz w:val="24"/>
          <w:szCs w:val="24"/>
        </w:rPr>
        <w:t xml:space="preserve"> for further information.</w:t>
      </w:r>
      <w:r w:rsidR="008F549F">
        <w:rPr>
          <w:sz w:val="24"/>
          <w:szCs w:val="24"/>
        </w:rPr>
        <w:t xml:space="preserve"> </w:t>
      </w:r>
      <w:r w:rsidRPr="008F549F">
        <w:rPr>
          <w:sz w:val="24"/>
          <w:szCs w:val="24"/>
        </w:rPr>
        <w:t>Ships in 2011 spent on average around three days at anchor (with 8 instances of between 13-19 days).</w:t>
      </w:r>
    </w:p>
    <w:p w:rsidR="001A657F" w:rsidRPr="008F549F" w:rsidRDefault="001A657F" w:rsidP="001A657F">
      <w:pPr>
        <w:pStyle w:val="Body"/>
        <w:rPr>
          <w:sz w:val="24"/>
          <w:szCs w:val="24"/>
        </w:rPr>
      </w:pPr>
      <w:r w:rsidRPr="008F549F">
        <w:rPr>
          <w:sz w:val="24"/>
          <w:szCs w:val="24"/>
        </w:rPr>
        <w:t>The current scale of the use of ship anchorages at the Port of Abbot Point can be summarised as minor with an average of less than one ship call per day using the anchorages for typical stays of only several days (average of three days for all ships in 2011).</w:t>
      </w:r>
    </w:p>
    <w:p w:rsidR="001A657F" w:rsidRPr="00B41CFA" w:rsidRDefault="001A657F" w:rsidP="001A657F">
      <w:pPr>
        <w:pStyle w:val="Heading3"/>
        <w:rPr>
          <w:sz w:val="24"/>
        </w:rPr>
      </w:pPr>
      <w:bookmarkStart w:id="337" w:name="_Ref343520140"/>
      <w:bookmarkStart w:id="338" w:name="_Toc343597249"/>
      <w:bookmarkStart w:id="339" w:name="_Toc362274304"/>
      <w:r w:rsidRPr="00B41CFA">
        <w:rPr>
          <w:sz w:val="24"/>
        </w:rPr>
        <w:t>Future demand for ship anchorages at the Port of Abbot Point</w:t>
      </w:r>
      <w:bookmarkEnd w:id="337"/>
      <w:bookmarkEnd w:id="338"/>
      <w:bookmarkEnd w:id="339"/>
    </w:p>
    <w:p w:rsidR="001A657F" w:rsidRPr="008F549F" w:rsidRDefault="001A657F" w:rsidP="001A657F">
      <w:pPr>
        <w:pStyle w:val="Body"/>
        <w:rPr>
          <w:sz w:val="24"/>
          <w:szCs w:val="24"/>
        </w:rPr>
      </w:pPr>
      <w:r w:rsidRPr="008F549F">
        <w:rPr>
          <w:sz w:val="24"/>
          <w:szCs w:val="24"/>
        </w:rPr>
        <w:t>PGM Environment (</w:t>
      </w:r>
      <w:r w:rsidR="005751BA" w:rsidRPr="008F549F">
        <w:rPr>
          <w:sz w:val="24"/>
          <w:szCs w:val="24"/>
        </w:rPr>
        <w:t>2012</w:t>
      </w:r>
      <w:r w:rsidRPr="008F549F">
        <w:rPr>
          <w:sz w:val="24"/>
          <w:szCs w:val="24"/>
        </w:rPr>
        <w:t>) forecasts a probable case of around 11 per cent per year growth in ship calls over the period 2012-2032 (financial year end numbers)</w:t>
      </w:r>
      <w:r w:rsidR="00AC6C71" w:rsidRPr="008F549F">
        <w:rPr>
          <w:sz w:val="24"/>
          <w:szCs w:val="24"/>
        </w:rPr>
        <w:t>. Growth is</w:t>
      </w:r>
      <w:r w:rsidRPr="008F549F">
        <w:rPr>
          <w:sz w:val="24"/>
          <w:szCs w:val="24"/>
        </w:rPr>
        <w:t xml:space="preserve"> driven by expected coal ships serving the various port expansion plans with the number of calls rising from a 2012 base of 174 to 808 in 2020</w:t>
      </w:r>
      <w:r w:rsidR="00AC6C71" w:rsidRPr="008F549F">
        <w:rPr>
          <w:sz w:val="24"/>
          <w:szCs w:val="24"/>
        </w:rPr>
        <w:t>,</w:t>
      </w:r>
      <w:r w:rsidR="00374F9D">
        <w:rPr>
          <w:sz w:val="24"/>
          <w:szCs w:val="24"/>
        </w:rPr>
        <w:t xml:space="preserve"> and 1</w:t>
      </w:r>
      <w:r w:rsidRPr="008F549F">
        <w:rPr>
          <w:sz w:val="24"/>
          <w:szCs w:val="24"/>
        </w:rPr>
        <w:t>640 in 2032 (</w:t>
      </w:r>
      <w:r w:rsidR="00CD38ED" w:rsidRPr="008F549F">
        <w:rPr>
          <w:sz w:val="24"/>
          <w:szCs w:val="24"/>
        </w:rPr>
        <w:fldChar w:fldCharType="begin"/>
      </w:r>
      <w:r w:rsidRPr="008F549F">
        <w:rPr>
          <w:sz w:val="24"/>
          <w:szCs w:val="24"/>
        </w:rPr>
        <w:instrText xml:space="preserve"> REF  _Ref342397079 \* Lower \h </w:instrText>
      </w:r>
      <w:r w:rsidR="008F549F">
        <w:rPr>
          <w:sz w:val="24"/>
          <w:szCs w:val="24"/>
        </w:rPr>
        <w:instrText xml:space="preserve"> \* MERGEFORMAT </w:instrText>
      </w:r>
      <w:r w:rsidR="00CD38ED" w:rsidRPr="008F549F">
        <w:rPr>
          <w:sz w:val="24"/>
          <w:szCs w:val="24"/>
        </w:rPr>
      </w:r>
      <w:r w:rsidR="00CD38ED" w:rsidRPr="008F549F">
        <w:rPr>
          <w:sz w:val="24"/>
          <w:szCs w:val="24"/>
        </w:rPr>
        <w:fldChar w:fldCharType="separate"/>
      </w:r>
      <w:r w:rsidR="005F6E51" w:rsidRPr="008F549F">
        <w:rPr>
          <w:sz w:val="24"/>
          <w:szCs w:val="24"/>
        </w:rPr>
        <w:t xml:space="preserve">figure </w:t>
      </w:r>
      <w:r w:rsidR="005F6E51">
        <w:rPr>
          <w:noProof/>
          <w:sz w:val="24"/>
          <w:szCs w:val="24"/>
        </w:rPr>
        <w:t>4</w:t>
      </w:r>
      <w:r w:rsidR="005F6E51" w:rsidRPr="008F549F">
        <w:rPr>
          <w:noProof/>
          <w:sz w:val="24"/>
          <w:szCs w:val="24"/>
        </w:rPr>
        <w:noBreakHyphen/>
      </w:r>
      <w:r w:rsidR="005F6E51">
        <w:rPr>
          <w:noProof/>
          <w:sz w:val="24"/>
          <w:szCs w:val="24"/>
        </w:rPr>
        <w:t>8</w:t>
      </w:r>
      <w:r w:rsidR="00CD38ED" w:rsidRPr="008F549F">
        <w:rPr>
          <w:sz w:val="24"/>
          <w:szCs w:val="24"/>
        </w:rPr>
        <w:fldChar w:fldCharType="end"/>
      </w:r>
      <w:r w:rsidRPr="008F549F">
        <w:rPr>
          <w:sz w:val="24"/>
          <w:szCs w:val="24"/>
        </w:rPr>
        <w:t xml:space="preserve">). </w:t>
      </w:r>
    </w:p>
    <w:p w:rsidR="001A657F" w:rsidRPr="008F549F" w:rsidRDefault="00AC1098" w:rsidP="001A657F">
      <w:pPr>
        <w:pStyle w:val="Body"/>
        <w:rPr>
          <w:sz w:val="24"/>
          <w:szCs w:val="24"/>
        </w:rPr>
      </w:pPr>
      <w:r w:rsidRPr="008F549F">
        <w:rPr>
          <w:sz w:val="24"/>
          <w:szCs w:val="24"/>
        </w:rPr>
        <w:t>S</w:t>
      </w:r>
      <w:r w:rsidR="001A657F" w:rsidRPr="008F549F">
        <w:rPr>
          <w:sz w:val="24"/>
          <w:szCs w:val="24"/>
        </w:rPr>
        <w:t xml:space="preserve">hip call numbers </w:t>
      </w:r>
      <w:r w:rsidRPr="008F549F">
        <w:rPr>
          <w:sz w:val="24"/>
          <w:szCs w:val="24"/>
        </w:rPr>
        <w:t xml:space="preserve">are forecast to </w:t>
      </w:r>
      <w:r w:rsidR="001A657F" w:rsidRPr="008F549F">
        <w:rPr>
          <w:sz w:val="24"/>
          <w:szCs w:val="24"/>
        </w:rPr>
        <w:t>increas</w:t>
      </w:r>
      <w:r w:rsidRPr="008F549F">
        <w:rPr>
          <w:sz w:val="24"/>
          <w:szCs w:val="24"/>
        </w:rPr>
        <w:t>e</w:t>
      </w:r>
      <w:r w:rsidR="001A657F" w:rsidRPr="008F549F">
        <w:rPr>
          <w:sz w:val="24"/>
          <w:szCs w:val="24"/>
        </w:rPr>
        <w:t xml:space="preserve"> significantly at the Port of Abbot Point</w:t>
      </w:r>
      <w:r w:rsidRPr="008F549F">
        <w:rPr>
          <w:sz w:val="24"/>
          <w:szCs w:val="24"/>
        </w:rPr>
        <w:t>.</w:t>
      </w:r>
      <w:r w:rsidR="001A657F" w:rsidRPr="008F549F">
        <w:rPr>
          <w:sz w:val="24"/>
          <w:szCs w:val="24"/>
        </w:rPr>
        <w:t xml:space="preserve"> </w:t>
      </w:r>
      <w:r w:rsidRPr="008F549F">
        <w:rPr>
          <w:sz w:val="24"/>
          <w:szCs w:val="24"/>
        </w:rPr>
        <w:t>I</w:t>
      </w:r>
      <w:r w:rsidR="001A657F" w:rsidRPr="008F549F">
        <w:rPr>
          <w:sz w:val="24"/>
          <w:szCs w:val="24"/>
        </w:rPr>
        <w:t xml:space="preserve">t is likely that the future demand for ship anchorages will increase at a similar rate. Given the historical fluctuations in the share of ships using anchorages, it is difficult to predict whether the future share of ships proceeding direct to anchor will change. However, some coal producers at Abbot Point will </w:t>
      </w:r>
      <w:r w:rsidR="00A53C53" w:rsidRPr="008F549F">
        <w:rPr>
          <w:sz w:val="24"/>
          <w:szCs w:val="24"/>
        </w:rPr>
        <w:t>control</w:t>
      </w:r>
      <w:r w:rsidR="001A657F" w:rsidRPr="008F549F">
        <w:rPr>
          <w:sz w:val="24"/>
          <w:szCs w:val="24"/>
        </w:rPr>
        <w:t xml:space="preserve"> coal exports from mine to overseas port which means that they are in a better position to also control the scheduling of their shipping. </w:t>
      </w:r>
    </w:p>
    <w:p w:rsidR="001A657F" w:rsidRPr="008F549F" w:rsidRDefault="001A657F" w:rsidP="001A657F">
      <w:pPr>
        <w:pStyle w:val="Body"/>
        <w:rPr>
          <w:sz w:val="24"/>
          <w:szCs w:val="24"/>
        </w:rPr>
      </w:pPr>
      <w:r w:rsidRPr="008F549F">
        <w:rPr>
          <w:sz w:val="24"/>
          <w:szCs w:val="24"/>
        </w:rPr>
        <w:t xml:space="preserve">The future scale of the use of ship anchorages at the Port of Abbot Point can be summarised as becoming of more significance with the demand possibly increasing by around </w:t>
      </w:r>
      <w:r w:rsidR="000B37DF" w:rsidRPr="008F549F">
        <w:rPr>
          <w:sz w:val="24"/>
          <w:szCs w:val="24"/>
        </w:rPr>
        <w:t>nine</w:t>
      </w:r>
      <w:r w:rsidRPr="008F549F">
        <w:rPr>
          <w:sz w:val="24"/>
          <w:szCs w:val="24"/>
        </w:rPr>
        <w:t xml:space="preserve"> times in 2032 compared with today</w:t>
      </w:r>
      <w:r w:rsidR="00DF482E" w:rsidRPr="008F549F">
        <w:rPr>
          <w:sz w:val="24"/>
          <w:szCs w:val="24"/>
        </w:rPr>
        <w:t xml:space="preserve">. This equates to </w:t>
      </w:r>
      <w:r w:rsidRPr="008F549F">
        <w:rPr>
          <w:sz w:val="24"/>
          <w:szCs w:val="24"/>
        </w:rPr>
        <w:t xml:space="preserve">around </w:t>
      </w:r>
      <w:r w:rsidR="001614B6" w:rsidRPr="008F549F">
        <w:rPr>
          <w:sz w:val="24"/>
          <w:szCs w:val="24"/>
        </w:rPr>
        <w:t>2.5</w:t>
      </w:r>
      <w:r w:rsidRPr="008F549F">
        <w:rPr>
          <w:sz w:val="24"/>
          <w:szCs w:val="24"/>
        </w:rPr>
        <w:t xml:space="preserve"> ship calls per day requiring the use of anchorage. Based on preliminary observations, this future growth in anchorage demand should be able to be accommodated in the existing anchorage areas, particularly if designated anchorages and/or densely organised anchorages are used. </w:t>
      </w:r>
    </w:p>
    <w:p w:rsidR="001A657F" w:rsidRDefault="001A657F" w:rsidP="001A657F">
      <w:pPr>
        <w:pStyle w:val="Body"/>
      </w:pPr>
    </w:p>
    <w:p w:rsidR="001A657F" w:rsidRDefault="001A657F" w:rsidP="001A657F">
      <w:pPr>
        <w:pStyle w:val="Body"/>
        <w:jc w:val="center"/>
      </w:pPr>
      <w:r w:rsidRPr="00CA6902">
        <w:rPr>
          <w:noProof/>
          <w:lang w:eastAsia="en-AU"/>
        </w:rPr>
        <w:drawing>
          <wp:inline distT="0" distB="0" distL="0" distR="0" wp14:anchorId="53980FC1" wp14:editId="0BA146F8">
            <wp:extent cx="5649231" cy="2700000"/>
            <wp:effectExtent l="0" t="0" r="0" b="5715"/>
            <wp:docPr id="5" name="Picture 5" descr="Forecast of ship call numbers for Port of Abbot Point from 2012-2032. Forecasts are a probable case of around 11 per cent per year growth in ship calls over the period 2012-2032 for the Port of Abbot Point. Further text provided in Section 4.7.3." title="Forecast ship call numbers “probable case” for Port of Abbot Poin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42" cstate="print">
                      <a:extLst>
                        <a:ext uri="{BEBA8EAE-BF5A-486C-A8C5-ECC9F3942E4B}">
                          <a14:imgProps xmlns:a14="http://schemas.microsoft.com/office/drawing/2010/main">
                            <a14:imgLayer r:embed="rId43">
                              <a14:imgEffect>
                                <a14:sharpenSoften amount="50000"/>
                              </a14:imgEffect>
                            </a14:imgLayer>
                          </a14:imgProps>
                        </a:ext>
                        <a:ext uri="{28A0092B-C50C-407E-A947-70E740481C1C}">
                          <a14:useLocalDpi xmlns:a14="http://schemas.microsoft.com/office/drawing/2010/main" val="0"/>
                        </a:ext>
                      </a:extLst>
                    </a:blip>
                    <a:srcRect l="1077" t="20182" r="1256" b="1499"/>
                    <a:stretch/>
                  </pic:blipFill>
                  <pic:spPr bwMode="auto">
                    <a:xfrm>
                      <a:off x="0" y="0"/>
                      <a:ext cx="5649231" cy="2700000"/>
                    </a:xfrm>
                    <a:prstGeom prst="rect">
                      <a:avLst/>
                    </a:prstGeom>
                    <a:noFill/>
                    <a:ln>
                      <a:noFill/>
                    </a:ln>
                    <a:extLst>
                      <a:ext uri="{53640926-AAD7-44D8-BBD7-CCE9431645EC}">
                        <a14:shadowObscured xmlns:a14="http://schemas.microsoft.com/office/drawing/2010/main"/>
                      </a:ext>
                    </a:extLst>
                  </pic:spPr>
                </pic:pic>
              </a:graphicData>
            </a:graphic>
          </wp:inline>
        </w:drawing>
      </w:r>
    </w:p>
    <w:p w:rsidR="001A657F" w:rsidRPr="008F549F" w:rsidRDefault="001A657F" w:rsidP="001A657F">
      <w:pPr>
        <w:pStyle w:val="Caption"/>
        <w:rPr>
          <w:b w:val="0"/>
          <w:sz w:val="24"/>
          <w:szCs w:val="24"/>
        </w:rPr>
      </w:pPr>
      <w:bookmarkStart w:id="340" w:name="_Ref342397079"/>
      <w:bookmarkStart w:id="341" w:name="_Toc343597599"/>
      <w:bookmarkStart w:id="342" w:name="_Toc362274387"/>
      <w:r w:rsidRPr="008F549F">
        <w:rPr>
          <w:sz w:val="24"/>
          <w:szCs w:val="24"/>
        </w:rPr>
        <w:t xml:space="preserve">Figure </w:t>
      </w:r>
      <w:r w:rsidR="009108AD" w:rsidRPr="008F549F">
        <w:rPr>
          <w:sz w:val="24"/>
          <w:szCs w:val="24"/>
        </w:rPr>
        <w:fldChar w:fldCharType="begin"/>
      </w:r>
      <w:r w:rsidR="009108AD" w:rsidRPr="008F549F">
        <w:rPr>
          <w:sz w:val="24"/>
          <w:szCs w:val="24"/>
        </w:rPr>
        <w:instrText xml:space="preserve"> STYLEREF 1 \s </w:instrText>
      </w:r>
      <w:r w:rsidR="009108AD" w:rsidRPr="008F549F">
        <w:rPr>
          <w:sz w:val="24"/>
          <w:szCs w:val="24"/>
        </w:rPr>
        <w:fldChar w:fldCharType="separate"/>
      </w:r>
      <w:r w:rsidR="005F6E51">
        <w:rPr>
          <w:noProof/>
          <w:sz w:val="24"/>
          <w:szCs w:val="24"/>
        </w:rPr>
        <w:t>4</w:t>
      </w:r>
      <w:r w:rsidR="009108AD" w:rsidRPr="008F549F">
        <w:rPr>
          <w:noProof/>
          <w:sz w:val="24"/>
          <w:szCs w:val="24"/>
        </w:rPr>
        <w:fldChar w:fldCharType="end"/>
      </w:r>
      <w:r w:rsidRPr="008F549F">
        <w:rPr>
          <w:sz w:val="24"/>
          <w:szCs w:val="24"/>
        </w:rPr>
        <w:noBreakHyphen/>
      </w:r>
      <w:r w:rsidR="009108AD" w:rsidRPr="008F549F">
        <w:rPr>
          <w:sz w:val="24"/>
          <w:szCs w:val="24"/>
        </w:rPr>
        <w:fldChar w:fldCharType="begin"/>
      </w:r>
      <w:r w:rsidR="009108AD" w:rsidRPr="008F549F">
        <w:rPr>
          <w:sz w:val="24"/>
          <w:szCs w:val="24"/>
        </w:rPr>
        <w:instrText xml:space="preserve"> SEQ Figure \* ARABIC \s 1 </w:instrText>
      </w:r>
      <w:r w:rsidR="009108AD" w:rsidRPr="008F549F">
        <w:rPr>
          <w:sz w:val="24"/>
          <w:szCs w:val="24"/>
        </w:rPr>
        <w:fldChar w:fldCharType="separate"/>
      </w:r>
      <w:r w:rsidR="005F6E51">
        <w:rPr>
          <w:noProof/>
          <w:sz w:val="24"/>
          <w:szCs w:val="24"/>
        </w:rPr>
        <w:t>8</w:t>
      </w:r>
      <w:r w:rsidR="009108AD" w:rsidRPr="008F549F">
        <w:rPr>
          <w:noProof/>
          <w:sz w:val="24"/>
          <w:szCs w:val="24"/>
        </w:rPr>
        <w:fldChar w:fldCharType="end"/>
      </w:r>
      <w:bookmarkEnd w:id="340"/>
      <w:r w:rsidR="008F549F">
        <w:rPr>
          <w:noProof/>
          <w:sz w:val="24"/>
          <w:szCs w:val="24"/>
        </w:rPr>
        <w:t>:</w:t>
      </w:r>
      <w:r w:rsidRPr="008F549F">
        <w:rPr>
          <w:sz w:val="24"/>
          <w:szCs w:val="24"/>
        </w:rPr>
        <w:t xml:space="preserve"> </w:t>
      </w:r>
      <w:r w:rsidRPr="008F549F">
        <w:rPr>
          <w:b w:val="0"/>
          <w:sz w:val="24"/>
          <w:szCs w:val="24"/>
        </w:rPr>
        <w:t>Forecast ship call numbers “probable case” for Port of Abbot Point (2012-2032) as extracted from PGM Environment 2012</w:t>
      </w:r>
      <w:bookmarkEnd w:id="341"/>
      <w:bookmarkEnd w:id="342"/>
    </w:p>
    <w:p w:rsidR="001A657F" w:rsidRPr="00B41CFA" w:rsidRDefault="001A657F" w:rsidP="001A657F">
      <w:pPr>
        <w:pStyle w:val="Heading2"/>
        <w:rPr>
          <w:sz w:val="24"/>
        </w:rPr>
      </w:pPr>
      <w:bookmarkStart w:id="343" w:name="_Toc343597250"/>
      <w:bookmarkStart w:id="344" w:name="_Toc362274305"/>
      <w:r w:rsidRPr="00B41CFA">
        <w:rPr>
          <w:sz w:val="24"/>
        </w:rPr>
        <w:t>Demand for and use of ship anchorages at the Port of Hay Point (including Dalrymple Bay)</w:t>
      </w:r>
      <w:bookmarkEnd w:id="343"/>
      <w:bookmarkEnd w:id="344"/>
    </w:p>
    <w:p w:rsidR="001A657F" w:rsidRPr="00B41CFA" w:rsidRDefault="001A657F" w:rsidP="001A657F">
      <w:pPr>
        <w:pStyle w:val="Heading3"/>
        <w:rPr>
          <w:sz w:val="24"/>
        </w:rPr>
      </w:pPr>
      <w:bookmarkStart w:id="345" w:name="_Toc343597251"/>
      <w:bookmarkStart w:id="346" w:name="_Toc362274306"/>
      <w:r w:rsidRPr="00B41CFA">
        <w:rPr>
          <w:sz w:val="24"/>
        </w:rPr>
        <w:t>Current profile of ship anchorages at the Port of Hay Point</w:t>
      </w:r>
      <w:bookmarkEnd w:id="345"/>
      <w:bookmarkEnd w:id="346"/>
    </w:p>
    <w:p w:rsidR="001A657F" w:rsidRPr="008F549F" w:rsidRDefault="001A657F" w:rsidP="001A657F">
      <w:pPr>
        <w:pStyle w:val="Body"/>
        <w:rPr>
          <w:sz w:val="24"/>
          <w:szCs w:val="24"/>
        </w:rPr>
      </w:pPr>
      <w:r w:rsidRPr="008F549F">
        <w:rPr>
          <w:sz w:val="24"/>
          <w:szCs w:val="24"/>
        </w:rPr>
        <w:t xml:space="preserve">The anchorage area for ships servicing the Port of Hay Point (see </w:t>
      </w:r>
      <w:r w:rsidR="00CD38ED" w:rsidRPr="008F549F">
        <w:rPr>
          <w:sz w:val="24"/>
          <w:szCs w:val="24"/>
        </w:rPr>
        <w:fldChar w:fldCharType="begin"/>
      </w:r>
      <w:r w:rsidRPr="008F549F">
        <w:rPr>
          <w:sz w:val="24"/>
          <w:szCs w:val="24"/>
        </w:rPr>
        <w:instrText xml:space="preserve"> REF  _Ref342401439 \* Lower \h </w:instrText>
      </w:r>
      <w:r w:rsidR="008F549F">
        <w:rPr>
          <w:sz w:val="24"/>
          <w:szCs w:val="24"/>
        </w:rPr>
        <w:instrText xml:space="preserve"> \* MERGEFORMAT </w:instrText>
      </w:r>
      <w:r w:rsidR="00CD38ED" w:rsidRPr="008F549F">
        <w:rPr>
          <w:sz w:val="24"/>
          <w:szCs w:val="24"/>
        </w:rPr>
      </w:r>
      <w:r w:rsidR="00CD38ED" w:rsidRPr="008F549F">
        <w:rPr>
          <w:sz w:val="24"/>
          <w:szCs w:val="24"/>
        </w:rPr>
        <w:fldChar w:fldCharType="separate"/>
      </w:r>
      <w:r w:rsidR="005F6E51" w:rsidRPr="008F549F">
        <w:rPr>
          <w:sz w:val="24"/>
          <w:szCs w:val="24"/>
        </w:rPr>
        <w:t xml:space="preserve">figure </w:t>
      </w:r>
      <w:r w:rsidR="005F6E51">
        <w:rPr>
          <w:noProof/>
          <w:sz w:val="24"/>
          <w:szCs w:val="24"/>
        </w:rPr>
        <w:t>4</w:t>
      </w:r>
      <w:r w:rsidR="005F6E51" w:rsidRPr="008F549F">
        <w:rPr>
          <w:noProof/>
          <w:sz w:val="24"/>
          <w:szCs w:val="24"/>
        </w:rPr>
        <w:noBreakHyphen/>
      </w:r>
      <w:r w:rsidR="005F6E51">
        <w:rPr>
          <w:noProof/>
          <w:sz w:val="24"/>
          <w:szCs w:val="24"/>
        </w:rPr>
        <w:t>9</w:t>
      </w:r>
      <w:r w:rsidR="00CD38ED" w:rsidRPr="008F549F">
        <w:rPr>
          <w:sz w:val="24"/>
          <w:szCs w:val="24"/>
        </w:rPr>
        <w:fldChar w:fldCharType="end"/>
      </w:r>
      <w:r w:rsidRPr="008F549F">
        <w:rPr>
          <w:sz w:val="24"/>
          <w:szCs w:val="24"/>
        </w:rPr>
        <w:t xml:space="preserve">) are located immediately adjacent to the port terminals. The anchorage area of Hay Point port has a number of designated anchorages. The </w:t>
      </w:r>
      <w:r w:rsidR="0050643A" w:rsidRPr="008F549F">
        <w:rPr>
          <w:sz w:val="24"/>
          <w:szCs w:val="24"/>
        </w:rPr>
        <w:t xml:space="preserve">Port of Hay Point </w:t>
      </w:r>
      <w:r w:rsidRPr="008F549F">
        <w:rPr>
          <w:sz w:val="24"/>
          <w:szCs w:val="24"/>
        </w:rPr>
        <w:t xml:space="preserve">ship anchorage area defined for this study is the largest of the five major </w:t>
      </w:r>
      <w:r w:rsidR="0050643A" w:rsidRPr="008F549F">
        <w:rPr>
          <w:sz w:val="24"/>
          <w:szCs w:val="24"/>
        </w:rPr>
        <w:t xml:space="preserve">ports </w:t>
      </w:r>
      <w:r w:rsidRPr="008F549F">
        <w:rPr>
          <w:sz w:val="24"/>
          <w:szCs w:val="24"/>
        </w:rPr>
        <w:t xml:space="preserve">and totals an area of 157,284 </w:t>
      </w:r>
      <w:r w:rsidR="009C4624" w:rsidRPr="008F549F">
        <w:rPr>
          <w:sz w:val="24"/>
          <w:szCs w:val="24"/>
        </w:rPr>
        <w:t>ha</w:t>
      </w:r>
      <w:r w:rsidR="0050643A" w:rsidRPr="008F549F">
        <w:rPr>
          <w:sz w:val="24"/>
          <w:szCs w:val="24"/>
        </w:rPr>
        <w:t xml:space="preserve">. The Port of Hay Point ship anchorage area includes </w:t>
      </w:r>
      <w:r w:rsidRPr="008F549F">
        <w:rPr>
          <w:sz w:val="24"/>
          <w:szCs w:val="24"/>
        </w:rPr>
        <w:t>one designated inner anchorage area inside port limits, with the other larger designated area outside</w:t>
      </w:r>
      <w:r w:rsidR="0050643A" w:rsidRPr="008F549F">
        <w:rPr>
          <w:sz w:val="24"/>
          <w:szCs w:val="24"/>
        </w:rPr>
        <w:t xml:space="preserve"> port limits</w:t>
      </w:r>
      <w:r w:rsidRPr="008F549F">
        <w:rPr>
          <w:sz w:val="24"/>
          <w:szCs w:val="24"/>
        </w:rPr>
        <w:t xml:space="preserve">. </w:t>
      </w:r>
      <w:r w:rsidR="00B93E81">
        <w:rPr>
          <w:sz w:val="24"/>
          <w:szCs w:val="24"/>
        </w:rPr>
        <w:t xml:space="preserve">The nearest residential centre is Sarina, approximately 10 km south of Hay Point. While the anchorage area does not have a high level of visibility from Sarina, the scenic vista surrounding the anchorage area may still be considered remarkable, exception or unique in the context of the World Heritage Listing for </w:t>
      </w:r>
      <w:r w:rsidRPr="008F549F">
        <w:rPr>
          <w:sz w:val="24"/>
          <w:szCs w:val="24"/>
        </w:rPr>
        <w:t>residents and visitors to Mackay and Sarina, north and south of the Port of Hay Point respectively.</w:t>
      </w:r>
    </w:p>
    <w:p w:rsidR="001A657F" w:rsidRPr="008F549F" w:rsidRDefault="001A657F" w:rsidP="001A657F">
      <w:pPr>
        <w:pStyle w:val="Body"/>
        <w:rPr>
          <w:sz w:val="24"/>
          <w:szCs w:val="24"/>
        </w:rPr>
      </w:pPr>
      <w:r w:rsidRPr="008F549F">
        <w:rPr>
          <w:sz w:val="24"/>
          <w:szCs w:val="24"/>
        </w:rPr>
        <w:t xml:space="preserve">Compared to locations such as Cairns, the anchorage area is likely to be transited by only a low volume of tourism operators accessing the Reef and islands within the World Heritage Area. </w:t>
      </w:r>
      <w:r w:rsidR="007325C6" w:rsidRPr="008F549F">
        <w:rPr>
          <w:sz w:val="24"/>
          <w:szCs w:val="24"/>
        </w:rPr>
        <w:t>H</w:t>
      </w:r>
      <w:r w:rsidRPr="008F549F">
        <w:rPr>
          <w:sz w:val="24"/>
          <w:szCs w:val="24"/>
        </w:rPr>
        <w:t xml:space="preserve">owever, </w:t>
      </w:r>
      <w:r w:rsidR="007325C6" w:rsidRPr="008F549F">
        <w:rPr>
          <w:sz w:val="24"/>
          <w:szCs w:val="24"/>
        </w:rPr>
        <w:t xml:space="preserve">the anchorage area is </w:t>
      </w:r>
      <w:r w:rsidRPr="008F549F">
        <w:rPr>
          <w:sz w:val="24"/>
          <w:szCs w:val="24"/>
        </w:rPr>
        <w:t>transited by large commercial ships servicing the Port of Hay Point, and also commercial and recreational fishing vessels operating out of centres north and south of the port.</w:t>
      </w:r>
    </w:p>
    <w:p w:rsidR="001A657F" w:rsidRPr="008F549F" w:rsidRDefault="007325C6" w:rsidP="001A657F">
      <w:pPr>
        <w:pStyle w:val="Body"/>
        <w:rPr>
          <w:sz w:val="24"/>
          <w:szCs w:val="24"/>
        </w:rPr>
      </w:pPr>
      <w:r w:rsidRPr="008F549F">
        <w:rPr>
          <w:sz w:val="24"/>
          <w:szCs w:val="24"/>
        </w:rPr>
        <w:t>The anchorage area at Hay Point is l</w:t>
      </w:r>
      <w:r w:rsidR="001A657F" w:rsidRPr="008F549F">
        <w:rPr>
          <w:sz w:val="24"/>
          <w:szCs w:val="24"/>
        </w:rPr>
        <w:t>ocated in a General Use Zone of the Marine Park</w:t>
      </w:r>
      <w:r w:rsidRPr="008F549F">
        <w:rPr>
          <w:sz w:val="24"/>
          <w:szCs w:val="24"/>
        </w:rPr>
        <w:t xml:space="preserve"> and</w:t>
      </w:r>
      <w:r w:rsidR="001A657F" w:rsidRPr="008F549F">
        <w:rPr>
          <w:sz w:val="24"/>
          <w:szCs w:val="24"/>
        </w:rPr>
        <w:t xml:space="preserve"> is surrounded by protected habitat at varying distances. A Habitat Protection Zone is located immediately west of the anchorage area, while there are several small Habitat Protection Zones encompassing fringing coral reefs surrounding the anchorage area, of which the closest is located approximately 5 km to the south of a designated anchorage. Conservation Park Zones are located approximately 5 km west, as well as approximately 15 km north and north-east of the anchorage area. Marine National Park Zones are located more than 5 km north and east of the anchorage area.</w:t>
      </w:r>
    </w:p>
    <w:p w:rsidR="001A657F" w:rsidRPr="008F549F" w:rsidRDefault="001A657F" w:rsidP="001A657F">
      <w:pPr>
        <w:pStyle w:val="Body"/>
        <w:rPr>
          <w:sz w:val="24"/>
          <w:szCs w:val="24"/>
        </w:rPr>
      </w:pPr>
      <w:r w:rsidRPr="008F549F">
        <w:rPr>
          <w:sz w:val="24"/>
          <w:szCs w:val="24"/>
        </w:rPr>
        <w:t xml:space="preserve">The commercial fisheries that operate in the vicinity of the Port of Hay Point anchorage area (grid number O25) are line, net, pot and trawl (beam and otter), targeting (primary product) prawns and scallops (trawl) (refer to </w:t>
      </w:r>
      <w:r w:rsidR="00CD38ED" w:rsidRPr="008F549F">
        <w:rPr>
          <w:sz w:val="24"/>
          <w:szCs w:val="24"/>
        </w:rPr>
        <w:fldChar w:fldCharType="begin"/>
      </w:r>
      <w:r w:rsidRPr="008F549F">
        <w:rPr>
          <w:sz w:val="24"/>
          <w:szCs w:val="24"/>
        </w:rPr>
        <w:instrText xml:space="preserve"> REF  _Ref342401439 \* Lower \h </w:instrText>
      </w:r>
      <w:r w:rsidR="008F549F">
        <w:rPr>
          <w:sz w:val="24"/>
          <w:szCs w:val="24"/>
        </w:rPr>
        <w:instrText xml:space="preserve"> \* MERGEFORMAT </w:instrText>
      </w:r>
      <w:r w:rsidR="00CD38ED" w:rsidRPr="008F549F">
        <w:rPr>
          <w:sz w:val="24"/>
          <w:szCs w:val="24"/>
        </w:rPr>
      </w:r>
      <w:r w:rsidR="00CD38ED" w:rsidRPr="008F549F">
        <w:rPr>
          <w:sz w:val="24"/>
          <w:szCs w:val="24"/>
        </w:rPr>
        <w:fldChar w:fldCharType="separate"/>
      </w:r>
      <w:r w:rsidR="005F6E51" w:rsidRPr="008F549F">
        <w:rPr>
          <w:sz w:val="24"/>
          <w:szCs w:val="24"/>
        </w:rPr>
        <w:t xml:space="preserve">figure </w:t>
      </w:r>
      <w:r w:rsidR="005F6E51">
        <w:rPr>
          <w:noProof/>
          <w:sz w:val="24"/>
          <w:szCs w:val="24"/>
        </w:rPr>
        <w:t>4</w:t>
      </w:r>
      <w:r w:rsidR="005F6E51" w:rsidRPr="008F549F">
        <w:rPr>
          <w:noProof/>
          <w:sz w:val="24"/>
          <w:szCs w:val="24"/>
        </w:rPr>
        <w:noBreakHyphen/>
      </w:r>
      <w:r w:rsidR="005F6E51">
        <w:rPr>
          <w:noProof/>
          <w:sz w:val="24"/>
          <w:szCs w:val="24"/>
        </w:rPr>
        <w:t>9</w:t>
      </w:r>
      <w:r w:rsidR="00CD38ED" w:rsidRPr="008F549F">
        <w:rPr>
          <w:sz w:val="24"/>
          <w:szCs w:val="24"/>
        </w:rPr>
        <w:fldChar w:fldCharType="end"/>
      </w:r>
      <w:r w:rsidRPr="008F549F">
        <w:rPr>
          <w:sz w:val="24"/>
          <w:szCs w:val="24"/>
        </w:rPr>
        <w:t>). The line fishery in this sector reported coral trout and shark as the primary target product (DAFF 2012).</w:t>
      </w:r>
    </w:p>
    <w:p w:rsidR="001A657F" w:rsidRPr="008F549F" w:rsidRDefault="001A657F" w:rsidP="001A657F">
      <w:pPr>
        <w:pStyle w:val="Body"/>
        <w:rPr>
          <w:sz w:val="24"/>
          <w:szCs w:val="24"/>
        </w:rPr>
      </w:pPr>
      <w:r w:rsidRPr="008F549F">
        <w:rPr>
          <w:sz w:val="24"/>
          <w:szCs w:val="24"/>
        </w:rPr>
        <w:t>Recent surveys indicate that sediments across the anchorage area are “</w:t>
      </w:r>
      <w:r w:rsidRPr="008F549F">
        <w:rPr>
          <w:i/>
          <w:sz w:val="24"/>
          <w:szCs w:val="24"/>
        </w:rPr>
        <w:t>likely to be comprised of sands and silts, predominantly terrigenous in source</w:t>
      </w:r>
      <w:r w:rsidRPr="008F549F">
        <w:rPr>
          <w:sz w:val="24"/>
          <w:szCs w:val="24"/>
        </w:rPr>
        <w:t>” (GHD 2012</w:t>
      </w:r>
      <w:r w:rsidR="0047666F" w:rsidRPr="008F549F">
        <w:rPr>
          <w:sz w:val="24"/>
          <w:szCs w:val="24"/>
        </w:rPr>
        <w:t>a</w:t>
      </w:r>
      <w:r w:rsidRPr="008F549F">
        <w:rPr>
          <w:sz w:val="24"/>
          <w:szCs w:val="24"/>
        </w:rPr>
        <w:t>). The anchorage area is surrounded by a number of islands (from 2 to 13</w:t>
      </w:r>
      <w:r w:rsidR="00A00674">
        <w:rPr>
          <w:sz w:val="24"/>
          <w:szCs w:val="24"/>
        </w:rPr>
        <w:t> </w:t>
      </w:r>
      <w:r w:rsidRPr="008F549F">
        <w:rPr>
          <w:sz w:val="24"/>
          <w:szCs w:val="24"/>
        </w:rPr>
        <w:t xml:space="preserve">km away), some with fringing coral reefs, but no solitary corals occur within the anchorage area. Low density seagrass meadows and algae are known to occur within </w:t>
      </w:r>
      <w:r w:rsidR="00A00674">
        <w:rPr>
          <w:sz w:val="24"/>
          <w:szCs w:val="24"/>
        </w:rPr>
        <w:t>deepwater near the coastally located anchorages</w:t>
      </w:r>
      <w:r w:rsidRPr="008F549F">
        <w:rPr>
          <w:sz w:val="24"/>
          <w:szCs w:val="24"/>
        </w:rPr>
        <w:t xml:space="preserve">. Mangroves and intertidal mudflats provide coastal habitat adjacent to the anchorage area, however, these are interspersed with rocky reefs and intertidal rocky shoals. Turtle, dugong, and cetaceans considered iconic for the Reef and having high cultural value are known to transit the anchorage area. Low density </w:t>
      </w:r>
      <w:r w:rsidR="00A00674">
        <w:rPr>
          <w:sz w:val="24"/>
          <w:szCs w:val="24"/>
        </w:rPr>
        <w:t xml:space="preserve">deepwater </w:t>
      </w:r>
      <w:r w:rsidRPr="008F549F">
        <w:rPr>
          <w:sz w:val="24"/>
          <w:szCs w:val="24"/>
        </w:rPr>
        <w:t xml:space="preserve">seagrasses </w:t>
      </w:r>
      <w:r w:rsidR="00A00674">
        <w:rPr>
          <w:sz w:val="24"/>
          <w:szCs w:val="24"/>
        </w:rPr>
        <w:t xml:space="preserve">associated with the </w:t>
      </w:r>
      <w:r w:rsidRPr="008F549F">
        <w:rPr>
          <w:sz w:val="24"/>
          <w:szCs w:val="24"/>
        </w:rPr>
        <w:t>anchorage area may be utilised by dugong and marine turtles as feeding habitat. The anchorage provides habitat for these protected marine fauna in addition to a range of EPBC listed fish and marine and migratory avifauna.</w:t>
      </w:r>
    </w:p>
    <w:p w:rsidR="001A657F" w:rsidRPr="008F549F" w:rsidRDefault="001A657F" w:rsidP="001A657F">
      <w:pPr>
        <w:pStyle w:val="Body"/>
        <w:rPr>
          <w:sz w:val="24"/>
          <w:szCs w:val="24"/>
        </w:rPr>
      </w:pPr>
      <w:r w:rsidRPr="008F549F">
        <w:rPr>
          <w:sz w:val="24"/>
          <w:szCs w:val="24"/>
        </w:rPr>
        <w:t>The EIA (GHD 2012</w:t>
      </w:r>
      <w:r w:rsidR="0047666F" w:rsidRPr="008F549F">
        <w:rPr>
          <w:sz w:val="24"/>
          <w:szCs w:val="24"/>
        </w:rPr>
        <w:t>a</w:t>
      </w:r>
      <w:r w:rsidRPr="008F549F">
        <w:rPr>
          <w:sz w:val="24"/>
          <w:szCs w:val="24"/>
        </w:rPr>
        <w:t>) of this study determined that:</w:t>
      </w:r>
    </w:p>
    <w:p w:rsidR="001A657F" w:rsidRPr="008F549F" w:rsidRDefault="001A657F" w:rsidP="001A657F">
      <w:pPr>
        <w:pStyle w:val="Body"/>
        <w:rPr>
          <w:sz w:val="24"/>
          <w:szCs w:val="24"/>
        </w:rPr>
      </w:pPr>
      <w:r w:rsidRPr="008F549F">
        <w:rPr>
          <w:sz w:val="24"/>
          <w:szCs w:val="24"/>
        </w:rPr>
        <w:t>“</w:t>
      </w:r>
      <w:r w:rsidRPr="008F549F">
        <w:rPr>
          <w:i/>
          <w:sz w:val="24"/>
          <w:szCs w:val="24"/>
        </w:rPr>
        <w:t>the anchorage area supports open seabed habitat which provides for movement corridors and connectivity, however, these habitats are not unique within the anchorage area and are well represented elsewhere across the World Heritage Area. No core feeding or breeding habitat for any protected species is present at the anchorage area, however, it is a part of a matrix of habitat and environmental features which supports the diversity for which the Reef is recognised</w:t>
      </w:r>
      <w:r w:rsidRPr="008F549F">
        <w:rPr>
          <w:sz w:val="24"/>
          <w:szCs w:val="24"/>
        </w:rPr>
        <w:t>”.</w:t>
      </w:r>
    </w:p>
    <w:p w:rsidR="001A657F" w:rsidRDefault="001A657F" w:rsidP="001A657F">
      <w:pPr>
        <w:pStyle w:val="Caption"/>
        <w:sectPr w:rsidR="001A657F" w:rsidSect="00B6174B">
          <w:headerReference w:type="default" r:id="rId44"/>
          <w:footerReference w:type="default" r:id="rId45"/>
          <w:pgSz w:w="11906" w:h="16838" w:code="9"/>
          <w:pgMar w:top="1418" w:right="1701" w:bottom="1701" w:left="1418" w:header="709" w:footer="709" w:gutter="0"/>
          <w:cols w:space="720"/>
          <w:docGrid w:linePitch="273"/>
        </w:sectPr>
      </w:pPr>
      <w:bookmarkStart w:id="347" w:name="_Ref342395860"/>
    </w:p>
    <w:bookmarkEnd w:id="347"/>
    <w:p w:rsidR="001A657F" w:rsidRDefault="006721A0" w:rsidP="001A657F">
      <w:pPr>
        <w:pStyle w:val="Body"/>
      </w:pPr>
      <w:r>
        <w:rPr>
          <w:noProof/>
          <w:lang w:eastAsia="en-AU"/>
        </w:rPr>
        <w:drawing>
          <wp:inline distT="0" distB="0" distL="0" distR="0" wp14:anchorId="494077D2" wp14:editId="49419273">
            <wp:extent cx="8140170" cy="5760000"/>
            <wp:effectExtent l="0" t="0" r="0" b="0"/>
            <wp:docPr id="20" name="Picture 20" descr="The map shows the bounded anchorage area, as well as reefs and the different protection zones of the Great Barrier Reef in the vicinity of the anchorage area. A long description of the features in the figure is provided in Section 4.8.1." title="Map of the current anchorage area of the Port of Hay Po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21022d_AnchAreaHayPointNoGrid.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8140170" cy="5760000"/>
                    </a:xfrm>
                    <a:prstGeom prst="rect">
                      <a:avLst/>
                    </a:prstGeom>
                  </pic:spPr>
                </pic:pic>
              </a:graphicData>
            </a:graphic>
          </wp:inline>
        </w:drawing>
      </w:r>
    </w:p>
    <w:p w:rsidR="001A657F" w:rsidRDefault="001A657F" w:rsidP="006721A0">
      <w:pPr>
        <w:pStyle w:val="Caption"/>
      </w:pPr>
      <w:bookmarkStart w:id="348" w:name="_Ref342401439"/>
      <w:bookmarkStart w:id="349" w:name="_Toc362274388"/>
      <w:r w:rsidRPr="008F549F">
        <w:rPr>
          <w:sz w:val="24"/>
          <w:szCs w:val="24"/>
        </w:rPr>
        <w:t xml:space="preserve">Figure </w:t>
      </w:r>
      <w:r w:rsidR="009108AD" w:rsidRPr="008F549F">
        <w:rPr>
          <w:sz w:val="24"/>
          <w:szCs w:val="24"/>
        </w:rPr>
        <w:fldChar w:fldCharType="begin"/>
      </w:r>
      <w:r w:rsidR="009108AD" w:rsidRPr="008F549F">
        <w:rPr>
          <w:sz w:val="24"/>
          <w:szCs w:val="24"/>
        </w:rPr>
        <w:instrText xml:space="preserve"> STYLEREF 1 \s </w:instrText>
      </w:r>
      <w:r w:rsidR="009108AD" w:rsidRPr="008F549F">
        <w:rPr>
          <w:sz w:val="24"/>
          <w:szCs w:val="24"/>
        </w:rPr>
        <w:fldChar w:fldCharType="separate"/>
      </w:r>
      <w:r w:rsidR="005F6E51">
        <w:rPr>
          <w:noProof/>
          <w:sz w:val="24"/>
          <w:szCs w:val="24"/>
        </w:rPr>
        <w:t>4</w:t>
      </w:r>
      <w:r w:rsidR="009108AD" w:rsidRPr="008F549F">
        <w:rPr>
          <w:noProof/>
          <w:sz w:val="24"/>
          <w:szCs w:val="24"/>
        </w:rPr>
        <w:fldChar w:fldCharType="end"/>
      </w:r>
      <w:r w:rsidRPr="008F549F">
        <w:rPr>
          <w:sz w:val="24"/>
          <w:szCs w:val="24"/>
        </w:rPr>
        <w:noBreakHyphen/>
      </w:r>
      <w:r w:rsidR="009108AD" w:rsidRPr="008F549F">
        <w:rPr>
          <w:sz w:val="24"/>
          <w:szCs w:val="24"/>
        </w:rPr>
        <w:fldChar w:fldCharType="begin"/>
      </w:r>
      <w:r w:rsidR="009108AD" w:rsidRPr="008F549F">
        <w:rPr>
          <w:sz w:val="24"/>
          <w:szCs w:val="24"/>
        </w:rPr>
        <w:instrText xml:space="preserve"> SEQ Figure \* ARABIC \s 1 </w:instrText>
      </w:r>
      <w:r w:rsidR="009108AD" w:rsidRPr="008F549F">
        <w:rPr>
          <w:sz w:val="24"/>
          <w:szCs w:val="24"/>
        </w:rPr>
        <w:fldChar w:fldCharType="separate"/>
      </w:r>
      <w:r w:rsidR="005F6E51">
        <w:rPr>
          <w:noProof/>
          <w:sz w:val="24"/>
          <w:szCs w:val="24"/>
        </w:rPr>
        <w:t>9</w:t>
      </w:r>
      <w:r w:rsidR="009108AD" w:rsidRPr="008F549F">
        <w:rPr>
          <w:noProof/>
          <w:sz w:val="24"/>
          <w:szCs w:val="24"/>
        </w:rPr>
        <w:fldChar w:fldCharType="end"/>
      </w:r>
      <w:bookmarkEnd w:id="348"/>
      <w:r w:rsidR="008F549F">
        <w:rPr>
          <w:noProof/>
          <w:sz w:val="24"/>
          <w:szCs w:val="24"/>
        </w:rPr>
        <w:t>:</w:t>
      </w:r>
      <w:r w:rsidRPr="008F549F">
        <w:rPr>
          <w:sz w:val="24"/>
          <w:szCs w:val="24"/>
        </w:rPr>
        <w:t xml:space="preserve"> </w:t>
      </w:r>
      <w:r w:rsidRPr="008F549F">
        <w:rPr>
          <w:b w:val="0"/>
          <w:sz w:val="24"/>
          <w:szCs w:val="24"/>
        </w:rPr>
        <w:t>Map of the current anchorage area of the Port of Hay Point</w:t>
      </w:r>
      <w:bookmarkEnd w:id="349"/>
    </w:p>
    <w:p w:rsidR="001A657F" w:rsidRDefault="001A657F" w:rsidP="001A657F">
      <w:pPr>
        <w:pStyle w:val="Body"/>
        <w:sectPr w:rsidR="001A657F" w:rsidSect="006721A0">
          <w:headerReference w:type="default" r:id="rId47"/>
          <w:footerReference w:type="default" r:id="rId48"/>
          <w:pgSz w:w="16838" w:h="11906" w:orient="landscape" w:code="9"/>
          <w:pgMar w:top="1134" w:right="1418" w:bottom="1134" w:left="1418" w:header="709" w:footer="709" w:gutter="0"/>
          <w:cols w:space="720"/>
          <w:docGrid w:linePitch="273"/>
        </w:sectPr>
      </w:pPr>
    </w:p>
    <w:p w:rsidR="001A657F" w:rsidRPr="00B41CFA" w:rsidRDefault="001A657F" w:rsidP="001A657F">
      <w:pPr>
        <w:pStyle w:val="Heading3"/>
        <w:rPr>
          <w:sz w:val="24"/>
        </w:rPr>
      </w:pPr>
      <w:bookmarkStart w:id="350" w:name="_Toc343526807"/>
      <w:bookmarkStart w:id="351" w:name="_Toc343527059"/>
      <w:bookmarkStart w:id="352" w:name="_Toc343581797"/>
      <w:bookmarkStart w:id="353" w:name="_Toc343597252"/>
      <w:bookmarkStart w:id="354" w:name="_Toc343526809"/>
      <w:bookmarkStart w:id="355" w:name="_Toc343527061"/>
      <w:bookmarkStart w:id="356" w:name="_Toc343581799"/>
      <w:bookmarkStart w:id="357" w:name="_Toc343597254"/>
      <w:bookmarkStart w:id="358" w:name="_Toc343597255"/>
      <w:bookmarkStart w:id="359" w:name="_Toc362274307"/>
      <w:bookmarkEnd w:id="350"/>
      <w:bookmarkEnd w:id="351"/>
      <w:bookmarkEnd w:id="352"/>
      <w:bookmarkEnd w:id="353"/>
      <w:bookmarkEnd w:id="354"/>
      <w:bookmarkEnd w:id="355"/>
      <w:bookmarkEnd w:id="356"/>
      <w:bookmarkEnd w:id="357"/>
      <w:r w:rsidRPr="00B41CFA">
        <w:rPr>
          <w:sz w:val="24"/>
        </w:rPr>
        <w:t>Current demand for ship anchorages at the Port of Hay Point</w:t>
      </w:r>
      <w:bookmarkEnd w:id="358"/>
      <w:bookmarkEnd w:id="359"/>
    </w:p>
    <w:p w:rsidR="001A657F" w:rsidRPr="008F549F" w:rsidRDefault="001A657F" w:rsidP="001A657F">
      <w:pPr>
        <w:pStyle w:val="Body"/>
        <w:rPr>
          <w:sz w:val="24"/>
          <w:szCs w:val="24"/>
        </w:rPr>
      </w:pPr>
      <w:r w:rsidRPr="008F549F">
        <w:rPr>
          <w:sz w:val="24"/>
          <w:szCs w:val="24"/>
        </w:rPr>
        <w:t>Based on MSQ historic vessel movements data for vessels over 50 m in length over the period 1</w:t>
      </w:r>
      <w:r w:rsidRPr="008F549F">
        <w:rPr>
          <w:sz w:val="24"/>
          <w:szCs w:val="24"/>
          <w:vertAlign w:val="superscript"/>
        </w:rPr>
        <w:t xml:space="preserve"> </w:t>
      </w:r>
      <w:r w:rsidRPr="008F549F">
        <w:rPr>
          <w:sz w:val="24"/>
          <w:szCs w:val="24"/>
        </w:rPr>
        <w:t>January 2009 to 30 September 2012, there are currently around a total of 800 ship arrivals per year (all coal ships) at the Port of Hay Point. This number is currently down from 2009 and 20</w:t>
      </w:r>
      <w:r w:rsidR="00374F9D">
        <w:rPr>
          <w:sz w:val="24"/>
          <w:szCs w:val="24"/>
        </w:rPr>
        <w:t>10 levels of around 1000-1</w:t>
      </w:r>
      <w:r w:rsidRPr="008F549F">
        <w:rPr>
          <w:sz w:val="24"/>
          <w:szCs w:val="24"/>
        </w:rPr>
        <w:t>100 ship calls. Nearly all ships (99 per cent) proceed directly to anchor from sea to await a berth. This is different to Abbot Point and means that Hay Point has the highest requirement of the five ports for anchoring</w:t>
      </w:r>
      <w:r w:rsidR="00F80E76" w:rsidRPr="008F549F">
        <w:rPr>
          <w:sz w:val="24"/>
          <w:szCs w:val="24"/>
        </w:rPr>
        <w:t>. Demand at Hay Point</w:t>
      </w:r>
      <w:r w:rsidRPr="008F549F">
        <w:rPr>
          <w:sz w:val="24"/>
          <w:szCs w:val="24"/>
        </w:rPr>
        <w:t xml:space="preserve"> reflect</w:t>
      </w:r>
      <w:r w:rsidR="00F80E76" w:rsidRPr="008F549F">
        <w:rPr>
          <w:sz w:val="24"/>
          <w:szCs w:val="24"/>
        </w:rPr>
        <w:t>s</w:t>
      </w:r>
      <w:r w:rsidRPr="008F549F">
        <w:rPr>
          <w:sz w:val="24"/>
          <w:szCs w:val="24"/>
        </w:rPr>
        <w:t xml:space="preserve"> the nature of the coal trade at the port and the connecting coal supply chains from mine to port.</w:t>
      </w:r>
    </w:p>
    <w:p w:rsidR="001A657F" w:rsidRPr="008F549F" w:rsidRDefault="001A657F" w:rsidP="001A657F">
      <w:pPr>
        <w:pStyle w:val="CaptionTable"/>
        <w:rPr>
          <w:sz w:val="24"/>
          <w:szCs w:val="24"/>
        </w:rPr>
      </w:pPr>
      <w:bookmarkStart w:id="360" w:name="_Toc343597157"/>
      <w:bookmarkStart w:id="361" w:name="_Toc362274371"/>
      <w:r w:rsidRPr="008F549F">
        <w:rPr>
          <w:sz w:val="24"/>
          <w:szCs w:val="24"/>
        </w:rPr>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4</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7</w:t>
      </w:r>
      <w:r w:rsidR="00542883">
        <w:rPr>
          <w:sz w:val="24"/>
          <w:szCs w:val="24"/>
        </w:rPr>
        <w:fldChar w:fldCharType="end"/>
      </w:r>
      <w:r w:rsidR="008F549F">
        <w:rPr>
          <w:sz w:val="24"/>
          <w:szCs w:val="24"/>
        </w:rPr>
        <w:t>:</w:t>
      </w:r>
      <w:r w:rsidRPr="008F549F">
        <w:rPr>
          <w:sz w:val="24"/>
          <w:szCs w:val="24"/>
        </w:rPr>
        <w:t xml:space="preserve"> </w:t>
      </w:r>
      <w:r w:rsidRPr="008F549F">
        <w:rPr>
          <w:b w:val="0"/>
          <w:sz w:val="24"/>
          <w:szCs w:val="24"/>
        </w:rPr>
        <w:t>Total ship visits to the Port of Hay Point and share using ship anchorages, 2009-2012</w:t>
      </w:r>
      <w:bookmarkEnd w:id="360"/>
      <w:r w:rsidR="008F549F">
        <w:rPr>
          <w:b w:val="0"/>
          <w:sz w:val="24"/>
          <w:szCs w:val="24"/>
        </w:rPr>
        <w:t xml:space="preserve"> (Source: MSQ data/</w:t>
      </w:r>
      <w:r w:rsidR="008F549F" w:rsidRPr="008F549F">
        <w:rPr>
          <w:b w:val="0"/>
          <w:sz w:val="24"/>
          <w:szCs w:val="24"/>
        </w:rPr>
        <w:t>GHD analysis</w:t>
      </w:r>
      <w:r w:rsidR="008F549F">
        <w:rPr>
          <w:b w:val="0"/>
          <w:sz w:val="24"/>
          <w:szCs w:val="24"/>
        </w:rPr>
        <w:t>)</w:t>
      </w:r>
      <w:bookmarkEnd w:id="361"/>
    </w:p>
    <w:tbl>
      <w:tblPr>
        <w:tblW w:w="0" w:type="auto"/>
        <w:tblBorders>
          <w:top w:val="single" w:sz="4" w:space="0" w:color="auto"/>
          <w:bottom w:val="single" w:sz="4" w:space="0" w:color="auto"/>
        </w:tblBorders>
        <w:tblLook w:val="0000" w:firstRow="0" w:lastRow="0" w:firstColumn="0" w:lastColumn="0" w:noHBand="0" w:noVBand="0"/>
        <w:tblCaption w:val="Total ship visits to the Port of Hay Point and share using ship anchorages"/>
        <w:tblDescription w:val="The total ship visits to the Port of Hay Point and the share of ships using anchorages from 2009-2012. Columns are each year from 2009-2012 and rows are number or per cent of vessels. "/>
      </w:tblPr>
      <w:tblGrid>
        <w:gridCol w:w="2235"/>
        <w:gridCol w:w="1304"/>
        <w:gridCol w:w="1304"/>
        <w:gridCol w:w="1304"/>
        <w:gridCol w:w="2173"/>
      </w:tblGrid>
      <w:tr w:rsidR="001A657F" w:rsidRPr="008F549F" w:rsidTr="006E3423">
        <w:tc>
          <w:tcPr>
            <w:tcW w:w="2235" w:type="dxa"/>
            <w:tcBorders>
              <w:top w:val="single" w:sz="4" w:space="0" w:color="auto"/>
              <w:bottom w:val="single" w:sz="4" w:space="0" w:color="auto"/>
            </w:tcBorders>
          </w:tcPr>
          <w:p w:rsidR="001A657F" w:rsidRPr="008F549F" w:rsidRDefault="001A657F" w:rsidP="006E3423">
            <w:pPr>
              <w:pStyle w:val="Body"/>
              <w:rPr>
                <w:b/>
                <w:sz w:val="24"/>
                <w:szCs w:val="24"/>
              </w:rPr>
            </w:pPr>
            <w:r w:rsidRPr="008F549F">
              <w:rPr>
                <w:b/>
                <w:sz w:val="24"/>
                <w:szCs w:val="24"/>
              </w:rPr>
              <w:t>Port of Hay Point</w:t>
            </w:r>
          </w:p>
        </w:tc>
        <w:tc>
          <w:tcPr>
            <w:tcW w:w="1304" w:type="dxa"/>
            <w:tcBorders>
              <w:top w:val="single" w:sz="4" w:space="0" w:color="auto"/>
              <w:bottom w:val="single" w:sz="4" w:space="0" w:color="auto"/>
            </w:tcBorders>
          </w:tcPr>
          <w:p w:rsidR="001A657F" w:rsidRPr="008F549F" w:rsidRDefault="001A657F" w:rsidP="006E3423">
            <w:pPr>
              <w:pStyle w:val="Body"/>
              <w:rPr>
                <w:b/>
                <w:sz w:val="24"/>
                <w:szCs w:val="24"/>
              </w:rPr>
            </w:pPr>
            <w:r w:rsidRPr="008F549F">
              <w:rPr>
                <w:b/>
                <w:sz w:val="24"/>
                <w:szCs w:val="24"/>
              </w:rPr>
              <w:t>2009</w:t>
            </w:r>
          </w:p>
        </w:tc>
        <w:tc>
          <w:tcPr>
            <w:tcW w:w="1304" w:type="dxa"/>
            <w:tcBorders>
              <w:top w:val="single" w:sz="4" w:space="0" w:color="auto"/>
              <w:bottom w:val="single" w:sz="4" w:space="0" w:color="auto"/>
            </w:tcBorders>
          </w:tcPr>
          <w:p w:rsidR="001A657F" w:rsidRPr="008F549F" w:rsidRDefault="001A657F" w:rsidP="006E3423">
            <w:pPr>
              <w:pStyle w:val="Body"/>
              <w:rPr>
                <w:b/>
                <w:sz w:val="24"/>
                <w:szCs w:val="24"/>
              </w:rPr>
            </w:pPr>
            <w:r w:rsidRPr="008F549F">
              <w:rPr>
                <w:b/>
                <w:sz w:val="24"/>
                <w:szCs w:val="24"/>
              </w:rPr>
              <w:t>2010</w:t>
            </w:r>
          </w:p>
        </w:tc>
        <w:tc>
          <w:tcPr>
            <w:tcW w:w="1304" w:type="dxa"/>
            <w:tcBorders>
              <w:top w:val="single" w:sz="4" w:space="0" w:color="auto"/>
              <w:bottom w:val="single" w:sz="4" w:space="0" w:color="auto"/>
            </w:tcBorders>
          </w:tcPr>
          <w:p w:rsidR="001A657F" w:rsidRPr="008F549F" w:rsidRDefault="001A657F" w:rsidP="006E3423">
            <w:pPr>
              <w:pStyle w:val="Body"/>
              <w:rPr>
                <w:b/>
                <w:sz w:val="24"/>
                <w:szCs w:val="24"/>
              </w:rPr>
            </w:pPr>
            <w:r w:rsidRPr="008F549F">
              <w:rPr>
                <w:b/>
                <w:sz w:val="24"/>
                <w:szCs w:val="24"/>
              </w:rPr>
              <w:t>2011</w:t>
            </w:r>
          </w:p>
        </w:tc>
        <w:tc>
          <w:tcPr>
            <w:tcW w:w="2173" w:type="dxa"/>
            <w:tcBorders>
              <w:top w:val="single" w:sz="4" w:space="0" w:color="auto"/>
              <w:bottom w:val="single" w:sz="4" w:space="0" w:color="auto"/>
            </w:tcBorders>
          </w:tcPr>
          <w:p w:rsidR="001A657F" w:rsidRPr="008F549F" w:rsidRDefault="001A657F" w:rsidP="006E3423">
            <w:pPr>
              <w:pStyle w:val="Body"/>
              <w:rPr>
                <w:b/>
                <w:sz w:val="24"/>
                <w:szCs w:val="24"/>
              </w:rPr>
            </w:pPr>
            <w:r w:rsidRPr="008F549F">
              <w:rPr>
                <w:b/>
                <w:sz w:val="24"/>
                <w:szCs w:val="24"/>
              </w:rPr>
              <w:t>2012 (Nine months)</w:t>
            </w:r>
          </w:p>
        </w:tc>
      </w:tr>
      <w:tr w:rsidR="001A657F" w:rsidRPr="008F549F" w:rsidTr="006E3423">
        <w:tc>
          <w:tcPr>
            <w:tcW w:w="2235"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Total ship arrivals</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1107</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1020</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796</w:t>
            </w:r>
          </w:p>
        </w:tc>
        <w:tc>
          <w:tcPr>
            <w:tcW w:w="2173"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575</w:t>
            </w:r>
          </w:p>
        </w:tc>
      </w:tr>
      <w:tr w:rsidR="001A657F" w:rsidRPr="008F549F" w:rsidTr="006E3423">
        <w:tc>
          <w:tcPr>
            <w:tcW w:w="2235"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Total direct to berth</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5</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10</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9</w:t>
            </w:r>
          </w:p>
        </w:tc>
        <w:tc>
          <w:tcPr>
            <w:tcW w:w="2173"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3</w:t>
            </w:r>
          </w:p>
        </w:tc>
      </w:tr>
      <w:tr w:rsidR="001A657F" w:rsidRPr="008F549F" w:rsidTr="006E3423">
        <w:tc>
          <w:tcPr>
            <w:tcW w:w="2235"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Total direct to anchor</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1102</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1010</w:t>
            </w:r>
          </w:p>
        </w:tc>
        <w:tc>
          <w:tcPr>
            <w:tcW w:w="1304"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787</w:t>
            </w:r>
          </w:p>
        </w:tc>
        <w:tc>
          <w:tcPr>
            <w:tcW w:w="2173" w:type="dxa"/>
            <w:tcBorders>
              <w:top w:val="single" w:sz="4" w:space="0" w:color="auto"/>
              <w:bottom w:val="single" w:sz="4" w:space="0" w:color="auto"/>
            </w:tcBorders>
          </w:tcPr>
          <w:p w:rsidR="001A657F" w:rsidRPr="008F549F" w:rsidRDefault="001A657F" w:rsidP="006E3423">
            <w:pPr>
              <w:pStyle w:val="Body"/>
              <w:rPr>
                <w:sz w:val="24"/>
                <w:szCs w:val="24"/>
              </w:rPr>
            </w:pPr>
            <w:r w:rsidRPr="008F549F">
              <w:rPr>
                <w:sz w:val="24"/>
                <w:szCs w:val="24"/>
              </w:rPr>
              <w:t>572</w:t>
            </w:r>
          </w:p>
        </w:tc>
      </w:tr>
      <w:tr w:rsidR="001A657F" w:rsidRPr="008F549F" w:rsidTr="006E3423">
        <w:tc>
          <w:tcPr>
            <w:tcW w:w="2235" w:type="dxa"/>
            <w:tcBorders>
              <w:top w:val="single" w:sz="4" w:space="0" w:color="auto"/>
              <w:bottom w:val="single" w:sz="4" w:space="0" w:color="auto"/>
            </w:tcBorders>
          </w:tcPr>
          <w:p w:rsidR="001A657F" w:rsidRPr="008F549F" w:rsidRDefault="008F549F" w:rsidP="006E3423">
            <w:pPr>
              <w:pStyle w:val="Body"/>
              <w:rPr>
                <w:sz w:val="24"/>
                <w:szCs w:val="24"/>
              </w:rPr>
            </w:pPr>
            <w:r>
              <w:rPr>
                <w:sz w:val="24"/>
                <w:szCs w:val="24"/>
              </w:rPr>
              <w:t>Per cent</w:t>
            </w:r>
            <w:r w:rsidR="001A657F" w:rsidRPr="008F549F">
              <w:rPr>
                <w:sz w:val="24"/>
                <w:szCs w:val="24"/>
              </w:rPr>
              <w:t xml:space="preserve"> direct to berth</w:t>
            </w:r>
          </w:p>
        </w:tc>
        <w:tc>
          <w:tcPr>
            <w:tcW w:w="1304" w:type="dxa"/>
            <w:tcBorders>
              <w:top w:val="single" w:sz="4" w:space="0" w:color="auto"/>
              <w:bottom w:val="single" w:sz="4" w:space="0" w:color="auto"/>
            </w:tcBorders>
          </w:tcPr>
          <w:p w:rsidR="001A657F" w:rsidRPr="008F549F" w:rsidRDefault="006E0266" w:rsidP="006E3423">
            <w:pPr>
              <w:pStyle w:val="Body"/>
              <w:rPr>
                <w:sz w:val="24"/>
                <w:szCs w:val="24"/>
              </w:rPr>
            </w:pPr>
            <w:r>
              <w:rPr>
                <w:sz w:val="24"/>
                <w:szCs w:val="24"/>
              </w:rPr>
              <w:t>0</w:t>
            </w:r>
            <w:r w:rsidR="001A657F" w:rsidRPr="008F549F">
              <w:rPr>
                <w:sz w:val="24"/>
                <w:szCs w:val="24"/>
              </w:rPr>
              <w:t>%</w:t>
            </w:r>
          </w:p>
        </w:tc>
        <w:tc>
          <w:tcPr>
            <w:tcW w:w="1304" w:type="dxa"/>
            <w:tcBorders>
              <w:top w:val="single" w:sz="4" w:space="0" w:color="auto"/>
              <w:bottom w:val="single" w:sz="4" w:space="0" w:color="auto"/>
            </w:tcBorders>
          </w:tcPr>
          <w:p w:rsidR="001A657F" w:rsidRPr="008F549F" w:rsidRDefault="006E0266" w:rsidP="006E3423">
            <w:pPr>
              <w:pStyle w:val="Body"/>
              <w:rPr>
                <w:sz w:val="24"/>
                <w:szCs w:val="24"/>
              </w:rPr>
            </w:pPr>
            <w:r>
              <w:rPr>
                <w:sz w:val="24"/>
                <w:szCs w:val="24"/>
              </w:rPr>
              <w:t>1</w:t>
            </w:r>
            <w:r w:rsidR="001A657F" w:rsidRPr="008F549F">
              <w:rPr>
                <w:sz w:val="24"/>
                <w:szCs w:val="24"/>
              </w:rPr>
              <w:t>%</w:t>
            </w:r>
          </w:p>
        </w:tc>
        <w:tc>
          <w:tcPr>
            <w:tcW w:w="1304" w:type="dxa"/>
            <w:tcBorders>
              <w:top w:val="single" w:sz="4" w:space="0" w:color="auto"/>
              <w:bottom w:val="single" w:sz="4" w:space="0" w:color="auto"/>
            </w:tcBorders>
          </w:tcPr>
          <w:p w:rsidR="001A657F" w:rsidRPr="008F549F" w:rsidRDefault="006E0266" w:rsidP="006E3423">
            <w:pPr>
              <w:pStyle w:val="Body"/>
              <w:rPr>
                <w:sz w:val="24"/>
                <w:szCs w:val="24"/>
              </w:rPr>
            </w:pPr>
            <w:r>
              <w:rPr>
                <w:sz w:val="24"/>
                <w:szCs w:val="24"/>
              </w:rPr>
              <w:t>1</w:t>
            </w:r>
            <w:r w:rsidR="001A657F" w:rsidRPr="008F549F">
              <w:rPr>
                <w:sz w:val="24"/>
                <w:szCs w:val="24"/>
              </w:rPr>
              <w:t>%</w:t>
            </w:r>
          </w:p>
        </w:tc>
        <w:tc>
          <w:tcPr>
            <w:tcW w:w="2173" w:type="dxa"/>
            <w:tcBorders>
              <w:top w:val="single" w:sz="4" w:space="0" w:color="auto"/>
              <w:bottom w:val="single" w:sz="4" w:space="0" w:color="auto"/>
            </w:tcBorders>
          </w:tcPr>
          <w:p w:rsidR="001A657F" w:rsidRPr="008F549F" w:rsidRDefault="006E0266" w:rsidP="006E3423">
            <w:pPr>
              <w:pStyle w:val="Body"/>
              <w:rPr>
                <w:sz w:val="24"/>
                <w:szCs w:val="24"/>
              </w:rPr>
            </w:pPr>
            <w:r>
              <w:rPr>
                <w:sz w:val="24"/>
                <w:szCs w:val="24"/>
              </w:rPr>
              <w:t>1</w:t>
            </w:r>
            <w:r w:rsidR="001A657F" w:rsidRPr="008F549F">
              <w:rPr>
                <w:sz w:val="24"/>
                <w:szCs w:val="24"/>
              </w:rPr>
              <w:t>%</w:t>
            </w:r>
          </w:p>
        </w:tc>
      </w:tr>
      <w:tr w:rsidR="001A657F" w:rsidRPr="008F549F" w:rsidTr="006E3423">
        <w:tc>
          <w:tcPr>
            <w:tcW w:w="2235" w:type="dxa"/>
            <w:tcBorders>
              <w:top w:val="single" w:sz="4" w:space="0" w:color="auto"/>
            </w:tcBorders>
          </w:tcPr>
          <w:p w:rsidR="001A657F" w:rsidRPr="008F549F" w:rsidRDefault="008F549F" w:rsidP="006E3423">
            <w:pPr>
              <w:pStyle w:val="Body"/>
              <w:rPr>
                <w:sz w:val="24"/>
                <w:szCs w:val="24"/>
              </w:rPr>
            </w:pPr>
            <w:r>
              <w:rPr>
                <w:sz w:val="24"/>
                <w:szCs w:val="24"/>
              </w:rPr>
              <w:t>Per cent</w:t>
            </w:r>
            <w:r w:rsidR="001A657F" w:rsidRPr="008F549F">
              <w:rPr>
                <w:sz w:val="24"/>
                <w:szCs w:val="24"/>
              </w:rPr>
              <w:t xml:space="preserve"> direct to anchor</w:t>
            </w:r>
          </w:p>
        </w:tc>
        <w:tc>
          <w:tcPr>
            <w:tcW w:w="1304" w:type="dxa"/>
            <w:tcBorders>
              <w:top w:val="single" w:sz="4" w:space="0" w:color="auto"/>
            </w:tcBorders>
          </w:tcPr>
          <w:p w:rsidR="001A657F" w:rsidRPr="008F549F" w:rsidRDefault="006E0266" w:rsidP="006E3423">
            <w:pPr>
              <w:pStyle w:val="Body"/>
              <w:rPr>
                <w:sz w:val="24"/>
                <w:szCs w:val="24"/>
              </w:rPr>
            </w:pPr>
            <w:r>
              <w:rPr>
                <w:sz w:val="24"/>
                <w:szCs w:val="24"/>
              </w:rPr>
              <w:t>100</w:t>
            </w:r>
            <w:r w:rsidR="001A657F" w:rsidRPr="008F549F">
              <w:rPr>
                <w:sz w:val="24"/>
                <w:szCs w:val="24"/>
              </w:rPr>
              <w:t>%</w:t>
            </w:r>
          </w:p>
        </w:tc>
        <w:tc>
          <w:tcPr>
            <w:tcW w:w="1304" w:type="dxa"/>
            <w:tcBorders>
              <w:top w:val="single" w:sz="4" w:space="0" w:color="auto"/>
            </w:tcBorders>
          </w:tcPr>
          <w:p w:rsidR="001A657F" w:rsidRPr="008F549F" w:rsidRDefault="006E0266" w:rsidP="006E3423">
            <w:pPr>
              <w:pStyle w:val="Body"/>
              <w:rPr>
                <w:sz w:val="24"/>
                <w:szCs w:val="24"/>
              </w:rPr>
            </w:pPr>
            <w:r>
              <w:rPr>
                <w:sz w:val="24"/>
                <w:szCs w:val="24"/>
              </w:rPr>
              <w:t>99</w:t>
            </w:r>
            <w:r w:rsidR="001A657F" w:rsidRPr="008F549F">
              <w:rPr>
                <w:sz w:val="24"/>
                <w:szCs w:val="24"/>
              </w:rPr>
              <w:t>%</w:t>
            </w:r>
          </w:p>
        </w:tc>
        <w:tc>
          <w:tcPr>
            <w:tcW w:w="1304" w:type="dxa"/>
            <w:tcBorders>
              <w:top w:val="single" w:sz="4" w:space="0" w:color="auto"/>
            </w:tcBorders>
          </w:tcPr>
          <w:p w:rsidR="001A657F" w:rsidRPr="008F549F" w:rsidRDefault="006E0266" w:rsidP="006E3423">
            <w:pPr>
              <w:pStyle w:val="Body"/>
              <w:rPr>
                <w:sz w:val="24"/>
                <w:szCs w:val="24"/>
              </w:rPr>
            </w:pPr>
            <w:r>
              <w:rPr>
                <w:sz w:val="24"/>
                <w:szCs w:val="24"/>
              </w:rPr>
              <w:t>99</w:t>
            </w:r>
            <w:r w:rsidR="001A657F" w:rsidRPr="008F549F">
              <w:rPr>
                <w:sz w:val="24"/>
                <w:szCs w:val="24"/>
              </w:rPr>
              <w:t>%</w:t>
            </w:r>
          </w:p>
        </w:tc>
        <w:tc>
          <w:tcPr>
            <w:tcW w:w="2173" w:type="dxa"/>
            <w:tcBorders>
              <w:top w:val="single" w:sz="4" w:space="0" w:color="auto"/>
            </w:tcBorders>
          </w:tcPr>
          <w:p w:rsidR="001A657F" w:rsidRPr="008F549F" w:rsidRDefault="006E0266" w:rsidP="006E3423">
            <w:pPr>
              <w:pStyle w:val="Body"/>
              <w:rPr>
                <w:sz w:val="24"/>
                <w:szCs w:val="24"/>
              </w:rPr>
            </w:pPr>
            <w:r>
              <w:rPr>
                <w:sz w:val="24"/>
                <w:szCs w:val="24"/>
              </w:rPr>
              <w:t>99</w:t>
            </w:r>
            <w:r w:rsidR="001A657F" w:rsidRPr="008F549F">
              <w:rPr>
                <w:sz w:val="24"/>
                <w:szCs w:val="24"/>
              </w:rPr>
              <w:t>%</w:t>
            </w:r>
          </w:p>
        </w:tc>
      </w:tr>
    </w:tbl>
    <w:p w:rsidR="001A657F" w:rsidRPr="008F549F" w:rsidRDefault="001A657F" w:rsidP="001A657F">
      <w:pPr>
        <w:pStyle w:val="Body"/>
        <w:rPr>
          <w:sz w:val="24"/>
          <w:szCs w:val="24"/>
        </w:rPr>
      </w:pPr>
    </w:p>
    <w:p w:rsidR="001A657F" w:rsidRPr="008F549F" w:rsidRDefault="001A657F" w:rsidP="001A657F">
      <w:pPr>
        <w:pStyle w:val="Body"/>
        <w:rPr>
          <w:sz w:val="24"/>
          <w:szCs w:val="24"/>
        </w:rPr>
      </w:pPr>
      <w:r w:rsidRPr="008F549F">
        <w:rPr>
          <w:sz w:val="24"/>
          <w:szCs w:val="24"/>
        </w:rPr>
        <w:t>Ships (bulk carriers loading coal) were recorded as using dedicated, numbered anchorages (in 2011):</w:t>
      </w:r>
    </w:p>
    <w:p w:rsidR="001A657F" w:rsidRPr="008F549F" w:rsidRDefault="001A657F" w:rsidP="001A657F">
      <w:pPr>
        <w:pStyle w:val="Body"/>
        <w:numPr>
          <w:ilvl w:val="0"/>
          <w:numId w:val="18"/>
        </w:numPr>
        <w:rPr>
          <w:sz w:val="24"/>
          <w:szCs w:val="24"/>
        </w:rPr>
      </w:pPr>
      <w:r w:rsidRPr="008F549F">
        <w:rPr>
          <w:sz w:val="24"/>
          <w:szCs w:val="24"/>
        </w:rPr>
        <w:t>North Anchorages (1-29) – mainly waiting for DBCT berths (but also for Hay Point Coal Terminal (HPCT) berths)</w:t>
      </w:r>
    </w:p>
    <w:p w:rsidR="001A657F" w:rsidRPr="008F549F" w:rsidRDefault="001A657F" w:rsidP="001A657F">
      <w:pPr>
        <w:pStyle w:val="Body"/>
        <w:numPr>
          <w:ilvl w:val="0"/>
          <w:numId w:val="18"/>
        </w:numPr>
        <w:rPr>
          <w:sz w:val="24"/>
          <w:szCs w:val="24"/>
        </w:rPr>
      </w:pPr>
      <w:r w:rsidRPr="008F549F">
        <w:rPr>
          <w:sz w:val="24"/>
          <w:szCs w:val="24"/>
        </w:rPr>
        <w:t>Offshore Anchorages (1-41) – also mainly waiting for DBCT berths (but also HPCT berths)</w:t>
      </w:r>
    </w:p>
    <w:p w:rsidR="001A657F" w:rsidRPr="008F549F" w:rsidRDefault="001A657F" w:rsidP="001A657F">
      <w:pPr>
        <w:pStyle w:val="Body"/>
        <w:numPr>
          <w:ilvl w:val="0"/>
          <w:numId w:val="18"/>
        </w:numPr>
        <w:rPr>
          <w:sz w:val="24"/>
          <w:szCs w:val="24"/>
        </w:rPr>
      </w:pPr>
      <w:r w:rsidRPr="008F549F">
        <w:rPr>
          <w:sz w:val="24"/>
          <w:szCs w:val="24"/>
        </w:rPr>
        <w:t xml:space="preserve">South Anchorage (1-14) </w:t>
      </w:r>
      <w:r w:rsidR="00F80E76" w:rsidRPr="008F549F">
        <w:rPr>
          <w:sz w:val="24"/>
          <w:szCs w:val="24"/>
        </w:rPr>
        <w:t>–</w:t>
      </w:r>
      <w:r w:rsidRPr="008F549F">
        <w:rPr>
          <w:sz w:val="24"/>
          <w:szCs w:val="24"/>
        </w:rPr>
        <w:t xml:space="preserve"> mainly for HPCT berths (but also DBCT berths).</w:t>
      </w:r>
    </w:p>
    <w:p w:rsidR="001A657F" w:rsidRPr="008F549F" w:rsidRDefault="001A657F" w:rsidP="001A657F">
      <w:pPr>
        <w:pStyle w:val="Body"/>
        <w:rPr>
          <w:sz w:val="24"/>
          <w:szCs w:val="24"/>
        </w:rPr>
      </w:pPr>
      <w:bookmarkStart w:id="362" w:name="_Ref343520215"/>
      <w:r w:rsidRPr="008F549F">
        <w:rPr>
          <w:sz w:val="24"/>
          <w:szCs w:val="24"/>
        </w:rPr>
        <w:t>Based on a sample of ship calls for two months in 2011, ships spent on average around 19 days at anchor. In some instances ships remain at anchor for between one and two months. There are also instances of ships moving from one anchorage area to another within the Port of Hay Point, ships being removed from a berth to anchor and then back to berth, and also ships departing to sea again after being at anchor without proceeding to a berth.</w:t>
      </w:r>
      <w:r w:rsidR="00B3680C">
        <w:rPr>
          <w:sz w:val="24"/>
          <w:szCs w:val="24"/>
        </w:rPr>
        <w:t xml:space="preserve"> </w:t>
      </w:r>
      <w:r w:rsidR="00B3680C" w:rsidRPr="00B3680C">
        <w:rPr>
          <w:sz w:val="24"/>
          <w:szCs w:val="24"/>
        </w:rPr>
        <w:t>Demand and anchor use at Hay Point reflects the nature of the coal trade at the port and the connecting supply chains from the mine to the port. This extended anchor time also reflects ships moving into and out of anchor to load different coal products.</w:t>
      </w:r>
    </w:p>
    <w:p w:rsidR="001A657F" w:rsidRPr="008F549F" w:rsidRDefault="001A657F" w:rsidP="001A657F">
      <w:pPr>
        <w:pStyle w:val="Body"/>
        <w:rPr>
          <w:sz w:val="24"/>
          <w:szCs w:val="24"/>
        </w:rPr>
      </w:pPr>
      <w:r w:rsidRPr="008F549F">
        <w:rPr>
          <w:sz w:val="24"/>
          <w:szCs w:val="24"/>
        </w:rPr>
        <w:t xml:space="preserve">The current scale of the use of ship anchorages at the Port of Hay Point can be summarised as significant. There are </w:t>
      </w:r>
      <w:r w:rsidR="00B3680C">
        <w:rPr>
          <w:sz w:val="24"/>
          <w:szCs w:val="24"/>
        </w:rPr>
        <w:t>102</w:t>
      </w:r>
      <w:r w:rsidRPr="008F549F">
        <w:rPr>
          <w:sz w:val="24"/>
          <w:szCs w:val="24"/>
        </w:rPr>
        <w:t xml:space="preserve"> dedicated points for ships to anchor </w:t>
      </w:r>
      <w:r w:rsidR="00B3680C">
        <w:rPr>
          <w:sz w:val="24"/>
          <w:szCs w:val="24"/>
        </w:rPr>
        <w:t>with</w:t>
      </w:r>
      <w:r w:rsidRPr="008F549F">
        <w:rPr>
          <w:sz w:val="24"/>
          <w:szCs w:val="24"/>
        </w:rPr>
        <w:t xml:space="preserve">in </w:t>
      </w:r>
      <w:r w:rsidR="00B3680C">
        <w:rPr>
          <w:sz w:val="24"/>
          <w:szCs w:val="24"/>
        </w:rPr>
        <w:t xml:space="preserve">the </w:t>
      </w:r>
      <w:r w:rsidRPr="008F549F">
        <w:rPr>
          <w:sz w:val="24"/>
          <w:szCs w:val="24"/>
        </w:rPr>
        <w:t xml:space="preserve">anchorage area, with an average of around </w:t>
      </w:r>
      <w:r w:rsidR="00E379A5" w:rsidRPr="008F549F">
        <w:rPr>
          <w:sz w:val="24"/>
          <w:szCs w:val="24"/>
        </w:rPr>
        <w:t>two to three</w:t>
      </w:r>
      <w:r w:rsidRPr="008F549F">
        <w:rPr>
          <w:sz w:val="24"/>
          <w:szCs w:val="24"/>
        </w:rPr>
        <w:t xml:space="preserve"> ship calls per day using the anchorages for stays from days to weeks and in some cases up to two months.</w:t>
      </w:r>
    </w:p>
    <w:p w:rsidR="001A657F" w:rsidRPr="00B41CFA" w:rsidRDefault="001A657F" w:rsidP="001A657F">
      <w:pPr>
        <w:pStyle w:val="Heading3"/>
        <w:rPr>
          <w:sz w:val="24"/>
        </w:rPr>
      </w:pPr>
      <w:bookmarkStart w:id="363" w:name="_Toc343597256"/>
      <w:bookmarkStart w:id="364" w:name="_Toc362274308"/>
      <w:r w:rsidRPr="00B41CFA">
        <w:rPr>
          <w:sz w:val="24"/>
        </w:rPr>
        <w:t>Future demand for ship anchorages at the Port of Hay Point</w:t>
      </w:r>
      <w:bookmarkEnd w:id="362"/>
      <w:bookmarkEnd w:id="363"/>
      <w:bookmarkEnd w:id="364"/>
    </w:p>
    <w:p w:rsidR="001A657F" w:rsidRPr="00143FC4" w:rsidRDefault="001A657F" w:rsidP="001A657F">
      <w:pPr>
        <w:pStyle w:val="Body"/>
        <w:rPr>
          <w:sz w:val="24"/>
          <w:szCs w:val="24"/>
        </w:rPr>
      </w:pPr>
      <w:r w:rsidRPr="00143FC4">
        <w:rPr>
          <w:sz w:val="24"/>
          <w:szCs w:val="24"/>
        </w:rPr>
        <w:t>PGM Environment (2012) forecasts a probable case of around five</w:t>
      </w:r>
      <w:r w:rsidR="00300D7C" w:rsidRPr="00143FC4">
        <w:rPr>
          <w:sz w:val="24"/>
          <w:szCs w:val="24"/>
        </w:rPr>
        <w:t xml:space="preserve"> to </w:t>
      </w:r>
      <w:r w:rsidRPr="00143FC4">
        <w:rPr>
          <w:sz w:val="24"/>
          <w:szCs w:val="24"/>
        </w:rPr>
        <w:t>six per cent per year growth in ship calls over the period 2012-2032 (financial year end numbers)</w:t>
      </w:r>
      <w:r w:rsidR="00300D7C" w:rsidRPr="00143FC4">
        <w:rPr>
          <w:sz w:val="24"/>
          <w:szCs w:val="24"/>
        </w:rPr>
        <w:t xml:space="preserve">. Growth is </w:t>
      </w:r>
      <w:r w:rsidRPr="00143FC4">
        <w:rPr>
          <w:sz w:val="24"/>
          <w:szCs w:val="24"/>
        </w:rPr>
        <w:t>driven by coal ships</w:t>
      </w:r>
      <w:r w:rsidR="00300D7C" w:rsidRPr="00143FC4">
        <w:rPr>
          <w:sz w:val="24"/>
          <w:szCs w:val="24"/>
        </w:rPr>
        <w:t>,</w:t>
      </w:r>
      <w:r w:rsidRPr="00143FC4">
        <w:rPr>
          <w:sz w:val="24"/>
          <w:szCs w:val="24"/>
        </w:rPr>
        <w:t xml:space="preserve"> particularly </w:t>
      </w:r>
      <w:r w:rsidR="00300D7C" w:rsidRPr="00143FC4">
        <w:rPr>
          <w:sz w:val="24"/>
          <w:szCs w:val="24"/>
        </w:rPr>
        <w:t xml:space="preserve">in association with </w:t>
      </w:r>
      <w:r w:rsidRPr="00143FC4">
        <w:rPr>
          <w:sz w:val="24"/>
          <w:szCs w:val="24"/>
        </w:rPr>
        <w:t>approved expansions and the assumed operation of the new Dudgeon Point terminal</w:t>
      </w:r>
      <w:r w:rsidR="00300D7C" w:rsidRPr="00143FC4">
        <w:rPr>
          <w:sz w:val="24"/>
          <w:szCs w:val="24"/>
        </w:rPr>
        <w:t>. T</w:t>
      </w:r>
      <w:r w:rsidRPr="00143FC4">
        <w:rPr>
          <w:sz w:val="24"/>
          <w:szCs w:val="24"/>
        </w:rPr>
        <w:t xml:space="preserve">he number of calls </w:t>
      </w:r>
      <w:r w:rsidR="00300D7C" w:rsidRPr="00143FC4">
        <w:rPr>
          <w:sz w:val="24"/>
          <w:szCs w:val="24"/>
        </w:rPr>
        <w:t xml:space="preserve">are forecast to </w:t>
      </w:r>
      <w:r w:rsidRPr="00143FC4">
        <w:rPr>
          <w:sz w:val="24"/>
          <w:szCs w:val="24"/>
        </w:rPr>
        <w:t>ris</w:t>
      </w:r>
      <w:r w:rsidR="00300D7C" w:rsidRPr="00143FC4">
        <w:rPr>
          <w:sz w:val="24"/>
          <w:szCs w:val="24"/>
        </w:rPr>
        <w:t>e</w:t>
      </w:r>
      <w:r w:rsidR="00374F9D">
        <w:rPr>
          <w:sz w:val="24"/>
          <w:szCs w:val="24"/>
        </w:rPr>
        <w:t xml:space="preserve"> from a 2012 base of 809 to 1513 in 2020 and 2</w:t>
      </w:r>
      <w:r w:rsidRPr="00143FC4">
        <w:rPr>
          <w:sz w:val="24"/>
          <w:szCs w:val="24"/>
        </w:rPr>
        <w:t>380 in 2032 (</w:t>
      </w:r>
      <w:r w:rsidR="00CD38ED" w:rsidRPr="00143FC4">
        <w:rPr>
          <w:sz w:val="24"/>
          <w:szCs w:val="24"/>
        </w:rPr>
        <w:fldChar w:fldCharType="begin"/>
      </w:r>
      <w:r w:rsidRPr="00143FC4">
        <w:rPr>
          <w:sz w:val="24"/>
          <w:szCs w:val="24"/>
        </w:rPr>
        <w:instrText xml:space="preserve"> REF  _Ref342397106 \* Lower \h </w:instrText>
      </w:r>
      <w:r w:rsidR="00143FC4">
        <w:rPr>
          <w:sz w:val="24"/>
          <w:szCs w:val="24"/>
        </w:rPr>
        <w:instrText xml:space="preserve"> \* MERGEFORMAT </w:instrText>
      </w:r>
      <w:r w:rsidR="00CD38ED" w:rsidRPr="00143FC4">
        <w:rPr>
          <w:sz w:val="24"/>
          <w:szCs w:val="24"/>
        </w:rPr>
      </w:r>
      <w:r w:rsidR="00CD38ED" w:rsidRPr="00143FC4">
        <w:rPr>
          <w:sz w:val="24"/>
          <w:szCs w:val="24"/>
        </w:rPr>
        <w:fldChar w:fldCharType="separate"/>
      </w:r>
      <w:r w:rsidR="005F6E51" w:rsidRPr="00143FC4">
        <w:rPr>
          <w:sz w:val="24"/>
          <w:szCs w:val="24"/>
        </w:rPr>
        <w:t xml:space="preserve">figure </w:t>
      </w:r>
      <w:r w:rsidR="005F6E51">
        <w:rPr>
          <w:noProof/>
          <w:sz w:val="24"/>
          <w:szCs w:val="24"/>
        </w:rPr>
        <w:t>4</w:t>
      </w:r>
      <w:r w:rsidR="005F6E51" w:rsidRPr="00143FC4">
        <w:rPr>
          <w:noProof/>
          <w:sz w:val="24"/>
          <w:szCs w:val="24"/>
        </w:rPr>
        <w:noBreakHyphen/>
      </w:r>
      <w:r w:rsidR="005F6E51">
        <w:rPr>
          <w:noProof/>
          <w:sz w:val="24"/>
          <w:szCs w:val="24"/>
        </w:rPr>
        <w:t>10</w:t>
      </w:r>
      <w:r w:rsidR="00CD38ED" w:rsidRPr="00143FC4">
        <w:rPr>
          <w:sz w:val="24"/>
          <w:szCs w:val="24"/>
        </w:rPr>
        <w:fldChar w:fldCharType="end"/>
      </w:r>
      <w:r w:rsidRPr="00143FC4">
        <w:rPr>
          <w:sz w:val="24"/>
          <w:szCs w:val="24"/>
        </w:rPr>
        <w:t>).</w:t>
      </w:r>
    </w:p>
    <w:p w:rsidR="001A657F" w:rsidRPr="00143FC4" w:rsidRDefault="001A657F" w:rsidP="001A657F">
      <w:pPr>
        <w:pStyle w:val="Body"/>
        <w:jc w:val="center"/>
        <w:rPr>
          <w:sz w:val="24"/>
          <w:szCs w:val="24"/>
        </w:rPr>
      </w:pPr>
      <w:r w:rsidRPr="00143FC4">
        <w:rPr>
          <w:noProof/>
          <w:sz w:val="24"/>
          <w:szCs w:val="24"/>
          <w:lang w:eastAsia="en-AU"/>
        </w:rPr>
        <w:drawing>
          <wp:inline distT="0" distB="0" distL="0" distR="0" wp14:anchorId="00F395B5" wp14:editId="1BC2E240">
            <wp:extent cx="5801047" cy="2664000"/>
            <wp:effectExtent l="0" t="0" r="0" b="3175"/>
            <wp:docPr id="8" name="Picture 8" descr="Forecast of ship call numbers for Port of Hay Point from 2012-2032. Forecasts are a probable case of around five to six per cent per year growth in ship calls over the period 2012-2032 for the Port of Hay Point. Further text provided in Section 4.8.3." title="Forecast ship call numbers “probable case” for Port of Hay Poin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49" cstate="print">
                      <a:extLst>
                        <a:ext uri="{BEBA8EAE-BF5A-486C-A8C5-ECC9F3942E4B}">
                          <a14:imgProps xmlns:a14="http://schemas.microsoft.com/office/drawing/2010/main">
                            <a14:imgLayer r:embed="rId50">
                              <a14:imgEffect>
                                <a14:sharpenSoften amount="50000"/>
                              </a14:imgEffect>
                            </a14:imgLayer>
                          </a14:imgProps>
                        </a:ext>
                        <a:ext uri="{28A0092B-C50C-407E-A947-70E740481C1C}">
                          <a14:useLocalDpi xmlns:a14="http://schemas.microsoft.com/office/drawing/2010/main" val="0"/>
                        </a:ext>
                      </a:extLst>
                    </a:blip>
                    <a:srcRect l="1437" t="20780" r="1256" b="964"/>
                    <a:stretch/>
                  </pic:blipFill>
                  <pic:spPr bwMode="auto">
                    <a:xfrm>
                      <a:off x="0" y="0"/>
                      <a:ext cx="5801047" cy="2664000"/>
                    </a:xfrm>
                    <a:prstGeom prst="rect">
                      <a:avLst/>
                    </a:prstGeom>
                    <a:noFill/>
                    <a:ln>
                      <a:noFill/>
                    </a:ln>
                    <a:extLst>
                      <a:ext uri="{53640926-AAD7-44D8-BBD7-CCE9431645EC}">
                        <a14:shadowObscured xmlns:a14="http://schemas.microsoft.com/office/drawing/2010/main"/>
                      </a:ext>
                    </a:extLst>
                  </pic:spPr>
                </pic:pic>
              </a:graphicData>
            </a:graphic>
          </wp:inline>
        </w:drawing>
      </w:r>
    </w:p>
    <w:p w:rsidR="001A657F" w:rsidRPr="00143FC4" w:rsidRDefault="001A657F" w:rsidP="001A657F">
      <w:pPr>
        <w:pStyle w:val="Caption"/>
        <w:rPr>
          <w:b w:val="0"/>
          <w:sz w:val="24"/>
          <w:szCs w:val="24"/>
        </w:rPr>
      </w:pPr>
      <w:bookmarkStart w:id="365" w:name="_Ref342397106"/>
      <w:bookmarkStart w:id="366" w:name="_Toc343597601"/>
      <w:bookmarkStart w:id="367" w:name="_Toc362274389"/>
      <w:r w:rsidRPr="00143FC4">
        <w:rPr>
          <w:sz w:val="24"/>
          <w:szCs w:val="24"/>
        </w:rPr>
        <w:t xml:space="preserve">Figure </w:t>
      </w:r>
      <w:r w:rsidR="009108AD" w:rsidRPr="00143FC4">
        <w:rPr>
          <w:sz w:val="24"/>
          <w:szCs w:val="24"/>
        </w:rPr>
        <w:fldChar w:fldCharType="begin"/>
      </w:r>
      <w:r w:rsidR="009108AD" w:rsidRPr="00143FC4">
        <w:rPr>
          <w:sz w:val="24"/>
          <w:szCs w:val="24"/>
        </w:rPr>
        <w:instrText xml:space="preserve"> STYLEREF 1 \s </w:instrText>
      </w:r>
      <w:r w:rsidR="009108AD" w:rsidRPr="00143FC4">
        <w:rPr>
          <w:sz w:val="24"/>
          <w:szCs w:val="24"/>
        </w:rPr>
        <w:fldChar w:fldCharType="separate"/>
      </w:r>
      <w:r w:rsidR="005F6E51">
        <w:rPr>
          <w:noProof/>
          <w:sz w:val="24"/>
          <w:szCs w:val="24"/>
        </w:rPr>
        <w:t>4</w:t>
      </w:r>
      <w:r w:rsidR="009108AD" w:rsidRPr="00143FC4">
        <w:rPr>
          <w:noProof/>
          <w:sz w:val="24"/>
          <w:szCs w:val="24"/>
        </w:rPr>
        <w:fldChar w:fldCharType="end"/>
      </w:r>
      <w:r w:rsidRPr="00143FC4">
        <w:rPr>
          <w:sz w:val="24"/>
          <w:szCs w:val="24"/>
        </w:rPr>
        <w:noBreakHyphen/>
      </w:r>
      <w:r w:rsidR="009108AD" w:rsidRPr="00143FC4">
        <w:rPr>
          <w:sz w:val="24"/>
          <w:szCs w:val="24"/>
        </w:rPr>
        <w:fldChar w:fldCharType="begin"/>
      </w:r>
      <w:r w:rsidR="009108AD" w:rsidRPr="00143FC4">
        <w:rPr>
          <w:sz w:val="24"/>
          <w:szCs w:val="24"/>
        </w:rPr>
        <w:instrText xml:space="preserve"> SEQ Figure \* ARABIC \s 1 </w:instrText>
      </w:r>
      <w:r w:rsidR="009108AD" w:rsidRPr="00143FC4">
        <w:rPr>
          <w:sz w:val="24"/>
          <w:szCs w:val="24"/>
        </w:rPr>
        <w:fldChar w:fldCharType="separate"/>
      </w:r>
      <w:r w:rsidR="005F6E51">
        <w:rPr>
          <w:noProof/>
          <w:sz w:val="24"/>
          <w:szCs w:val="24"/>
        </w:rPr>
        <w:t>10</w:t>
      </w:r>
      <w:r w:rsidR="009108AD" w:rsidRPr="00143FC4">
        <w:rPr>
          <w:noProof/>
          <w:sz w:val="24"/>
          <w:szCs w:val="24"/>
        </w:rPr>
        <w:fldChar w:fldCharType="end"/>
      </w:r>
      <w:bookmarkEnd w:id="365"/>
      <w:r w:rsidR="00143FC4">
        <w:rPr>
          <w:noProof/>
          <w:sz w:val="24"/>
          <w:szCs w:val="24"/>
        </w:rPr>
        <w:t>:</w:t>
      </w:r>
      <w:r w:rsidRPr="00143FC4">
        <w:rPr>
          <w:sz w:val="24"/>
          <w:szCs w:val="24"/>
        </w:rPr>
        <w:t xml:space="preserve"> </w:t>
      </w:r>
      <w:r w:rsidRPr="00143FC4">
        <w:rPr>
          <w:b w:val="0"/>
          <w:sz w:val="24"/>
          <w:szCs w:val="24"/>
        </w:rPr>
        <w:t>Forecast ship call numbers “probable case” for Port of Hay Point (2012-2032) as extracted from PGM Environment 2012</w:t>
      </w:r>
      <w:bookmarkEnd w:id="366"/>
      <w:bookmarkEnd w:id="367"/>
    </w:p>
    <w:p w:rsidR="001A657F" w:rsidRPr="00143FC4" w:rsidRDefault="00300D7C" w:rsidP="001A657F">
      <w:pPr>
        <w:pStyle w:val="Body"/>
        <w:rPr>
          <w:sz w:val="24"/>
          <w:szCs w:val="24"/>
        </w:rPr>
      </w:pPr>
      <w:r w:rsidRPr="00143FC4">
        <w:rPr>
          <w:sz w:val="24"/>
          <w:szCs w:val="24"/>
        </w:rPr>
        <w:t>S</w:t>
      </w:r>
      <w:r w:rsidR="001A657F" w:rsidRPr="00143FC4">
        <w:rPr>
          <w:sz w:val="24"/>
          <w:szCs w:val="24"/>
        </w:rPr>
        <w:t xml:space="preserve">hip call numbers </w:t>
      </w:r>
      <w:r w:rsidRPr="00143FC4">
        <w:rPr>
          <w:sz w:val="24"/>
          <w:szCs w:val="24"/>
        </w:rPr>
        <w:t xml:space="preserve">are forecast to </w:t>
      </w:r>
      <w:r w:rsidR="001A657F" w:rsidRPr="00143FC4">
        <w:rPr>
          <w:sz w:val="24"/>
          <w:szCs w:val="24"/>
        </w:rPr>
        <w:t>increas</w:t>
      </w:r>
      <w:r w:rsidRPr="00143FC4">
        <w:rPr>
          <w:sz w:val="24"/>
          <w:szCs w:val="24"/>
        </w:rPr>
        <w:t>e</w:t>
      </w:r>
      <w:r w:rsidR="001A657F" w:rsidRPr="00143FC4">
        <w:rPr>
          <w:sz w:val="24"/>
          <w:szCs w:val="24"/>
        </w:rPr>
        <w:t xml:space="preserve"> significantly at the Port of Hay Point</w:t>
      </w:r>
      <w:r w:rsidRPr="00143FC4">
        <w:rPr>
          <w:sz w:val="24"/>
          <w:szCs w:val="24"/>
        </w:rPr>
        <w:t>.</w:t>
      </w:r>
      <w:r w:rsidR="001A657F" w:rsidRPr="00143FC4">
        <w:rPr>
          <w:sz w:val="24"/>
          <w:szCs w:val="24"/>
        </w:rPr>
        <w:t xml:space="preserve"> </w:t>
      </w:r>
      <w:r w:rsidRPr="00143FC4">
        <w:rPr>
          <w:sz w:val="24"/>
          <w:szCs w:val="24"/>
        </w:rPr>
        <w:t>I</w:t>
      </w:r>
      <w:r w:rsidR="001A657F" w:rsidRPr="00143FC4">
        <w:rPr>
          <w:sz w:val="24"/>
          <w:szCs w:val="24"/>
        </w:rPr>
        <w:t xml:space="preserve">t is likely that the future demand for ship anchorages over the next 20 years will increase at a </w:t>
      </w:r>
      <w:r w:rsidRPr="00143FC4">
        <w:rPr>
          <w:sz w:val="24"/>
          <w:szCs w:val="24"/>
        </w:rPr>
        <w:t xml:space="preserve">similar </w:t>
      </w:r>
      <w:r w:rsidR="001A657F" w:rsidRPr="00143FC4">
        <w:rPr>
          <w:sz w:val="24"/>
          <w:szCs w:val="24"/>
        </w:rPr>
        <w:t xml:space="preserve">rate. </w:t>
      </w:r>
      <w:r w:rsidRPr="00143FC4">
        <w:rPr>
          <w:sz w:val="24"/>
          <w:szCs w:val="24"/>
        </w:rPr>
        <w:t>T</w:t>
      </w:r>
      <w:r w:rsidR="001A657F" w:rsidRPr="00143FC4">
        <w:rPr>
          <w:sz w:val="24"/>
          <w:szCs w:val="24"/>
        </w:rPr>
        <w:t xml:space="preserve">here is a possibility that coal producers using the planned new terminal at Dudgeon Point will also </w:t>
      </w:r>
      <w:r w:rsidRPr="00143FC4">
        <w:rPr>
          <w:sz w:val="24"/>
          <w:szCs w:val="24"/>
        </w:rPr>
        <w:t>control</w:t>
      </w:r>
      <w:r w:rsidR="001A657F" w:rsidRPr="00143FC4">
        <w:rPr>
          <w:sz w:val="24"/>
          <w:szCs w:val="24"/>
        </w:rPr>
        <w:t xml:space="preserve"> shipping which provides the potential to better schedule ships to call at a berth direct from sea. </w:t>
      </w:r>
    </w:p>
    <w:p w:rsidR="001A657F" w:rsidRPr="002914C2" w:rsidRDefault="001A657F" w:rsidP="001A657F">
      <w:pPr>
        <w:pStyle w:val="Body"/>
        <w:rPr>
          <w:sz w:val="24"/>
          <w:szCs w:val="24"/>
        </w:rPr>
      </w:pPr>
      <w:r w:rsidRPr="00143FC4">
        <w:rPr>
          <w:sz w:val="24"/>
          <w:szCs w:val="24"/>
        </w:rPr>
        <w:t xml:space="preserve">The future scale of the use of ship anchorages at the Port of Hay Point over the next 20 years can be summarised as becoming even more significant with the demand possibly </w:t>
      </w:r>
      <w:r w:rsidRPr="002914C2">
        <w:rPr>
          <w:sz w:val="24"/>
          <w:szCs w:val="24"/>
        </w:rPr>
        <w:t xml:space="preserve">increasing by around three times in 2032 compared with today (i.e. around 6.5 ship calls per day requiring the use of anchorage). Based on existing data, this future growth in anchorage demand will likely test the current capacity of the designated ship anchorages. There could still be sufficient anchorage space particularly if the average ship time at anchor is reduced. </w:t>
      </w:r>
    </w:p>
    <w:p w:rsidR="001A657F" w:rsidRPr="00143FC4" w:rsidRDefault="001A657F" w:rsidP="001A657F">
      <w:pPr>
        <w:pStyle w:val="Body"/>
        <w:rPr>
          <w:sz w:val="24"/>
          <w:szCs w:val="24"/>
        </w:rPr>
      </w:pPr>
      <w:r w:rsidRPr="002914C2">
        <w:rPr>
          <w:sz w:val="24"/>
          <w:szCs w:val="24"/>
        </w:rPr>
        <w:t>It is worth noting that the forecasting of average future waiting times at anchor is complex, depending on many unknown variables</w:t>
      </w:r>
      <w:r w:rsidR="00300D7C" w:rsidRPr="00143FC4">
        <w:rPr>
          <w:sz w:val="24"/>
          <w:szCs w:val="24"/>
        </w:rPr>
        <w:t>,</w:t>
      </w:r>
      <w:r w:rsidRPr="00143FC4">
        <w:rPr>
          <w:sz w:val="24"/>
          <w:szCs w:val="24"/>
        </w:rPr>
        <w:t xml:space="preserve"> such as the future efficiency of coal supply chains and the global future supply/demand of the shipping market.</w:t>
      </w:r>
    </w:p>
    <w:p w:rsidR="001A657F" w:rsidRPr="00B41CFA" w:rsidRDefault="001A657F" w:rsidP="001A657F">
      <w:pPr>
        <w:pStyle w:val="Heading2"/>
        <w:rPr>
          <w:sz w:val="24"/>
        </w:rPr>
      </w:pPr>
      <w:bookmarkStart w:id="368" w:name="_Toc343597257"/>
      <w:bookmarkStart w:id="369" w:name="_Toc362274309"/>
      <w:r w:rsidRPr="00B41CFA">
        <w:rPr>
          <w:sz w:val="24"/>
        </w:rPr>
        <w:t>Demand for and use of ship anchorages at the Port of Gladstone</w:t>
      </w:r>
      <w:bookmarkEnd w:id="368"/>
      <w:bookmarkEnd w:id="369"/>
    </w:p>
    <w:p w:rsidR="001A657F" w:rsidRPr="00B41CFA" w:rsidRDefault="001A657F" w:rsidP="001A657F">
      <w:pPr>
        <w:pStyle w:val="Heading3"/>
        <w:rPr>
          <w:sz w:val="24"/>
        </w:rPr>
      </w:pPr>
      <w:bookmarkStart w:id="370" w:name="_Toc343597258"/>
      <w:bookmarkStart w:id="371" w:name="_Ref349901321"/>
      <w:bookmarkStart w:id="372" w:name="_Toc362274310"/>
      <w:r w:rsidRPr="00B41CFA">
        <w:rPr>
          <w:sz w:val="24"/>
        </w:rPr>
        <w:t>Current profile of ship anchorages at the Port of Gladstone</w:t>
      </w:r>
      <w:bookmarkEnd w:id="370"/>
      <w:bookmarkEnd w:id="371"/>
      <w:bookmarkEnd w:id="372"/>
    </w:p>
    <w:p w:rsidR="001A657F" w:rsidRPr="00143FC4" w:rsidRDefault="001A657F" w:rsidP="001A657F">
      <w:pPr>
        <w:pStyle w:val="Body"/>
        <w:rPr>
          <w:sz w:val="24"/>
          <w:szCs w:val="24"/>
        </w:rPr>
      </w:pPr>
      <w:r w:rsidRPr="00143FC4">
        <w:rPr>
          <w:sz w:val="24"/>
          <w:szCs w:val="24"/>
        </w:rPr>
        <w:t xml:space="preserve">The majority of anchorages servicing the Port of Gladstone (see </w:t>
      </w:r>
      <w:r w:rsidR="00CD38ED" w:rsidRPr="00143FC4">
        <w:rPr>
          <w:sz w:val="24"/>
          <w:szCs w:val="24"/>
        </w:rPr>
        <w:fldChar w:fldCharType="begin"/>
      </w:r>
      <w:r w:rsidRPr="00143FC4">
        <w:rPr>
          <w:sz w:val="24"/>
          <w:szCs w:val="24"/>
        </w:rPr>
        <w:instrText xml:space="preserve"> REF  _Ref342401525 \* Lower \h </w:instrText>
      </w:r>
      <w:r w:rsidR="00143FC4">
        <w:rPr>
          <w:sz w:val="24"/>
          <w:szCs w:val="24"/>
        </w:rPr>
        <w:instrText xml:space="preserve"> \* MERGEFORMAT </w:instrText>
      </w:r>
      <w:r w:rsidR="00CD38ED" w:rsidRPr="00143FC4">
        <w:rPr>
          <w:sz w:val="24"/>
          <w:szCs w:val="24"/>
        </w:rPr>
      </w:r>
      <w:r w:rsidR="00CD38ED" w:rsidRPr="00143FC4">
        <w:rPr>
          <w:sz w:val="24"/>
          <w:szCs w:val="24"/>
        </w:rPr>
        <w:fldChar w:fldCharType="separate"/>
      </w:r>
      <w:r w:rsidR="005F6E51" w:rsidRPr="00143FC4">
        <w:rPr>
          <w:sz w:val="24"/>
          <w:szCs w:val="24"/>
        </w:rPr>
        <w:t xml:space="preserve">figure </w:t>
      </w:r>
      <w:r w:rsidR="005F6E51">
        <w:rPr>
          <w:noProof/>
          <w:sz w:val="24"/>
          <w:szCs w:val="24"/>
        </w:rPr>
        <w:t>4</w:t>
      </w:r>
      <w:r w:rsidR="005F6E51" w:rsidRPr="00143FC4">
        <w:rPr>
          <w:noProof/>
          <w:sz w:val="24"/>
          <w:szCs w:val="24"/>
        </w:rPr>
        <w:noBreakHyphen/>
      </w:r>
      <w:r w:rsidR="005F6E51">
        <w:rPr>
          <w:noProof/>
          <w:sz w:val="24"/>
          <w:szCs w:val="24"/>
        </w:rPr>
        <w:t>11</w:t>
      </w:r>
      <w:r w:rsidR="00CD38ED" w:rsidRPr="00143FC4">
        <w:rPr>
          <w:sz w:val="24"/>
          <w:szCs w:val="24"/>
        </w:rPr>
        <w:fldChar w:fldCharType="end"/>
      </w:r>
      <w:r w:rsidRPr="00143FC4">
        <w:rPr>
          <w:sz w:val="24"/>
          <w:szCs w:val="24"/>
        </w:rPr>
        <w:t>) are located in an area east-south-east of Facing Island, outside of Gladstone Harbour and the port limits (hereafter referred to as the outer anchorage area</w:t>
      </w:r>
      <w:r w:rsidR="002F3368" w:rsidRPr="00143FC4">
        <w:rPr>
          <w:sz w:val="24"/>
          <w:szCs w:val="24"/>
        </w:rPr>
        <w:t>)</w:t>
      </w:r>
      <w:r w:rsidRPr="00143FC4">
        <w:rPr>
          <w:sz w:val="24"/>
          <w:szCs w:val="24"/>
        </w:rPr>
        <w:t xml:space="preserve">. A smaller anchorage area </w:t>
      </w:r>
      <w:r w:rsidR="002F3368" w:rsidRPr="00143FC4">
        <w:rPr>
          <w:sz w:val="24"/>
          <w:szCs w:val="24"/>
        </w:rPr>
        <w:t>(</w:t>
      </w:r>
      <w:r w:rsidRPr="00143FC4">
        <w:rPr>
          <w:sz w:val="24"/>
          <w:szCs w:val="24"/>
        </w:rPr>
        <w:t>herein referred to as the inner anchorage area</w:t>
      </w:r>
      <w:r w:rsidR="002F3368" w:rsidRPr="00143FC4">
        <w:rPr>
          <w:sz w:val="24"/>
          <w:szCs w:val="24"/>
        </w:rPr>
        <w:t>)</w:t>
      </w:r>
      <w:r w:rsidRPr="00143FC4">
        <w:rPr>
          <w:sz w:val="24"/>
          <w:szCs w:val="24"/>
        </w:rPr>
        <w:t xml:space="preserve"> is located to the west of Facing Island within Gladstone Harbour. The outer anchorage area is located more than 20 km from the Port of Gladstone and in an area of open seabed. The inner anchorage area is located within the port limits and approximately 5 km from the main Port of Gladstone. </w:t>
      </w:r>
    </w:p>
    <w:p w:rsidR="001A657F" w:rsidRPr="00143FC4" w:rsidRDefault="001A657F" w:rsidP="001A657F">
      <w:pPr>
        <w:pStyle w:val="Body"/>
        <w:rPr>
          <w:sz w:val="24"/>
          <w:szCs w:val="24"/>
        </w:rPr>
      </w:pPr>
      <w:r w:rsidRPr="00143FC4">
        <w:rPr>
          <w:sz w:val="24"/>
          <w:szCs w:val="24"/>
        </w:rPr>
        <w:t xml:space="preserve">The combined ship anchorage area defined for this study totals an area of 24,125 </w:t>
      </w:r>
      <w:r w:rsidR="009C4624" w:rsidRPr="00143FC4">
        <w:rPr>
          <w:sz w:val="24"/>
          <w:szCs w:val="24"/>
        </w:rPr>
        <w:t>ha</w:t>
      </w:r>
      <w:r w:rsidR="006E61D2">
        <w:rPr>
          <w:sz w:val="24"/>
          <w:szCs w:val="24"/>
        </w:rPr>
        <w:t>, comprising 1</w:t>
      </w:r>
      <w:r w:rsidRPr="00143FC4">
        <w:rPr>
          <w:sz w:val="24"/>
          <w:szCs w:val="24"/>
        </w:rPr>
        <w:t xml:space="preserve">403 </w:t>
      </w:r>
      <w:r w:rsidR="009C4624" w:rsidRPr="00143FC4">
        <w:rPr>
          <w:sz w:val="24"/>
          <w:szCs w:val="24"/>
        </w:rPr>
        <w:t xml:space="preserve">ha </w:t>
      </w:r>
      <w:r w:rsidRPr="00143FC4">
        <w:rPr>
          <w:sz w:val="24"/>
          <w:szCs w:val="24"/>
        </w:rPr>
        <w:t xml:space="preserve">for the inner anchorage and 22,722 </w:t>
      </w:r>
      <w:r w:rsidR="009C4624" w:rsidRPr="00143FC4">
        <w:rPr>
          <w:sz w:val="24"/>
          <w:szCs w:val="24"/>
        </w:rPr>
        <w:t xml:space="preserve">ha </w:t>
      </w:r>
      <w:r w:rsidRPr="00143FC4">
        <w:rPr>
          <w:sz w:val="24"/>
          <w:szCs w:val="24"/>
        </w:rPr>
        <w:t>for the outer anchorage. The inner anchorage area is visible to residents and visitors to Gladstone and the nearby islands within the World Heritage Area. The outer anchorage is located in a General Use Zone of the Marine Park, while the inner anchorage area is outside of the Marine Park. Both anchorage areas are utilised by large commercial ships servicing the Port of Gladstone</w:t>
      </w:r>
      <w:r w:rsidR="002F3368" w:rsidRPr="00143FC4">
        <w:rPr>
          <w:sz w:val="24"/>
          <w:szCs w:val="24"/>
        </w:rPr>
        <w:t>. They</w:t>
      </w:r>
      <w:r w:rsidRPr="00143FC4">
        <w:rPr>
          <w:sz w:val="24"/>
          <w:szCs w:val="24"/>
        </w:rPr>
        <w:t xml:space="preserve"> are </w:t>
      </w:r>
      <w:r w:rsidR="002F3368" w:rsidRPr="00143FC4">
        <w:rPr>
          <w:sz w:val="24"/>
          <w:szCs w:val="24"/>
        </w:rPr>
        <w:t xml:space="preserve">also </w:t>
      </w:r>
      <w:r w:rsidRPr="00143FC4">
        <w:rPr>
          <w:sz w:val="24"/>
          <w:szCs w:val="24"/>
        </w:rPr>
        <w:t>regularly transited by commercial and recreational fishing vessels and a low volume of tourism operators accessing the Reef and islands within the World Heritage Area.</w:t>
      </w:r>
    </w:p>
    <w:p w:rsidR="001A657F" w:rsidRPr="00143FC4" w:rsidRDefault="001A657F" w:rsidP="001A657F">
      <w:pPr>
        <w:pStyle w:val="Body"/>
        <w:rPr>
          <w:sz w:val="24"/>
          <w:szCs w:val="24"/>
        </w:rPr>
      </w:pPr>
      <w:r w:rsidRPr="00143FC4">
        <w:rPr>
          <w:sz w:val="24"/>
          <w:szCs w:val="24"/>
        </w:rPr>
        <w:t>Protected habitats occur approximately 5 km west and south of the outer anchorage, including Habitat Protection and Conservation Park Zones. Further afield, approximately 20 km to the north-east, are numerous Marine National and Conservation Park zoned areas associated with the Capricorn Group of reefs. Port Curtis offers value of national importance as wetland habitat and includes all tidal areas in the vicinity of Gladstone. Within the wetland there are a number of culturally significant sites on Facing Island and a number of shipwrecks along the coast.</w:t>
      </w:r>
    </w:p>
    <w:p w:rsidR="001A657F" w:rsidRPr="00143FC4" w:rsidRDefault="001A657F" w:rsidP="001A657F">
      <w:pPr>
        <w:pStyle w:val="Body"/>
        <w:rPr>
          <w:sz w:val="24"/>
          <w:szCs w:val="24"/>
        </w:rPr>
      </w:pPr>
      <w:r w:rsidRPr="00143FC4">
        <w:rPr>
          <w:sz w:val="24"/>
          <w:szCs w:val="24"/>
        </w:rPr>
        <w:t>Recent surveys indicate that sediments across the anchorage area are “</w:t>
      </w:r>
      <w:r w:rsidRPr="00143FC4">
        <w:rPr>
          <w:i/>
          <w:sz w:val="24"/>
          <w:szCs w:val="24"/>
        </w:rPr>
        <w:t>likely to be comprised of sands and silts, predominantly terrigenous in source</w:t>
      </w:r>
      <w:r w:rsidRPr="00143FC4">
        <w:rPr>
          <w:sz w:val="24"/>
          <w:szCs w:val="24"/>
        </w:rPr>
        <w:t>” (GHD 2012</w:t>
      </w:r>
      <w:r w:rsidR="0047666F" w:rsidRPr="00143FC4">
        <w:rPr>
          <w:sz w:val="24"/>
          <w:szCs w:val="24"/>
        </w:rPr>
        <w:t>a</w:t>
      </w:r>
      <w:r w:rsidRPr="00143FC4">
        <w:rPr>
          <w:sz w:val="24"/>
          <w:szCs w:val="24"/>
        </w:rPr>
        <w:t xml:space="preserve">). The outer anchorage area is located outside of the port limits in an area of open seabed comprised of soft sediment habitat with sparsely distributed solitary corals. The inner anchorage is characterised by rocky, rubble habitat that supports some soft corals, sponges and live rock, however this habitat is considered to be well represented in adjacent areas and is not unique to the anchorage. Algae and deep water seagrasses have been reported in the area of the outer anchorage but it is not known if they persist. No seagrasses </w:t>
      </w:r>
      <w:r w:rsidR="00A00674">
        <w:rPr>
          <w:sz w:val="24"/>
          <w:szCs w:val="24"/>
        </w:rPr>
        <w:t xml:space="preserve">have been mapped by long term monitoring programs as </w:t>
      </w:r>
      <w:r w:rsidR="00A00674" w:rsidRPr="00143FC4">
        <w:rPr>
          <w:sz w:val="24"/>
          <w:szCs w:val="24"/>
        </w:rPr>
        <w:t>occur</w:t>
      </w:r>
      <w:r w:rsidR="00A00674">
        <w:rPr>
          <w:sz w:val="24"/>
          <w:szCs w:val="24"/>
        </w:rPr>
        <w:t>ring</w:t>
      </w:r>
      <w:r w:rsidRPr="00143FC4">
        <w:rPr>
          <w:sz w:val="24"/>
          <w:szCs w:val="24"/>
        </w:rPr>
        <w:t xml:space="preserve"> in the inner anchorage. The coastal areas of Port Curtis have intertidal flats and estuarine habitats with extensive mangroves, seagrass beds and salt flats. The seagrass beds provide important habitat for a number of EPBC listed migratory and marine birds and conservation significant marine fauna including fish, dugong and turtles. Habitat providing dugong conservation value has been identified adjacent to the inshore anchorage area. The anchorage areas are likely to provide transitory habitat and some feeding for different megafauna, as well as habitat in support of fishery species.</w:t>
      </w:r>
    </w:p>
    <w:p w:rsidR="001A657F" w:rsidRPr="00143FC4" w:rsidRDefault="001A657F" w:rsidP="001A657F">
      <w:pPr>
        <w:pStyle w:val="Body"/>
        <w:rPr>
          <w:sz w:val="24"/>
          <w:szCs w:val="24"/>
        </w:rPr>
      </w:pPr>
      <w:r w:rsidRPr="00143FC4">
        <w:rPr>
          <w:sz w:val="24"/>
          <w:szCs w:val="24"/>
        </w:rPr>
        <w:t xml:space="preserve">The commercial fisheries that operate in areas associated with the anchorage areas of Gladstone port (grid number S30) are line, net, pot (crab) and trawl (otter and beam) (refer to </w:t>
      </w:r>
      <w:r w:rsidR="00CD38ED" w:rsidRPr="00143FC4">
        <w:rPr>
          <w:sz w:val="24"/>
          <w:szCs w:val="24"/>
        </w:rPr>
        <w:fldChar w:fldCharType="begin"/>
      </w:r>
      <w:r w:rsidRPr="00143FC4">
        <w:rPr>
          <w:sz w:val="24"/>
          <w:szCs w:val="24"/>
        </w:rPr>
        <w:instrText xml:space="preserve"> REF  _Ref342401525 \* Lower \h </w:instrText>
      </w:r>
      <w:r w:rsidR="00143FC4">
        <w:rPr>
          <w:sz w:val="24"/>
          <w:szCs w:val="24"/>
        </w:rPr>
        <w:instrText xml:space="preserve"> \* MERGEFORMAT </w:instrText>
      </w:r>
      <w:r w:rsidR="00CD38ED" w:rsidRPr="00143FC4">
        <w:rPr>
          <w:sz w:val="24"/>
          <w:szCs w:val="24"/>
        </w:rPr>
      </w:r>
      <w:r w:rsidR="00CD38ED" w:rsidRPr="00143FC4">
        <w:rPr>
          <w:sz w:val="24"/>
          <w:szCs w:val="24"/>
        </w:rPr>
        <w:fldChar w:fldCharType="separate"/>
      </w:r>
      <w:r w:rsidR="005F6E51" w:rsidRPr="00143FC4">
        <w:rPr>
          <w:sz w:val="24"/>
          <w:szCs w:val="24"/>
        </w:rPr>
        <w:t xml:space="preserve">figure </w:t>
      </w:r>
      <w:r w:rsidR="005F6E51">
        <w:rPr>
          <w:noProof/>
          <w:sz w:val="24"/>
          <w:szCs w:val="24"/>
        </w:rPr>
        <w:t>4</w:t>
      </w:r>
      <w:r w:rsidR="005F6E51" w:rsidRPr="00143FC4">
        <w:rPr>
          <w:noProof/>
          <w:sz w:val="24"/>
          <w:szCs w:val="24"/>
        </w:rPr>
        <w:noBreakHyphen/>
      </w:r>
      <w:r w:rsidR="005F6E51">
        <w:rPr>
          <w:noProof/>
          <w:sz w:val="24"/>
          <w:szCs w:val="24"/>
        </w:rPr>
        <w:t>11</w:t>
      </w:r>
      <w:r w:rsidR="00CD38ED" w:rsidRPr="00143FC4">
        <w:rPr>
          <w:sz w:val="24"/>
          <w:szCs w:val="24"/>
        </w:rPr>
        <w:fldChar w:fldCharType="end"/>
      </w:r>
      <w:r w:rsidRPr="00143FC4">
        <w:rPr>
          <w:sz w:val="24"/>
          <w:szCs w:val="24"/>
        </w:rPr>
        <w:t xml:space="preserve">). The primary product targeted in this region has been previously reported to be crab (pot), prawns and scallops (trawl), as well as grey and Spanish mackerel (line) (DAFF 2012). Catches have, however, been reduced in recent times. </w:t>
      </w:r>
    </w:p>
    <w:p w:rsidR="001A657F" w:rsidRPr="00143FC4" w:rsidRDefault="001A657F" w:rsidP="001A657F">
      <w:pPr>
        <w:pStyle w:val="Body"/>
        <w:rPr>
          <w:sz w:val="24"/>
          <w:szCs w:val="24"/>
        </w:rPr>
      </w:pPr>
      <w:r w:rsidRPr="00143FC4">
        <w:rPr>
          <w:sz w:val="24"/>
          <w:szCs w:val="24"/>
        </w:rPr>
        <w:t>The EIA (GHD 2012</w:t>
      </w:r>
      <w:r w:rsidR="0047666F" w:rsidRPr="00143FC4">
        <w:rPr>
          <w:sz w:val="24"/>
          <w:szCs w:val="24"/>
        </w:rPr>
        <w:t>a</w:t>
      </w:r>
      <w:r w:rsidRPr="00143FC4">
        <w:rPr>
          <w:sz w:val="24"/>
          <w:szCs w:val="24"/>
        </w:rPr>
        <w:t>) of this study determined that:</w:t>
      </w:r>
    </w:p>
    <w:p w:rsidR="001A657F" w:rsidRPr="00143FC4" w:rsidRDefault="001A657F" w:rsidP="001A657F">
      <w:pPr>
        <w:pStyle w:val="Body"/>
        <w:rPr>
          <w:sz w:val="24"/>
          <w:szCs w:val="24"/>
        </w:rPr>
      </w:pPr>
      <w:r w:rsidRPr="00143FC4">
        <w:rPr>
          <w:sz w:val="24"/>
          <w:szCs w:val="24"/>
        </w:rPr>
        <w:t>“</w:t>
      </w:r>
      <w:r w:rsidRPr="00143FC4">
        <w:rPr>
          <w:i/>
          <w:sz w:val="24"/>
          <w:szCs w:val="24"/>
        </w:rPr>
        <w:t>the anchorage area (inner and outer) does not contain any significant geomorphic or physiographic features which are integral to the ongoing ecological functioning of the Reef. The anchorage area does not support unique features or habitats requiring a higher level of management protection, or important feeding or breeding habitat critical for the persistence of any protected species</w:t>
      </w:r>
      <w:r w:rsidRPr="00143FC4">
        <w:rPr>
          <w:sz w:val="24"/>
          <w:szCs w:val="24"/>
        </w:rPr>
        <w:t>”.</w:t>
      </w:r>
    </w:p>
    <w:p w:rsidR="001A657F" w:rsidRDefault="001A657F" w:rsidP="001A657F">
      <w:pPr>
        <w:pStyle w:val="Caption"/>
        <w:sectPr w:rsidR="001A657F" w:rsidSect="00B6174B">
          <w:headerReference w:type="default" r:id="rId51"/>
          <w:footerReference w:type="default" r:id="rId52"/>
          <w:pgSz w:w="11906" w:h="16838" w:code="9"/>
          <w:pgMar w:top="1418" w:right="1701" w:bottom="1701" w:left="1418" w:header="709" w:footer="709" w:gutter="0"/>
          <w:cols w:space="720"/>
          <w:docGrid w:linePitch="273"/>
        </w:sectPr>
      </w:pPr>
      <w:bookmarkStart w:id="373" w:name="_Ref342395973"/>
    </w:p>
    <w:bookmarkEnd w:id="373"/>
    <w:p w:rsidR="001A657F" w:rsidRDefault="006721A0" w:rsidP="001A657F">
      <w:pPr>
        <w:pStyle w:val="Body"/>
      </w:pPr>
      <w:r>
        <w:rPr>
          <w:noProof/>
          <w:lang w:eastAsia="en-AU"/>
        </w:rPr>
        <w:drawing>
          <wp:inline distT="0" distB="0" distL="0" distR="0" wp14:anchorId="431403A4" wp14:editId="71DC88D6">
            <wp:extent cx="8140170" cy="5760000"/>
            <wp:effectExtent l="0" t="0" r="0" b="0"/>
            <wp:docPr id="21" name="Picture 21" descr="The map shows the bounded anchorage area, as well as reefs and the different protection zones of the Great Barrier Reef in the vicinity of the anchorage area. A long description of the features in the figure is provided in Section 4.9.1." title="Map of the current anchorage area of the Port of Gladst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21022e_AnchAreaGladstoneNoGrid.jp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8140170" cy="5760000"/>
                    </a:xfrm>
                    <a:prstGeom prst="rect">
                      <a:avLst/>
                    </a:prstGeom>
                  </pic:spPr>
                </pic:pic>
              </a:graphicData>
            </a:graphic>
          </wp:inline>
        </w:drawing>
      </w:r>
    </w:p>
    <w:p w:rsidR="001A657F" w:rsidRDefault="001A657F" w:rsidP="006721A0">
      <w:pPr>
        <w:pStyle w:val="Caption"/>
      </w:pPr>
      <w:bookmarkStart w:id="374" w:name="_Ref342401525"/>
      <w:bookmarkStart w:id="375" w:name="_Toc343597602"/>
      <w:bookmarkStart w:id="376" w:name="_Toc362274390"/>
      <w:r w:rsidRPr="00143FC4">
        <w:rPr>
          <w:sz w:val="24"/>
          <w:szCs w:val="24"/>
        </w:rPr>
        <w:t xml:space="preserve">Figure </w:t>
      </w:r>
      <w:r w:rsidR="009108AD" w:rsidRPr="00143FC4">
        <w:rPr>
          <w:sz w:val="24"/>
          <w:szCs w:val="24"/>
        </w:rPr>
        <w:fldChar w:fldCharType="begin"/>
      </w:r>
      <w:r w:rsidR="009108AD" w:rsidRPr="00143FC4">
        <w:rPr>
          <w:sz w:val="24"/>
          <w:szCs w:val="24"/>
        </w:rPr>
        <w:instrText xml:space="preserve"> STYLEREF 1 \s </w:instrText>
      </w:r>
      <w:r w:rsidR="009108AD" w:rsidRPr="00143FC4">
        <w:rPr>
          <w:sz w:val="24"/>
          <w:szCs w:val="24"/>
        </w:rPr>
        <w:fldChar w:fldCharType="separate"/>
      </w:r>
      <w:r w:rsidR="005F6E51">
        <w:rPr>
          <w:noProof/>
          <w:sz w:val="24"/>
          <w:szCs w:val="24"/>
        </w:rPr>
        <w:t>4</w:t>
      </w:r>
      <w:r w:rsidR="009108AD" w:rsidRPr="00143FC4">
        <w:rPr>
          <w:noProof/>
          <w:sz w:val="24"/>
          <w:szCs w:val="24"/>
        </w:rPr>
        <w:fldChar w:fldCharType="end"/>
      </w:r>
      <w:r w:rsidRPr="00143FC4">
        <w:rPr>
          <w:sz w:val="24"/>
          <w:szCs w:val="24"/>
        </w:rPr>
        <w:noBreakHyphen/>
      </w:r>
      <w:r w:rsidR="009108AD" w:rsidRPr="00143FC4">
        <w:rPr>
          <w:sz w:val="24"/>
          <w:szCs w:val="24"/>
        </w:rPr>
        <w:fldChar w:fldCharType="begin"/>
      </w:r>
      <w:r w:rsidR="009108AD" w:rsidRPr="00143FC4">
        <w:rPr>
          <w:sz w:val="24"/>
          <w:szCs w:val="24"/>
        </w:rPr>
        <w:instrText xml:space="preserve"> SEQ Figure \* ARABIC \s 1 </w:instrText>
      </w:r>
      <w:r w:rsidR="009108AD" w:rsidRPr="00143FC4">
        <w:rPr>
          <w:sz w:val="24"/>
          <w:szCs w:val="24"/>
        </w:rPr>
        <w:fldChar w:fldCharType="separate"/>
      </w:r>
      <w:r w:rsidR="005F6E51">
        <w:rPr>
          <w:noProof/>
          <w:sz w:val="24"/>
          <w:szCs w:val="24"/>
        </w:rPr>
        <w:t>11</w:t>
      </w:r>
      <w:r w:rsidR="009108AD" w:rsidRPr="00143FC4">
        <w:rPr>
          <w:noProof/>
          <w:sz w:val="24"/>
          <w:szCs w:val="24"/>
        </w:rPr>
        <w:fldChar w:fldCharType="end"/>
      </w:r>
      <w:bookmarkEnd w:id="374"/>
      <w:r w:rsidR="00143FC4">
        <w:rPr>
          <w:noProof/>
          <w:sz w:val="24"/>
          <w:szCs w:val="24"/>
        </w:rPr>
        <w:t>:</w:t>
      </w:r>
      <w:r w:rsidRPr="00143FC4">
        <w:rPr>
          <w:b w:val="0"/>
          <w:sz w:val="24"/>
          <w:szCs w:val="24"/>
        </w:rPr>
        <w:t xml:space="preserve"> Map of the current anchorage area of the Port of Gladstone</w:t>
      </w:r>
      <w:bookmarkEnd w:id="375"/>
      <w:bookmarkEnd w:id="376"/>
    </w:p>
    <w:p w:rsidR="001A657F" w:rsidRDefault="001A657F" w:rsidP="001A657F">
      <w:pPr>
        <w:pStyle w:val="Body"/>
        <w:sectPr w:rsidR="001A657F" w:rsidSect="006721A0">
          <w:headerReference w:type="default" r:id="rId54"/>
          <w:footerReference w:type="default" r:id="rId55"/>
          <w:pgSz w:w="16838" w:h="11906" w:orient="landscape" w:code="9"/>
          <w:pgMar w:top="1134" w:right="1418" w:bottom="1134" w:left="1418" w:header="709" w:footer="709" w:gutter="0"/>
          <w:cols w:space="720"/>
          <w:docGrid w:linePitch="273"/>
        </w:sectPr>
      </w:pPr>
    </w:p>
    <w:p w:rsidR="001A657F" w:rsidRPr="00B41CFA" w:rsidRDefault="001A657F" w:rsidP="001A657F">
      <w:pPr>
        <w:pStyle w:val="Heading3"/>
        <w:rPr>
          <w:sz w:val="24"/>
        </w:rPr>
      </w:pPr>
      <w:bookmarkStart w:id="377" w:name="_Toc343526814"/>
      <w:bookmarkStart w:id="378" w:name="_Toc343527066"/>
      <w:bookmarkStart w:id="379" w:name="_Toc343581804"/>
      <w:bookmarkStart w:id="380" w:name="_Toc343597259"/>
      <w:bookmarkStart w:id="381" w:name="_Toc343526816"/>
      <w:bookmarkStart w:id="382" w:name="_Toc343527068"/>
      <w:bookmarkStart w:id="383" w:name="_Toc343581806"/>
      <w:bookmarkStart w:id="384" w:name="_Toc343597261"/>
      <w:bookmarkStart w:id="385" w:name="_Toc343597262"/>
      <w:bookmarkStart w:id="386" w:name="_Toc362274311"/>
      <w:bookmarkEnd w:id="377"/>
      <w:bookmarkEnd w:id="378"/>
      <w:bookmarkEnd w:id="379"/>
      <w:bookmarkEnd w:id="380"/>
      <w:bookmarkEnd w:id="381"/>
      <w:bookmarkEnd w:id="382"/>
      <w:bookmarkEnd w:id="383"/>
      <w:bookmarkEnd w:id="384"/>
      <w:r w:rsidRPr="00B41CFA">
        <w:rPr>
          <w:sz w:val="24"/>
        </w:rPr>
        <w:t>Current demand for ship anchorages at the Port of Gladstone</w:t>
      </w:r>
      <w:bookmarkEnd w:id="385"/>
      <w:bookmarkEnd w:id="386"/>
    </w:p>
    <w:p w:rsidR="001A657F" w:rsidRPr="00143FC4" w:rsidRDefault="001A657F" w:rsidP="001A657F">
      <w:pPr>
        <w:pStyle w:val="Body"/>
        <w:rPr>
          <w:sz w:val="24"/>
          <w:szCs w:val="24"/>
        </w:rPr>
      </w:pPr>
      <w:r w:rsidRPr="00143FC4">
        <w:rPr>
          <w:sz w:val="24"/>
          <w:szCs w:val="24"/>
        </w:rPr>
        <w:t>Based on MSQ historic vessel movements data for vessels over 5</w:t>
      </w:r>
      <w:r w:rsidR="00143FC4">
        <w:rPr>
          <w:sz w:val="24"/>
          <w:szCs w:val="24"/>
        </w:rPr>
        <w:t xml:space="preserve">0 m in length over the period 1 </w:t>
      </w:r>
      <w:r w:rsidRPr="00143FC4">
        <w:rPr>
          <w:sz w:val="24"/>
          <w:szCs w:val="24"/>
        </w:rPr>
        <w:t>January 2009 to 30 September 2012, there ar</w:t>
      </w:r>
      <w:r w:rsidR="00374F9D">
        <w:rPr>
          <w:sz w:val="24"/>
          <w:szCs w:val="24"/>
        </w:rPr>
        <w:t>e currently around a total of 1</w:t>
      </w:r>
      <w:r w:rsidRPr="00143FC4">
        <w:rPr>
          <w:sz w:val="24"/>
          <w:szCs w:val="24"/>
        </w:rPr>
        <w:t>500 ship arrivals per year at the Port of Gladstone. Around 80 per cent of ships arriving proceed directly to anchor from sea to await a berth.</w:t>
      </w:r>
    </w:p>
    <w:p w:rsidR="001A657F" w:rsidRPr="00143FC4" w:rsidRDefault="001A657F" w:rsidP="001A657F">
      <w:pPr>
        <w:pStyle w:val="CaptionTable"/>
        <w:rPr>
          <w:sz w:val="24"/>
          <w:szCs w:val="24"/>
        </w:rPr>
      </w:pPr>
      <w:bookmarkStart w:id="387" w:name="_Toc343597158"/>
      <w:bookmarkStart w:id="388" w:name="_Toc362274372"/>
      <w:r w:rsidRPr="00143FC4">
        <w:rPr>
          <w:sz w:val="24"/>
          <w:szCs w:val="24"/>
        </w:rPr>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4</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8</w:t>
      </w:r>
      <w:r w:rsidR="00542883">
        <w:rPr>
          <w:sz w:val="24"/>
          <w:szCs w:val="24"/>
        </w:rPr>
        <w:fldChar w:fldCharType="end"/>
      </w:r>
      <w:r w:rsidR="00143FC4">
        <w:rPr>
          <w:noProof/>
          <w:sz w:val="24"/>
          <w:szCs w:val="24"/>
        </w:rPr>
        <w:t>:</w:t>
      </w:r>
      <w:r w:rsidRPr="00143FC4">
        <w:rPr>
          <w:sz w:val="24"/>
          <w:szCs w:val="24"/>
        </w:rPr>
        <w:t xml:space="preserve"> </w:t>
      </w:r>
      <w:r w:rsidRPr="00143FC4">
        <w:rPr>
          <w:b w:val="0"/>
          <w:sz w:val="24"/>
          <w:szCs w:val="24"/>
        </w:rPr>
        <w:t>Total ship visits to the Port of Gladstone and share using ship anchorages, 2009-2012</w:t>
      </w:r>
      <w:bookmarkEnd w:id="387"/>
      <w:r w:rsidR="00143FC4">
        <w:rPr>
          <w:b w:val="0"/>
          <w:sz w:val="24"/>
          <w:szCs w:val="24"/>
        </w:rPr>
        <w:t xml:space="preserve"> (Source: MSQ data/GHD analysis)</w:t>
      </w:r>
      <w:bookmarkEnd w:id="388"/>
    </w:p>
    <w:tbl>
      <w:tblPr>
        <w:tblW w:w="9023" w:type="dxa"/>
        <w:tblBorders>
          <w:top w:val="single" w:sz="4" w:space="0" w:color="auto"/>
          <w:bottom w:val="single" w:sz="4" w:space="0" w:color="auto"/>
        </w:tblBorders>
        <w:tblLook w:val="0000" w:firstRow="0" w:lastRow="0" w:firstColumn="0" w:lastColumn="0" w:noHBand="0" w:noVBand="0"/>
        <w:tblCaption w:val="Total ship visits to the Port of Gladstone and share using ship anchorages"/>
        <w:tblDescription w:val="The total ship visits to the Port of Gladstone and the share of ships using anchorages from 2009-2012. Columns are each year from 2009-2012 and rows are number or per cent of vessels. "/>
      </w:tblPr>
      <w:tblGrid>
        <w:gridCol w:w="2707"/>
        <w:gridCol w:w="1579"/>
        <w:gridCol w:w="1579"/>
        <w:gridCol w:w="1579"/>
        <w:gridCol w:w="1579"/>
      </w:tblGrid>
      <w:tr w:rsidR="001A657F" w:rsidRPr="00143FC4" w:rsidTr="00DE2A47">
        <w:trPr>
          <w:trHeight w:val="1058"/>
        </w:trPr>
        <w:tc>
          <w:tcPr>
            <w:tcW w:w="2707" w:type="dxa"/>
            <w:tcBorders>
              <w:top w:val="single" w:sz="4" w:space="0" w:color="auto"/>
              <w:bottom w:val="single" w:sz="4" w:space="0" w:color="auto"/>
            </w:tcBorders>
          </w:tcPr>
          <w:p w:rsidR="001A657F" w:rsidRPr="00143FC4" w:rsidRDefault="001A657F" w:rsidP="006E3423">
            <w:pPr>
              <w:pStyle w:val="Body"/>
              <w:rPr>
                <w:b/>
                <w:sz w:val="24"/>
                <w:szCs w:val="24"/>
              </w:rPr>
            </w:pPr>
            <w:r w:rsidRPr="00143FC4">
              <w:rPr>
                <w:b/>
                <w:sz w:val="24"/>
                <w:szCs w:val="24"/>
              </w:rPr>
              <w:t>Port of Gladstone</w:t>
            </w:r>
          </w:p>
        </w:tc>
        <w:tc>
          <w:tcPr>
            <w:tcW w:w="1579" w:type="dxa"/>
            <w:tcBorders>
              <w:top w:val="single" w:sz="4" w:space="0" w:color="auto"/>
              <w:bottom w:val="single" w:sz="4" w:space="0" w:color="auto"/>
            </w:tcBorders>
          </w:tcPr>
          <w:p w:rsidR="001A657F" w:rsidRPr="00143FC4" w:rsidRDefault="001A657F" w:rsidP="006E3423">
            <w:pPr>
              <w:pStyle w:val="Body"/>
              <w:rPr>
                <w:b/>
                <w:sz w:val="24"/>
                <w:szCs w:val="24"/>
              </w:rPr>
            </w:pPr>
            <w:r w:rsidRPr="00143FC4">
              <w:rPr>
                <w:b/>
                <w:sz w:val="24"/>
                <w:szCs w:val="24"/>
              </w:rPr>
              <w:t>2009</w:t>
            </w:r>
          </w:p>
        </w:tc>
        <w:tc>
          <w:tcPr>
            <w:tcW w:w="1579" w:type="dxa"/>
            <w:tcBorders>
              <w:top w:val="single" w:sz="4" w:space="0" w:color="auto"/>
              <w:bottom w:val="single" w:sz="4" w:space="0" w:color="auto"/>
            </w:tcBorders>
          </w:tcPr>
          <w:p w:rsidR="001A657F" w:rsidRPr="00143FC4" w:rsidRDefault="001A657F" w:rsidP="006E3423">
            <w:pPr>
              <w:pStyle w:val="Body"/>
              <w:rPr>
                <w:b/>
                <w:sz w:val="24"/>
                <w:szCs w:val="24"/>
              </w:rPr>
            </w:pPr>
            <w:r w:rsidRPr="00143FC4">
              <w:rPr>
                <w:b/>
                <w:sz w:val="24"/>
                <w:szCs w:val="24"/>
              </w:rPr>
              <w:t>2010</w:t>
            </w:r>
          </w:p>
        </w:tc>
        <w:tc>
          <w:tcPr>
            <w:tcW w:w="1579" w:type="dxa"/>
            <w:tcBorders>
              <w:top w:val="single" w:sz="4" w:space="0" w:color="auto"/>
              <w:bottom w:val="single" w:sz="4" w:space="0" w:color="auto"/>
            </w:tcBorders>
          </w:tcPr>
          <w:p w:rsidR="001A657F" w:rsidRPr="00143FC4" w:rsidRDefault="001A657F" w:rsidP="006E3423">
            <w:pPr>
              <w:pStyle w:val="Body"/>
              <w:rPr>
                <w:b/>
                <w:sz w:val="24"/>
                <w:szCs w:val="24"/>
              </w:rPr>
            </w:pPr>
            <w:r w:rsidRPr="00143FC4">
              <w:rPr>
                <w:b/>
                <w:sz w:val="24"/>
                <w:szCs w:val="24"/>
              </w:rPr>
              <w:t>2011</w:t>
            </w:r>
          </w:p>
        </w:tc>
        <w:tc>
          <w:tcPr>
            <w:tcW w:w="1579" w:type="dxa"/>
            <w:tcBorders>
              <w:top w:val="single" w:sz="4" w:space="0" w:color="auto"/>
              <w:bottom w:val="single" w:sz="4" w:space="0" w:color="auto"/>
            </w:tcBorders>
          </w:tcPr>
          <w:p w:rsidR="001A657F" w:rsidRPr="00143FC4" w:rsidRDefault="001A657F" w:rsidP="006E3423">
            <w:pPr>
              <w:pStyle w:val="Body"/>
              <w:rPr>
                <w:b/>
                <w:sz w:val="24"/>
                <w:szCs w:val="24"/>
              </w:rPr>
            </w:pPr>
            <w:r w:rsidRPr="00143FC4">
              <w:rPr>
                <w:b/>
                <w:sz w:val="24"/>
                <w:szCs w:val="24"/>
              </w:rPr>
              <w:t>2012 (Nine months)</w:t>
            </w:r>
          </w:p>
        </w:tc>
      </w:tr>
      <w:tr w:rsidR="001A657F" w:rsidRPr="00143FC4" w:rsidTr="00DE2A47">
        <w:trPr>
          <w:trHeight w:val="479"/>
        </w:trPr>
        <w:tc>
          <w:tcPr>
            <w:tcW w:w="2707" w:type="dxa"/>
            <w:tcBorders>
              <w:top w:val="single" w:sz="4" w:space="0" w:color="auto"/>
              <w:bottom w:val="single" w:sz="4" w:space="0" w:color="auto"/>
            </w:tcBorders>
          </w:tcPr>
          <w:p w:rsidR="001A657F" w:rsidRPr="00143FC4" w:rsidRDefault="001A657F" w:rsidP="006E3423">
            <w:pPr>
              <w:pStyle w:val="Body"/>
              <w:rPr>
                <w:sz w:val="24"/>
                <w:szCs w:val="24"/>
              </w:rPr>
            </w:pPr>
            <w:r w:rsidRPr="00143FC4">
              <w:rPr>
                <w:sz w:val="24"/>
                <w:szCs w:val="24"/>
              </w:rPr>
              <w:t>Total ship arrivals</w:t>
            </w:r>
          </w:p>
        </w:tc>
        <w:tc>
          <w:tcPr>
            <w:tcW w:w="1579" w:type="dxa"/>
            <w:tcBorders>
              <w:top w:val="single" w:sz="4" w:space="0" w:color="auto"/>
              <w:bottom w:val="single" w:sz="4" w:space="0" w:color="auto"/>
            </w:tcBorders>
          </w:tcPr>
          <w:p w:rsidR="001A657F" w:rsidRPr="00143FC4" w:rsidRDefault="001A657F" w:rsidP="006E3423">
            <w:pPr>
              <w:pStyle w:val="Body"/>
              <w:rPr>
                <w:sz w:val="24"/>
                <w:szCs w:val="24"/>
              </w:rPr>
            </w:pPr>
            <w:r w:rsidRPr="00143FC4">
              <w:rPr>
                <w:sz w:val="24"/>
                <w:szCs w:val="24"/>
              </w:rPr>
              <w:t>1593</w:t>
            </w:r>
          </w:p>
        </w:tc>
        <w:tc>
          <w:tcPr>
            <w:tcW w:w="1579" w:type="dxa"/>
            <w:tcBorders>
              <w:top w:val="single" w:sz="4" w:space="0" w:color="auto"/>
              <w:bottom w:val="single" w:sz="4" w:space="0" w:color="auto"/>
            </w:tcBorders>
          </w:tcPr>
          <w:p w:rsidR="001A657F" w:rsidRPr="00143FC4" w:rsidRDefault="001A657F" w:rsidP="006E3423">
            <w:pPr>
              <w:pStyle w:val="Body"/>
              <w:rPr>
                <w:sz w:val="24"/>
                <w:szCs w:val="24"/>
              </w:rPr>
            </w:pPr>
            <w:r w:rsidRPr="00143FC4">
              <w:rPr>
                <w:sz w:val="24"/>
                <w:szCs w:val="24"/>
              </w:rPr>
              <w:t>1620</w:t>
            </w:r>
          </w:p>
        </w:tc>
        <w:tc>
          <w:tcPr>
            <w:tcW w:w="1579" w:type="dxa"/>
            <w:tcBorders>
              <w:top w:val="single" w:sz="4" w:space="0" w:color="auto"/>
              <w:bottom w:val="single" w:sz="4" w:space="0" w:color="auto"/>
            </w:tcBorders>
          </w:tcPr>
          <w:p w:rsidR="001A657F" w:rsidRPr="00143FC4" w:rsidRDefault="001A657F" w:rsidP="006E3423">
            <w:pPr>
              <w:pStyle w:val="Body"/>
              <w:rPr>
                <w:sz w:val="24"/>
                <w:szCs w:val="24"/>
              </w:rPr>
            </w:pPr>
            <w:r w:rsidRPr="00143FC4">
              <w:rPr>
                <w:sz w:val="24"/>
                <w:szCs w:val="24"/>
              </w:rPr>
              <w:t>1510</w:t>
            </w:r>
          </w:p>
        </w:tc>
        <w:tc>
          <w:tcPr>
            <w:tcW w:w="1579" w:type="dxa"/>
            <w:tcBorders>
              <w:top w:val="single" w:sz="4" w:space="0" w:color="auto"/>
              <w:bottom w:val="single" w:sz="4" w:space="0" w:color="auto"/>
            </w:tcBorders>
          </w:tcPr>
          <w:p w:rsidR="001A657F" w:rsidRPr="00143FC4" w:rsidRDefault="001A657F" w:rsidP="006E3423">
            <w:pPr>
              <w:pStyle w:val="Body"/>
              <w:rPr>
                <w:sz w:val="24"/>
                <w:szCs w:val="24"/>
              </w:rPr>
            </w:pPr>
            <w:r w:rsidRPr="00143FC4">
              <w:rPr>
                <w:sz w:val="24"/>
                <w:szCs w:val="24"/>
              </w:rPr>
              <w:t>1227</w:t>
            </w:r>
          </w:p>
        </w:tc>
      </w:tr>
      <w:tr w:rsidR="001A657F" w:rsidRPr="00143FC4" w:rsidTr="00DE2A47">
        <w:trPr>
          <w:trHeight w:val="778"/>
        </w:trPr>
        <w:tc>
          <w:tcPr>
            <w:tcW w:w="2707" w:type="dxa"/>
            <w:tcBorders>
              <w:top w:val="single" w:sz="4" w:space="0" w:color="auto"/>
              <w:bottom w:val="single" w:sz="4" w:space="0" w:color="auto"/>
            </w:tcBorders>
          </w:tcPr>
          <w:p w:rsidR="001A657F" w:rsidRPr="00143FC4" w:rsidRDefault="001A657F" w:rsidP="006E3423">
            <w:pPr>
              <w:pStyle w:val="Body"/>
              <w:rPr>
                <w:sz w:val="24"/>
                <w:szCs w:val="24"/>
              </w:rPr>
            </w:pPr>
            <w:r w:rsidRPr="00143FC4">
              <w:rPr>
                <w:sz w:val="24"/>
                <w:szCs w:val="24"/>
              </w:rPr>
              <w:t>Total direct to berth</w:t>
            </w:r>
          </w:p>
        </w:tc>
        <w:tc>
          <w:tcPr>
            <w:tcW w:w="1579" w:type="dxa"/>
            <w:tcBorders>
              <w:top w:val="single" w:sz="4" w:space="0" w:color="auto"/>
              <w:bottom w:val="single" w:sz="4" w:space="0" w:color="auto"/>
            </w:tcBorders>
          </w:tcPr>
          <w:p w:rsidR="001A657F" w:rsidRPr="00143FC4" w:rsidRDefault="001A657F" w:rsidP="006E3423">
            <w:pPr>
              <w:pStyle w:val="Body"/>
              <w:rPr>
                <w:sz w:val="24"/>
                <w:szCs w:val="24"/>
              </w:rPr>
            </w:pPr>
            <w:r w:rsidRPr="00143FC4">
              <w:rPr>
                <w:sz w:val="24"/>
                <w:szCs w:val="24"/>
              </w:rPr>
              <w:t>341</w:t>
            </w:r>
          </w:p>
        </w:tc>
        <w:tc>
          <w:tcPr>
            <w:tcW w:w="1579" w:type="dxa"/>
            <w:tcBorders>
              <w:top w:val="single" w:sz="4" w:space="0" w:color="auto"/>
              <w:bottom w:val="single" w:sz="4" w:space="0" w:color="auto"/>
            </w:tcBorders>
          </w:tcPr>
          <w:p w:rsidR="001A657F" w:rsidRPr="00143FC4" w:rsidRDefault="001A657F" w:rsidP="006E3423">
            <w:pPr>
              <w:pStyle w:val="Body"/>
              <w:rPr>
                <w:sz w:val="24"/>
                <w:szCs w:val="24"/>
              </w:rPr>
            </w:pPr>
            <w:r w:rsidRPr="00143FC4">
              <w:rPr>
                <w:sz w:val="24"/>
                <w:szCs w:val="24"/>
              </w:rPr>
              <w:t>328</w:t>
            </w:r>
          </w:p>
        </w:tc>
        <w:tc>
          <w:tcPr>
            <w:tcW w:w="1579" w:type="dxa"/>
            <w:tcBorders>
              <w:top w:val="single" w:sz="4" w:space="0" w:color="auto"/>
              <w:bottom w:val="single" w:sz="4" w:space="0" w:color="auto"/>
            </w:tcBorders>
          </w:tcPr>
          <w:p w:rsidR="001A657F" w:rsidRPr="00143FC4" w:rsidRDefault="001A657F" w:rsidP="006E3423">
            <w:pPr>
              <w:pStyle w:val="Body"/>
              <w:rPr>
                <w:sz w:val="24"/>
                <w:szCs w:val="24"/>
              </w:rPr>
            </w:pPr>
            <w:r w:rsidRPr="00143FC4">
              <w:rPr>
                <w:sz w:val="24"/>
                <w:szCs w:val="24"/>
              </w:rPr>
              <w:t>309</w:t>
            </w:r>
          </w:p>
        </w:tc>
        <w:tc>
          <w:tcPr>
            <w:tcW w:w="1579" w:type="dxa"/>
            <w:tcBorders>
              <w:top w:val="single" w:sz="4" w:space="0" w:color="auto"/>
              <w:bottom w:val="single" w:sz="4" w:space="0" w:color="auto"/>
            </w:tcBorders>
          </w:tcPr>
          <w:p w:rsidR="001A657F" w:rsidRPr="00143FC4" w:rsidRDefault="001A657F" w:rsidP="006E3423">
            <w:pPr>
              <w:pStyle w:val="Body"/>
              <w:rPr>
                <w:sz w:val="24"/>
                <w:szCs w:val="24"/>
              </w:rPr>
            </w:pPr>
            <w:r w:rsidRPr="00143FC4">
              <w:rPr>
                <w:sz w:val="24"/>
                <w:szCs w:val="24"/>
              </w:rPr>
              <w:t>233</w:t>
            </w:r>
          </w:p>
        </w:tc>
      </w:tr>
      <w:tr w:rsidR="001A657F" w:rsidRPr="00143FC4" w:rsidTr="00DE2A47">
        <w:trPr>
          <w:trHeight w:val="778"/>
        </w:trPr>
        <w:tc>
          <w:tcPr>
            <w:tcW w:w="2707" w:type="dxa"/>
            <w:tcBorders>
              <w:top w:val="single" w:sz="4" w:space="0" w:color="auto"/>
              <w:bottom w:val="single" w:sz="4" w:space="0" w:color="auto"/>
            </w:tcBorders>
          </w:tcPr>
          <w:p w:rsidR="001A657F" w:rsidRPr="00143FC4" w:rsidRDefault="001A657F" w:rsidP="006E3423">
            <w:pPr>
              <w:pStyle w:val="Body"/>
              <w:rPr>
                <w:sz w:val="24"/>
                <w:szCs w:val="24"/>
              </w:rPr>
            </w:pPr>
            <w:r w:rsidRPr="00143FC4">
              <w:rPr>
                <w:sz w:val="24"/>
                <w:szCs w:val="24"/>
              </w:rPr>
              <w:t>Total direct to anchor</w:t>
            </w:r>
          </w:p>
        </w:tc>
        <w:tc>
          <w:tcPr>
            <w:tcW w:w="1579" w:type="dxa"/>
            <w:tcBorders>
              <w:top w:val="single" w:sz="4" w:space="0" w:color="auto"/>
              <w:bottom w:val="single" w:sz="4" w:space="0" w:color="auto"/>
            </w:tcBorders>
          </w:tcPr>
          <w:p w:rsidR="001A657F" w:rsidRPr="00143FC4" w:rsidRDefault="001A657F" w:rsidP="006E3423">
            <w:pPr>
              <w:pStyle w:val="Body"/>
              <w:rPr>
                <w:sz w:val="24"/>
                <w:szCs w:val="24"/>
              </w:rPr>
            </w:pPr>
            <w:r w:rsidRPr="00143FC4">
              <w:rPr>
                <w:sz w:val="24"/>
                <w:szCs w:val="24"/>
              </w:rPr>
              <w:t>1252</w:t>
            </w:r>
          </w:p>
        </w:tc>
        <w:tc>
          <w:tcPr>
            <w:tcW w:w="1579" w:type="dxa"/>
            <w:tcBorders>
              <w:top w:val="single" w:sz="4" w:space="0" w:color="auto"/>
              <w:bottom w:val="single" w:sz="4" w:space="0" w:color="auto"/>
            </w:tcBorders>
          </w:tcPr>
          <w:p w:rsidR="001A657F" w:rsidRPr="00143FC4" w:rsidRDefault="001A657F" w:rsidP="006E3423">
            <w:pPr>
              <w:pStyle w:val="Body"/>
              <w:rPr>
                <w:sz w:val="24"/>
                <w:szCs w:val="24"/>
              </w:rPr>
            </w:pPr>
            <w:r w:rsidRPr="00143FC4">
              <w:rPr>
                <w:sz w:val="24"/>
                <w:szCs w:val="24"/>
              </w:rPr>
              <w:t>1292</w:t>
            </w:r>
          </w:p>
        </w:tc>
        <w:tc>
          <w:tcPr>
            <w:tcW w:w="1579" w:type="dxa"/>
            <w:tcBorders>
              <w:top w:val="single" w:sz="4" w:space="0" w:color="auto"/>
              <w:bottom w:val="single" w:sz="4" w:space="0" w:color="auto"/>
            </w:tcBorders>
          </w:tcPr>
          <w:p w:rsidR="001A657F" w:rsidRPr="00143FC4" w:rsidRDefault="001A657F" w:rsidP="006E3423">
            <w:pPr>
              <w:pStyle w:val="Body"/>
              <w:rPr>
                <w:sz w:val="24"/>
                <w:szCs w:val="24"/>
              </w:rPr>
            </w:pPr>
            <w:r w:rsidRPr="00143FC4">
              <w:rPr>
                <w:sz w:val="24"/>
                <w:szCs w:val="24"/>
              </w:rPr>
              <w:t>1201</w:t>
            </w:r>
          </w:p>
        </w:tc>
        <w:tc>
          <w:tcPr>
            <w:tcW w:w="1579" w:type="dxa"/>
            <w:tcBorders>
              <w:top w:val="single" w:sz="4" w:space="0" w:color="auto"/>
              <w:bottom w:val="single" w:sz="4" w:space="0" w:color="auto"/>
            </w:tcBorders>
          </w:tcPr>
          <w:p w:rsidR="001A657F" w:rsidRPr="00143FC4" w:rsidRDefault="001A657F" w:rsidP="006E3423">
            <w:pPr>
              <w:pStyle w:val="Body"/>
              <w:rPr>
                <w:sz w:val="24"/>
                <w:szCs w:val="24"/>
              </w:rPr>
            </w:pPr>
            <w:r w:rsidRPr="00143FC4">
              <w:rPr>
                <w:sz w:val="24"/>
                <w:szCs w:val="24"/>
              </w:rPr>
              <w:t>994</w:t>
            </w:r>
          </w:p>
        </w:tc>
      </w:tr>
      <w:tr w:rsidR="001A657F" w:rsidRPr="00143FC4" w:rsidTr="00DE2A47">
        <w:trPr>
          <w:trHeight w:val="759"/>
        </w:trPr>
        <w:tc>
          <w:tcPr>
            <w:tcW w:w="2707" w:type="dxa"/>
            <w:tcBorders>
              <w:top w:val="single" w:sz="4" w:space="0" w:color="auto"/>
              <w:bottom w:val="single" w:sz="4" w:space="0" w:color="auto"/>
            </w:tcBorders>
          </w:tcPr>
          <w:p w:rsidR="001A657F" w:rsidRPr="00143FC4" w:rsidRDefault="00143FC4" w:rsidP="006E3423">
            <w:pPr>
              <w:pStyle w:val="Body"/>
              <w:rPr>
                <w:sz w:val="24"/>
                <w:szCs w:val="24"/>
              </w:rPr>
            </w:pPr>
            <w:r>
              <w:rPr>
                <w:sz w:val="24"/>
                <w:szCs w:val="24"/>
              </w:rPr>
              <w:t>Per cent</w:t>
            </w:r>
            <w:r w:rsidR="001A657F" w:rsidRPr="00143FC4">
              <w:rPr>
                <w:sz w:val="24"/>
                <w:szCs w:val="24"/>
              </w:rPr>
              <w:t xml:space="preserve"> direct to berth</w:t>
            </w:r>
          </w:p>
        </w:tc>
        <w:tc>
          <w:tcPr>
            <w:tcW w:w="1579" w:type="dxa"/>
            <w:tcBorders>
              <w:top w:val="single" w:sz="4" w:space="0" w:color="auto"/>
              <w:bottom w:val="single" w:sz="4" w:space="0" w:color="auto"/>
            </w:tcBorders>
          </w:tcPr>
          <w:p w:rsidR="001A657F" w:rsidRPr="00143FC4" w:rsidRDefault="006E0266" w:rsidP="006E3423">
            <w:pPr>
              <w:pStyle w:val="Body"/>
              <w:rPr>
                <w:sz w:val="24"/>
                <w:szCs w:val="24"/>
              </w:rPr>
            </w:pPr>
            <w:r>
              <w:rPr>
                <w:sz w:val="24"/>
                <w:szCs w:val="24"/>
              </w:rPr>
              <w:t>21</w:t>
            </w:r>
            <w:r w:rsidR="001A657F" w:rsidRPr="00143FC4">
              <w:rPr>
                <w:sz w:val="24"/>
                <w:szCs w:val="24"/>
              </w:rPr>
              <w:t>%</w:t>
            </w:r>
          </w:p>
        </w:tc>
        <w:tc>
          <w:tcPr>
            <w:tcW w:w="1579" w:type="dxa"/>
            <w:tcBorders>
              <w:top w:val="single" w:sz="4" w:space="0" w:color="auto"/>
              <w:bottom w:val="single" w:sz="4" w:space="0" w:color="auto"/>
            </w:tcBorders>
          </w:tcPr>
          <w:p w:rsidR="001A657F" w:rsidRPr="00143FC4" w:rsidRDefault="006E0266" w:rsidP="006E3423">
            <w:pPr>
              <w:pStyle w:val="Body"/>
              <w:rPr>
                <w:sz w:val="24"/>
                <w:szCs w:val="24"/>
              </w:rPr>
            </w:pPr>
            <w:r>
              <w:rPr>
                <w:sz w:val="24"/>
                <w:szCs w:val="24"/>
              </w:rPr>
              <w:t>20</w:t>
            </w:r>
            <w:r w:rsidR="001A657F" w:rsidRPr="00143FC4">
              <w:rPr>
                <w:sz w:val="24"/>
                <w:szCs w:val="24"/>
              </w:rPr>
              <w:t>%</w:t>
            </w:r>
          </w:p>
        </w:tc>
        <w:tc>
          <w:tcPr>
            <w:tcW w:w="1579" w:type="dxa"/>
            <w:tcBorders>
              <w:top w:val="single" w:sz="4" w:space="0" w:color="auto"/>
              <w:bottom w:val="single" w:sz="4" w:space="0" w:color="auto"/>
            </w:tcBorders>
          </w:tcPr>
          <w:p w:rsidR="001A657F" w:rsidRPr="00143FC4" w:rsidRDefault="006E0266" w:rsidP="006E3423">
            <w:pPr>
              <w:pStyle w:val="Body"/>
              <w:rPr>
                <w:sz w:val="24"/>
                <w:szCs w:val="24"/>
              </w:rPr>
            </w:pPr>
            <w:r>
              <w:rPr>
                <w:sz w:val="24"/>
                <w:szCs w:val="24"/>
              </w:rPr>
              <w:t>20</w:t>
            </w:r>
            <w:r w:rsidR="001A657F" w:rsidRPr="00143FC4">
              <w:rPr>
                <w:sz w:val="24"/>
                <w:szCs w:val="24"/>
              </w:rPr>
              <w:t>%</w:t>
            </w:r>
          </w:p>
        </w:tc>
        <w:tc>
          <w:tcPr>
            <w:tcW w:w="1579" w:type="dxa"/>
            <w:tcBorders>
              <w:top w:val="single" w:sz="4" w:space="0" w:color="auto"/>
              <w:bottom w:val="single" w:sz="4" w:space="0" w:color="auto"/>
            </w:tcBorders>
          </w:tcPr>
          <w:p w:rsidR="001A657F" w:rsidRPr="00143FC4" w:rsidRDefault="006E0266" w:rsidP="006E3423">
            <w:pPr>
              <w:pStyle w:val="Body"/>
              <w:rPr>
                <w:sz w:val="24"/>
                <w:szCs w:val="24"/>
              </w:rPr>
            </w:pPr>
            <w:r>
              <w:rPr>
                <w:sz w:val="24"/>
                <w:szCs w:val="24"/>
              </w:rPr>
              <w:t>19</w:t>
            </w:r>
            <w:r w:rsidR="001A657F" w:rsidRPr="00143FC4">
              <w:rPr>
                <w:sz w:val="24"/>
                <w:szCs w:val="24"/>
              </w:rPr>
              <w:t>%</w:t>
            </w:r>
          </w:p>
        </w:tc>
      </w:tr>
      <w:tr w:rsidR="001A657F" w:rsidRPr="00143FC4" w:rsidTr="00DE2A47">
        <w:trPr>
          <w:trHeight w:val="778"/>
        </w:trPr>
        <w:tc>
          <w:tcPr>
            <w:tcW w:w="2707" w:type="dxa"/>
            <w:tcBorders>
              <w:top w:val="single" w:sz="4" w:space="0" w:color="auto"/>
            </w:tcBorders>
          </w:tcPr>
          <w:p w:rsidR="001A657F" w:rsidRPr="00143FC4" w:rsidRDefault="00143FC4" w:rsidP="006E3423">
            <w:pPr>
              <w:pStyle w:val="Body"/>
              <w:rPr>
                <w:sz w:val="24"/>
                <w:szCs w:val="24"/>
              </w:rPr>
            </w:pPr>
            <w:r>
              <w:rPr>
                <w:sz w:val="24"/>
                <w:szCs w:val="24"/>
              </w:rPr>
              <w:t>Per cent</w:t>
            </w:r>
            <w:r w:rsidR="001A657F" w:rsidRPr="00143FC4">
              <w:rPr>
                <w:sz w:val="24"/>
                <w:szCs w:val="24"/>
              </w:rPr>
              <w:t xml:space="preserve"> direct to anchor</w:t>
            </w:r>
          </w:p>
        </w:tc>
        <w:tc>
          <w:tcPr>
            <w:tcW w:w="1579" w:type="dxa"/>
            <w:tcBorders>
              <w:top w:val="single" w:sz="4" w:space="0" w:color="auto"/>
            </w:tcBorders>
          </w:tcPr>
          <w:p w:rsidR="001A657F" w:rsidRPr="00143FC4" w:rsidRDefault="006E0266" w:rsidP="006E3423">
            <w:pPr>
              <w:pStyle w:val="Body"/>
              <w:rPr>
                <w:sz w:val="24"/>
                <w:szCs w:val="24"/>
              </w:rPr>
            </w:pPr>
            <w:r>
              <w:rPr>
                <w:sz w:val="24"/>
                <w:szCs w:val="24"/>
              </w:rPr>
              <w:t>79</w:t>
            </w:r>
            <w:r w:rsidR="001A657F" w:rsidRPr="00143FC4">
              <w:rPr>
                <w:sz w:val="24"/>
                <w:szCs w:val="24"/>
              </w:rPr>
              <w:t>%</w:t>
            </w:r>
          </w:p>
        </w:tc>
        <w:tc>
          <w:tcPr>
            <w:tcW w:w="1579" w:type="dxa"/>
            <w:tcBorders>
              <w:top w:val="single" w:sz="4" w:space="0" w:color="auto"/>
            </w:tcBorders>
          </w:tcPr>
          <w:p w:rsidR="001A657F" w:rsidRPr="00143FC4" w:rsidRDefault="006E0266" w:rsidP="006E3423">
            <w:pPr>
              <w:pStyle w:val="Body"/>
              <w:rPr>
                <w:sz w:val="24"/>
                <w:szCs w:val="24"/>
              </w:rPr>
            </w:pPr>
            <w:r>
              <w:rPr>
                <w:sz w:val="24"/>
                <w:szCs w:val="24"/>
              </w:rPr>
              <w:t>80</w:t>
            </w:r>
            <w:r w:rsidR="001A657F" w:rsidRPr="00143FC4">
              <w:rPr>
                <w:sz w:val="24"/>
                <w:szCs w:val="24"/>
              </w:rPr>
              <w:t>%</w:t>
            </w:r>
          </w:p>
        </w:tc>
        <w:tc>
          <w:tcPr>
            <w:tcW w:w="1579" w:type="dxa"/>
            <w:tcBorders>
              <w:top w:val="single" w:sz="4" w:space="0" w:color="auto"/>
            </w:tcBorders>
          </w:tcPr>
          <w:p w:rsidR="001A657F" w:rsidRPr="00143FC4" w:rsidRDefault="006E0266" w:rsidP="006E3423">
            <w:pPr>
              <w:pStyle w:val="Body"/>
              <w:rPr>
                <w:sz w:val="24"/>
                <w:szCs w:val="24"/>
              </w:rPr>
            </w:pPr>
            <w:r>
              <w:rPr>
                <w:sz w:val="24"/>
                <w:szCs w:val="24"/>
              </w:rPr>
              <w:t>80</w:t>
            </w:r>
            <w:r w:rsidR="001A657F" w:rsidRPr="00143FC4">
              <w:rPr>
                <w:sz w:val="24"/>
                <w:szCs w:val="24"/>
              </w:rPr>
              <w:t>%</w:t>
            </w:r>
          </w:p>
        </w:tc>
        <w:tc>
          <w:tcPr>
            <w:tcW w:w="1579" w:type="dxa"/>
            <w:tcBorders>
              <w:top w:val="single" w:sz="4" w:space="0" w:color="auto"/>
            </w:tcBorders>
          </w:tcPr>
          <w:p w:rsidR="001A657F" w:rsidRPr="00143FC4" w:rsidRDefault="006E0266" w:rsidP="006E3423">
            <w:pPr>
              <w:pStyle w:val="Body"/>
              <w:rPr>
                <w:sz w:val="24"/>
                <w:szCs w:val="24"/>
              </w:rPr>
            </w:pPr>
            <w:r>
              <w:rPr>
                <w:sz w:val="24"/>
                <w:szCs w:val="24"/>
              </w:rPr>
              <w:t>81</w:t>
            </w:r>
            <w:r w:rsidR="001A657F" w:rsidRPr="00143FC4">
              <w:rPr>
                <w:sz w:val="24"/>
                <w:szCs w:val="24"/>
              </w:rPr>
              <w:t>%</w:t>
            </w:r>
          </w:p>
        </w:tc>
      </w:tr>
    </w:tbl>
    <w:p w:rsidR="001A657F" w:rsidRPr="00143FC4" w:rsidRDefault="001A657F" w:rsidP="001A657F">
      <w:pPr>
        <w:pStyle w:val="Body"/>
        <w:rPr>
          <w:sz w:val="24"/>
          <w:szCs w:val="24"/>
        </w:rPr>
      </w:pPr>
    </w:p>
    <w:p w:rsidR="001A657F" w:rsidRPr="00143FC4" w:rsidRDefault="001A657F" w:rsidP="001A657F">
      <w:pPr>
        <w:pStyle w:val="Body"/>
        <w:rPr>
          <w:sz w:val="24"/>
          <w:szCs w:val="24"/>
        </w:rPr>
      </w:pPr>
      <w:r w:rsidRPr="00143FC4">
        <w:rPr>
          <w:sz w:val="24"/>
          <w:szCs w:val="24"/>
        </w:rPr>
        <w:t>All ships were recorded as using three dedicated anchorage areas in 2011:</w:t>
      </w:r>
    </w:p>
    <w:p w:rsidR="001A657F" w:rsidRPr="00143FC4" w:rsidRDefault="001A657F" w:rsidP="001A657F">
      <w:pPr>
        <w:pStyle w:val="Body"/>
        <w:numPr>
          <w:ilvl w:val="0"/>
          <w:numId w:val="19"/>
        </w:numPr>
        <w:rPr>
          <w:sz w:val="24"/>
          <w:szCs w:val="24"/>
        </w:rPr>
      </w:pPr>
      <w:r w:rsidRPr="00143FC4">
        <w:rPr>
          <w:sz w:val="24"/>
          <w:szCs w:val="24"/>
        </w:rPr>
        <w:t>East Anchorage (outer anchorage, numbered locations 1-12), which served 48 per cent of the ship calls anchored</w:t>
      </w:r>
    </w:p>
    <w:p w:rsidR="001A657F" w:rsidRPr="00143FC4" w:rsidRDefault="001A657F" w:rsidP="001A657F">
      <w:pPr>
        <w:pStyle w:val="Body"/>
        <w:numPr>
          <w:ilvl w:val="0"/>
          <w:numId w:val="19"/>
        </w:numPr>
        <w:rPr>
          <w:sz w:val="24"/>
          <w:szCs w:val="24"/>
        </w:rPr>
      </w:pPr>
      <w:r w:rsidRPr="00143FC4">
        <w:rPr>
          <w:sz w:val="24"/>
          <w:szCs w:val="24"/>
        </w:rPr>
        <w:t>North Anchorage (outer anchorage, numbered locations 1-14), which served 42 per cent of the ship calls anchored</w:t>
      </w:r>
    </w:p>
    <w:p w:rsidR="001A657F" w:rsidRPr="00143FC4" w:rsidRDefault="001A657F" w:rsidP="001A657F">
      <w:pPr>
        <w:pStyle w:val="Body"/>
        <w:numPr>
          <w:ilvl w:val="0"/>
          <w:numId w:val="19"/>
        </w:numPr>
        <w:rPr>
          <w:sz w:val="24"/>
          <w:szCs w:val="24"/>
        </w:rPr>
      </w:pPr>
      <w:r w:rsidRPr="00143FC4">
        <w:rPr>
          <w:sz w:val="24"/>
          <w:szCs w:val="24"/>
        </w:rPr>
        <w:t>Fairway Buoy Anchorage (the inner anchorage area), which served 10 per cent of the ship calls anchored</w:t>
      </w:r>
      <w:r w:rsidR="00143FC4">
        <w:rPr>
          <w:sz w:val="24"/>
          <w:szCs w:val="24"/>
        </w:rPr>
        <w:t>.</w:t>
      </w:r>
    </w:p>
    <w:p w:rsidR="001A657F" w:rsidRPr="00143FC4" w:rsidRDefault="001A657F" w:rsidP="001A657F">
      <w:pPr>
        <w:pStyle w:val="Body"/>
        <w:rPr>
          <w:sz w:val="24"/>
          <w:szCs w:val="24"/>
        </w:rPr>
      </w:pPr>
      <w:r w:rsidRPr="00143FC4">
        <w:rPr>
          <w:sz w:val="24"/>
          <w:szCs w:val="24"/>
        </w:rPr>
        <w:t xml:space="preserve">The Gladstone anchorages were used in 2011 by a range of ship types with the majority of ships being bulk carriers (coal and ores) followed by general cargo, tankers and other types of ships. Ships spent on average around four days at anchor. There are, however, instances of ships spending several weeks at anchor while others were located at anchor </w:t>
      </w:r>
      <w:r w:rsidR="007B4044" w:rsidRPr="00143FC4">
        <w:rPr>
          <w:sz w:val="24"/>
          <w:szCs w:val="24"/>
        </w:rPr>
        <w:t xml:space="preserve">for </w:t>
      </w:r>
      <w:r w:rsidRPr="00143FC4">
        <w:rPr>
          <w:sz w:val="24"/>
          <w:szCs w:val="24"/>
        </w:rPr>
        <w:t>only a few hours.</w:t>
      </w:r>
    </w:p>
    <w:p w:rsidR="001A657F" w:rsidRPr="00143FC4" w:rsidRDefault="001A657F" w:rsidP="001A657F">
      <w:pPr>
        <w:pStyle w:val="Body"/>
        <w:rPr>
          <w:sz w:val="24"/>
          <w:szCs w:val="24"/>
        </w:rPr>
      </w:pPr>
      <w:r w:rsidRPr="00143FC4">
        <w:rPr>
          <w:sz w:val="24"/>
          <w:szCs w:val="24"/>
        </w:rPr>
        <w:t>The outer anchorages were used on occasion for removals from port (13 instances in 2011 – mainly bulk carriers), and for a temporary wait at anchor after departi</w:t>
      </w:r>
      <w:r w:rsidR="004D5799" w:rsidRPr="00143FC4">
        <w:rPr>
          <w:sz w:val="24"/>
          <w:szCs w:val="24"/>
        </w:rPr>
        <w:t>ng the port on route to sea (32 </w:t>
      </w:r>
      <w:r w:rsidRPr="00143FC4">
        <w:rPr>
          <w:sz w:val="24"/>
          <w:szCs w:val="24"/>
        </w:rPr>
        <w:t>instances in 2011). The inner anchorage (Fairway Buoy Anchorage) was also used for intra</w:t>
      </w:r>
      <w:r w:rsidR="007B4044" w:rsidRPr="00143FC4">
        <w:rPr>
          <w:sz w:val="24"/>
          <w:szCs w:val="24"/>
        </w:rPr>
        <w:t>-</w:t>
      </w:r>
      <w:r w:rsidRPr="00143FC4">
        <w:rPr>
          <w:sz w:val="24"/>
          <w:szCs w:val="24"/>
        </w:rPr>
        <w:t>port movements of dredgers and barge carriers.</w:t>
      </w:r>
    </w:p>
    <w:p w:rsidR="001A657F" w:rsidRPr="00143FC4" w:rsidRDefault="001A657F" w:rsidP="001A657F">
      <w:pPr>
        <w:pStyle w:val="Body"/>
        <w:rPr>
          <w:sz w:val="24"/>
          <w:szCs w:val="24"/>
        </w:rPr>
      </w:pPr>
      <w:r w:rsidRPr="00143FC4">
        <w:rPr>
          <w:sz w:val="24"/>
          <w:szCs w:val="24"/>
        </w:rPr>
        <w:t>The current scale of the use of ship anchorages at the Port of Gladstone can be summarised as moderate</w:t>
      </w:r>
      <w:r w:rsidR="007B4044" w:rsidRPr="00143FC4">
        <w:rPr>
          <w:sz w:val="24"/>
          <w:szCs w:val="24"/>
        </w:rPr>
        <w:t>;</w:t>
      </w:r>
      <w:r w:rsidRPr="00143FC4">
        <w:rPr>
          <w:sz w:val="24"/>
          <w:szCs w:val="24"/>
        </w:rPr>
        <w:t xml:space="preserve"> there are 32 dedicated points for ships to anchor in organised designated anchorage areas, particularly in the outer anchorages with 27 points</w:t>
      </w:r>
      <w:r w:rsidR="007B4044" w:rsidRPr="00143FC4">
        <w:rPr>
          <w:sz w:val="24"/>
          <w:szCs w:val="24"/>
        </w:rPr>
        <w:t>.</w:t>
      </w:r>
      <w:r w:rsidRPr="00143FC4">
        <w:rPr>
          <w:sz w:val="24"/>
          <w:szCs w:val="24"/>
        </w:rPr>
        <w:t xml:space="preserve"> </w:t>
      </w:r>
      <w:r w:rsidR="007B4044" w:rsidRPr="00143FC4">
        <w:rPr>
          <w:sz w:val="24"/>
          <w:szCs w:val="24"/>
        </w:rPr>
        <w:t>A</w:t>
      </w:r>
      <w:r w:rsidRPr="00143FC4">
        <w:rPr>
          <w:sz w:val="24"/>
          <w:szCs w:val="24"/>
        </w:rPr>
        <w:t>n average of around three ship calls per day (including removals and departures) using the anchorages for typically stays of only several days (average of four days for all ships in 2011).</w:t>
      </w:r>
    </w:p>
    <w:p w:rsidR="001A657F" w:rsidRPr="00B41CFA" w:rsidRDefault="001A657F" w:rsidP="001A657F">
      <w:pPr>
        <w:pStyle w:val="Heading3"/>
        <w:rPr>
          <w:sz w:val="24"/>
        </w:rPr>
      </w:pPr>
      <w:bookmarkStart w:id="389" w:name="_Ref343520306"/>
      <w:bookmarkStart w:id="390" w:name="_Toc343597263"/>
      <w:bookmarkStart w:id="391" w:name="_Toc362274312"/>
      <w:r w:rsidRPr="00B41CFA">
        <w:rPr>
          <w:sz w:val="24"/>
        </w:rPr>
        <w:t>Future demand for ship anchorages at the Port of Gladstone</w:t>
      </w:r>
      <w:bookmarkEnd w:id="389"/>
      <w:bookmarkEnd w:id="390"/>
      <w:bookmarkEnd w:id="391"/>
    </w:p>
    <w:p w:rsidR="001A657F" w:rsidRPr="00143FC4" w:rsidRDefault="001A657F" w:rsidP="001A657F">
      <w:pPr>
        <w:pStyle w:val="Body"/>
        <w:rPr>
          <w:sz w:val="24"/>
          <w:szCs w:val="24"/>
        </w:rPr>
      </w:pPr>
      <w:r w:rsidRPr="00143FC4">
        <w:rPr>
          <w:sz w:val="24"/>
          <w:szCs w:val="24"/>
        </w:rPr>
        <w:t>PGM Environment (2012) forecasts a probable case of around three-to-four per cent per year growth in all ship calls over the period 2012-2032 (financial year end numbers). This is principally driven by coal ships (growing four</w:t>
      </w:r>
      <w:r w:rsidR="004D5799" w:rsidRPr="00143FC4">
        <w:rPr>
          <w:sz w:val="24"/>
          <w:szCs w:val="24"/>
        </w:rPr>
        <w:t xml:space="preserve"> </w:t>
      </w:r>
      <w:r w:rsidRPr="00143FC4">
        <w:rPr>
          <w:sz w:val="24"/>
          <w:szCs w:val="24"/>
        </w:rPr>
        <w:t>to</w:t>
      </w:r>
      <w:r w:rsidR="004D5799" w:rsidRPr="00143FC4">
        <w:rPr>
          <w:sz w:val="24"/>
          <w:szCs w:val="24"/>
        </w:rPr>
        <w:t xml:space="preserve"> </w:t>
      </w:r>
      <w:r w:rsidRPr="00143FC4">
        <w:rPr>
          <w:sz w:val="24"/>
          <w:szCs w:val="24"/>
        </w:rPr>
        <w:t>five per cent per year) and LNG ships (growing six</w:t>
      </w:r>
      <w:r w:rsidR="007B4044" w:rsidRPr="00143FC4">
        <w:rPr>
          <w:sz w:val="24"/>
          <w:szCs w:val="24"/>
        </w:rPr>
        <w:t xml:space="preserve"> </w:t>
      </w:r>
      <w:r w:rsidRPr="00143FC4">
        <w:rPr>
          <w:sz w:val="24"/>
          <w:szCs w:val="24"/>
        </w:rPr>
        <w:t>to</w:t>
      </w:r>
      <w:r w:rsidR="007B4044" w:rsidRPr="00143FC4">
        <w:rPr>
          <w:sz w:val="24"/>
          <w:szCs w:val="24"/>
        </w:rPr>
        <w:t xml:space="preserve"> </w:t>
      </w:r>
      <w:r w:rsidRPr="00143FC4">
        <w:rPr>
          <w:sz w:val="24"/>
          <w:szCs w:val="24"/>
        </w:rPr>
        <w:t>seven per cent per year). The number of ship calls are predicted to rise</w:t>
      </w:r>
      <w:r w:rsidR="00940C20">
        <w:rPr>
          <w:sz w:val="24"/>
          <w:szCs w:val="24"/>
        </w:rPr>
        <w:t xml:space="preserve"> from a 2012 base of 1</w:t>
      </w:r>
      <w:r w:rsidR="00374F9D">
        <w:rPr>
          <w:sz w:val="24"/>
          <w:szCs w:val="24"/>
        </w:rPr>
        <w:t xml:space="preserve">453 (147 </w:t>
      </w:r>
      <w:r w:rsidR="00940C20">
        <w:rPr>
          <w:sz w:val="24"/>
          <w:szCs w:val="24"/>
        </w:rPr>
        <w:t>LNG ships) to 2</w:t>
      </w:r>
      <w:r w:rsidRPr="00143FC4">
        <w:rPr>
          <w:sz w:val="24"/>
          <w:szCs w:val="24"/>
        </w:rPr>
        <w:t>800 (561 LNG ships) in 2020</w:t>
      </w:r>
      <w:r w:rsidR="007B4044" w:rsidRPr="00143FC4">
        <w:rPr>
          <w:sz w:val="24"/>
          <w:szCs w:val="24"/>
        </w:rPr>
        <w:t>,</w:t>
      </w:r>
      <w:r w:rsidR="00940C20">
        <w:rPr>
          <w:sz w:val="24"/>
          <w:szCs w:val="24"/>
        </w:rPr>
        <w:t xml:space="preserve"> and 3</w:t>
      </w:r>
      <w:r w:rsidRPr="00143FC4">
        <w:rPr>
          <w:sz w:val="24"/>
          <w:szCs w:val="24"/>
        </w:rPr>
        <w:t>029 (561 LNG ships) in 2032 (</w:t>
      </w:r>
      <w:r w:rsidR="00ED39F9" w:rsidRPr="00143FC4">
        <w:rPr>
          <w:sz w:val="24"/>
          <w:szCs w:val="24"/>
        </w:rPr>
        <w:fldChar w:fldCharType="begin"/>
      </w:r>
      <w:r w:rsidR="00ED39F9" w:rsidRPr="00143FC4">
        <w:rPr>
          <w:sz w:val="24"/>
          <w:szCs w:val="24"/>
        </w:rPr>
        <w:instrText xml:space="preserve"> REF  _Ref342397130 \* Lower \h  \* MERGEFORMAT </w:instrText>
      </w:r>
      <w:r w:rsidR="00ED39F9" w:rsidRPr="00143FC4">
        <w:rPr>
          <w:sz w:val="24"/>
          <w:szCs w:val="24"/>
        </w:rPr>
      </w:r>
      <w:r w:rsidR="00ED39F9" w:rsidRPr="00143FC4">
        <w:rPr>
          <w:sz w:val="24"/>
          <w:szCs w:val="24"/>
        </w:rPr>
        <w:fldChar w:fldCharType="separate"/>
      </w:r>
      <w:r w:rsidR="005F6E51" w:rsidRPr="00143FC4">
        <w:rPr>
          <w:sz w:val="24"/>
          <w:szCs w:val="24"/>
        </w:rPr>
        <w:t xml:space="preserve">figure </w:t>
      </w:r>
      <w:r w:rsidR="005F6E51">
        <w:rPr>
          <w:noProof/>
          <w:sz w:val="24"/>
          <w:szCs w:val="24"/>
        </w:rPr>
        <w:t>4</w:t>
      </w:r>
      <w:r w:rsidR="005F6E51" w:rsidRPr="00143FC4">
        <w:rPr>
          <w:noProof/>
          <w:sz w:val="24"/>
          <w:szCs w:val="24"/>
        </w:rPr>
        <w:noBreakHyphen/>
      </w:r>
      <w:r w:rsidR="005F6E51">
        <w:rPr>
          <w:noProof/>
          <w:sz w:val="24"/>
          <w:szCs w:val="24"/>
        </w:rPr>
        <w:t>12</w:t>
      </w:r>
      <w:r w:rsidR="00ED39F9" w:rsidRPr="00143FC4">
        <w:rPr>
          <w:sz w:val="24"/>
          <w:szCs w:val="24"/>
        </w:rPr>
        <w:fldChar w:fldCharType="end"/>
      </w:r>
      <w:r w:rsidRPr="00143FC4">
        <w:rPr>
          <w:sz w:val="24"/>
          <w:szCs w:val="24"/>
        </w:rPr>
        <w:t>).</w:t>
      </w:r>
    </w:p>
    <w:p w:rsidR="001A657F" w:rsidRPr="00143FC4" w:rsidRDefault="001A657F" w:rsidP="001A657F">
      <w:pPr>
        <w:pStyle w:val="Body"/>
        <w:jc w:val="center"/>
        <w:rPr>
          <w:sz w:val="24"/>
          <w:szCs w:val="24"/>
        </w:rPr>
      </w:pPr>
      <w:r w:rsidRPr="00143FC4">
        <w:rPr>
          <w:noProof/>
          <w:sz w:val="24"/>
          <w:szCs w:val="24"/>
          <w:lang w:eastAsia="en-AU"/>
        </w:rPr>
        <w:drawing>
          <wp:inline distT="0" distB="0" distL="0" distR="0" wp14:anchorId="09140F4D" wp14:editId="619BA701">
            <wp:extent cx="5818749" cy="2880000"/>
            <wp:effectExtent l="0" t="0" r="0" b="0"/>
            <wp:docPr id="9" name="Picture 9" descr="Forecast of ship call numbers for Port of Gladstone from 2012-2032. Forecasts are a probable case of around three to four per cent per year growth in ship calls over the period 2012-2032 for the Port of Gladstone. This is further broken down into coal ships only and LNG ships only. Further text provided in Section 4.9.3." title="Forecast ship call numbers “probable case” for Port of Gladston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56" cstate="print">
                      <a:extLst>
                        <a:ext uri="{BEBA8EAE-BF5A-486C-A8C5-ECC9F3942E4B}">
                          <a14:imgProps xmlns:a14="http://schemas.microsoft.com/office/drawing/2010/main">
                            <a14:imgLayer r:embed="rId57">
                              <a14:imgEffect>
                                <a14:sharpenSoften amount="25000"/>
                              </a14:imgEffect>
                            </a14:imgLayer>
                          </a14:imgProps>
                        </a:ext>
                        <a:ext uri="{28A0092B-C50C-407E-A947-70E740481C1C}">
                          <a14:useLocalDpi xmlns:a14="http://schemas.microsoft.com/office/drawing/2010/main" val="0"/>
                        </a:ext>
                      </a:extLst>
                    </a:blip>
                    <a:srcRect l="1456" t="19413" r="911" b="1169"/>
                    <a:stretch/>
                  </pic:blipFill>
                  <pic:spPr bwMode="auto">
                    <a:xfrm>
                      <a:off x="0" y="0"/>
                      <a:ext cx="5818749" cy="2880000"/>
                    </a:xfrm>
                    <a:prstGeom prst="rect">
                      <a:avLst/>
                    </a:prstGeom>
                    <a:noFill/>
                    <a:ln>
                      <a:noFill/>
                    </a:ln>
                    <a:extLst>
                      <a:ext uri="{53640926-AAD7-44D8-BBD7-CCE9431645EC}">
                        <a14:shadowObscured xmlns:a14="http://schemas.microsoft.com/office/drawing/2010/main"/>
                      </a:ext>
                    </a:extLst>
                  </pic:spPr>
                </pic:pic>
              </a:graphicData>
            </a:graphic>
          </wp:inline>
        </w:drawing>
      </w:r>
    </w:p>
    <w:p w:rsidR="001A657F" w:rsidRPr="00143FC4" w:rsidRDefault="001A657F" w:rsidP="001A657F">
      <w:pPr>
        <w:pStyle w:val="Caption"/>
        <w:rPr>
          <w:b w:val="0"/>
          <w:sz w:val="24"/>
          <w:szCs w:val="24"/>
        </w:rPr>
      </w:pPr>
      <w:bookmarkStart w:id="392" w:name="_Ref342397130"/>
      <w:bookmarkStart w:id="393" w:name="_Toc343597604"/>
      <w:bookmarkStart w:id="394" w:name="_Toc362274391"/>
      <w:r w:rsidRPr="00143FC4">
        <w:rPr>
          <w:sz w:val="24"/>
          <w:szCs w:val="24"/>
        </w:rPr>
        <w:t xml:space="preserve">Figure </w:t>
      </w:r>
      <w:r w:rsidR="009108AD" w:rsidRPr="00143FC4">
        <w:rPr>
          <w:sz w:val="24"/>
          <w:szCs w:val="24"/>
        </w:rPr>
        <w:fldChar w:fldCharType="begin"/>
      </w:r>
      <w:r w:rsidR="009108AD" w:rsidRPr="00143FC4">
        <w:rPr>
          <w:sz w:val="24"/>
          <w:szCs w:val="24"/>
        </w:rPr>
        <w:instrText xml:space="preserve"> STYLEREF 1 \s </w:instrText>
      </w:r>
      <w:r w:rsidR="009108AD" w:rsidRPr="00143FC4">
        <w:rPr>
          <w:sz w:val="24"/>
          <w:szCs w:val="24"/>
        </w:rPr>
        <w:fldChar w:fldCharType="separate"/>
      </w:r>
      <w:r w:rsidR="005F6E51">
        <w:rPr>
          <w:noProof/>
          <w:sz w:val="24"/>
          <w:szCs w:val="24"/>
        </w:rPr>
        <w:t>4</w:t>
      </w:r>
      <w:r w:rsidR="009108AD" w:rsidRPr="00143FC4">
        <w:rPr>
          <w:noProof/>
          <w:sz w:val="24"/>
          <w:szCs w:val="24"/>
        </w:rPr>
        <w:fldChar w:fldCharType="end"/>
      </w:r>
      <w:r w:rsidRPr="00143FC4">
        <w:rPr>
          <w:sz w:val="24"/>
          <w:szCs w:val="24"/>
        </w:rPr>
        <w:noBreakHyphen/>
      </w:r>
      <w:r w:rsidR="009108AD" w:rsidRPr="00143FC4">
        <w:rPr>
          <w:sz w:val="24"/>
          <w:szCs w:val="24"/>
        </w:rPr>
        <w:fldChar w:fldCharType="begin"/>
      </w:r>
      <w:r w:rsidR="009108AD" w:rsidRPr="00143FC4">
        <w:rPr>
          <w:sz w:val="24"/>
          <w:szCs w:val="24"/>
        </w:rPr>
        <w:instrText xml:space="preserve"> SEQ Figure \* ARABIC \s 1 </w:instrText>
      </w:r>
      <w:r w:rsidR="009108AD" w:rsidRPr="00143FC4">
        <w:rPr>
          <w:sz w:val="24"/>
          <w:szCs w:val="24"/>
        </w:rPr>
        <w:fldChar w:fldCharType="separate"/>
      </w:r>
      <w:r w:rsidR="005F6E51">
        <w:rPr>
          <w:noProof/>
          <w:sz w:val="24"/>
          <w:szCs w:val="24"/>
        </w:rPr>
        <w:t>12</w:t>
      </w:r>
      <w:r w:rsidR="009108AD" w:rsidRPr="00143FC4">
        <w:rPr>
          <w:noProof/>
          <w:sz w:val="24"/>
          <w:szCs w:val="24"/>
        </w:rPr>
        <w:fldChar w:fldCharType="end"/>
      </w:r>
      <w:bookmarkEnd w:id="392"/>
      <w:r w:rsidR="00143FC4">
        <w:rPr>
          <w:noProof/>
          <w:sz w:val="24"/>
          <w:szCs w:val="24"/>
        </w:rPr>
        <w:t>:</w:t>
      </w:r>
      <w:r w:rsidRPr="00143FC4">
        <w:rPr>
          <w:sz w:val="24"/>
          <w:szCs w:val="24"/>
        </w:rPr>
        <w:t xml:space="preserve"> </w:t>
      </w:r>
      <w:r w:rsidRPr="00143FC4">
        <w:rPr>
          <w:b w:val="0"/>
          <w:sz w:val="24"/>
          <w:szCs w:val="24"/>
        </w:rPr>
        <w:t>Forecast ship call numbers “probable case” for Port of Gladstone (2012-2032) as extracted from PGM Environment 2012</w:t>
      </w:r>
      <w:bookmarkEnd w:id="393"/>
      <w:bookmarkEnd w:id="394"/>
    </w:p>
    <w:p w:rsidR="001A657F" w:rsidRPr="00143FC4" w:rsidRDefault="00790777" w:rsidP="001A657F">
      <w:pPr>
        <w:pStyle w:val="Body"/>
        <w:rPr>
          <w:sz w:val="24"/>
          <w:szCs w:val="24"/>
        </w:rPr>
      </w:pPr>
      <w:r w:rsidRPr="00143FC4">
        <w:rPr>
          <w:sz w:val="24"/>
          <w:szCs w:val="24"/>
        </w:rPr>
        <w:t>S</w:t>
      </w:r>
      <w:r w:rsidR="001A657F" w:rsidRPr="00143FC4">
        <w:rPr>
          <w:sz w:val="24"/>
          <w:szCs w:val="24"/>
        </w:rPr>
        <w:t xml:space="preserve">hip call numbers </w:t>
      </w:r>
      <w:r w:rsidRPr="00143FC4">
        <w:rPr>
          <w:sz w:val="24"/>
          <w:szCs w:val="24"/>
        </w:rPr>
        <w:t xml:space="preserve">are forecast to </w:t>
      </w:r>
      <w:r w:rsidR="001A657F" w:rsidRPr="00143FC4">
        <w:rPr>
          <w:sz w:val="24"/>
          <w:szCs w:val="24"/>
        </w:rPr>
        <w:t>increas</w:t>
      </w:r>
      <w:r w:rsidRPr="00143FC4">
        <w:rPr>
          <w:sz w:val="24"/>
          <w:szCs w:val="24"/>
        </w:rPr>
        <w:t>e</w:t>
      </w:r>
      <w:r w:rsidR="001A657F" w:rsidRPr="00143FC4">
        <w:rPr>
          <w:sz w:val="24"/>
          <w:szCs w:val="24"/>
        </w:rPr>
        <w:t xml:space="preserve"> moderately at the Port of Gladstone</w:t>
      </w:r>
      <w:r w:rsidRPr="00143FC4">
        <w:rPr>
          <w:sz w:val="24"/>
          <w:szCs w:val="24"/>
        </w:rPr>
        <w:t>.</w:t>
      </w:r>
      <w:r w:rsidR="001A657F" w:rsidRPr="00143FC4">
        <w:rPr>
          <w:sz w:val="24"/>
          <w:szCs w:val="24"/>
        </w:rPr>
        <w:t xml:space="preserve"> </w:t>
      </w:r>
      <w:r w:rsidRPr="00143FC4">
        <w:rPr>
          <w:sz w:val="24"/>
          <w:szCs w:val="24"/>
        </w:rPr>
        <w:t>I</w:t>
      </w:r>
      <w:r w:rsidR="001A657F" w:rsidRPr="00143FC4">
        <w:rPr>
          <w:sz w:val="24"/>
          <w:szCs w:val="24"/>
        </w:rPr>
        <w:t>t is likely that the future demand for ship anchorages will increase at a lesser rate than the increase</w:t>
      </w:r>
      <w:r w:rsidRPr="00143FC4">
        <w:rPr>
          <w:sz w:val="24"/>
          <w:szCs w:val="24"/>
        </w:rPr>
        <w:t>d</w:t>
      </w:r>
      <w:r w:rsidR="001A657F" w:rsidRPr="00143FC4">
        <w:rPr>
          <w:sz w:val="24"/>
          <w:szCs w:val="24"/>
        </w:rPr>
        <w:t xml:space="preserve"> forecast in overall ship call numbers. This is likely to be caused by the dedicated shipping and berthing operations of LNG exports</w:t>
      </w:r>
      <w:r w:rsidRPr="00143FC4">
        <w:rPr>
          <w:sz w:val="24"/>
          <w:szCs w:val="24"/>
        </w:rPr>
        <w:t>,</w:t>
      </w:r>
      <w:r w:rsidR="001A657F" w:rsidRPr="00143FC4">
        <w:rPr>
          <w:sz w:val="24"/>
          <w:szCs w:val="24"/>
        </w:rPr>
        <w:t xml:space="preserve"> whereby controlled shipping can be scheduled to call at an LNG berth direct from sea. </w:t>
      </w:r>
      <w:r w:rsidRPr="00143FC4">
        <w:rPr>
          <w:sz w:val="24"/>
          <w:szCs w:val="24"/>
        </w:rPr>
        <w:t xml:space="preserve">Controlled shipping </w:t>
      </w:r>
      <w:r w:rsidR="001A657F" w:rsidRPr="00143FC4">
        <w:rPr>
          <w:sz w:val="24"/>
          <w:szCs w:val="24"/>
        </w:rPr>
        <w:t>may be facilitated by planned channel duplication, which is yet to be assessed.</w:t>
      </w:r>
    </w:p>
    <w:p w:rsidR="001A657F" w:rsidRPr="00143FC4" w:rsidRDefault="001A657F" w:rsidP="001A657F">
      <w:pPr>
        <w:pStyle w:val="Body"/>
        <w:rPr>
          <w:sz w:val="24"/>
          <w:szCs w:val="24"/>
        </w:rPr>
      </w:pPr>
      <w:r w:rsidRPr="00143FC4">
        <w:rPr>
          <w:sz w:val="24"/>
          <w:szCs w:val="24"/>
        </w:rPr>
        <w:t>The future scale of the use of ship anchorages at the Port of Gladstone can be summarised as becoming more significant with the demand possibly increasing by around 1.8 times in 2032 compared with today (i.e. around six ship calls per day requiring the use of anchorage). Based on preliminary observations, this future growth in anchorage demand should be able to be met by the current capacity of the designated ship anchorages</w:t>
      </w:r>
      <w:r w:rsidR="00790777" w:rsidRPr="00143FC4">
        <w:rPr>
          <w:sz w:val="24"/>
          <w:szCs w:val="24"/>
        </w:rPr>
        <w:t>,</w:t>
      </w:r>
      <w:r w:rsidRPr="00143FC4">
        <w:rPr>
          <w:sz w:val="24"/>
          <w:szCs w:val="24"/>
        </w:rPr>
        <w:t xml:space="preserve"> assuming that average ship time at anchor does not increase significantly beyond current levels. </w:t>
      </w:r>
    </w:p>
    <w:p w:rsidR="001A657F" w:rsidRPr="00B41CFA" w:rsidRDefault="001A657F" w:rsidP="001A657F">
      <w:pPr>
        <w:pStyle w:val="Heading2"/>
        <w:rPr>
          <w:sz w:val="24"/>
        </w:rPr>
      </w:pPr>
      <w:bookmarkStart w:id="395" w:name="_Toc343597264"/>
      <w:bookmarkStart w:id="396" w:name="_Toc362274313"/>
      <w:r w:rsidRPr="00B41CFA">
        <w:rPr>
          <w:sz w:val="24"/>
        </w:rPr>
        <w:t>Use of anchorages during severe cyclone events</w:t>
      </w:r>
      <w:bookmarkEnd w:id="395"/>
      <w:bookmarkEnd w:id="396"/>
    </w:p>
    <w:p w:rsidR="001A657F" w:rsidRPr="00143FC4" w:rsidRDefault="00790777" w:rsidP="001A657F">
      <w:pPr>
        <w:pStyle w:val="Body"/>
        <w:rPr>
          <w:sz w:val="24"/>
          <w:szCs w:val="24"/>
        </w:rPr>
      </w:pPr>
      <w:r w:rsidRPr="00143FC4">
        <w:rPr>
          <w:sz w:val="24"/>
          <w:szCs w:val="24"/>
        </w:rPr>
        <w:t>S</w:t>
      </w:r>
      <w:r w:rsidR="001A657F" w:rsidRPr="00143FC4">
        <w:rPr>
          <w:sz w:val="24"/>
          <w:szCs w:val="24"/>
        </w:rPr>
        <w:t>hip anchorages are affected by severe cyclone events which typically impact the Reef ports along the coast from Cairns to Hay Point. In a severe cyclone event, ships are instructed by the RHM, in advance of the cyclone arriving, to leave both port and anchorages (i.e. evacuated) to open sea (within or outside of the reef). These events require a certain operational recovery time for both ports and anchorages (typically several days depending on the severity of the event and the damage caused to port infrastructure). Anchorages play an important role in recovery situations as they can often be used in advance of a port re-opening</w:t>
      </w:r>
      <w:r w:rsidRPr="00143FC4">
        <w:rPr>
          <w:sz w:val="24"/>
          <w:szCs w:val="24"/>
        </w:rPr>
        <w:t>. This</w:t>
      </w:r>
      <w:r w:rsidR="001A657F" w:rsidRPr="00143FC4">
        <w:rPr>
          <w:sz w:val="24"/>
          <w:szCs w:val="24"/>
        </w:rPr>
        <w:t xml:space="preserve"> aids the speed of operational recovery of a port, and associated inland supply chains.</w:t>
      </w:r>
    </w:p>
    <w:p w:rsidR="001A657F" w:rsidRPr="00B41CFA" w:rsidRDefault="001A657F" w:rsidP="001A657F">
      <w:pPr>
        <w:pStyle w:val="Heading2"/>
        <w:rPr>
          <w:sz w:val="24"/>
        </w:rPr>
      </w:pPr>
      <w:bookmarkStart w:id="397" w:name="_Toc343597265"/>
      <w:bookmarkStart w:id="398" w:name="_Toc362274314"/>
      <w:r w:rsidRPr="00B41CFA">
        <w:rPr>
          <w:sz w:val="24"/>
        </w:rPr>
        <w:t>Ability to control ship anchoring demand and use</w:t>
      </w:r>
      <w:bookmarkEnd w:id="397"/>
      <w:bookmarkEnd w:id="398"/>
    </w:p>
    <w:p w:rsidR="001A657F" w:rsidRPr="00143FC4" w:rsidRDefault="001A657F" w:rsidP="001A657F">
      <w:pPr>
        <w:pStyle w:val="Body"/>
        <w:rPr>
          <w:sz w:val="24"/>
          <w:szCs w:val="24"/>
        </w:rPr>
      </w:pPr>
      <w:r w:rsidRPr="00143FC4">
        <w:rPr>
          <w:sz w:val="24"/>
          <w:szCs w:val="24"/>
        </w:rPr>
        <w:t>The ability of a port authority or RHM to control the demand and use of ship anchorages is fairly limited beyond providing designated areas with an ultimate capacity</w:t>
      </w:r>
      <w:r w:rsidR="009916C2" w:rsidRPr="00143FC4">
        <w:rPr>
          <w:sz w:val="24"/>
          <w:szCs w:val="24"/>
        </w:rPr>
        <w:t xml:space="preserve"> based on safety and navigational restrictions</w:t>
      </w:r>
      <w:r w:rsidRPr="00143FC4">
        <w:rPr>
          <w:sz w:val="24"/>
          <w:szCs w:val="24"/>
        </w:rPr>
        <w:t>. There are various parties that influence shipping movements (and therefore anchorage) with differing commercial objectives:</w:t>
      </w:r>
    </w:p>
    <w:p w:rsidR="001A657F" w:rsidRPr="00143FC4" w:rsidRDefault="001A657F" w:rsidP="001A657F">
      <w:pPr>
        <w:pStyle w:val="Body"/>
        <w:numPr>
          <w:ilvl w:val="0"/>
          <w:numId w:val="20"/>
        </w:numPr>
        <w:rPr>
          <w:sz w:val="24"/>
          <w:szCs w:val="24"/>
        </w:rPr>
      </w:pPr>
      <w:r w:rsidRPr="00143FC4">
        <w:rPr>
          <w:sz w:val="24"/>
          <w:szCs w:val="24"/>
        </w:rPr>
        <w:t xml:space="preserve">The product exporter may have control over the arrangement of shipping if the contract terms between the seller (e.g. the Australian exporter) and the buyer (e.g. the overseas importer) include delivery by ship to the overseas port destination. This currently does not happen that often in Queensland. </w:t>
      </w:r>
    </w:p>
    <w:p w:rsidR="001A657F" w:rsidRPr="002914C2" w:rsidRDefault="001A657F" w:rsidP="001A657F">
      <w:pPr>
        <w:pStyle w:val="Body"/>
        <w:numPr>
          <w:ilvl w:val="0"/>
          <w:numId w:val="20"/>
        </w:numPr>
        <w:rPr>
          <w:sz w:val="24"/>
          <w:szCs w:val="24"/>
        </w:rPr>
      </w:pPr>
      <w:r w:rsidRPr="00143FC4">
        <w:rPr>
          <w:sz w:val="24"/>
          <w:szCs w:val="24"/>
        </w:rPr>
        <w:t xml:space="preserve">The product importer may have control over the arrangement of shipping if the contract terms </w:t>
      </w:r>
      <w:r w:rsidRPr="002914C2">
        <w:rPr>
          <w:sz w:val="24"/>
          <w:szCs w:val="24"/>
        </w:rPr>
        <w:t xml:space="preserve">between the seller (e.g. the Australian exporter) and the buyer (e.g. the overseas importer) require the exporter to deliver the cargo to port and load it only onto the ship nominated by the importer (versus a ship controlled by the exporter). This is generally current practice. </w:t>
      </w:r>
    </w:p>
    <w:p w:rsidR="001A657F" w:rsidRPr="002914C2" w:rsidRDefault="001A657F" w:rsidP="001A657F">
      <w:pPr>
        <w:pStyle w:val="Body"/>
        <w:numPr>
          <w:ilvl w:val="0"/>
          <w:numId w:val="20"/>
        </w:numPr>
        <w:rPr>
          <w:sz w:val="24"/>
          <w:szCs w:val="24"/>
        </w:rPr>
      </w:pPr>
      <w:r w:rsidRPr="002914C2">
        <w:rPr>
          <w:sz w:val="24"/>
          <w:szCs w:val="24"/>
        </w:rPr>
        <w:t>The shipping c</w:t>
      </w:r>
      <w:r w:rsidR="00374F9D">
        <w:rPr>
          <w:sz w:val="24"/>
          <w:szCs w:val="24"/>
        </w:rPr>
        <w:t>ompany and the ship’s master have</w:t>
      </w:r>
      <w:r w:rsidRPr="002914C2">
        <w:rPr>
          <w:sz w:val="24"/>
          <w:szCs w:val="24"/>
        </w:rPr>
        <w:t xml:space="preserve"> the discretion when to arrive for cargoes. This can include arriving just-in time for a booked load, or opportunistically waiting at a loading point (at anchor) for the chance of loading a cargo.</w:t>
      </w:r>
      <w:r w:rsidR="008F61A8" w:rsidRPr="002914C2">
        <w:rPr>
          <w:sz w:val="24"/>
          <w:szCs w:val="24"/>
        </w:rPr>
        <w:t xml:space="preserve"> Opportunistic arrivals are not a practice that currently occurs for ships servicing the five major ports of Queensland (P. Quirk (MSQ) pers. comm., 20 May 2013).</w:t>
      </w:r>
    </w:p>
    <w:p w:rsidR="001A657F" w:rsidRPr="00143FC4" w:rsidRDefault="001A657F" w:rsidP="001A657F">
      <w:pPr>
        <w:pStyle w:val="Body"/>
        <w:numPr>
          <w:ilvl w:val="0"/>
          <w:numId w:val="20"/>
        </w:numPr>
        <w:rPr>
          <w:sz w:val="24"/>
          <w:szCs w:val="24"/>
        </w:rPr>
      </w:pPr>
      <w:r w:rsidRPr="00143FC4">
        <w:rPr>
          <w:sz w:val="24"/>
          <w:szCs w:val="24"/>
        </w:rPr>
        <w:t>The terminal operating company, in conjunction with the port authority, may operate queuing rules, notifications and priorities which affect the behaviour of ships at anchor and their proceeding towards anchor from sea.</w:t>
      </w:r>
    </w:p>
    <w:p w:rsidR="001A657F" w:rsidRPr="00143FC4" w:rsidRDefault="009916C2" w:rsidP="001A657F">
      <w:pPr>
        <w:pStyle w:val="Body"/>
        <w:rPr>
          <w:sz w:val="24"/>
          <w:szCs w:val="24"/>
        </w:rPr>
      </w:pPr>
      <w:r w:rsidRPr="00143FC4">
        <w:rPr>
          <w:sz w:val="24"/>
          <w:szCs w:val="24"/>
        </w:rPr>
        <w:t>This complexity of stakeholders means that t</w:t>
      </w:r>
      <w:r w:rsidR="001A657F" w:rsidRPr="00143FC4">
        <w:rPr>
          <w:sz w:val="24"/>
          <w:szCs w:val="24"/>
        </w:rPr>
        <w:t xml:space="preserve">he efficient operation of supply-chains, terminals and minimisation of the demand for anchorages continues to be a challenge for the market-place using the main Reef ports. </w:t>
      </w:r>
    </w:p>
    <w:p w:rsidR="001A657F" w:rsidRDefault="001A657F" w:rsidP="001A657F">
      <w:pPr>
        <w:pStyle w:val="Heading1"/>
      </w:pPr>
      <w:bookmarkStart w:id="399" w:name="_Toc343597266"/>
      <w:bookmarkStart w:id="400" w:name="_Ref347501546"/>
      <w:bookmarkStart w:id="401" w:name="_Ref347759732"/>
      <w:bookmarkStart w:id="402" w:name="_Ref347764960"/>
      <w:bookmarkStart w:id="403" w:name="_Toc362274315"/>
      <w:r>
        <w:t>RANGE of options for anchorage management</w:t>
      </w:r>
      <w:bookmarkEnd w:id="399"/>
      <w:bookmarkEnd w:id="400"/>
      <w:bookmarkEnd w:id="401"/>
      <w:bookmarkEnd w:id="402"/>
      <w:bookmarkEnd w:id="403"/>
    </w:p>
    <w:p w:rsidR="001A657F" w:rsidRPr="00B41CFA" w:rsidRDefault="001A657F" w:rsidP="001A657F">
      <w:pPr>
        <w:pStyle w:val="Heading2"/>
        <w:rPr>
          <w:sz w:val="24"/>
        </w:rPr>
      </w:pPr>
      <w:bookmarkStart w:id="404" w:name="_Toc343597267"/>
      <w:bookmarkStart w:id="405" w:name="_Ref347735843"/>
      <w:bookmarkStart w:id="406" w:name="_Toc362274316"/>
      <w:r w:rsidRPr="00B41CFA">
        <w:rPr>
          <w:sz w:val="24"/>
        </w:rPr>
        <w:t>Background</w:t>
      </w:r>
      <w:bookmarkEnd w:id="404"/>
      <w:bookmarkEnd w:id="405"/>
      <w:r w:rsidRPr="00B41CFA">
        <w:rPr>
          <w:sz w:val="24"/>
        </w:rPr>
        <w:t xml:space="preserve"> and potential management options</w:t>
      </w:r>
      <w:bookmarkEnd w:id="406"/>
    </w:p>
    <w:p w:rsidR="001A657F" w:rsidRPr="001F52E5" w:rsidRDefault="001A657F" w:rsidP="001A657F">
      <w:pPr>
        <w:pStyle w:val="Body"/>
        <w:rPr>
          <w:sz w:val="24"/>
          <w:szCs w:val="24"/>
        </w:rPr>
      </w:pPr>
      <w:r w:rsidRPr="001F52E5">
        <w:rPr>
          <w:sz w:val="24"/>
          <w:szCs w:val="24"/>
        </w:rPr>
        <w:t xml:space="preserve">This section describes management options for ship anchorages. These potential management options </w:t>
      </w:r>
      <w:r w:rsidR="00A76443" w:rsidRPr="001F52E5">
        <w:rPr>
          <w:sz w:val="24"/>
          <w:szCs w:val="24"/>
        </w:rPr>
        <w:t xml:space="preserve">are </w:t>
      </w:r>
      <w:r w:rsidRPr="001F52E5">
        <w:rPr>
          <w:sz w:val="24"/>
          <w:szCs w:val="24"/>
        </w:rPr>
        <w:t xml:space="preserve">assessed </w:t>
      </w:r>
      <w:r w:rsidR="00A76443" w:rsidRPr="001F52E5">
        <w:rPr>
          <w:sz w:val="24"/>
          <w:szCs w:val="24"/>
        </w:rPr>
        <w:t>through</w:t>
      </w:r>
      <w:r w:rsidRPr="001F52E5">
        <w:rPr>
          <w:sz w:val="24"/>
          <w:szCs w:val="24"/>
        </w:rPr>
        <w:t xml:space="preserve"> the CBA model if future anchorage demands predict a need to expand anchorage areas. </w:t>
      </w:r>
    </w:p>
    <w:p w:rsidR="001A657F" w:rsidRPr="001F52E5" w:rsidRDefault="001A657F" w:rsidP="001A657F">
      <w:pPr>
        <w:pStyle w:val="Body"/>
        <w:rPr>
          <w:sz w:val="24"/>
          <w:szCs w:val="24"/>
        </w:rPr>
      </w:pPr>
      <w:r w:rsidRPr="001F52E5">
        <w:rPr>
          <w:sz w:val="24"/>
          <w:szCs w:val="24"/>
        </w:rPr>
        <w:t>This section (</w:t>
      </w:r>
      <w:r w:rsidR="00CD38ED" w:rsidRPr="001F52E5">
        <w:rPr>
          <w:sz w:val="24"/>
          <w:szCs w:val="24"/>
        </w:rPr>
        <w:fldChar w:fldCharType="begin"/>
      </w:r>
      <w:r w:rsidRPr="001F52E5">
        <w:rPr>
          <w:sz w:val="24"/>
          <w:szCs w:val="24"/>
        </w:rPr>
        <w:instrText xml:space="preserve"> REF _Ref347735843 \r \h </w:instrText>
      </w:r>
      <w:r w:rsidR="001F52E5">
        <w:rPr>
          <w:sz w:val="24"/>
          <w:szCs w:val="24"/>
        </w:rPr>
        <w:instrText xml:space="preserve"> \* MERGEFORMAT </w:instrText>
      </w:r>
      <w:r w:rsidR="00CD38ED" w:rsidRPr="001F52E5">
        <w:rPr>
          <w:sz w:val="24"/>
          <w:szCs w:val="24"/>
        </w:rPr>
      </w:r>
      <w:r w:rsidR="00CD38ED" w:rsidRPr="001F52E5">
        <w:rPr>
          <w:sz w:val="24"/>
          <w:szCs w:val="24"/>
        </w:rPr>
        <w:fldChar w:fldCharType="separate"/>
      </w:r>
      <w:r w:rsidR="005F6E51">
        <w:rPr>
          <w:sz w:val="24"/>
          <w:szCs w:val="24"/>
        </w:rPr>
        <w:t>5.1</w:t>
      </w:r>
      <w:r w:rsidR="00CD38ED" w:rsidRPr="001F52E5">
        <w:rPr>
          <w:sz w:val="24"/>
          <w:szCs w:val="24"/>
        </w:rPr>
        <w:fldChar w:fldCharType="end"/>
      </w:r>
      <w:r w:rsidRPr="001F52E5">
        <w:rPr>
          <w:sz w:val="24"/>
          <w:szCs w:val="24"/>
        </w:rPr>
        <w:t xml:space="preserve">) describes identified generic anchorage management options. Following, in sections </w:t>
      </w:r>
      <w:r w:rsidR="00CD38ED" w:rsidRPr="001F52E5">
        <w:rPr>
          <w:sz w:val="24"/>
          <w:szCs w:val="24"/>
        </w:rPr>
        <w:fldChar w:fldCharType="begin"/>
      </w:r>
      <w:r w:rsidRPr="001F52E5">
        <w:rPr>
          <w:sz w:val="24"/>
          <w:szCs w:val="24"/>
        </w:rPr>
        <w:instrText xml:space="preserve"> REF _Ref347735927 \r \h </w:instrText>
      </w:r>
      <w:r w:rsidR="001F52E5">
        <w:rPr>
          <w:sz w:val="24"/>
          <w:szCs w:val="24"/>
        </w:rPr>
        <w:instrText xml:space="preserve"> \* MERGEFORMAT </w:instrText>
      </w:r>
      <w:r w:rsidR="00CD38ED" w:rsidRPr="001F52E5">
        <w:rPr>
          <w:sz w:val="24"/>
          <w:szCs w:val="24"/>
        </w:rPr>
      </w:r>
      <w:r w:rsidR="00CD38ED" w:rsidRPr="001F52E5">
        <w:rPr>
          <w:sz w:val="24"/>
          <w:szCs w:val="24"/>
        </w:rPr>
        <w:fldChar w:fldCharType="separate"/>
      </w:r>
      <w:r w:rsidR="005F6E51">
        <w:rPr>
          <w:sz w:val="24"/>
          <w:szCs w:val="24"/>
        </w:rPr>
        <w:t>5.2</w:t>
      </w:r>
      <w:r w:rsidR="00CD38ED" w:rsidRPr="001F52E5">
        <w:rPr>
          <w:sz w:val="24"/>
          <w:szCs w:val="24"/>
        </w:rPr>
        <w:fldChar w:fldCharType="end"/>
      </w:r>
      <w:r w:rsidRPr="001F52E5">
        <w:rPr>
          <w:sz w:val="24"/>
          <w:szCs w:val="24"/>
        </w:rPr>
        <w:t xml:space="preserve"> through to </w:t>
      </w:r>
      <w:r w:rsidR="00CD38ED" w:rsidRPr="001F52E5">
        <w:rPr>
          <w:sz w:val="24"/>
          <w:szCs w:val="24"/>
        </w:rPr>
        <w:fldChar w:fldCharType="begin"/>
      </w:r>
      <w:r w:rsidRPr="001F52E5">
        <w:rPr>
          <w:sz w:val="24"/>
          <w:szCs w:val="24"/>
        </w:rPr>
        <w:instrText xml:space="preserve"> REF _Ref347735944 \r \h </w:instrText>
      </w:r>
      <w:r w:rsidR="001F52E5">
        <w:rPr>
          <w:sz w:val="24"/>
          <w:szCs w:val="24"/>
        </w:rPr>
        <w:instrText xml:space="preserve"> \* MERGEFORMAT </w:instrText>
      </w:r>
      <w:r w:rsidR="00CD38ED" w:rsidRPr="001F52E5">
        <w:rPr>
          <w:sz w:val="24"/>
          <w:szCs w:val="24"/>
        </w:rPr>
      </w:r>
      <w:r w:rsidR="00CD38ED" w:rsidRPr="001F52E5">
        <w:rPr>
          <w:sz w:val="24"/>
          <w:szCs w:val="24"/>
        </w:rPr>
        <w:fldChar w:fldCharType="separate"/>
      </w:r>
      <w:r w:rsidR="005F6E51">
        <w:rPr>
          <w:sz w:val="24"/>
          <w:szCs w:val="24"/>
        </w:rPr>
        <w:t>5.3.5</w:t>
      </w:r>
      <w:r w:rsidR="00CD38ED" w:rsidRPr="001F52E5">
        <w:rPr>
          <w:sz w:val="24"/>
          <w:szCs w:val="24"/>
        </w:rPr>
        <w:fldChar w:fldCharType="end"/>
      </w:r>
      <w:r w:rsidRPr="001F52E5">
        <w:rPr>
          <w:sz w:val="24"/>
          <w:szCs w:val="24"/>
        </w:rPr>
        <w:t xml:space="preserve">, the relevance of those management options to each of the </w:t>
      </w:r>
      <w:r w:rsidR="00A76443" w:rsidRPr="001F52E5">
        <w:rPr>
          <w:sz w:val="24"/>
          <w:szCs w:val="24"/>
        </w:rPr>
        <w:t xml:space="preserve">subject </w:t>
      </w:r>
      <w:r w:rsidRPr="001F52E5">
        <w:rPr>
          <w:sz w:val="24"/>
          <w:szCs w:val="24"/>
        </w:rPr>
        <w:t xml:space="preserve">ports is considered with regard to quantifiable benefits and costs. </w:t>
      </w:r>
      <w:r w:rsidR="00A76443" w:rsidRPr="001F52E5">
        <w:rPr>
          <w:sz w:val="24"/>
          <w:szCs w:val="24"/>
        </w:rPr>
        <w:t xml:space="preserve">Following analysis of this generic list, a more </w:t>
      </w:r>
      <w:r w:rsidRPr="001F52E5">
        <w:rPr>
          <w:sz w:val="24"/>
          <w:szCs w:val="24"/>
        </w:rPr>
        <w:t xml:space="preserve">refined list of management options </w:t>
      </w:r>
      <w:r w:rsidR="00A76443" w:rsidRPr="001F52E5">
        <w:rPr>
          <w:sz w:val="24"/>
          <w:szCs w:val="24"/>
        </w:rPr>
        <w:t xml:space="preserve">was </w:t>
      </w:r>
      <w:r w:rsidRPr="001F52E5">
        <w:rPr>
          <w:sz w:val="24"/>
          <w:szCs w:val="24"/>
        </w:rPr>
        <w:t xml:space="preserve">assessed by the CBA modelling (refer section </w:t>
      </w:r>
      <w:r w:rsidR="00CD38ED" w:rsidRPr="001F52E5">
        <w:rPr>
          <w:sz w:val="24"/>
          <w:szCs w:val="24"/>
        </w:rPr>
        <w:fldChar w:fldCharType="begin"/>
      </w:r>
      <w:r w:rsidRPr="001F52E5">
        <w:rPr>
          <w:sz w:val="24"/>
          <w:szCs w:val="24"/>
        </w:rPr>
        <w:instrText xml:space="preserve"> REF _Ref347736458 \r \h </w:instrText>
      </w:r>
      <w:r w:rsidR="001F52E5">
        <w:rPr>
          <w:sz w:val="24"/>
          <w:szCs w:val="24"/>
        </w:rPr>
        <w:instrText xml:space="preserve"> \* MERGEFORMAT </w:instrText>
      </w:r>
      <w:r w:rsidR="00CD38ED" w:rsidRPr="001F52E5">
        <w:rPr>
          <w:sz w:val="24"/>
          <w:szCs w:val="24"/>
        </w:rPr>
      </w:r>
      <w:r w:rsidR="00CD38ED" w:rsidRPr="001F52E5">
        <w:rPr>
          <w:sz w:val="24"/>
          <w:szCs w:val="24"/>
        </w:rPr>
        <w:fldChar w:fldCharType="separate"/>
      </w:r>
      <w:r w:rsidR="005F6E51">
        <w:rPr>
          <w:sz w:val="24"/>
          <w:szCs w:val="24"/>
        </w:rPr>
        <w:t>7</w:t>
      </w:r>
      <w:r w:rsidR="00CD38ED" w:rsidRPr="001F52E5">
        <w:rPr>
          <w:sz w:val="24"/>
          <w:szCs w:val="24"/>
        </w:rPr>
        <w:fldChar w:fldCharType="end"/>
      </w:r>
      <w:r w:rsidRPr="001F52E5">
        <w:rPr>
          <w:sz w:val="24"/>
          <w:szCs w:val="24"/>
        </w:rPr>
        <w:t xml:space="preserve">) for ports where future demand for anchorages outstrips available anchorage space. </w:t>
      </w:r>
    </w:p>
    <w:p w:rsidR="001A657F" w:rsidRPr="001F52E5" w:rsidRDefault="001A657F" w:rsidP="001A657F">
      <w:pPr>
        <w:pStyle w:val="Body"/>
        <w:rPr>
          <w:sz w:val="24"/>
          <w:szCs w:val="24"/>
        </w:rPr>
      </w:pPr>
      <w:r w:rsidRPr="001F52E5">
        <w:rPr>
          <w:sz w:val="24"/>
          <w:szCs w:val="24"/>
        </w:rPr>
        <w:t xml:space="preserve">The examination and initial screening of the various identified options presented in this section occurred as part of the CBA workshop with relevant stakeholders (refer section </w:t>
      </w:r>
      <w:r w:rsidR="00CD38ED" w:rsidRPr="001F52E5">
        <w:rPr>
          <w:sz w:val="24"/>
          <w:szCs w:val="24"/>
        </w:rPr>
        <w:fldChar w:fldCharType="begin"/>
      </w:r>
      <w:r w:rsidRPr="001F52E5">
        <w:rPr>
          <w:sz w:val="24"/>
          <w:szCs w:val="24"/>
        </w:rPr>
        <w:instrText xml:space="preserve"> REF _Ref347736590 \r \h </w:instrText>
      </w:r>
      <w:r w:rsidR="001F52E5">
        <w:rPr>
          <w:sz w:val="24"/>
          <w:szCs w:val="24"/>
        </w:rPr>
        <w:instrText xml:space="preserve"> \* MERGEFORMAT </w:instrText>
      </w:r>
      <w:r w:rsidR="00CD38ED" w:rsidRPr="001F52E5">
        <w:rPr>
          <w:sz w:val="24"/>
          <w:szCs w:val="24"/>
        </w:rPr>
      </w:r>
      <w:r w:rsidR="00CD38ED" w:rsidRPr="001F52E5">
        <w:rPr>
          <w:sz w:val="24"/>
          <w:szCs w:val="24"/>
        </w:rPr>
        <w:fldChar w:fldCharType="separate"/>
      </w:r>
      <w:r w:rsidR="005F6E51">
        <w:rPr>
          <w:sz w:val="24"/>
          <w:szCs w:val="24"/>
        </w:rPr>
        <w:t>3</w:t>
      </w:r>
      <w:r w:rsidR="00CD38ED" w:rsidRPr="001F52E5">
        <w:rPr>
          <w:sz w:val="24"/>
          <w:szCs w:val="24"/>
        </w:rPr>
        <w:fldChar w:fldCharType="end"/>
      </w:r>
      <w:r w:rsidRPr="001F52E5">
        <w:rPr>
          <w:sz w:val="24"/>
          <w:szCs w:val="24"/>
        </w:rPr>
        <w:t>) and involved a number of discussion topics:</w:t>
      </w:r>
    </w:p>
    <w:p w:rsidR="001A657F" w:rsidRPr="001F52E5" w:rsidRDefault="001A657F" w:rsidP="001A657F">
      <w:pPr>
        <w:pStyle w:val="Body"/>
        <w:numPr>
          <w:ilvl w:val="0"/>
          <w:numId w:val="21"/>
        </w:numPr>
        <w:rPr>
          <w:sz w:val="24"/>
          <w:szCs w:val="24"/>
        </w:rPr>
      </w:pPr>
      <w:r w:rsidRPr="001F52E5">
        <w:rPr>
          <w:sz w:val="24"/>
          <w:szCs w:val="24"/>
        </w:rPr>
        <w:t>Possible economic and commercial impacts</w:t>
      </w:r>
    </w:p>
    <w:p w:rsidR="001A657F" w:rsidRPr="001F52E5" w:rsidRDefault="001A657F" w:rsidP="001A657F">
      <w:pPr>
        <w:pStyle w:val="Body"/>
        <w:numPr>
          <w:ilvl w:val="0"/>
          <w:numId w:val="21"/>
        </w:numPr>
        <w:rPr>
          <w:sz w:val="24"/>
          <w:szCs w:val="24"/>
        </w:rPr>
      </w:pPr>
      <w:r w:rsidRPr="001F52E5">
        <w:rPr>
          <w:sz w:val="24"/>
          <w:szCs w:val="24"/>
        </w:rPr>
        <w:t>Possible environmental impacts with the goal of achieving net environmental gains</w:t>
      </w:r>
    </w:p>
    <w:p w:rsidR="001A657F" w:rsidRPr="001F52E5" w:rsidRDefault="001A657F" w:rsidP="001A657F">
      <w:pPr>
        <w:pStyle w:val="Body"/>
        <w:numPr>
          <w:ilvl w:val="0"/>
          <w:numId w:val="21"/>
        </w:numPr>
        <w:rPr>
          <w:sz w:val="24"/>
          <w:szCs w:val="24"/>
        </w:rPr>
      </w:pPr>
      <w:r w:rsidRPr="001F52E5">
        <w:rPr>
          <w:sz w:val="24"/>
          <w:szCs w:val="24"/>
        </w:rPr>
        <w:t>Possible ship safety and emergency response impacts</w:t>
      </w:r>
    </w:p>
    <w:p w:rsidR="001A657F" w:rsidRPr="001F52E5" w:rsidRDefault="001A657F" w:rsidP="001A657F">
      <w:pPr>
        <w:pStyle w:val="Body"/>
        <w:numPr>
          <w:ilvl w:val="0"/>
          <w:numId w:val="21"/>
        </w:numPr>
        <w:rPr>
          <w:sz w:val="24"/>
          <w:szCs w:val="24"/>
        </w:rPr>
      </w:pPr>
      <w:r w:rsidRPr="001F52E5">
        <w:rPr>
          <w:sz w:val="24"/>
          <w:szCs w:val="24"/>
        </w:rPr>
        <w:t>Possible other user and social impacts</w:t>
      </w:r>
    </w:p>
    <w:p w:rsidR="001A657F" w:rsidRPr="001F52E5" w:rsidRDefault="001A657F" w:rsidP="001A657F">
      <w:pPr>
        <w:pStyle w:val="Body"/>
        <w:numPr>
          <w:ilvl w:val="0"/>
          <w:numId w:val="21"/>
        </w:numPr>
        <w:rPr>
          <w:sz w:val="24"/>
          <w:szCs w:val="24"/>
        </w:rPr>
      </w:pPr>
      <w:r w:rsidRPr="001F52E5">
        <w:rPr>
          <w:sz w:val="24"/>
          <w:szCs w:val="24"/>
        </w:rPr>
        <w:t xml:space="preserve">Possible transfer of safety and environmental impacts beyond the study area and other borders. </w:t>
      </w:r>
      <w:r w:rsidR="00A76443" w:rsidRPr="001F52E5">
        <w:rPr>
          <w:sz w:val="24"/>
          <w:szCs w:val="24"/>
        </w:rPr>
        <w:t xml:space="preserve">Note: </w:t>
      </w:r>
      <w:r w:rsidRPr="001F52E5">
        <w:rPr>
          <w:sz w:val="24"/>
          <w:szCs w:val="24"/>
        </w:rPr>
        <w:t>This is considered a negative impact as negative impacts potentially still remain</w:t>
      </w:r>
      <w:r w:rsidR="00A76443" w:rsidRPr="001F52E5">
        <w:rPr>
          <w:sz w:val="24"/>
          <w:szCs w:val="24"/>
        </w:rPr>
        <w:t>,</w:t>
      </w:r>
      <w:r w:rsidRPr="001F52E5">
        <w:rPr>
          <w:sz w:val="24"/>
          <w:szCs w:val="24"/>
        </w:rPr>
        <w:t xml:space="preserve"> but in other locations, including outside of the Marine Park and Australian national borders.</w:t>
      </w:r>
    </w:p>
    <w:p w:rsidR="001A657F" w:rsidRPr="00B41CFA" w:rsidRDefault="001A657F" w:rsidP="001A657F">
      <w:pPr>
        <w:pStyle w:val="Heading3"/>
        <w:rPr>
          <w:sz w:val="24"/>
        </w:rPr>
      </w:pPr>
      <w:bookmarkStart w:id="407" w:name="_Toc343597268"/>
      <w:bookmarkStart w:id="408" w:name="_Toc342402483"/>
      <w:bookmarkStart w:id="409" w:name="_Toc343597269"/>
      <w:bookmarkStart w:id="410" w:name="_Toc362274317"/>
      <w:bookmarkEnd w:id="407"/>
      <w:r w:rsidRPr="00B41CFA">
        <w:rPr>
          <w:sz w:val="24"/>
        </w:rPr>
        <w:t>Overview of an identified set of port ship anchorage management options</w:t>
      </w:r>
      <w:bookmarkEnd w:id="408"/>
      <w:bookmarkEnd w:id="409"/>
      <w:bookmarkEnd w:id="410"/>
    </w:p>
    <w:p w:rsidR="001A657F" w:rsidRDefault="001A657F" w:rsidP="001A657F">
      <w:pPr>
        <w:pStyle w:val="Body"/>
        <w:rPr>
          <w:sz w:val="24"/>
          <w:szCs w:val="24"/>
        </w:rPr>
      </w:pPr>
      <w:r w:rsidRPr="001F52E5">
        <w:rPr>
          <w:sz w:val="24"/>
          <w:szCs w:val="24"/>
        </w:rPr>
        <w:t>GHD initially scoped, using discussions with marine engineering and shipping consultants combined with a literature review, a set of potential ship anchorage management</w:t>
      </w:r>
      <w:r w:rsidR="00A76443" w:rsidRPr="001F52E5">
        <w:rPr>
          <w:sz w:val="24"/>
          <w:szCs w:val="24"/>
        </w:rPr>
        <w:t xml:space="preserve"> options</w:t>
      </w:r>
      <w:r w:rsidRPr="001F52E5">
        <w:rPr>
          <w:sz w:val="24"/>
          <w:szCs w:val="24"/>
        </w:rPr>
        <w:t>. Via workshopping with targeted stakeholders</w:t>
      </w:r>
      <w:r w:rsidR="00A76443" w:rsidRPr="001F52E5">
        <w:rPr>
          <w:sz w:val="24"/>
          <w:szCs w:val="24"/>
        </w:rPr>
        <w:t>,</w:t>
      </w:r>
      <w:r w:rsidRPr="001F52E5">
        <w:rPr>
          <w:sz w:val="24"/>
          <w:szCs w:val="24"/>
        </w:rPr>
        <w:t xml:space="preserve"> agreement was reached as to the full range of potential options for the management of ship anchorage at the five ports of interest to be considered under this project. These options are shown in </w:t>
      </w:r>
      <w:r w:rsidR="00ED39F9" w:rsidRPr="001F52E5">
        <w:rPr>
          <w:sz w:val="24"/>
          <w:szCs w:val="24"/>
        </w:rPr>
        <w:fldChar w:fldCharType="begin"/>
      </w:r>
      <w:r w:rsidR="00ED39F9" w:rsidRPr="001F52E5">
        <w:rPr>
          <w:sz w:val="24"/>
          <w:szCs w:val="24"/>
        </w:rPr>
        <w:instrText xml:space="preserve"> REF  _Ref343519193 \* Lower \h  \* MERGEFORMAT </w:instrText>
      </w:r>
      <w:r w:rsidR="00ED39F9" w:rsidRPr="001F52E5">
        <w:rPr>
          <w:sz w:val="24"/>
          <w:szCs w:val="24"/>
        </w:rPr>
      </w:r>
      <w:r w:rsidR="00ED39F9" w:rsidRPr="001F52E5">
        <w:rPr>
          <w:sz w:val="24"/>
          <w:szCs w:val="24"/>
        </w:rPr>
        <w:fldChar w:fldCharType="separate"/>
      </w:r>
      <w:r w:rsidR="005F6E51" w:rsidRPr="00DE2A47">
        <w:rPr>
          <w:sz w:val="24"/>
          <w:szCs w:val="24"/>
        </w:rPr>
        <w:t xml:space="preserve">table </w:t>
      </w:r>
      <w:r w:rsidR="005F6E51">
        <w:rPr>
          <w:noProof/>
          <w:sz w:val="24"/>
          <w:szCs w:val="24"/>
        </w:rPr>
        <w:t>5</w:t>
      </w:r>
      <w:r w:rsidR="005F6E51" w:rsidRPr="00DE2A47">
        <w:rPr>
          <w:noProof/>
          <w:sz w:val="24"/>
          <w:szCs w:val="24"/>
        </w:rPr>
        <w:noBreakHyphen/>
      </w:r>
      <w:r w:rsidR="005F6E51">
        <w:rPr>
          <w:noProof/>
          <w:sz w:val="24"/>
          <w:szCs w:val="24"/>
        </w:rPr>
        <w:t>1</w:t>
      </w:r>
      <w:r w:rsidR="00ED39F9" w:rsidRPr="001F52E5">
        <w:rPr>
          <w:sz w:val="24"/>
          <w:szCs w:val="24"/>
        </w:rPr>
        <w:fldChar w:fldCharType="end"/>
      </w:r>
      <w:r w:rsidRPr="001F52E5">
        <w:rPr>
          <w:sz w:val="24"/>
          <w:szCs w:val="24"/>
        </w:rPr>
        <w:t xml:space="preserve">. As noted above, these agreed options were subject to further review to determine their relevance prior to analysis using the CBA modelling in section </w:t>
      </w:r>
      <w:r w:rsidR="001F52E5">
        <w:rPr>
          <w:sz w:val="24"/>
          <w:szCs w:val="24"/>
        </w:rPr>
        <w:fldChar w:fldCharType="begin"/>
      </w:r>
      <w:r w:rsidR="001F52E5">
        <w:rPr>
          <w:sz w:val="24"/>
          <w:szCs w:val="24"/>
        </w:rPr>
        <w:instrText xml:space="preserve"> REF _Ref358819684 \n \h </w:instrText>
      </w:r>
      <w:r w:rsidR="001F52E5">
        <w:rPr>
          <w:sz w:val="24"/>
          <w:szCs w:val="24"/>
        </w:rPr>
      </w:r>
      <w:r w:rsidR="001F52E5">
        <w:rPr>
          <w:sz w:val="24"/>
          <w:szCs w:val="24"/>
        </w:rPr>
        <w:fldChar w:fldCharType="separate"/>
      </w:r>
      <w:r w:rsidR="005F6E51">
        <w:rPr>
          <w:sz w:val="24"/>
          <w:szCs w:val="24"/>
        </w:rPr>
        <w:t>7</w:t>
      </w:r>
      <w:r w:rsidR="001F52E5">
        <w:rPr>
          <w:sz w:val="24"/>
          <w:szCs w:val="24"/>
        </w:rPr>
        <w:fldChar w:fldCharType="end"/>
      </w:r>
      <w:r w:rsidRPr="001F52E5">
        <w:rPr>
          <w:sz w:val="24"/>
          <w:szCs w:val="24"/>
        </w:rPr>
        <w:t xml:space="preserve">. </w:t>
      </w:r>
    </w:p>
    <w:p w:rsidR="001A657F" w:rsidRPr="00DE2A47" w:rsidRDefault="001A657F" w:rsidP="001A657F">
      <w:pPr>
        <w:pStyle w:val="CaptionTable"/>
        <w:rPr>
          <w:sz w:val="24"/>
          <w:szCs w:val="24"/>
        </w:rPr>
      </w:pPr>
      <w:bookmarkStart w:id="411" w:name="_Ref343519193"/>
      <w:bookmarkStart w:id="412" w:name="_Toc343582064"/>
      <w:bookmarkStart w:id="413" w:name="_Toc343597159"/>
      <w:bookmarkStart w:id="414" w:name="_Toc362274373"/>
      <w:r w:rsidRPr="00DE2A47">
        <w:rPr>
          <w:sz w:val="24"/>
          <w:szCs w:val="24"/>
        </w:rPr>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5</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1</w:t>
      </w:r>
      <w:r w:rsidR="00542883">
        <w:rPr>
          <w:sz w:val="24"/>
          <w:szCs w:val="24"/>
        </w:rPr>
        <w:fldChar w:fldCharType="end"/>
      </w:r>
      <w:bookmarkEnd w:id="411"/>
      <w:r w:rsidR="001F52E5" w:rsidRPr="00DE2A47">
        <w:rPr>
          <w:noProof/>
          <w:sz w:val="24"/>
          <w:szCs w:val="24"/>
        </w:rPr>
        <w:t>:</w:t>
      </w:r>
      <w:r w:rsidRPr="00DE2A47">
        <w:rPr>
          <w:sz w:val="24"/>
          <w:szCs w:val="24"/>
        </w:rPr>
        <w:t xml:space="preserve"> </w:t>
      </w:r>
      <w:r w:rsidRPr="00DE2A47">
        <w:rPr>
          <w:b w:val="0"/>
          <w:sz w:val="24"/>
          <w:szCs w:val="24"/>
        </w:rPr>
        <w:t>Overview of potential ship anchorage management options</w:t>
      </w:r>
      <w:bookmarkEnd w:id="412"/>
      <w:bookmarkEnd w:id="413"/>
      <w:bookmarkEnd w:id="414"/>
      <w:r w:rsidRPr="00DE2A47">
        <w:rPr>
          <w:sz w:val="24"/>
          <w:szCs w:val="24"/>
        </w:rPr>
        <w:t xml:space="preserve"> </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Caption w:val="Overview of potential ship anchorage management options "/>
        <w:tblDescription w:val="An overview of the potential ship anchorage management options for the five major ports. Columns represent the option number, name of the option and description of the option. Further discussion of these management options is provided in Sections 5.1.2 to 5.1.12."/>
      </w:tblPr>
      <w:tblGrid>
        <w:gridCol w:w="1096"/>
        <w:gridCol w:w="2776"/>
        <w:gridCol w:w="5131"/>
      </w:tblGrid>
      <w:tr w:rsidR="005E4A4C" w:rsidRPr="00BB6219" w:rsidTr="001A0B15">
        <w:trPr>
          <w:tblHeader/>
        </w:trPr>
        <w:tc>
          <w:tcPr>
            <w:tcW w:w="1101" w:type="dxa"/>
          </w:tcPr>
          <w:p w:rsidR="005E4A4C" w:rsidRPr="005E4A4C" w:rsidRDefault="005E4A4C" w:rsidP="005E4A4C">
            <w:pPr>
              <w:pStyle w:val="Body"/>
              <w:rPr>
                <w:b/>
                <w:sz w:val="24"/>
                <w:szCs w:val="24"/>
              </w:rPr>
            </w:pPr>
            <w:r w:rsidRPr="005E4A4C">
              <w:rPr>
                <w:b/>
                <w:sz w:val="24"/>
                <w:szCs w:val="24"/>
              </w:rPr>
              <w:t>Option</w:t>
            </w:r>
          </w:p>
        </w:tc>
        <w:tc>
          <w:tcPr>
            <w:tcW w:w="2835" w:type="dxa"/>
          </w:tcPr>
          <w:p w:rsidR="005E4A4C" w:rsidRPr="005E4A4C" w:rsidRDefault="005E4A4C" w:rsidP="005E4A4C">
            <w:pPr>
              <w:pStyle w:val="Body"/>
              <w:rPr>
                <w:b/>
                <w:sz w:val="24"/>
                <w:szCs w:val="24"/>
              </w:rPr>
            </w:pPr>
            <w:r w:rsidRPr="005E4A4C">
              <w:rPr>
                <w:b/>
                <w:sz w:val="24"/>
                <w:szCs w:val="24"/>
              </w:rPr>
              <w:t>Name</w:t>
            </w:r>
          </w:p>
        </w:tc>
        <w:tc>
          <w:tcPr>
            <w:tcW w:w="5306" w:type="dxa"/>
          </w:tcPr>
          <w:p w:rsidR="005E4A4C" w:rsidRPr="005E4A4C" w:rsidRDefault="005E4A4C" w:rsidP="005E4A4C">
            <w:pPr>
              <w:pStyle w:val="Body"/>
              <w:rPr>
                <w:b/>
                <w:sz w:val="24"/>
                <w:szCs w:val="24"/>
              </w:rPr>
            </w:pPr>
            <w:r w:rsidRPr="005E4A4C">
              <w:rPr>
                <w:b/>
                <w:sz w:val="24"/>
                <w:szCs w:val="24"/>
              </w:rPr>
              <w:t>Description</w:t>
            </w:r>
          </w:p>
        </w:tc>
      </w:tr>
      <w:tr w:rsidR="005E4A4C" w:rsidRPr="00BB6219" w:rsidTr="004E48F3">
        <w:tc>
          <w:tcPr>
            <w:tcW w:w="1101" w:type="dxa"/>
          </w:tcPr>
          <w:p w:rsidR="005E4A4C" w:rsidRPr="005E4A4C" w:rsidRDefault="005E4A4C" w:rsidP="005E4A4C">
            <w:pPr>
              <w:pStyle w:val="Body"/>
              <w:rPr>
                <w:b/>
                <w:sz w:val="24"/>
                <w:szCs w:val="24"/>
              </w:rPr>
            </w:pPr>
            <w:r w:rsidRPr="005E4A4C">
              <w:rPr>
                <w:b/>
                <w:sz w:val="24"/>
                <w:szCs w:val="24"/>
              </w:rPr>
              <w:t>1</w:t>
            </w:r>
          </w:p>
        </w:tc>
        <w:tc>
          <w:tcPr>
            <w:tcW w:w="2835" w:type="dxa"/>
          </w:tcPr>
          <w:p w:rsidR="005E4A4C" w:rsidRPr="005E4A4C" w:rsidRDefault="005E4A4C" w:rsidP="005E4A4C">
            <w:pPr>
              <w:pStyle w:val="Body"/>
              <w:rPr>
                <w:sz w:val="24"/>
                <w:szCs w:val="24"/>
              </w:rPr>
            </w:pPr>
            <w:r w:rsidRPr="005E4A4C">
              <w:rPr>
                <w:sz w:val="24"/>
                <w:szCs w:val="24"/>
              </w:rPr>
              <w:t>Business as usual</w:t>
            </w:r>
          </w:p>
        </w:tc>
        <w:tc>
          <w:tcPr>
            <w:tcW w:w="5306" w:type="dxa"/>
          </w:tcPr>
          <w:p w:rsidR="005E4A4C" w:rsidRPr="005E4A4C" w:rsidRDefault="005E4A4C" w:rsidP="005E4A4C">
            <w:pPr>
              <w:pStyle w:val="Body"/>
              <w:rPr>
                <w:sz w:val="24"/>
                <w:szCs w:val="24"/>
              </w:rPr>
            </w:pPr>
            <w:r w:rsidRPr="005E4A4C">
              <w:rPr>
                <w:sz w:val="24"/>
                <w:szCs w:val="24"/>
              </w:rPr>
              <w:t>Current practice at the GBR 5 main ports</w:t>
            </w:r>
          </w:p>
        </w:tc>
      </w:tr>
      <w:tr w:rsidR="005E4A4C" w:rsidRPr="00BB6219" w:rsidTr="004E48F3">
        <w:tc>
          <w:tcPr>
            <w:tcW w:w="1101" w:type="dxa"/>
          </w:tcPr>
          <w:p w:rsidR="005E4A4C" w:rsidRPr="005E4A4C" w:rsidRDefault="005E4A4C" w:rsidP="005E4A4C">
            <w:pPr>
              <w:pStyle w:val="Body"/>
              <w:rPr>
                <w:b/>
                <w:sz w:val="24"/>
                <w:szCs w:val="24"/>
              </w:rPr>
            </w:pPr>
            <w:r w:rsidRPr="005E4A4C">
              <w:rPr>
                <w:b/>
                <w:sz w:val="24"/>
                <w:szCs w:val="24"/>
              </w:rPr>
              <w:t>2</w:t>
            </w:r>
          </w:p>
        </w:tc>
        <w:tc>
          <w:tcPr>
            <w:tcW w:w="2835" w:type="dxa"/>
          </w:tcPr>
          <w:p w:rsidR="005E4A4C" w:rsidRPr="005E4A4C" w:rsidRDefault="005E4A4C" w:rsidP="005E4A4C">
            <w:pPr>
              <w:pStyle w:val="Body"/>
              <w:rPr>
                <w:sz w:val="24"/>
                <w:szCs w:val="24"/>
              </w:rPr>
            </w:pPr>
            <w:r w:rsidRPr="005E4A4C">
              <w:rPr>
                <w:sz w:val="24"/>
                <w:szCs w:val="24"/>
              </w:rPr>
              <w:t>Improved</w:t>
            </w:r>
          </w:p>
        </w:tc>
        <w:tc>
          <w:tcPr>
            <w:tcW w:w="5306" w:type="dxa"/>
          </w:tcPr>
          <w:p w:rsidR="005E4A4C" w:rsidRPr="005E4A4C" w:rsidRDefault="005E4A4C" w:rsidP="005E4A4C">
            <w:pPr>
              <w:pStyle w:val="Body"/>
              <w:rPr>
                <w:sz w:val="24"/>
                <w:szCs w:val="24"/>
              </w:rPr>
            </w:pPr>
            <w:r w:rsidRPr="005E4A4C">
              <w:rPr>
                <w:sz w:val="24"/>
                <w:szCs w:val="24"/>
              </w:rPr>
              <w:t>Improving current practice through efficiencies and/or using different locations</w:t>
            </w:r>
          </w:p>
        </w:tc>
      </w:tr>
      <w:tr w:rsidR="005E4A4C" w:rsidRPr="00BB6219" w:rsidTr="004E48F3">
        <w:tc>
          <w:tcPr>
            <w:tcW w:w="1101" w:type="dxa"/>
          </w:tcPr>
          <w:p w:rsidR="005E4A4C" w:rsidRPr="005E4A4C" w:rsidRDefault="005E4A4C" w:rsidP="005E4A4C">
            <w:pPr>
              <w:pStyle w:val="Body"/>
              <w:rPr>
                <w:b/>
                <w:sz w:val="24"/>
                <w:szCs w:val="24"/>
              </w:rPr>
            </w:pPr>
            <w:r w:rsidRPr="005E4A4C">
              <w:rPr>
                <w:b/>
                <w:sz w:val="24"/>
                <w:szCs w:val="24"/>
              </w:rPr>
              <w:t>3</w:t>
            </w:r>
          </w:p>
        </w:tc>
        <w:tc>
          <w:tcPr>
            <w:tcW w:w="2835" w:type="dxa"/>
          </w:tcPr>
          <w:p w:rsidR="005E4A4C" w:rsidRPr="005E4A4C" w:rsidRDefault="005E4A4C" w:rsidP="005E4A4C">
            <w:pPr>
              <w:pStyle w:val="Body"/>
              <w:rPr>
                <w:sz w:val="24"/>
                <w:szCs w:val="24"/>
              </w:rPr>
            </w:pPr>
            <w:r w:rsidRPr="005E4A4C">
              <w:rPr>
                <w:sz w:val="24"/>
                <w:szCs w:val="24"/>
              </w:rPr>
              <w:t>All-at-Port</w:t>
            </w:r>
          </w:p>
        </w:tc>
        <w:tc>
          <w:tcPr>
            <w:tcW w:w="5306" w:type="dxa"/>
          </w:tcPr>
          <w:p w:rsidR="005E4A4C" w:rsidRPr="005E4A4C" w:rsidRDefault="005E4A4C" w:rsidP="005E4A4C">
            <w:pPr>
              <w:pStyle w:val="Body"/>
              <w:rPr>
                <w:sz w:val="24"/>
                <w:szCs w:val="24"/>
              </w:rPr>
            </w:pPr>
            <w:r w:rsidRPr="005E4A4C">
              <w:rPr>
                <w:sz w:val="24"/>
                <w:szCs w:val="24"/>
              </w:rPr>
              <w:t>All arriving ships proceed direct to waiting berths in Port</w:t>
            </w:r>
          </w:p>
        </w:tc>
      </w:tr>
      <w:tr w:rsidR="005E4A4C" w:rsidRPr="00BB6219" w:rsidTr="004E48F3">
        <w:tc>
          <w:tcPr>
            <w:tcW w:w="1101" w:type="dxa"/>
          </w:tcPr>
          <w:p w:rsidR="005E4A4C" w:rsidRPr="005E4A4C" w:rsidRDefault="005E4A4C" w:rsidP="005E4A4C">
            <w:pPr>
              <w:pStyle w:val="Body"/>
              <w:rPr>
                <w:b/>
                <w:sz w:val="24"/>
                <w:szCs w:val="24"/>
              </w:rPr>
            </w:pPr>
            <w:r w:rsidRPr="005E4A4C">
              <w:rPr>
                <w:b/>
                <w:sz w:val="24"/>
                <w:szCs w:val="24"/>
              </w:rPr>
              <w:t>4</w:t>
            </w:r>
          </w:p>
        </w:tc>
        <w:tc>
          <w:tcPr>
            <w:tcW w:w="2835" w:type="dxa"/>
          </w:tcPr>
          <w:p w:rsidR="005E4A4C" w:rsidRPr="005E4A4C" w:rsidRDefault="005E4A4C" w:rsidP="005E4A4C">
            <w:pPr>
              <w:pStyle w:val="Body"/>
              <w:rPr>
                <w:sz w:val="24"/>
                <w:szCs w:val="24"/>
              </w:rPr>
            </w:pPr>
            <w:r w:rsidRPr="005E4A4C">
              <w:rPr>
                <w:sz w:val="24"/>
                <w:szCs w:val="24"/>
              </w:rPr>
              <w:t>All-in-Port limits</w:t>
            </w:r>
          </w:p>
        </w:tc>
        <w:tc>
          <w:tcPr>
            <w:tcW w:w="5306" w:type="dxa"/>
          </w:tcPr>
          <w:p w:rsidR="005E4A4C" w:rsidRPr="005E4A4C" w:rsidRDefault="005E4A4C" w:rsidP="005E4A4C">
            <w:pPr>
              <w:pStyle w:val="Body"/>
              <w:rPr>
                <w:sz w:val="24"/>
                <w:szCs w:val="24"/>
              </w:rPr>
            </w:pPr>
            <w:r w:rsidRPr="005E4A4C">
              <w:rPr>
                <w:sz w:val="24"/>
                <w:szCs w:val="24"/>
              </w:rPr>
              <w:t>All anchorages only in port limits</w:t>
            </w:r>
          </w:p>
        </w:tc>
      </w:tr>
      <w:tr w:rsidR="005E4A4C" w:rsidRPr="00BB6219" w:rsidTr="004E48F3">
        <w:tc>
          <w:tcPr>
            <w:tcW w:w="1101" w:type="dxa"/>
          </w:tcPr>
          <w:p w:rsidR="005E4A4C" w:rsidRPr="005E4A4C" w:rsidRDefault="005E4A4C" w:rsidP="005E4A4C">
            <w:pPr>
              <w:pStyle w:val="Body"/>
              <w:rPr>
                <w:b/>
                <w:sz w:val="24"/>
                <w:szCs w:val="24"/>
              </w:rPr>
            </w:pPr>
            <w:r w:rsidRPr="005E4A4C">
              <w:rPr>
                <w:b/>
                <w:sz w:val="24"/>
                <w:szCs w:val="24"/>
              </w:rPr>
              <w:t>5</w:t>
            </w:r>
          </w:p>
        </w:tc>
        <w:tc>
          <w:tcPr>
            <w:tcW w:w="2835" w:type="dxa"/>
          </w:tcPr>
          <w:p w:rsidR="005E4A4C" w:rsidRPr="005E4A4C" w:rsidRDefault="005E4A4C" w:rsidP="005E4A4C">
            <w:pPr>
              <w:pStyle w:val="Body"/>
              <w:rPr>
                <w:sz w:val="24"/>
                <w:szCs w:val="24"/>
              </w:rPr>
            </w:pPr>
            <w:r w:rsidRPr="005E4A4C">
              <w:rPr>
                <w:sz w:val="24"/>
                <w:szCs w:val="24"/>
              </w:rPr>
              <w:t>Fixed-Moored</w:t>
            </w:r>
          </w:p>
        </w:tc>
        <w:tc>
          <w:tcPr>
            <w:tcW w:w="5306" w:type="dxa"/>
          </w:tcPr>
          <w:p w:rsidR="005E4A4C" w:rsidRPr="005E4A4C" w:rsidRDefault="005E4A4C" w:rsidP="005E4A4C">
            <w:pPr>
              <w:pStyle w:val="Body"/>
              <w:rPr>
                <w:sz w:val="24"/>
                <w:szCs w:val="24"/>
              </w:rPr>
            </w:pPr>
            <w:r w:rsidRPr="005E4A4C">
              <w:rPr>
                <w:sz w:val="24"/>
                <w:szCs w:val="24"/>
              </w:rPr>
              <w:t>All ships moored to fixed structures in anchorage areas</w:t>
            </w:r>
          </w:p>
        </w:tc>
      </w:tr>
      <w:tr w:rsidR="005E4A4C" w:rsidRPr="00BB6219" w:rsidTr="004E48F3">
        <w:tc>
          <w:tcPr>
            <w:tcW w:w="1101" w:type="dxa"/>
          </w:tcPr>
          <w:p w:rsidR="005E4A4C" w:rsidRPr="005E4A4C" w:rsidRDefault="005E4A4C" w:rsidP="005E4A4C">
            <w:pPr>
              <w:pStyle w:val="Body"/>
              <w:rPr>
                <w:b/>
                <w:sz w:val="24"/>
                <w:szCs w:val="24"/>
              </w:rPr>
            </w:pPr>
            <w:r w:rsidRPr="005E4A4C">
              <w:rPr>
                <w:b/>
                <w:sz w:val="24"/>
                <w:szCs w:val="24"/>
              </w:rPr>
              <w:t>6</w:t>
            </w:r>
          </w:p>
        </w:tc>
        <w:tc>
          <w:tcPr>
            <w:tcW w:w="2835" w:type="dxa"/>
          </w:tcPr>
          <w:p w:rsidR="005E4A4C" w:rsidRPr="005E4A4C" w:rsidRDefault="005E4A4C" w:rsidP="005E4A4C">
            <w:pPr>
              <w:pStyle w:val="Body"/>
              <w:rPr>
                <w:sz w:val="24"/>
                <w:szCs w:val="24"/>
              </w:rPr>
            </w:pPr>
            <w:r w:rsidRPr="005E4A4C">
              <w:rPr>
                <w:sz w:val="24"/>
                <w:szCs w:val="24"/>
              </w:rPr>
              <w:t>All-at-Sea</w:t>
            </w:r>
          </w:p>
        </w:tc>
        <w:tc>
          <w:tcPr>
            <w:tcW w:w="5306" w:type="dxa"/>
          </w:tcPr>
          <w:p w:rsidR="005E4A4C" w:rsidRPr="005E4A4C" w:rsidRDefault="005E4A4C" w:rsidP="005E4A4C">
            <w:pPr>
              <w:pStyle w:val="Body"/>
              <w:rPr>
                <w:sz w:val="24"/>
                <w:szCs w:val="24"/>
              </w:rPr>
            </w:pPr>
            <w:r w:rsidRPr="005E4A4C">
              <w:rPr>
                <w:sz w:val="24"/>
                <w:szCs w:val="24"/>
              </w:rPr>
              <w:t>All ships wait at sea, unmanaged, and proceed direct to port</w:t>
            </w:r>
          </w:p>
        </w:tc>
      </w:tr>
      <w:tr w:rsidR="005E4A4C" w:rsidRPr="00BB6219" w:rsidTr="004E48F3">
        <w:tc>
          <w:tcPr>
            <w:tcW w:w="1101" w:type="dxa"/>
          </w:tcPr>
          <w:p w:rsidR="005E4A4C" w:rsidRPr="005E4A4C" w:rsidRDefault="005E4A4C" w:rsidP="005E4A4C">
            <w:pPr>
              <w:pStyle w:val="Body"/>
              <w:rPr>
                <w:b/>
                <w:sz w:val="24"/>
                <w:szCs w:val="24"/>
              </w:rPr>
            </w:pPr>
            <w:r w:rsidRPr="005E4A4C">
              <w:rPr>
                <w:b/>
                <w:sz w:val="24"/>
                <w:szCs w:val="24"/>
              </w:rPr>
              <w:t>7</w:t>
            </w:r>
          </w:p>
        </w:tc>
        <w:tc>
          <w:tcPr>
            <w:tcW w:w="2835" w:type="dxa"/>
          </w:tcPr>
          <w:p w:rsidR="005E4A4C" w:rsidRPr="005E4A4C" w:rsidRDefault="005E4A4C" w:rsidP="005E4A4C">
            <w:pPr>
              <w:pStyle w:val="Body"/>
              <w:rPr>
                <w:sz w:val="24"/>
                <w:szCs w:val="24"/>
              </w:rPr>
            </w:pPr>
            <w:r w:rsidRPr="005E4A4C">
              <w:rPr>
                <w:sz w:val="24"/>
                <w:szCs w:val="24"/>
              </w:rPr>
              <w:t xml:space="preserve">Scheduled Arrivals </w:t>
            </w:r>
          </w:p>
        </w:tc>
        <w:tc>
          <w:tcPr>
            <w:tcW w:w="5306" w:type="dxa"/>
          </w:tcPr>
          <w:p w:rsidR="005E4A4C" w:rsidRPr="005E4A4C" w:rsidRDefault="005E4A4C" w:rsidP="005E4A4C">
            <w:pPr>
              <w:pStyle w:val="Body"/>
              <w:rPr>
                <w:sz w:val="24"/>
                <w:szCs w:val="24"/>
              </w:rPr>
            </w:pPr>
            <w:r w:rsidRPr="005E4A4C">
              <w:rPr>
                <w:sz w:val="24"/>
                <w:szCs w:val="24"/>
              </w:rPr>
              <w:t>All vessels are scheduled with a port arrival management system (all ships at sea with anchorages)</w:t>
            </w:r>
          </w:p>
        </w:tc>
      </w:tr>
      <w:tr w:rsidR="005E4A4C" w:rsidRPr="00BB6219" w:rsidTr="004E48F3">
        <w:tc>
          <w:tcPr>
            <w:tcW w:w="1101" w:type="dxa"/>
          </w:tcPr>
          <w:p w:rsidR="005E4A4C" w:rsidRPr="005E4A4C" w:rsidRDefault="005E4A4C" w:rsidP="005E4A4C">
            <w:pPr>
              <w:pStyle w:val="Body"/>
              <w:rPr>
                <w:b/>
                <w:sz w:val="24"/>
                <w:szCs w:val="24"/>
              </w:rPr>
            </w:pPr>
            <w:r w:rsidRPr="005E4A4C">
              <w:rPr>
                <w:b/>
                <w:sz w:val="24"/>
                <w:szCs w:val="24"/>
              </w:rPr>
              <w:t>8</w:t>
            </w:r>
          </w:p>
        </w:tc>
        <w:tc>
          <w:tcPr>
            <w:tcW w:w="2835" w:type="dxa"/>
          </w:tcPr>
          <w:p w:rsidR="005E4A4C" w:rsidRPr="005E4A4C" w:rsidRDefault="005E4A4C" w:rsidP="005E4A4C">
            <w:pPr>
              <w:pStyle w:val="Body"/>
              <w:rPr>
                <w:sz w:val="24"/>
                <w:szCs w:val="24"/>
              </w:rPr>
            </w:pPr>
            <w:r w:rsidRPr="005E4A4C">
              <w:rPr>
                <w:sz w:val="24"/>
                <w:szCs w:val="24"/>
              </w:rPr>
              <w:t>Scheduled Arrivals plus Anchorage</w:t>
            </w:r>
          </w:p>
        </w:tc>
        <w:tc>
          <w:tcPr>
            <w:tcW w:w="5306" w:type="dxa"/>
          </w:tcPr>
          <w:p w:rsidR="005E4A4C" w:rsidRPr="005E4A4C" w:rsidRDefault="005E4A4C" w:rsidP="005E4A4C">
            <w:pPr>
              <w:pStyle w:val="Body"/>
              <w:rPr>
                <w:sz w:val="24"/>
                <w:szCs w:val="24"/>
              </w:rPr>
            </w:pPr>
            <w:r w:rsidRPr="005E4A4C">
              <w:rPr>
                <w:sz w:val="24"/>
                <w:szCs w:val="24"/>
              </w:rPr>
              <w:t>Option 7 in combination with (limited) anchorages</w:t>
            </w:r>
          </w:p>
        </w:tc>
      </w:tr>
      <w:tr w:rsidR="005E4A4C" w:rsidRPr="00BB6219" w:rsidTr="004E48F3">
        <w:tc>
          <w:tcPr>
            <w:tcW w:w="1101" w:type="dxa"/>
          </w:tcPr>
          <w:p w:rsidR="005E4A4C" w:rsidRPr="005E4A4C" w:rsidRDefault="005E4A4C" w:rsidP="005E4A4C">
            <w:pPr>
              <w:pStyle w:val="Body"/>
              <w:rPr>
                <w:b/>
                <w:sz w:val="24"/>
                <w:szCs w:val="24"/>
              </w:rPr>
            </w:pPr>
            <w:r w:rsidRPr="005E4A4C">
              <w:rPr>
                <w:b/>
                <w:sz w:val="24"/>
                <w:szCs w:val="24"/>
              </w:rPr>
              <w:t>9</w:t>
            </w:r>
          </w:p>
        </w:tc>
        <w:tc>
          <w:tcPr>
            <w:tcW w:w="2835" w:type="dxa"/>
          </w:tcPr>
          <w:p w:rsidR="005E4A4C" w:rsidRPr="005E4A4C" w:rsidRDefault="005E4A4C" w:rsidP="005E4A4C">
            <w:pPr>
              <w:pStyle w:val="Body"/>
              <w:rPr>
                <w:sz w:val="24"/>
                <w:szCs w:val="24"/>
              </w:rPr>
            </w:pPr>
            <w:r w:rsidRPr="005E4A4C">
              <w:rPr>
                <w:sz w:val="24"/>
                <w:szCs w:val="24"/>
              </w:rPr>
              <w:t xml:space="preserve">Demand Management </w:t>
            </w:r>
          </w:p>
        </w:tc>
        <w:tc>
          <w:tcPr>
            <w:tcW w:w="5306" w:type="dxa"/>
          </w:tcPr>
          <w:p w:rsidR="005E4A4C" w:rsidRPr="005E4A4C" w:rsidRDefault="005E4A4C" w:rsidP="005E4A4C">
            <w:pPr>
              <w:pStyle w:val="Body"/>
              <w:rPr>
                <w:sz w:val="24"/>
                <w:szCs w:val="24"/>
              </w:rPr>
            </w:pPr>
            <w:r w:rsidRPr="005E4A4C">
              <w:rPr>
                <w:sz w:val="24"/>
                <w:szCs w:val="24"/>
              </w:rPr>
              <w:t>Restrictions on the level of ship arrivals and/or anchorage pricing mechanisms</w:t>
            </w:r>
          </w:p>
        </w:tc>
      </w:tr>
      <w:tr w:rsidR="005E4A4C" w:rsidRPr="00BB6219" w:rsidTr="004E48F3">
        <w:tc>
          <w:tcPr>
            <w:tcW w:w="1101" w:type="dxa"/>
          </w:tcPr>
          <w:p w:rsidR="005E4A4C" w:rsidRPr="005E4A4C" w:rsidRDefault="005E4A4C" w:rsidP="005E4A4C">
            <w:pPr>
              <w:pStyle w:val="Body"/>
              <w:rPr>
                <w:b/>
                <w:sz w:val="24"/>
                <w:szCs w:val="24"/>
              </w:rPr>
            </w:pPr>
            <w:r w:rsidRPr="005E4A4C">
              <w:rPr>
                <w:b/>
                <w:sz w:val="24"/>
                <w:szCs w:val="24"/>
              </w:rPr>
              <w:t>10</w:t>
            </w:r>
          </w:p>
        </w:tc>
        <w:tc>
          <w:tcPr>
            <w:tcW w:w="2835" w:type="dxa"/>
          </w:tcPr>
          <w:p w:rsidR="005E4A4C" w:rsidRPr="005E4A4C" w:rsidRDefault="005E4A4C" w:rsidP="005E4A4C">
            <w:pPr>
              <w:pStyle w:val="Body"/>
              <w:rPr>
                <w:sz w:val="24"/>
                <w:szCs w:val="24"/>
              </w:rPr>
            </w:pPr>
            <w:r w:rsidRPr="005E4A4C">
              <w:rPr>
                <w:sz w:val="24"/>
                <w:szCs w:val="24"/>
              </w:rPr>
              <w:t>Port consolidation Strategy</w:t>
            </w:r>
          </w:p>
        </w:tc>
        <w:tc>
          <w:tcPr>
            <w:tcW w:w="5306" w:type="dxa"/>
          </w:tcPr>
          <w:p w:rsidR="005E4A4C" w:rsidRPr="005E4A4C" w:rsidRDefault="005E4A4C" w:rsidP="005E4A4C">
            <w:pPr>
              <w:pStyle w:val="Body"/>
              <w:rPr>
                <w:sz w:val="24"/>
                <w:szCs w:val="24"/>
              </w:rPr>
            </w:pPr>
            <w:r w:rsidRPr="005E4A4C">
              <w:rPr>
                <w:sz w:val="24"/>
                <w:szCs w:val="24"/>
              </w:rPr>
              <w:t>Consolidating the existing GBR 5 main ports</w:t>
            </w:r>
          </w:p>
        </w:tc>
      </w:tr>
      <w:tr w:rsidR="005E4A4C" w:rsidRPr="00BB6219" w:rsidTr="004E48F3">
        <w:tc>
          <w:tcPr>
            <w:tcW w:w="1101" w:type="dxa"/>
          </w:tcPr>
          <w:p w:rsidR="005E4A4C" w:rsidRPr="005E4A4C" w:rsidRDefault="005E4A4C" w:rsidP="005E4A4C">
            <w:pPr>
              <w:pStyle w:val="Body"/>
              <w:rPr>
                <w:b/>
                <w:sz w:val="24"/>
                <w:szCs w:val="24"/>
              </w:rPr>
            </w:pPr>
            <w:r w:rsidRPr="005E4A4C">
              <w:rPr>
                <w:b/>
                <w:sz w:val="24"/>
                <w:szCs w:val="24"/>
              </w:rPr>
              <w:t>Others</w:t>
            </w:r>
          </w:p>
        </w:tc>
        <w:tc>
          <w:tcPr>
            <w:tcW w:w="2835" w:type="dxa"/>
          </w:tcPr>
          <w:p w:rsidR="005E4A4C" w:rsidRPr="005E4A4C" w:rsidRDefault="005E4A4C" w:rsidP="005E4A4C">
            <w:pPr>
              <w:pStyle w:val="Body"/>
              <w:rPr>
                <w:sz w:val="24"/>
                <w:szCs w:val="24"/>
              </w:rPr>
            </w:pPr>
            <w:r w:rsidRPr="005E4A4C">
              <w:rPr>
                <w:sz w:val="24"/>
                <w:szCs w:val="24"/>
              </w:rPr>
              <w:t>Various other</w:t>
            </w:r>
          </w:p>
        </w:tc>
        <w:tc>
          <w:tcPr>
            <w:tcW w:w="5306" w:type="dxa"/>
          </w:tcPr>
          <w:p w:rsidR="005E4A4C" w:rsidRPr="005E4A4C" w:rsidRDefault="005E4A4C" w:rsidP="005E4A4C">
            <w:pPr>
              <w:pStyle w:val="Body"/>
              <w:rPr>
                <w:sz w:val="24"/>
                <w:szCs w:val="24"/>
              </w:rPr>
            </w:pPr>
            <w:r w:rsidRPr="005E4A4C">
              <w:rPr>
                <w:sz w:val="24"/>
                <w:szCs w:val="24"/>
              </w:rPr>
              <w:t>Further mix of options 1 -10, and other possible technical alternatives</w:t>
            </w:r>
          </w:p>
        </w:tc>
      </w:tr>
    </w:tbl>
    <w:p w:rsidR="001A657F" w:rsidRPr="00B41CFA" w:rsidRDefault="001A657F" w:rsidP="001A657F">
      <w:pPr>
        <w:pStyle w:val="Heading3"/>
        <w:rPr>
          <w:sz w:val="24"/>
        </w:rPr>
      </w:pPr>
      <w:bookmarkStart w:id="415" w:name="_Toc343597270"/>
      <w:bookmarkStart w:id="416" w:name="_Toc362274318"/>
      <w:r w:rsidRPr="00B41CFA">
        <w:rPr>
          <w:sz w:val="24"/>
        </w:rPr>
        <w:t>Business-as-usual option</w:t>
      </w:r>
      <w:bookmarkEnd w:id="415"/>
      <w:bookmarkEnd w:id="416"/>
    </w:p>
    <w:p w:rsidR="001A657F" w:rsidRPr="001F52E5" w:rsidRDefault="001A657F" w:rsidP="001A657F">
      <w:pPr>
        <w:pStyle w:val="Body"/>
        <w:rPr>
          <w:sz w:val="24"/>
          <w:szCs w:val="24"/>
        </w:rPr>
      </w:pPr>
      <w:r w:rsidRPr="001F52E5">
        <w:rPr>
          <w:sz w:val="24"/>
          <w:szCs w:val="24"/>
        </w:rPr>
        <w:t xml:space="preserve">The “Business-as-usual” option forms the Base Case (Without Strategy) scenario for the subsequent CBA modelling. This option uses current practices to manage future demand for ship anchorages at the five main ports. In general, current practices would mean that any short-fall in the future of the supply of ship anchorages would be met by an increase in the current number of anchorages. </w:t>
      </w:r>
    </w:p>
    <w:p w:rsidR="001A657F" w:rsidRPr="001F52E5" w:rsidRDefault="001A657F" w:rsidP="001A657F">
      <w:pPr>
        <w:pStyle w:val="Body"/>
        <w:rPr>
          <w:sz w:val="24"/>
          <w:szCs w:val="24"/>
        </w:rPr>
      </w:pPr>
      <w:r w:rsidRPr="001F52E5">
        <w:rPr>
          <w:sz w:val="24"/>
          <w:szCs w:val="24"/>
        </w:rPr>
        <w:t>Current practices will not be the same at all of the five main ports. For instance, the ports of Townsville and Abbot Point do not currently have designated anchorages, while Hay Point and Gladstone do.</w:t>
      </w:r>
    </w:p>
    <w:p w:rsidR="001A657F" w:rsidRPr="00B41CFA" w:rsidRDefault="001A657F" w:rsidP="001A657F">
      <w:pPr>
        <w:pStyle w:val="Heading3"/>
        <w:rPr>
          <w:sz w:val="24"/>
        </w:rPr>
      </w:pPr>
      <w:bookmarkStart w:id="417" w:name="_Toc343597271"/>
      <w:bookmarkStart w:id="418" w:name="_Toc362274319"/>
      <w:r w:rsidRPr="00B41CFA">
        <w:rPr>
          <w:sz w:val="24"/>
        </w:rPr>
        <w:t>Improved option</w:t>
      </w:r>
      <w:bookmarkEnd w:id="417"/>
      <w:bookmarkEnd w:id="418"/>
    </w:p>
    <w:p w:rsidR="001A657F" w:rsidRPr="001F52E5" w:rsidRDefault="001A657F" w:rsidP="001A657F">
      <w:pPr>
        <w:pStyle w:val="Body"/>
        <w:rPr>
          <w:sz w:val="24"/>
          <w:szCs w:val="24"/>
        </w:rPr>
      </w:pPr>
      <w:r w:rsidRPr="001F52E5">
        <w:rPr>
          <w:sz w:val="24"/>
          <w:szCs w:val="24"/>
        </w:rPr>
        <w:t>The “Improved” option is a possible approach for managing future demand which modifies or optimises current practices within current ship anchorage areas</w:t>
      </w:r>
      <w:r w:rsidR="00A76443" w:rsidRPr="001F52E5">
        <w:rPr>
          <w:sz w:val="24"/>
          <w:szCs w:val="24"/>
        </w:rPr>
        <w:t>,</w:t>
      </w:r>
      <w:r w:rsidRPr="001F52E5">
        <w:rPr>
          <w:sz w:val="24"/>
          <w:szCs w:val="24"/>
        </w:rPr>
        <w:t xml:space="preserve"> such that under future demand scenarios</w:t>
      </w:r>
      <w:r w:rsidR="00A76443" w:rsidRPr="001F52E5">
        <w:rPr>
          <w:sz w:val="24"/>
          <w:szCs w:val="24"/>
        </w:rPr>
        <w:t>,</w:t>
      </w:r>
      <w:r w:rsidRPr="001F52E5">
        <w:rPr>
          <w:sz w:val="24"/>
          <w:szCs w:val="24"/>
        </w:rPr>
        <w:t xml:space="preserve"> negative impacts are minimised or avoided. For instance, an improved practice would be to implement designated anchorages where there are none</w:t>
      </w:r>
      <w:r w:rsidR="00AF2158" w:rsidRPr="001F52E5">
        <w:rPr>
          <w:sz w:val="24"/>
          <w:szCs w:val="24"/>
        </w:rPr>
        <w:t xml:space="preserve"> (i.e. Townsville and Abbot Point)</w:t>
      </w:r>
      <w:r w:rsidRPr="001F52E5">
        <w:rPr>
          <w:sz w:val="24"/>
          <w:szCs w:val="24"/>
        </w:rPr>
        <w:t xml:space="preserve"> to avoid anchoring in any particularly environmentally sensitive </w:t>
      </w:r>
      <w:r w:rsidR="00AF2158" w:rsidRPr="001F52E5">
        <w:rPr>
          <w:sz w:val="24"/>
          <w:szCs w:val="24"/>
        </w:rPr>
        <w:t>areas</w:t>
      </w:r>
      <w:r w:rsidRPr="001F52E5">
        <w:rPr>
          <w:sz w:val="24"/>
          <w:szCs w:val="24"/>
        </w:rPr>
        <w:t xml:space="preserve">. </w:t>
      </w:r>
    </w:p>
    <w:p w:rsidR="001A657F" w:rsidRPr="001F52E5" w:rsidRDefault="001A657F" w:rsidP="001A657F">
      <w:pPr>
        <w:pStyle w:val="Body"/>
        <w:rPr>
          <w:sz w:val="24"/>
          <w:szCs w:val="24"/>
        </w:rPr>
      </w:pPr>
      <w:r w:rsidRPr="001F52E5">
        <w:rPr>
          <w:sz w:val="24"/>
          <w:szCs w:val="24"/>
        </w:rPr>
        <w:t>Improved options of this type may not be possible for all of the five main ports, particularly those which currently have designated anchorages (i.e. Gladstone and Hay Point) and/or current anchorages with minimal or no remaining environmentally sensitive areas.</w:t>
      </w:r>
    </w:p>
    <w:p w:rsidR="001A657F" w:rsidRPr="00B41CFA" w:rsidRDefault="001A657F" w:rsidP="001A657F">
      <w:pPr>
        <w:pStyle w:val="Heading3"/>
        <w:rPr>
          <w:sz w:val="24"/>
        </w:rPr>
      </w:pPr>
      <w:bookmarkStart w:id="419" w:name="_Toc343597272"/>
      <w:bookmarkStart w:id="420" w:name="_Toc362274320"/>
      <w:r w:rsidRPr="00B41CFA">
        <w:rPr>
          <w:sz w:val="24"/>
        </w:rPr>
        <w:t>All-at-port option</w:t>
      </w:r>
      <w:bookmarkEnd w:id="419"/>
      <w:bookmarkEnd w:id="420"/>
    </w:p>
    <w:p w:rsidR="001A657F" w:rsidRPr="001F52E5" w:rsidRDefault="001A657F" w:rsidP="001A657F">
      <w:pPr>
        <w:pStyle w:val="Body"/>
        <w:rPr>
          <w:sz w:val="24"/>
          <w:szCs w:val="24"/>
        </w:rPr>
      </w:pPr>
      <w:r w:rsidRPr="001F52E5">
        <w:rPr>
          <w:sz w:val="24"/>
          <w:szCs w:val="24"/>
        </w:rPr>
        <w:t xml:space="preserve">The “All-at-port” option is a possible approach to managing future demand for ship anchorages at the five main ports by constructing an adequate number of ship-waiting berths (quays or jetties) as part of the port infrastructure within current port limits. These ship-waiting berths would then prevent the need to expand current anchorage areas to meet the future demand for ship anchorages. </w:t>
      </w:r>
    </w:p>
    <w:p w:rsidR="001A657F" w:rsidRPr="001F52E5" w:rsidRDefault="001A657F" w:rsidP="001A657F">
      <w:pPr>
        <w:pStyle w:val="Body"/>
        <w:rPr>
          <w:sz w:val="24"/>
          <w:szCs w:val="24"/>
        </w:rPr>
      </w:pPr>
      <w:r w:rsidRPr="001F52E5">
        <w:rPr>
          <w:sz w:val="24"/>
          <w:szCs w:val="24"/>
        </w:rPr>
        <w:t xml:space="preserve">The number and type of ship-waiting berths would not be the same at each of the five main ports. For instance, the berths at Hay Point and Abbot Point are weather exposed jetty-type berths, while in Gladstone and Townsville the berths are typically quay or nearby jetty structures as part of relatively protected harbours. </w:t>
      </w:r>
    </w:p>
    <w:p w:rsidR="001A657F" w:rsidRPr="001F52E5" w:rsidRDefault="001A657F" w:rsidP="001A657F">
      <w:pPr>
        <w:pStyle w:val="Heading3"/>
        <w:rPr>
          <w:sz w:val="24"/>
          <w:szCs w:val="24"/>
        </w:rPr>
      </w:pPr>
      <w:bookmarkStart w:id="421" w:name="_Toc343597273"/>
      <w:bookmarkStart w:id="422" w:name="_Toc362274321"/>
      <w:r w:rsidRPr="001F52E5">
        <w:rPr>
          <w:sz w:val="24"/>
          <w:szCs w:val="24"/>
        </w:rPr>
        <w:t>All-in-port limits option</w:t>
      </w:r>
      <w:bookmarkEnd w:id="421"/>
      <w:bookmarkEnd w:id="422"/>
    </w:p>
    <w:p w:rsidR="001A657F" w:rsidRPr="001F52E5" w:rsidRDefault="001A657F" w:rsidP="001A657F">
      <w:pPr>
        <w:pStyle w:val="Body"/>
        <w:rPr>
          <w:sz w:val="24"/>
          <w:szCs w:val="24"/>
        </w:rPr>
      </w:pPr>
      <w:r w:rsidRPr="001F52E5">
        <w:rPr>
          <w:sz w:val="24"/>
          <w:szCs w:val="24"/>
        </w:rPr>
        <w:t xml:space="preserve">The “All-in-port limits” option is an approach for managing future demand for ship anchorages at the five </w:t>
      </w:r>
      <w:r w:rsidR="00D2746A" w:rsidRPr="001F52E5">
        <w:rPr>
          <w:sz w:val="24"/>
          <w:szCs w:val="24"/>
        </w:rPr>
        <w:t xml:space="preserve">subject </w:t>
      </w:r>
      <w:r w:rsidRPr="001F52E5">
        <w:rPr>
          <w:sz w:val="24"/>
          <w:szCs w:val="24"/>
        </w:rPr>
        <w:t xml:space="preserve">ports by concentrating any future required expansion of anchorages to locations within current port limits. This approach assumes all new port expansions are conducted within current port limits. </w:t>
      </w:r>
    </w:p>
    <w:p w:rsidR="001A657F" w:rsidRPr="001F52E5" w:rsidRDefault="001A657F" w:rsidP="001A657F">
      <w:pPr>
        <w:pStyle w:val="Body"/>
        <w:rPr>
          <w:sz w:val="24"/>
          <w:szCs w:val="24"/>
        </w:rPr>
      </w:pPr>
      <w:r w:rsidRPr="001F52E5">
        <w:rPr>
          <w:sz w:val="24"/>
          <w:szCs w:val="24"/>
        </w:rPr>
        <w:t xml:space="preserve">The use of this approach to managing future demand for ship anchorages would not be the same at all of the </w:t>
      </w:r>
      <w:r w:rsidR="00D2746A" w:rsidRPr="001F52E5">
        <w:rPr>
          <w:sz w:val="24"/>
          <w:szCs w:val="24"/>
        </w:rPr>
        <w:t>subject</w:t>
      </w:r>
      <w:r w:rsidRPr="001F52E5">
        <w:rPr>
          <w:sz w:val="24"/>
          <w:szCs w:val="24"/>
        </w:rPr>
        <w:t xml:space="preserve"> ports. Some ports already have anchorage areas which extend beyond, or are outside of, current port limits (e.g. Abbot Point, Hay Point, and Gladstone). Further, in some locations there is the possibility of insufficient space within current port limits (including for ship safety) to accommodate any required future expansion in anchorages.</w:t>
      </w:r>
    </w:p>
    <w:p w:rsidR="001A657F" w:rsidRPr="001F52E5" w:rsidRDefault="001A657F" w:rsidP="001A657F">
      <w:pPr>
        <w:pStyle w:val="Heading3"/>
        <w:rPr>
          <w:sz w:val="24"/>
          <w:szCs w:val="24"/>
        </w:rPr>
      </w:pPr>
      <w:bookmarkStart w:id="423" w:name="_Toc343597274"/>
      <w:bookmarkStart w:id="424" w:name="_Toc362274322"/>
      <w:r w:rsidRPr="001F52E5">
        <w:rPr>
          <w:sz w:val="24"/>
          <w:szCs w:val="24"/>
        </w:rPr>
        <w:t>Fixed-moored option</w:t>
      </w:r>
      <w:bookmarkEnd w:id="423"/>
      <w:bookmarkEnd w:id="424"/>
    </w:p>
    <w:p w:rsidR="001A657F" w:rsidRPr="001F52E5" w:rsidRDefault="001A657F" w:rsidP="001A657F">
      <w:pPr>
        <w:pStyle w:val="Body"/>
        <w:rPr>
          <w:sz w:val="24"/>
          <w:szCs w:val="24"/>
        </w:rPr>
      </w:pPr>
      <w:r w:rsidRPr="001F52E5">
        <w:rPr>
          <w:sz w:val="24"/>
          <w:szCs w:val="24"/>
        </w:rPr>
        <w:t xml:space="preserve">The “Fixed-moored” option is a possible approach for managing future demand for ship anchorages at the five </w:t>
      </w:r>
      <w:r w:rsidR="00D2746A" w:rsidRPr="001F52E5">
        <w:rPr>
          <w:sz w:val="24"/>
          <w:szCs w:val="24"/>
        </w:rPr>
        <w:t xml:space="preserve">subject </w:t>
      </w:r>
      <w:r w:rsidRPr="001F52E5">
        <w:rPr>
          <w:sz w:val="24"/>
          <w:szCs w:val="24"/>
        </w:rPr>
        <w:t xml:space="preserve">ports by installing fixed mooring structures (buoy or single-point moorings) in an appropriate anchorage expansion area. The size of the fixed-mooring structures would depend on the depth of water, sea conditions and type of vessel to be moored (e.g. large, un-laden, Cape-size coal ships). </w:t>
      </w:r>
    </w:p>
    <w:p w:rsidR="001A657F" w:rsidRPr="001F52E5" w:rsidRDefault="001A657F" w:rsidP="001A657F">
      <w:pPr>
        <w:pStyle w:val="Body"/>
        <w:rPr>
          <w:sz w:val="24"/>
          <w:szCs w:val="24"/>
        </w:rPr>
      </w:pPr>
      <w:r w:rsidRPr="001F52E5">
        <w:rPr>
          <w:sz w:val="24"/>
          <w:szCs w:val="24"/>
        </w:rPr>
        <w:t xml:space="preserve">The </w:t>
      </w:r>
      <w:r w:rsidR="00D2746A" w:rsidRPr="001F52E5">
        <w:rPr>
          <w:sz w:val="24"/>
          <w:szCs w:val="24"/>
        </w:rPr>
        <w:t xml:space="preserve">rationale </w:t>
      </w:r>
      <w:r w:rsidRPr="001F52E5">
        <w:rPr>
          <w:sz w:val="24"/>
          <w:szCs w:val="24"/>
        </w:rPr>
        <w:t>behind this approach is to reduce or eliminate the ongoing (and potentially scattered) occurrence of anchor-drop/retrieval impacts on the sea-floor and the impacts of anchor-chain movements as ships swing at anchor.</w:t>
      </w:r>
    </w:p>
    <w:p w:rsidR="001A657F" w:rsidRPr="001F52E5" w:rsidRDefault="001A657F" w:rsidP="001A657F">
      <w:pPr>
        <w:pStyle w:val="Heading3"/>
        <w:rPr>
          <w:sz w:val="24"/>
          <w:szCs w:val="24"/>
        </w:rPr>
      </w:pPr>
      <w:bookmarkStart w:id="425" w:name="_Toc343597275"/>
      <w:bookmarkStart w:id="426" w:name="_Toc362274323"/>
      <w:r w:rsidRPr="001F52E5">
        <w:rPr>
          <w:sz w:val="24"/>
          <w:szCs w:val="24"/>
        </w:rPr>
        <w:t>All-at-sea option</w:t>
      </w:r>
      <w:bookmarkEnd w:id="425"/>
      <w:bookmarkEnd w:id="426"/>
    </w:p>
    <w:p w:rsidR="001A657F" w:rsidRPr="001F52E5" w:rsidRDefault="001A657F" w:rsidP="001A657F">
      <w:pPr>
        <w:pStyle w:val="Body"/>
        <w:rPr>
          <w:sz w:val="24"/>
          <w:szCs w:val="24"/>
        </w:rPr>
      </w:pPr>
      <w:r w:rsidRPr="001F52E5">
        <w:rPr>
          <w:sz w:val="24"/>
          <w:szCs w:val="24"/>
        </w:rPr>
        <w:t>The “All-at-sea” option is a possible approach for managing future demand for ship anchorages by deciding not to expand current anchorages</w:t>
      </w:r>
      <w:r w:rsidR="00D2746A" w:rsidRPr="001F52E5">
        <w:rPr>
          <w:sz w:val="24"/>
          <w:szCs w:val="24"/>
        </w:rPr>
        <w:t xml:space="preserve">, </w:t>
      </w:r>
      <w:r w:rsidRPr="001F52E5">
        <w:rPr>
          <w:sz w:val="24"/>
          <w:szCs w:val="24"/>
        </w:rPr>
        <w:t xml:space="preserve">with the resulting effect </w:t>
      </w:r>
      <w:r w:rsidR="00D2746A" w:rsidRPr="001F52E5">
        <w:rPr>
          <w:sz w:val="24"/>
          <w:szCs w:val="24"/>
        </w:rPr>
        <w:t>that</w:t>
      </w:r>
      <w:r w:rsidRPr="001F52E5">
        <w:rPr>
          <w:sz w:val="24"/>
          <w:szCs w:val="24"/>
        </w:rPr>
        <w:t xml:space="preserve"> ships without anchorage in the current area having to wait at sea. This would require the ships to idle at sea, drift or be anchored at another permitted location elsewhere in Australia or outside of Australia. </w:t>
      </w:r>
    </w:p>
    <w:p w:rsidR="001A657F" w:rsidRPr="001F52E5" w:rsidRDefault="001A657F" w:rsidP="001A657F">
      <w:pPr>
        <w:pStyle w:val="Body"/>
        <w:rPr>
          <w:sz w:val="24"/>
          <w:szCs w:val="24"/>
        </w:rPr>
      </w:pPr>
      <w:r w:rsidRPr="001F52E5">
        <w:rPr>
          <w:sz w:val="24"/>
          <w:szCs w:val="24"/>
        </w:rPr>
        <w:t xml:space="preserve">This approach is assumed not to include the management of the scheduling of vessel arrivals at port which means it is effectively a future ‘Do Nothing’ scenario for ship anchorages. </w:t>
      </w:r>
    </w:p>
    <w:p w:rsidR="001A657F" w:rsidRPr="00B41CFA" w:rsidRDefault="001A657F" w:rsidP="001A657F">
      <w:pPr>
        <w:pStyle w:val="Heading3"/>
        <w:rPr>
          <w:sz w:val="24"/>
        </w:rPr>
      </w:pPr>
      <w:bookmarkStart w:id="427" w:name="_Toc343597276"/>
      <w:bookmarkStart w:id="428" w:name="_Toc362274324"/>
      <w:r w:rsidRPr="00B41CFA">
        <w:rPr>
          <w:sz w:val="24"/>
        </w:rPr>
        <w:t>Scheduled arrivals without anchorage option</w:t>
      </w:r>
      <w:bookmarkEnd w:id="427"/>
      <w:bookmarkEnd w:id="428"/>
    </w:p>
    <w:p w:rsidR="00D2746A" w:rsidRPr="001F52E5" w:rsidRDefault="001A657F" w:rsidP="001A657F">
      <w:pPr>
        <w:pStyle w:val="Body"/>
        <w:rPr>
          <w:sz w:val="24"/>
          <w:szCs w:val="24"/>
        </w:rPr>
      </w:pPr>
      <w:r w:rsidRPr="001F52E5">
        <w:rPr>
          <w:sz w:val="24"/>
          <w:szCs w:val="24"/>
        </w:rPr>
        <w:t xml:space="preserve">The “Scheduled arrivals” option </w:t>
      </w:r>
      <w:r w:rsidR="00D2746A" w:rsidRPr="001F52E5">
        <w:rPr>
          <w:sz w:val="24"/>
          <w:szCs w:val="24"/>
        </w:rPr>
        <w:t xml:space="preserve">provides for the removal of all designated </w:t>
      </w:r>
      <w:r w:rsidRPr="001F52E5">
        <w:rPr>
          <w:sz w:val="24"/>
          <w:szCs w:val="24"/>
        </w:rPr>
        <w:t xml:space="preserve">anchorages </w:t>
      </w:r>
      <w:r w:rsidR="00D2746A" w:rsidRPr="001F52E5">
        <w:rPr>
          <w:sz w:val="24"/>
          <w:szCs w:val="24"/>
        </w:rPr>
        <w:t xml:space="preserve">with </w:t>
      </w:r>
      <w:r w:rsidRPr="001F52E5">
        <w:rPr>
          <w:sz w:val="24"/>
          <w:szCs w:val="24"/>
        </w:rPr>
        <w:t xml:space="preserve">all vessels proceeding direct from sea to a berth in the port based on scheduled ship arrivals. </w:t>
      </w:r>
    </w:p>
    <w:p w:rsidR="001A657F" w:rsidRPr="001F52E5" w:rsidRDefault="001A657F" w:rsidP="001A657F">
      <w:pPr>
        <w:pStyle w:val="Body"/>
        <w:rPr>
          <w:sz w:val="24"/>
          <w:szCs w:val="24"/>
        </w:rPr>
      </w:pPr>
      <w:r w:rsidRPr="001F52E5">
        <w:rPr>
          <w:sz w:val="24"/>
          <w:szCs w:val="24"/>
        </w:rPr>
        <w:t>This approach can be considered to be less feasible than the others as it would require a change in long-accepted practice of port and shipping operations currently in place within Queensland.</w:t>
      </w:r>
    </w:p>
    <w:p w:rsidR="001A657F" w:rsidRPr="001F52E5" w:rsidRDefault="001A657F" w:rsidP="001A657F">
      <w:pPr>
        <w:pStyle w:val="Heading3"/>
        <w:rPr>
          <w:sz w:val="24"/>
          <w:szCs w:val="24"/>
        </w:rPr>
      </w:pPr>
      <w:bookmarkStart w:id="429" w:name="_Toc343597277"/>
      <w:bookmarkStart w:id="430" w:name="_Toc362274325"/>
      <w:r w:rsidRPr="001F52E5">
        <w:rPr>
          <w:sz w:val="24"/>
          <w:szCs w:val="24"/>
        </w:rPr>
        <w:t>Scheduled arrivals with anchorage option</w:t>
      </w:r>
      <w:bookmarkEnd w:id="429"/>
      <w:bookmarkEnd w:id="430"/>
    </w:p>
    <w:p w:rsidR="001A657F" w:rsidRPr="001F52E5" w:rsidRDefault="001A657F" w:rsidP="001A657F">
      <w:pPr>
        <w:pStyle w:val="Body"/>
        <w:rPr>
          <w:sz w:val="24"/>
          <w:szCs w:val="24"/>
        </w:rPr>
      </w:pPr>
      <w:r w:rsidRPr="001F52E5">
        <w:rPr>
          <w:sz w:val="24"/>
          <w:szCs w:val="24"/>
        </w:rPr>
        <w:t xml:space="preserve">The “Scheduled arrivals with anchorage” option </w:t>
      </w:r>
      <w:r w:rsidR="00D2746A" w:rsidRPr="001F52E5">
        <w:rPr>
          <w:sz w:val="24"/>
          <w:szCs w:val="24"/>
        </w:rPr>
        <w:t>includes the maintenance of the current anchorage areas, without further expansion, and</w:t>
      </w:r>
      <w:r w:rsidRPr="001F52E5">
        <w:rPr>
          <w:sz w:val="24"/>
          <w:szCs w:val="24"/>
        </w:rPr>
        <w:t xml:space="preserve"> </w:t>
      </w:r>
      <w:r w:rsidR="00D2746A" w:rsidRPr="001F52E5">
        <w:rPr>
          <w:sz w:val="24"/>
          <w:szCs w:val="24"/>
        </w:rPr>
        <w:t xml:space="preserve">the </w:t>
      </w:r>
      <w:r w:rsidRPr="001F52E5">
        <w:rPr>
          <w:sz w:val="24"/>
          <w:szCs w:val="24"/>
        </w:rPr>
        <w:t>implement</w:t>
      </w:r>
      <w:r w:rsidR="00D2746A" w:rsidRPr="001F52E5">
        <w:rPr>
          <w:sz w:val="24"/>
          <w:szCs w:val="24"/>
        </w:rPr>
        <w:t>ation of</w:t>
      </w:r>
      <w:r w:rsidRPr="001F52E5">
        <w:rPr>
          <w:sz w:val="24"/>
          <w:szCs w:val="24"/>
        </w:rPr>
        <w:t xml:space="preserve"> a scheduled ship arrival system. This system would queue vessels into and out of the anchorage area according to cargo/product availability and optimal steam time of vessels. This system influences vessel behaviour as it does not benefit ships to race to a load location. Instead, the system promotes the use of the sea voyage to the port to ensure ships proceed efficiently (do not speed-up) and anchor at the port for minimum periods of time. This approach can allow for growth in ship calls without expansion of anchorage areas. The time at anchor is linked to the flexibility required by the terminal operators at the port to ensure efficient loading of cargoes and use of the berths. </w:t>
      </w:r>
    </w:p>
    <w:p w:rsidR="001A657F" w:rsidRPr="001F52E5" w:rsidRDefault="001A657F" w:rsidP="001A657F">
      <w:pPr>
        <w:pStyle w:val="Body"/>
        <w:rPr>
          <w:sz w:val="24"/>
          <w:szCs w:val="24"/>
        </w:rPr>
      </w:pPr>
      <w:r w:rsidRPr="001F52E5">
        <w:rPr>
          <w:sz w:val="24"/>
          <w:szCs w:val="24"/>
        </w:rPr>
        <w:t>The use of this approach to manage future demand for ship anchorages will not be the same at all of the five main ports. For instance, some ports (Hay Point and Abbot Point) only handle bulk carriers for the export of coal. This makes it potentially easier to manage and schedule all arriving ships for anchoring. Other ports (Townsville and Gladstone) handle a mixture of import and export cargoes using different ship types. This adds complexity to managing ship arrivals at anchorages.</w:t>
      </w:r>
    </w:p>
    <w:p w:rsidR="001A657F" w:rsidRPr="00B41CFA" w:rsidRDefault="001A657F" w:rsidP="001A657F">
      <w:pPr>
        <w:pStyle w:val="Heading3"/>
        <w:rPr>
          <w:sz w:val="24"/>
        </w:rPr>
      </w:pPr>
      <w:bookmarkStart w:id="431" w:name="_Toc343597278"/>
      <w:bookmarkStart w:id="432" w:name="_Toc362274326"/>
      <w:r w:rsidRPr="00B41CFA">
        <w:rPr>
          <w:sz w:val="24"/>
        </w:rPr>
        <w:t>Demand management option</w:t>
      </w:r>
      <w:bookmarkEnd w:id="431"/>
      <w:bookmarkEnd w:id="432"/>
    </w:p>
    <w:p w:rsidR="001A657F" w:rsidRPr="001F52E5" w:rsidRDefault="001A657F" w:rsidP="001A657F">
      <w:pPr>
        <w:pStyle w:val="Body"/>
        <w:rPr>
          <w:sz w:val="24"/>
          <w:szCs w:val="24"/>
        </w:rPr>
      </w:pPr>
      <w:r w:rsidRPr="001F52E5">
        <w:rPr>
          <w:sz w:val="24"/>
          <w:szCs w:val="24"/>
        </w:rPr>
        <w:t xml:space="preserve">The “Demand management” option is a possible approach for managing future demand for ship anchorages by limiting either: </w:t>
      </w:r>
    </w:p>
    <w:p w:rsidR="001A657F" w:rsidRPr="001F52E5" w:rsidRDefault="001A657F" w:rsidP="001F52E5">
      <w:pPr>
        <w:pStyle w:val="BulletNumber"/>
        <w:numPr>
          <w:ilvl w:val="1"/>
          <w:numId w:val="61"/>
        </w:numPr>
        <w:tabs>
          <w:tab w:val="clear" w:pos="1440"/>
          <w:tab w:val="num" w:pos="851"/>
        </w:tabs>
        <w:ind w:left="851" w:hanging="142"/>
        <w:rPr>
          <w:sz w:val="24"/>
          <w:szCs w:val="24"/>
        </w:rPr>
      </w:pPr>
      <w:r w:rsidRPr="001F52E5">
        <w:rPr>
          <w:sz w:val="24"/>
          <w:szCs w:val="24"/>
        </w:rPr>
        <w:t xml:space="preserve">The number of ships calling at a port, or </w:t>
      </w:r>
    </w:p>
    <w:p w:rsidR="001A657F" w:rsidRPr="001F52E5" w:rsidRDefault="001A657F" w:rsidP="001F52E5">
      <w:pPr>
        <w:pStyle w:val="BulletNumber"/>
        <w:numPr>
          <w:ilvl w:val="1"/>
          <w:numId w:val="61"/>
        </w:numPr>
        <w:tabs>
          <w:tab w:val="clear" w:pos="1440"/>
          <w:tab w:val="num" w:pos="851"/>
        </w:tabs>
        <w:ind w:left="851" w:hanging="142"/>
        <w:rPr>
          <w:sz w:val="24"/>
          <w:szCs w:val="24"/>
        </w:rPr>
      </w:pPr>
      <w:r w:rsidRPr="001F52E5">
        <w:rPr>
          <w:sz w:val="24"/>
          <w:szCs w:val="24"/>
        </w:rPr>
        <w:t>The length of time at anchor using pricing disincentives.</w:t>
      </w:r>
    </w:p>
    <w:p w:rsidR="001A657F" w:rsidRPr="001F52E5" w:rsidRDefault="001A657F" w:rsidP="001A657F">
      <w:pPr>
        <w:pStyle w:val="Body"/>
        <w:rPr>
          <w:sz w:val="24"/>
          <w:szCs w:val="24"/>
        </w:rPr>
      </w:pPr>
      <w:r w:rsidRPr="001F52E5">
        <w:rPr>
          <w:sz w:val="24"/>
          <w:szCs w:val="24"/>
        </w:rPr>
        <w:t>In the case of (a), trade through a port would be effectively capped by a restriction on the maximum number of ship calls at a port which would avoid any need to expand anchorages in the future.</w:t>
      </w:r>
    </w:p>
    <w:p w:rsidR="001A657F" w:rsidRPr="001F52E5" w:rsidRDefault="001A657F" w:rsidP="001A657F">
      <w:pPr>
        <w:pStyle w:val="Body"/>
        <w:rPr>
          <w:sz w:val="24"/>
          <w:szCs w:val="24"/>
        </w:rPr>
      </w:pPr>
      <w:r w:rsidRPr="001F52E5">
        <w:rPr>
          <w:sz w:val="24"/>
          <w:szCs w:val="24"/>
        </w:rPr>
        <w:t>In the case of (b), the efficiency and capacity of current anchorage areas are assumed to be increased by reducing the average time at anchor to a required level using pricing penalties. Under this situation vessels that sit at anchor beyond a certain time pay a fee. This can be combined with a ‘base’ levy for the use of anchorage to incentivise ships going direct to berth from sea. This method continues to allow for the future growth in ship calls at a port, but avoids the possible future need to expand current anchorage areas. It is possible that this method would also result in ships ‘idling’ at sea and/or anchoring elsewhere along the coast in permitted areas or outside of Australia in order to avoid the cost of paying for extended stays at port anchorages.</w:t>
      </w:r>
    </w:p>
    <w:p w:rsidR="001A657F" w:rsidRPr="00B41CFA" w:rsidRDefault="001A657F" w:rsidP="001A657F">
      <w:pPr>
        <w:pStyle w:val="Heading3"/>
        <w:rPr>
          <w:sz w:val="24"/>
        </w:rPr>
      </w:pPr>
      <w:bookmarkStart w:id="433" w:name="_Toc343597279"/>
      <w:bookmarkStart w:id="434" w:name="_Toc362274327"/>
      <w:r w:rsidRPr="00B41CFA">
        <w:rPr>
          <w:sz w:val="24"/>
        </w:rPr>
        <w:t>Port consolidation strategy option</w:t>
      </w:r>
      <w:bookmarkEnd w:id="433"/>
      <w:bookmarkEnd w:id="434"/>
    </w:p>
    <w:p w:rsidR="001A657F" w:rsidRPr="001F52E5" w:rsidRDefault="001A657F" w:rsidP="001A657F">
      <w:pPr>
        <w:pStyle w:val="Body"/>
        <w:rPr>
          <w:sz w:val="24"/>
          <w:szCs w:val="24"/>
        </w:rPr>
      </w:pPr>
      <w:r w:rsidRPr="001F52E5">
        <w:rPr>
          <w:sz w:val="24"/>
          <w:szCs w:val="24"/>
        </w:rPr>
        <w:t xml:space="preserve">The “Port </w:t>
      </w:r>
      <w:r w:rsidR="004F0213" w:rsidRPr="001F52E5">
        <w:rPr>
          <w:sz w:val="24"/>
          <w:szCs w:val="24"/>
        </w:rPr>
        <w:t>c</w:t>
      </w:r>
      <w:r w:rsidRPr="001F52E5">
        <w:rPr>
          <w:sz w:val="24"/>
          <w:szCs w:val="24"/>
        </w:rPr>
        <w:t>onsolidation strategy” option is a possible approach for managing future demand for ship anchorages by consolidating common port trades (e.g. coal) at the most suitable (least impacting) location. The strategy would use existing port infrastructure and limits. This approach would focus any impacts from expanded anchorages to a single well-suited location able to accommodate any possible future growth in ship calls. As such, it would be a strongly interventionist approach and assumes that the complexities of multiple port ownerships and the need to change connecting inland infrastructure (e.g. rail) could be solved.</w:t>
      </w:r>
    </w:p>
    <w:p w:rsidR="001A657F" w:rsidRPr="00B41CFA" w:rsidRDefault="001A657F" w:rsidP="001A657F">
      <w:pPr>
        <w:pStyle w:val="Heading3"/>
        <w:rPr>
          <w:sz w:val="24"/>
        </w:rPr>
      </w:pPr>
      <w:bookmarkStart w:id="435" w:name="_Toc343597280"/>
      <w:bookmarkStart w:id="436" w:name="_Toc362274328"/>
      <w:r w:rsidRPr="00B41CFA">
        <w:rPr>
          <w:sz w:val="24"/>
        </w:rPr>
        <w:t>Other options</w:t>
      </w:r>
      <w:bookmarkEnd w:id="435"/>
      <w:bookmarkEnd w:id="436"/>
    </w:p>
    <w:p w:rsidR="00880996" w:rsidRPr="001F52E5" w:rsidRDefault="001A657F" w:rsidP="001A657F">
      <w:pPr>
        <w:pStyle w:val="Body"/>
        <w:rPr>
          <w:sz w:val="24"/>
          <w:szCs w:val="24"/>
        </w:rPr>
      </w:pPr>
      <w:r w:rsidRPr="001F52E5">
        <w:rPr>
          <w:sz w:val="24"/>
          <w:szCs w:val="24"/>
        </w:rPr>
        <w:t xml:space="preserve">An alternative approach to address some impacts realised through anchoring is a technical solution to anchoring used by some advanced ship designs known as “dynamic positioning”. Dynamic positioning allows a ship to maintain a stationary position without the need to anchor (i.e. be fixed to the seabed by chain). It is used by certain offshore vessels involved in the oil and gas industry where deep-water affects anchoring efficacy. A number of modern cruise-ships are also equipped with dynamic positioning. </w:t>
      </w:r>
    </w:p>
    <w:p w:rsidR="00880996" w:rsidRPr="001F52E5" w:rsidRDefault="001A657F" w:rsidP="001A657F">
      <w:pPr>
        <w:pStyle w:val="Body"/>
        <w:rPr>
          <w:sz w:val="24"/>
          <w:szCs w:val="24"/>
        </w:rPr>
      </w:pPr>
      <w:r w:rsidRPr="001F52E5">
        <w:rPr>
          <w:sz w:val="24"/>
          <w:szCs w:val="24"/>
        </w:rPr>
        <w:t xml:space="preserve">This approach assumes that a significant part of the future shipping fleet calling at the five main ports would be equipped with dynamic positioning and, therefore, able to wait in a stationary position in designated expanded anchorages without the seabed being impacted by conventional anchors and chains. This technological solution does not, however, account for impacts other than environmental. </w:t>
      </w:r>
    </w:p>
    <w:p w:rsidR="001A657F" w:rsidRPr="001F52E5" w:rsidRDefault="001A657F" w:rsidP="001A657F">
      <w:pPr>
        <w:pStyle w:val="Body"/>
        <w:rPr>
          <w:sz w:val="24"/>
          <w:szCs w:val="24"/>
        </w:rPr>
      </w:pPr>
      <w:r w:rsidRPr="001F52E5">
        <w:rPr>
          <w:sz w:val="24"/>
          <w:szCs w:val="24"/>
        </w:rPr>
        <w:t xml:space="preserve">Other options for managing future demand for ship anchorages at the five main ports mainly involve combining several of the identified options. </w:t>
      </w:r>
    </w:p>
    <w:p w:rsidR="001A657F" w:rsidRPr="00B41CFA" w:rsidRDefault="001A657F" w:rsidP="001A657F">
      <w:pPr>
        <w:pStyle w:val="Heading2"/>
        <w:rPr>
          <w:sz w:val="24"/>
        </w:rPr>
      </w:pPr>
      <w:bookmarkStart w:id="437" w:name="_Toc343526372"/>
      <w:bookmarkStart w:id="438" w:name="_Toc343526561"/>
      <w:bookmarkStart w:id="439" w:name="_Toc343526835"/>
      <w:bookmarkStart w:id="440" w:name="_Toc343527087"/>
      <w:bookmarkStart w:id="441" w:name="_Toc343581825"/>
      <w:bookmarkStart w:id="442" w:name="_Toc343597281"/>
      <w:bookmarkStart w:id="443" w:name="_Toc343526373"/>
      <w:bookmarkStart w:id="444" w:name="_Toc343526562"/>
      <w:bookmarkStart w:id="445" w:name="_Toc343526836"/>
      <w:bookmarkStart w:id="446" w:name="_Toc343527088"/>
      <w:bookmarkStart w:id="447" w:name="_Toc343581826"/>
      <w:bookmarkStart w:id="448" w:name="_Toc343597282"/>
      <w:bookmarkStart w:id="449" w:name="_Toc343597283"/>
      <w:bookmarkStart w:id="450" w:name="_Ref347735927"/>
      <w:bookmarkStart w:id="451" w:name="_Toc362274329"/>
      <w:bookmarkStart w:id="452" w:name="_Ref342397245"/>
      <w:bookmarkEnd w:id="437"/>
      <w:bookmarkEnd w:id="438"/>
      <w:bookmarkEnd w:id="439"/>
      <w:bookmarkEnd w:id="440"/>
      <w:bookmarkEnd w:id="441"/>
      <w:bookmarkEnd w:id="442"/>
      <w:bookmarkEnd w:id="443"/>
      <w:bookmarkEnd w:id="444"/>
      <w:bookmarkEnd w:id="445"/>
      <w:bookmarkEnd w:id="446"/>
      <w:bookmarkEnd w:id="447"/>
      <w:bookmarkEnd w:id="448"/>
      <w:r w:rsidRPr="00B41CFA">
        <w:rPr>
          <w:sz w:val="24"/>
        </w:rPr>
        <w:t>Results of examining the potential relevance of identified ship anchorage management options for the five main ports</w:t>
      </w:r>
      <w:bookmarkEnd w:id="449"/>
      <w:bookmarkEnd w:id="450"/>
      <w:bookmarkEnd w:id="451"/>
    </w:p>
    <w:p w:rsidR="001A657F" w:rsidRPr="001F52E5" w:rsidRDefault="001A657F" w:rsidP="001A657F">
      <w:pPr>
        <w:pStyle w:val="Body"/>
        <w:rPr>
          <w:sz w:val="24"/>
          <w:szCs w:val="24"/>
        </w:rPr>
      </w:pPr>
      <w:r w:rsidRPr="001F52E5">
        <w:rPr>
          <w:sz w:val="24"/>
          <w:szCs w:val="24"/>
        </w:rPr>
        <w:t>The relevance of the identified management options for the five ports under assessment was considered with regard to four criteria:</w:t>
      </w:r>
    </w:p>
    <w:p w:rsidR="001A657F" w:rsidRPr="001F52E5" w:rsidRDefault="001A657F" w:rsidP="001A657F">
      <w:pPr>
        <w:pStyle w:val="Body"/>
        <w:numPr>
          <w:ilvl w:val="0"/>
          <w:numId w:val="21"/>
        </w:numPr>
        <w:rPr>
          <w:sz w:val="24"/>
          <w:szCs w:val="24"/>
        </w:rPr>
      </w:pPr>
      <w:r w:rsidRPr="001F52E5">
        <w:rPr>
          <w:sz w:val="24"/>
          <w:szCs w:val="24"/>
        </w:rPr>
        <w:t>Possible economic and commercial impacts</w:t>
      </w:r>
    </w:p>
    <w:p w:rsidR="001A657F" w:rsidRPr="001F52E5" w:rsidRDefault="001A657F" w:rsidP="001A657F">
      <w:pPr>
        <w:pStyle w:val="Body"/>
        <w:numPr>
          <w:ilvl w:val="0"/>
          <w:numId w:val="21"/>
        </w:numPr>
        <w:rPr>
          <w:sz w:val="24"/>
          <w:szCs w:val="24"/>
        </w:rPr>
      </w:pPr>
      <w:r w:rsidRPr="001F52E5">
        <w:rPr>
          <w:sz w:val="24"/>
          <w:szCs w:val="24"/>
        </w:rPr>
        <w:t>Possible environmental impacts with the goal of achieving net environmental gains</w:t>
      </w:r>
    </w:p>
    <w:p w:rsidR="001A657F" w:rsidRPr="001F52E5" w:rsidRDefault="001A657F" w:rsidP="001A657F">
      <w:pPr>
        <w:pStyle w:val="Body"/>
        <w:numPr>
          <w:ilvl w:val="0"/>
          <w:numId w:val="21"/>
        </w:numPr>
        <w:rPr>
          <w:sz w:val="24"/>
          <w:szCs w:val="24"/>
        </w:rPr>
      </w:pPr>
      <w:r w:rsidRPr="001F52E5">
        <w:rPr>
          <w:sz w:val="24"/>
          <w:szCs w:val="24"/>
        </w:rPr>
        <w:t>Possible ship safety and emergency response impacts</w:t>
      </w:r>
    </w:p>
    <w:p w:rsidR="001A657F" w:rsidRPr="001F52E5" w:rsidRDefault="001A657F" w:rsidP="001A657F">
      <w:pPr>
        <w:pStyle w:val="Body"/>
        <w:numPr>
          <w:ilvl w:val="0"/>
          <w:numId w:val="21"/>
        </w:numPr>
        <w:rPr>
          <w:sz w:val="24"/>
          <w:szCs w:val="24"/>
        </w:rPr>
      </w:pPr>
      <w:r w:rsidRPr="001F52E5">
        <w:rPr>
          <w:sz w:val="24"/>
          <w:szCs w:val="24"/>
        </w:rPr>
        <w:t>Possible other user and social impacts.</w:t>
      </w:r>
    </w:p>
    <w:p w:rsidR="001A657F" w:rsidRPr="001F52E5" w:rsidRDefault="001A657F" w:rsidP="001A657F">
      <w:pPr>
        <w:pStyle w:val="Body"/>
        <w:rPr>
          <w:sz w:val="24"/>
          <w:szCs w:val="24"/>
        </w:rPr>
      </w:pPr>
      <w:r w:rsidRPr="001F52E5">
        <w:rPr>
          <w:sz w:val="24"/>
          <w:szCs w:val="24"/>
        </w:rPr>
        <w:t>Review against these criteria identifies three clear options (in additional to Business-as-usual) as potentially relevant to the five main ports:</w:t>
      </w:r>
    </w:p>
    <w:p w:rsidR="001A657F" w:rsidRPr="001F52E5" w:rsidRDefault="001A657F" w:rsidP="001A657F">
      <w:pPr>
        <w:pStyle w:val="Body"/>
        <w:numPr>
          <w:ilvl w:val="0"/>
          <w:numId w:val="21"/>
        </w:numPr>
        <w:rPr>
          <w:sz w:val="24"/>
          <w:szCs w:val="24"/>
        </w:rPr>
      </w:pPr>
      <w:r w:rsidRPr="001F52E5">
        <w:rPr>
          <w:sz w:val="24"/>
          <w:szCs w:val="24"/>
        </w:rPr>
        <w:t>“Improved current practices” option which relates to using designated anchorages where none are currently used, such as in Townsville or Abbot Point</w:t>
      </w:r>
    </w:p>
    <w:p w:rsidR="001A657F" w:rsidRPr="001F52E5" w:rsidRDefault="001A657F" w:rsidP="001A657F">
      <w:pPr>
        <w:pStyle w:val="Body"/>
        <w:numPr>
          <w:ilvl w:val="0"/>
          <w:numId w:val="21"/>
        </w:numPr>
        <w:rPr>
          <w:sz w:val="24"/>
          <w:szCs w:val="24"/>
        </w:rPr>
      </w:pPr>
      <w:r w:rsidRPr="001F52E5">
        <w:rPr>
          <w:sz w:val="24"/>
          <w:szCs w:val="24"/>
        </w:rPr>
        <w:t>“Scheduled arrivals with anchorage” option and</w:t>
      </w:r>
    </w:p>
    <w:p w:rsidR="001A657F" w:rsidRPr="001F52E5" w:rsidRDefault="001A657F" w:rsidP="001A657F">
      <w:pPr>
        <w:pStyle w:val="Body"/>
        <w:numPr>
          <w:ilvl w:val="0"/>
          <w:numId w:val="21"/>
        </w:numPr>
        <w:rPr>
          <w:sz w:val="24"/>
          <w:szCs w:val="24"/>
        </w:rPr>
      </w:pPr>
      <w:r w:rsidRPr="001F52E5">
        <w:rPr>
          <w:sz w:val="24"/>
          <w:szCs w:val="24"/>
        </w:rPr>
        <w:t>A mixture of options, being a possible combination of the first two relevant options.</w:t>
      </w:r>
    </w:p>
    <w:p w:rsidR="001A657F" w:rsidRPr="001F52E5" w:rsidRDefault="001A657F" w:rsidP="001A657F">
      <w:pPr>
        <w:pStyle w:val="Body"/>
        <w:rPr>
          <w:sz w:val="24"/>
          <w:szCs w:val="24"/>
        </w:rPr>
      </w:pPr>
      <w:r w:rsidRPr="001F52E5">
        <w:rPr>
          <w:sz w:val="24"/>
          <w:szCs w:val="24"/>
        </w:rPr>
        <w:t>Review noted challenges with the other identified anchorage manage options for implementation at the ports under study. These are noted for each of the options as follows.</w:t>
      </w:r>
    </w:p>
    <w:p w:rsidR="00880996" w:rsidRPr="001F52E5" w:rsidRDefault="00880996" w:rsidP="001A657F">
      <w:pPr>
        <w:pStyle w:val="Body"/>
        <w:rPr>
          <w:sz w:val="24"/>
          <w:szCs w:val="24"/>
          <w:highlight w:val="red"/>
        </w:rPr>
      </w:pPr>
      <w:r w:rsidRPr="001F52E5">
        <w:rPr>
          <w:sz w:val="24"/>
          <w:szCs w:val="24"/>
        </w:rPr>
        <w:t>The “All-at-port” option was not considered relevant for further CBA modelling as a number of existing port anchorage areas (e.g. Hay Point and Gladstone) are either outside of or extending beyond existing port limits. The concept of having all ship anchorages within existing port limits has practical limits in terms of ship safety, and physical space to accommodate ship demand. In terms of environmental impact management, port limits were considered to be an arbitrary division of space.</w:t>
      </w:r>
    </w:p>
    <w:p w:rsidR="001A657F" w:rsidRPr="001F52E5" w:rsidRDefault="001A657F" w:rsidP="001A657F">
      <w:pPr>
        <w:pStyle w:val="Body"/>
        <w:rPr>
          <w:sz w:val="24"/>
          <w:szCs w:val="24"/>
        </w:rPr>
      </w:pPr>
      <w:r w:rsidRPr="001F52E5">
        <w:rPr>
          <w:sz w:val="24"/>
          <w:szCs w:val="24"/>
        </w:rPr>
        <w:t xml:space="preserve">The “Fixed-moored” option was also considered to likely require significant costs. Furthermore, significant one-time impacts on the </w:t>
      </w:r>
      <w:r w:rsidR="001614B6" w:rsidRPr="001F52E5">
        <w:rPr>
          <w:sz w:val="24"/>
          <w:szCs w:val="24"/>
        </w:rPr>
        <w:t>seabed</w:t>
      </w:r>
      <w:r w:rsidRPr="001F52E5">
        <w:rPr>
          <w:sz w:val="24"/>
          <w:szCs w:val="24"/>
        </w:rPr>
        <w:t xml:space="preserve"> environment caused by the need to secure each fixed mooring at multiple locations on the seabed were considered expected to occur under this option. The fixed-moorings also have the potential to become hazards for navigation when not in use by ships and may require significant management during severe weather events. This option was also built into the CBA model for further quantification as appropriate. </w:t>
      </w:r>
    </w:p>
    <w:p w:rsidR="001A657F" w:rsidRPr="001F52E5" w:rsidRDefault="001A657F" w:rsidP="001A657F">
      <w:pPr>
        <w:pStyle w:val="Body"/>
        <w:rPr>
          <w:sz w:val="24"/>
          <w:szCs w:val="24"/>
        </w:rPr>
      </w:pPr>
      <w:r w:rsidRPr="001F52E5">
        <w:rPr>
          <w:sz w:val="24"/>
          <w:szCs w:val="24"/>
        </w:rPr>
        <w:t>The “All-at-sea” option was considered to pose increased risks to safety and emergency response capability. This option also results in increased travelling distance to berth reducing terminal operations flexibility and likely increasing inefficiencies as a result of ships not arriving on schedule. This option was, therefore, not considered to be relevant for inclusion in the CBA model.</w:t>
      </w:r>
    </w:p>
    <w:p w:rsidR="001A657F" w:rsidRPr="001F52E5" w:rsidRDefault="001A657F" w:rsidP="001A657F">
      <w:pPr>
        <w:pStyle w:val="Body"/>
        <w:rPr>
          <w:sz w:val="24"/>
          <w:szCs w:val="24"/>
        </w:rPr>
      </w:pPr>
      <w:r w:rsidRPr="001F52E5">
        <w:rPr>
          <w:sz w:val="24"/>
          <w:szCs w:val="24"/>
        </w:rPr>
        <w:t xml:space="preserve">The “Scheduled arrivals without anchorage” option was considered to be impractical in terms of terminal operations and flexibility for implementation at Queensland ports. Currently none of the coal ports </w:t>
      </w:r>
      <w:r w:rsidR="003F4246" w:rsidRPr="001F52E5">
        <w:rPr>
          <w:sz w:val="24"/>
          <w:szCs w:val="24"/>
        </w:rPr>
        <w:t xml:space="preserve">located within the World Heritage Area </w:t>
      </w:r>
      <w:r w:rsidRPr="001F52E5">
        <w:rPr>
          <w:sz w:val="24"/>
          <w:szCs w:val="24"/>
        </w:rPr>
        <w:t>direct all vessels to berth from sea</w:t>
      </w:r>
      <w:r w:rsidR="00880996" w:rsidRPr="001F52E5">
        <w:rPr>
          <w:sz w:val="24"/>
          <w:szCs w:val="24"/>
        </w:rPr>
        <w:t>.</w:t>
      </w:r>
      <w:r w:rsidRPr="001F52E5">
        <w:rPr>
          <w:sz w:val="24"/>
          <w:szCs w:val="24"/>
        </w:rPr>
        <w:t xml:space="preserve"> </w:t>
      </w:r>
      <w:r w:rsidR="00880996" w:rsidRPr="001F52E5">
        <w:rPr>
          <w:sz w:val="24"/>
          <w:szCs w:val="24"/>
        </w:rPr>
        <w:t>T</w:t>
      </w:r>
      <w:r w:rsidRPr="001F52E5">
        <w:rPr>
          <w:sz w:val="24"/>
          <w:szCs w:val="24"/>
        </w:rPr>
        <w:t xml:space="preserve">erminal management operations </w:t>
      </w:r>
      <w:r w:rsidR="00880996" w:rsidRPr="001F52E5">
        <w:rPr>
          <w:sz w:val="24"/>
          <w:szCs w:val="24"/>
        </w:rPr>
        <w:t xml:space="preserve">also </w:t>
      </w:r>
      <w:r w:rsidRPr="001F52E5">
        <w:rPr>
          <w:sz w:val="24"/>
          <w:szCs w:val="24"/>
        </w:rPr>
        <w:t>make this an unlikely/unfeasible option. This option was only considered possible where a single exporter fully controls an integrated supply chain from mine to terminal to overseas port with the exporter also controlling the shipping. In practice, this rarely happens</w:t>
      </w:r>
      <w:r w:rsidR="00880996" w:rsidRPr="001F52E5">
        <w:rPr>
          <w:sz w:val="24"/>
          <w:szCs w:val="24"/>
        </w:rPr>
        <w:t xml:space="preserve"> and therefore</w:t>
      </w:r>
      <w:r w:rsidRPr="001F52E5">
        <w:rPr>
          <w:sz w:val="24"/>
          <w:szCs w:val="24"/>
        </w:rPr>
        <w:t xml:space="preserve"> this option was not considered to be relevant for inclusion in the CBA model. </w:t>
      </w:r>
    </w:p>
    <w:p w:rsidR="001A657F" w:rsidRPr="001F52E5" w:rsidRDefault="001A657F" w:rsidP="001A657F">
      <w:pPr>
        <w:pStyle w:val="Body"/>
        <w:rPr>
          <w:sz w:val="24"/>
          <w:szCs w:val="24"/>
        </w:rPr>
      </w:pPr>
      <w:r w:rsidRPr="001F52E5">
        <w:rPr>
          <w:sz w:val="24"/>
          <w:szCs w:val="24"/>
        </w:rPr>
        <w:t xml:space="preserve">The “Demand management” option involving the capping of port throughput and ship calls was considered not to be relevant to the ports under assessment. This is principally due to the likelihood of an excessive economic impact required to adopt this option and the </w:t>
      </w:r>
      <w:r w:rsidR="00880996" w:rsidRPr="001F52E5">
        <w:rPr>
          <w:sz w:val="24"/>
          <w:szCs w:val="24"/>
        </w:rPr>
        <w:t xml:space="preserve">limited </w:t>
      </w:r>
      <w:r w:rsidRPr="001F52E5">
        <w:rPr>
          <w:sz w:val="24"/>
          <w:szCs w:val="24"/>
        </w:rPr>
        <w:t>practicality of implementing and regulating a ‘demand cap’. Consequently, this option was not considered to be relevant for inclusion in the CBA model.</w:t>
      </w:r>
    </w:p>
    <w:p w:rsidR="001A657F" w:rsidRPr="001F52E5" w:rsidRDefault="001A657F" w:rsidP="001A657F">
      <w:pPr>
        <w:pStyle w:val="Body"/>
        <w:rPr>
          <w:sz w:val="24"/>
          <w:szCs w:val="24"/>
        </w:rPr>
      </w:pPr>
      <w:r w:rsidRPr="001F52E5">
        <w:rPr>
          <w:sz w:val="24"/>
          <w:szCs w:val="24"/>
        </w:rPr>
        <w:t xml:space="preserve">The “Demand management using anchor pricing” option method involving the use of an anchor pricing mechanism to increase anchor use efficiency was considered to be likely to pose significant costs to shipping. The required levels of penalty pricing needed to create a beneficial change in anchoring behaviour were considered to be high, equivalent to demurrage costs. It was considered possible that anchor pricing could also result in ships idling at sea and/or anchoring in other permitted locations. However, an anchor pricing mechanism would allow for increased ship arrivals in the future compared with a demand cap which would constrain international seaborne trade through the </w:t>
      </w:r>
      <w:r w:rsidR="003F4246" w:rsidRPr="001F52E5">
        <w:rPr>
          <w:sz w:val="24"/>
          <w:szCs w:val="24"/>
        </w:rPr>
        <w:t>Reef’s</w:t>
      </w:r>
      <w:r w:rsidRPr="001F52E5">
        <w:rPr>
          <w:sz w:val="24"/>
          <w:szCs w:val="24"/>
        </w:rPr>
        <w:t xml:space="preserve"> main ports. This is able to be further quantified through the CBA modelling and this option was built into the model framework for assessment. </w:t>
      </w:r>
    </w:p>
    <w:p w:rsidR="001A657F" w:rsidRPr="001F52E5" w:rsidRDefault="001A657F" w:rsidP="001A657F">
      <w:pPr>
        <w:pStyle w:val="Body"/>
        <w:rPr>
          <w:sz w:val="24"/>
          <w:szCs w:val="24"/>
        </w:rPr>
      </w:pPr>
      <w:r w:rsidRPr="001F52E5">
        <w:rPr>
          <w:sz w:val="24"/>
          <w:szCs w:val="24"/>
        </w:rPr>
        <w:t xml:space="preserve">The “Port </w:t>
      </w:r>
      <w:r w:rsidR="00A931A9" w:rsidRPr="001F52E5">
        <w:rPr>
          <w:sz w:val="24"/>
          <w:szCs w:val="24"/>
        </w:rPr>
        <w:t>c</w:t>
      </w:r>
      <w:r w:rsidRPr="001F52E5">
        <w:rPr>
          <w:sz w:val="24"/>
          <w:szCs w:val="24"/>
        </w:rPr>
        <w:t xml:space="preserve">onsolidation strategy” option was considered likely to pose excessively high commercial, social and economic impacts as a consequence of the strategy requiring change to existing port and landside infrastructure to realise consolidation from multiple cargo ports to single cargo ports. This strategy is also challenged by the complexity of multiple port ownerships that operate in competition for cargoes. For this reason this option was not built into the CBA model for quantification against future anchorage demand at each of the ports. However, any future </w:t>
      </w:r>
      <w:r w:rsidR="003F4246" w:rsidRPr="001F52E5">
        <w:rPr>
          <w:sz w:val="24"/>
          <w:szCs w:val="24"/>
        </w:rPr>
        <w:t>strategy for ports within the World Heritage Area</w:t>
      </w:r>
      <w:r w:rsidR="00A931A9" w:rsidRPr="001F52E5">
        <w:rPr>
          <w:sz w:val="24"/>
          <w:szCs w:val="24"/>
        </w:rPr>
        <w:t>,</w:t>
      </w:r>
      <w:r w:rsidR="003F4246" w:rsidRPr="001F52E5">
        <w:rPr>
          <w:sz w:val="24"/>
          <w:szCs w:val="24"/>
        </w:rPr>
        <w:t xml:space="preserve"> </w:t>
      </w:r>
      <w:r w:rsidRPr="001F52E5">
        <w:rPr>
          <w:sz w:val="24"/>
          <w:szCs w:val="24"/>
        </w:rPr>
        <w:t>or whole-of-state ports strategy</w:t>
      </w:r>
      <w:r w:rsidR="00A931A9" w:rsidRPr="001F52E5">
        <w:rPr>
          <w:sz w:val="24"/>
          <w:szCs w:val="24"/>
        </w:rPr>
        <w:t>,</w:t>
      </w:r>
      <w:r w:rsidRPr="001F52E5">
        <w:rPr>
          <w:sz w:val="24"/>
          <w:szCs w:val="24"/>
        </w:rPr>
        <w:t xml:space="preserve"> should, to some degree, favour the consolidation of future trade growth to those ports best suited to and equipped for the trade. As such, </w:t>
      </w:r>
      <w:r w:rsidR="001614B6" w:rsidRPr="001F52E5">
        <w:rPr>
          <w:sz w:val="24"/>
          <w:szCs w:val="24"/>
        </w:rPr>
        <w:t>deep</w:t>
      </w:r>
      <w:r w:rsidR="00484C10" w:rsidRPr="001F52E5">
        <w:rPr>
          <w:sz w:val="24"/>
          <w:szCs w:val="24"/>
        </w:rPr>
        <w:t xml:space="preserve"> </w:t>
      </w:r>
      <w:r w:rsidR="001614B6" w:rsidRPr="001F52E5">
        <w:rPr>
          <w:sz w:val="24"/>
          <w:szCs w:val="24"/>
        </w:rPr>
        <w:t>water</w:t>
      </w:r>
      <w:r w:rsidRPr="001F52E5">
        <w:rPr>
          <w:sz w:val="24"/>
          <w:szCs w:val="24"/>
        </w:rPr>
        <w:t xml:space="preserve"> access ports with expansion capability without significantly impacting upon social and environmental would be favoured by any predevelopment impact assessment.</w:t>
      </w:r>
    </w:p>
    <w:p w:rsidR="001A657F" w:rsidRPr="001F52E5" w:rsidRDefault="001A657F" w:rsidP="001A657F">
      <w:pPr>
        <w:pStyle w:val="Body"/>
        <w:rPr>
          <w:sz w:val="24"/>
          <w:szCs w:val="24"/>
        </w:rPr>
      </w:pPr>
      <w:r w:rsidRPr="001F52E5">
        <w:rPr>
          <w:sz w:val="24"/>
          <w:szCs w:val="24"/>
        </w:rPr>
        <w:t>The “Ship dynamic positioning” technological solution was not considered to be relevant for CBA model analysis. The majority of ships requiring anchorage at the fiv</w:t>
      </w:r>
      <w:r w:rsidR="00AF2158" w:rsidRPr="001F52E5">
        <w:rPr>
          <w:sz w:val="24"/>
          <w:szCs w:val="24"/>
        </w:rPr>
        <w:t>e main ports within the next 30 </w:t>
      </w:r>
      <w:r w:rsidRPr="001F52E5">
        <w:rPr>
          <w:sz w:val="24"/>
          <w:szCs w:val="24"/>
        </w:rPr>
        <w:t xml:space="preserve">years are not predicted to be fitted with dynamic positioning capability. It was considered that ship dynamic positioning as a way of remaining stationary, also has associated risks if ship systems fail (power, etc.) such that ships could possibly drift increasing risk of accident. </w:t>
      </w:r>
    </w:p>
    <w:p w:rsidR="001A657F" w:rsidRPr="001F52E5" w:rsidRDefault="001A657F" w:rsidP="001A657F">
      <w:pPr>
        <w:pStyle w:val="Body"/>
        <w:rPr>
          <w:sz w:val="24"/>
          <w:szCs w:val="24"/>
        </w:rPr>
      </w:pPr>
      <w:r w:rsidRPr="001F52E5">
        <w:rPr>
          <w:sz w:val="24"/>
          <w:szCs w:val="24"/>
        </w:rPr>
        <w:t xml:space="preserve">In summary, a </w:t>
      </w:r>
      <w:r w:rsidR="00A931A9" w:rsidRPr="001F52E5">
        <w:rPr>
          <w:sz w:val="24"/>
          <w:szCs w:val="24"/>
        </w:rPr>
        <w:t>refined list</w:t>
      </w:r>
      <w:r w:rsidRPr="001F52E5">
        <w:rPr>
          <w:sz w:val="24"/>
          <w:szCs w:val="24"/>
        </w:rPr>
        <w:t xml:space="preserve"> of </w:t>
      </w:r>
      <w:r w:rsidR="00A931A9" w:rsidRPr="001F52E5">
        <w:rPr>
          <w:sz w:val="24"/>
          <w:szCs w:val="24"/>
        </w:rPr>
        <w:t>potential</w:t>
      </w:r>
      <w:r w:rsidRPr="001F52E5">
        <w:rPr>
          <w:sz w:val="24"/>
          <w:szCs w:val="24"/>
        </w:rPr>
        <w:t xml:space="preserve"> management options </w:t>
      </w:r>
      <w:r w:rsidR="00A931A9" w:rsidRPr="001F52E5">
        <w:rPr>
          <w:sz w:val="24"/>
          <w:szCs w:val="24"/>
        </w:rPr>
        <w:t>is</w:t>
      </w:r>
      <w:r w:rsidRPr="001F52E5">
        <w:rPr>
          <w:sz w:val="24"/>
          <w:szCs w:val="24"/>
        </w:rPr>
        <w:t xml:space="preserve"> considered to be of relevance for assessment under the CBA model. These include: </w:t>
      </w:r>
    </w:p>
    <w:p w:rsidR="001A657F" w:rsidRPr="001F52E5" w:rsidRDefault="001A657F" w:rsidP="001A657F">
      <w:pPr>
        <w:pStyle w:val="Body"/>
        <w:numPr>
          <w:ilvl w:val="0"/>
          <w:numId w:val="21"/>
        </w:numPr>
        <w:rPr>
          <w:sz w:val="24"/>
          <w:szCs w:val="24"/>
        </w:rPr>
      </w:pPr>
      <w:r w:rsidRPr="001F52E5">
        <w:rPr>
          <w:sz w:val="24"/>
          <w:szCs w:val="24"/>
        </w:rPr>
        <w:t>“Improved current practices”</w:t>
      </w:r>
    </w:p>
    <w:p w:rsidR="001A657F" w:rsidRPr="001F52E5" w:rsidRDefault="001A657F" w:rsidP="001A657F">
      <w:pPr>
        <w:pStyle w:val="Body"/>
        <w:numPr>
          <w:ilvl w:val="0"/>
          <w:numId w:val="21"/>
        </w:numPr>
        <w:rPr>
          <w:sz w:val="24"/>
          <w:szCs w:val="24"/>
        </w:rPr>
      </w:pPr>
      <w:r w:rsidRPr="001F52E5">
        <w:rPr>
          <w:sz w:val="24"/>
          <w:szCs w:val="24"/>
        </w:rPr>
        <w:t>“All-at-port”</w:t>
      </w:r>
    </w:p>
    <w:p w:rsidR="001A657F" w:rsidRPr="001F52E5" w:rsidRDefault="001A657F" w:rsidP="001A657F">
      <w:pPr>
        <w:pStyle w:val="Body"/>
        <w:numPr>
          <w:ilvl w:val="0"/>
          <w:numId w:val="21"/>
        </w:numPr>
        <w:rPr>
          <w:sz w:val="24"/>
          <w:szCs w:val="24"/>
        </w:rPr>
      </w:pPr>
      <w:r w:rsidRPr="001F52E5">
        <w:rPr>
          <w:sz w:val="24"/>
          <w:szCs w:val="24"/>
        </w:rPr>
        <w:t>“All-in-port limits”</w:t>
      </w:r>
    </w:p>
    <w:p w:rsidR="001A657F" w:rsidRPr="001F52E5" w:rsidRDefault="001A657F" w:rsidP="001A657F">
      <w:pPr>
        <w:pStyle w:val="Body"/>
        <w:numPr>
          <w:ilvl w:val="0"/>
          <w:numId w:val="21"/>
        </w:numPr>
        <w:rPr>
          <w:sz w:val="24"/>
          <w:szCs w:val="24"/>
        </w:rPr>
      </w:pPr>
      <w:r w:rsidRPr="001F52E5">
        <w:rPr>
          <w:sz w:val="24"/>
          <w:szCs w:val="24"/>
        </w:rPr>
        <w:t>“Fixed-moored”</w:t>
      </w:r>
    </w:p>
    <w:p w:rsidR="001A657F" w:rsidRPr="001F52E5" w:rsidRDefault="001A657F" w:rsidP="001A657F">
      <w:pPr>
        <w:pStyle w:val="Body"/>
        <w:numPr>
          <w:ilvl w:val="0"/>
          <w:numId w:val="21"/>
        </w:numPr>
        <w:rPr>
          <w:sz w:val="24"/>
          <w:szCs w:val="24"/>
        </w:rPr>
      </w:pPr>
      <w:r w:rsidRPr="001F52E5">
        <w:rPr>
          <w:sz w:val="24"/>
          <w:szCs w:val="24"/>
        </w:rPr>
        <w:t>“Scheduled arrivals with anchorage”</w:t>
      </w:r>
    </w:p>
    <w:p w:rsidR="001A657F" w:rsidRPr="001F52E5" w:rsidRDefault="001A657F" w:rsidP="001A657F">
      <w:pPr>
        <w:pStyle w:val="Body"/>
        <w:numPr>
          <w:ilvl w:val="0"/>
          <w:numId w:val="21"/>
        </w:numPr>
        <w:rPr>
          <w:sz w:val="24"/>
          <w:szCs w:val="24"/>
        </w:rPr>
      </w:pPr>
      <w:r w:rsidRPr="001F52E5">
        <w:rPr>
          <w:sz w:val="24"/>
          <w:szCs w:val="24"/>
        </w:rPr>
        <w:t>“Demand management anchor pricing”</w:t>
      </w:r>
    </w:p>
    <w:p w:rsidR="001A657F" w:rsidRPr="001F52E5" w:rsidRDefault="001A657F" w:rsidP="001A657F">
      <w:pPr>
        <w:pStyle w:val="Body"/>
        <w:numPr>
          <w:ilvl w:val="0"/>
          <w:numId w:val="21"/>
        </w:numPr>
        <w:rPr>
          <w:sz w:val="24"/>
          <w:szCs w:val="24"/>
        </w:rPr>
      </w:pPr>
      <w:r w:rsidRPr="001F52E5">
        <w:rPr>
          <w:sz w:val="24"/>
          <w:szCs w:val="24"/>
        </w:rPr>
        <w:t>A mixture of options.</w:t>
      </w:r>
    </w:p>
    <w:p w:rsidR="001A657F" w:rsidRPr="001F52E5" w:rsidRDefault="001A657F" w:rsidP="00905CF3">
      <w:pPr>
        <w:pStyle w:val="Body"/>
        <w:rPr>
          <w:sz w:val="24"/>
          <w:szCs w:val="24"/>
        </w:rPr>
      </w:pPr>
      <w:r w:rsidRPr="001F52E5">
        <w:rPr>
          <w:sz w:val="24"/>
          <w:szCs w:val="24"/>
        </w:rPr>
        <w:t>The relevance of each of these options to each of the</w:t>
      </w:r>
      <w:r w:rsidR="00A931A9" w:rsidRPr="001F52E5">
        <w:rPr>
          <w:sz w:val="24"/>
          <w:szCs w:val="24"/>
        </w:rPr>
        <w:t xml:space="preserve"> subject</w:t>
      </w:r>
      <w:r w:rsidRPr="001F52E5">
        <w:rPr>
          <w:sz w:val="24"/>
          <w:szCs w:val="24"/>
        </w:rPr>
        <w:t xml:space="preserve"> ports is dependent upon port specific conditions.</w:t>
      </w:r>
    </w:p>
    <w:p w:rsidR="001A657F" w:rsidRPr="001F52E5" w:rsidRDefault="001A657F" w:rsidP="001A657F">
      <w:pPr>
        <w:pStyle w:val="Body"/>
        <w:rPr>
          <w:sz w:val="24"/>
          <w:szCs w:val="24"/>
        </w:rPr>
      </w:pPr>
      <w:r w:rsidRPr="001F52E5">
        <w:rPr>
          <w:sz w:val="24"/>
          <w:szCs w:val="24"/>
        </w:rPr>
        <w:t xml:space="preserve">The potential net benefits of each of the management options for each of the five </w:t>
      </w:r>
      <w:r w:rsidR="00A931A9" w:rsidRPr="001F52E5">
        <w:rPr>
          <w:sz w:val="24"/>
          <w:szCs w:val="24"/>
        </w:rPr>
        <w:t xml:space="preserve">subject </w:t>
      </w:r>
      <w:r w:rsidRPr="001F52E5">
        <w:rPr>
          <w:sz w:val="24"/>
          <w:szCs w:val="24"/>
        </w:rPr>
        <w:t xml:space="preserve">ports are described in the following sections </w:t>
      </w:r>
      <w:r w:rsidR="00CD38ED" w:rsidRPr="001F52E5">
        <w:rPr>
          <w:sz w:val="24"/>
          <w:szCs w:val="24"/>
        </w:rPr>
        <w:fldChar w:fldCharType="begin"/>
      </w:r>
      <w:r w:rsidRPr="001F52E5">
        <w:rPr>
          <w:sz w:val="24"/>
          <w:szCs w:val="24"/>
        </w:rPr>
        <w:instrText xml:space="preserve"> REF _Ref347756149 \r \h </w:instrText>
      </w:r>
      <w:r w:rsidR="001F52E5">
        <w:rPr>
          <w:sz w:val="24"/>
          <w:szCs w:val="24"/>
        </w:rPr>
        <w:instrText xml:space="preserve"> \* MERGEFORMAT </w:instrText>
      </w:r>
      <w:r w:rsidR="00CD38ED" w:rsidRPr="001F52E5">
        <w:rPr>
          <w:sz w:val="24"/>
          <w:szCs w:val="24"/>
        </w:rPr>
      </w:r>
      <w:r w:rsidR="00CD38ED" w:rsidRPr="001F52E5">
        <w:rPr>
          <w:sz w:val="24"/>
          <w:szCs w:val="24"/>
        </w:rPr>
        <w:fldChar w:fldCharType="separate"/>
      </w:r>
      <w:r w:rsidR="005F6E51">
        <w:rPr>
          <w:sz w:val="24"/>
          <w:szCs w:val="24"/>
        </w:rPr>
        <w:t>5.3</w:t>
      </w:r>
      <w:r w:rsidR="00CD38ED" w:rsidRPr="001F52E5">
        <w:rPr>
          <w:sz w:val="24"/>
          <w:szCs w:val="24"/>
        </w:rPr>
        <w:fldChar w:fldCharType="end"/>
      </w:r>
      <w:r w:rsidRPr="001F52E5">
        <w:rPr>
          <w:sz w:val="24"/>
          <w:szCs w:val="24"/>
        </w:rPr>
        <w:t xml:space="preserve"> through to </w:t>
      </w:r>
      <w:r w:rsidR="00CD38ED" w:rsidRPr="001F52E5">
        <w:rPr>
          <w:sz w:val="24"/>
          <w:szCs w:val="24"/>
        </w:rPr>
        <w:fldChar w:fldCharType="begin"/>
      </w:r>
      <w:r w:rsidRPr="001F52E5">
        <w:rPr>
          <w:sz w:val="24"/>
          <w:szCs w:val="24"/>
        </w:rPr>
        <w:instrText xml:space="preserve"> REF _Ref347756158 \r \h </w:instrText>
      </w:r>
      <w:r w:rsidR="001F52E5">
        <w:rPr>
          <w:sz w:val="24"/>
          <w:szCs w:val="24"/>
        </w:rPr>
        <w:instrText xml:space="preserve"> \* MERGEFORMAT </w:instrText>
      </w:r>
      <w:r w:rsidR="00CD38ED" w:rsidRPr="001F52E5">
        <w:rPr>
          <w:sz w:val="24"/>
          <w:szCs w:val="24"/>
        </w:rPr>
      </w:r>
      <w:r w:rsidR="00CD38ED" w:rsidRPr="001F52E5">
        <w:rPr>
          <w:sz w:val="24"/>
          <w:szCs w:val="24"/>
        </w:rPr>
        <w:fldChar w:fldCharType="separate"/>
      </w:r>
      <w:r w:rsidR="005F6E51">
        <w:rPr>
          <w:sz w:val="24"/>
          <w:szCs w:val="24"/>
        </w:rPr>
        <w:t>5.3.5</w:t>
      </w:r>
      <w:r w:rsidR="00CD38ED" w:rsidRPr="001F52E5">
        <w:rPr>
          <w:sz w:val="24"/>
          <w:szCs w:val="24"/>
        </w:rPr>
        <w:fldChar w:fldCharType="end"/>
      </w:r>
      <w:r w:rsidRPr="001F52E5">
        <w:rPr>
          <w:sz w:val="24"/>
          <w:szCs w:val="24"/>
        </w:rPr>
        <w:t>. Commentary regarding the performance of suitable or relevant management options is provided with regard to the individual port operations and environment.</w:t>
      </w:r>
    </w:p>
    <w:p w:rsidR="001A657F" w:rsidRPr="00B41CFA" w:rsidRDefault="001A657F" w:rsidP="001A657F">
      <w:pPr>
        <w:pStyle w:val="Heading2"/>
        <w:rPr>
          <w:sz w:val="24"/>
        </w:rPr>
      </w:pPr>
      <w:bookmarkStart w:id="453" w:name="_Toc362274330"/>
      <w:bookmarkStart w:id="454" w:name="_Toc342402484"/>
      <w:bookmarkStart w:id="455" w:name="_Toc343597284"/>
      <w:bookmarkStart w:id="456" w:name="_Ref347756149"/>
      <w:r w:rsidRPr="00B41CFA">
        <w:rPr>
          <w:sz w:val="24"/>
        </w:rPr>
        <w:t>Relevance of identified ship anchorage management options for each of the five ports under study</w:t>
      </w:r>
      <w:bookmarkEnd w:id="453"/>
    </w:p>
    <w:p w:rsidR="001A657F" w:rsidRPr="00B41CFA" w:rsidRDefault="001A657F" w:rsidP="00905CF3">
      <w:pPr>
        <w:pStyle w:val="Heading3"/>
        <w:rPr>
          <w:sz w:val="24"/>
        </w:rPr>
      </w:pPr>
      <w:bookmarkStart w:id="457" w:name="_Toc362274331"/>
      <w:r w:rsidRPr="00B41CFA">
        <w:rPr>
          <w:sz w:val="24"/>
        </w:rPr>
        <w:t>Relevant ship anchorage management options for the Port of Cairns</w:t>
      </w:r>
      <w:bookmarkEnd w:id="454"/>
      <w:bookmarkEnd w:id="455"/>
      <w:bookmarkEnd w:id="456"/>
      <w:bookmarkEnd w:id="457"/>
    </w:p>
    <w:p w:rsidR="001A657F" w:rsidRPr="001F52E5" w:rsidRDefault="001A657F" w:rsidP="001A657F">
      <w:pPr>
        <w:pStyle w:val="Body"/>
        <w:rPr>
          <w:sz w:val="24"/>
          <w:szCs w:val="24"/>
        </w:rPr>
      </w:pPr>
      <w:r w:rsidRPr="001F52E5">
        <w:rPr>
          <w:sz w:val="24"/>
          <w:szCs w:val="24"/>
        </w:rPr>
        <w:t>The possible future relevance of the identified ship anchorage management options specifically for the Port of Cairns was considered with regard to four criteria:</w:t>
      </w:r>
    </w:p>
    <w:p w:rsidR="001A657F" w:rsidRPr="001F52E5" w:rsidRDefault="001A657F" w:rsidP="001A657F">
      <w:pPr>
        <w:pStyle w:val="Body"/>
        <w:numPr>
          <w:ilvl w:val="0"/>
          <w:numId w:val="21"/>
        </w:numPr>
        <w:rPr>
          <w:sz w:val="24"/>
          <w:szCs w:val="24"/>
        </w:rPr>
      </w:pPr>
      <w:r w:rsidRPr="001F52E5">
        <w:rPr>
          <w:sz w:val="24"/>
          <w:szCs w:val="24"/>
        </w:rPr>
        <w:t>Possible economic and commercial impacts</w:t>
      </w:r>
    </w:p>
    <w:p w:rsidR="001A657F" w:rsidRPr="001F52E5" w:rsidRDefault="001A657F" w:rsidP="001A657F">
      <w:pPr>
        <w:pStyle w:val="Body"/>
        <w:numPr>
          <w:ilvl w:val="0"/>
          <w:numId w:val="21"/>
        </w:numPr>
        <w:rPr>
          <w:sz w:val="24"/>
          <w:szCs w:val="24"/>
        </w:rPr>
      </w:pPr>
      <w:r w:rsidRPr="001F52E5">
        <w:rPr>
          <w:sz w:val="24"/>
          <w:szCs w:val="24"/>
        </w:rPr>
        <w:t>Possible environmental impacts with the goal of achieving net environmental gains</w:t>
      </w:r>
    </w:p>
    <w:p w:rsidR="001A657F" w:rsidRPr="001F52E5" w:rsidRDefault="001A657F" w:rsidP="001A657F">
      <w:pPr>
        <w:pStyle w:val="Body"/>
        <w:numPr>
          <w:ilvl w:val="0"/>
          <w:numId w:val="21"/>
        </w:numPr>
        <w:rPr>
          <w:sz w:val="24"/>
          <w:szCs w:val="24"/>
        </w:rPr>
      </w:pPr>
      <w:r w:rsidRPr="001F52E5">
        <w:rPr>
          <w:sz w:val="24"/>
          <w:szCs w:val="24"/>
        </w:rPr>
        <w:t>Possible ship safety and emergency response impacts</w:t>
      </w:r>
    </w:p>
    <w:p w:rsidR="001A657F" w:rsidRPr="001F52E5" w:rsidRDefault="001A657F" w:rsidP="001A657F">
      <w:pPr>
        <w:pStyle w:val="Body"/>
        <w:numPr>
          <w:ilvl w:val="0"/>
          <w:numId w:val="21"/>
        </w:numPr>
        <w:rPr>
          <w:sz w:val="24"/>
          <w:szCs w:val="24"/>
        </w:rPr>
      </w:pPr>
      <w:r w:rsidRPr="001F52E5">
        <w:rPr>
          <w:sz w:val="24"/>
          <w:szCs w:val="24"/>
        </w:rPr>
        <w:t>Possible other user and social impacts</w:t>
      </w:r>
      <w:r w:rsidR="001F52E5">
        <w:rPr>
          <w:sz w:val="24"/>
          <w:szCs w:val="24"/>
        </w:rPr>
        <w:t>.</w:t>
      </w:r>
    </w:p>
    <w:p w:rsidR="001A657F" w:rsidRDefault="001A657F" w:rsidP="001A657F">
      <w:pPr>
        <w:pStyle w:val="Body"/>
        <w:rPr>
          <w:sz w:val="24"/>
          <w:szCs w:val="24"/>
        </w:rPr>
      </w:pPr>
      <w:r w:rsidRPr="001F52E5">
        <w:rPr>
          <w:sz w:val="24"/>
          <w:szCs w:val="24"/>
        </w:rPr>
        <w:t xml:space="preserve">An overview of the results of the examination for the Port of Cairns is contained in </w:t>
      </w:r>
      <w:r w:rsidR="00ED39F9" w:rsidRPr="001F52E5">
        <w:rPr>
          <w:sz w:val="24"/>
          <w:szCs w:val="24"/>
        </w:rPr>
        <w:fldChar w:fldCharType="begin"/>
      </w:r>
      <w:r w:rsidR="00ED39F9" w:rsidRPr="001F52E5">
        <w:rPr>
          <w:sz w:val="24"/>
          <w:szCs w:val="24"/>
        </w:rPr>
        <w:instrText xml:space="preserve"> REF  _Ref343502619 \* Lower \h  \* MERGEFORMAT </w:instrText>
      </w:r>
      <w:r w:rsidR="00ED39F9" w:rsidRPr="001F52E5">
        <w:rPr>
          <w:sz w:val="24"/>
          <w:szCs w:val="24"/>
        </w:rPr>
      </w:r>
      <w:r w:rsidR="00ED39F9" w:rsidRPr="001F52E5">
        <w:rPr>
          <w:sz w:val="24"/>
          <w:szCs w:val="24"/>
        </w:rPr>
        <w:fldChar w:fldCharType="separate"/>
      </w:r>
      <w:r w:rsidR="005F6E51" w:rsidRPr="00705FB6">
        <w:rPr>
          <w:sz w:val="24"/>
          <w:szCs w:val="24"/>
        </w:rPr>
        <w:t xml:space="preserve">table </w:t>
      </w:r>
      <w:r w:rsidR="005F6E51">
        <w:rPr>
          <w:noProof/>
          <w:sz w:val="24"/>
          <w:szCs w:val="24"/>
        </w:rPr>
        <w:t>5</w:t>
      </w:r>
      <w:r w:rsidR="005F6E51" w:rsidRPr="00705FB6">
        <w:rPr>
          <w:noProof/>
          <w:sz w:val="24"/>
          <w:szCs w:val="24"/>
        </w:rPr>
        <w:noBreakHyphen/>
      </w:r>
      <w:r w:rsidR="005F6E51">
        <w:rPr>
          <w:noProof/>
          <w:sz w:val="24"/>
          <w:szCs w:val="24"/>
        </w:rPr>
        <w:t>2</w:t>
      </w:r>
      <w:r w:rsidR="00ED39F9" w:rsidRPr="001F52E5">
        <w:rPr>
          <w:sz w:val="24"/>
          <w:szCs w:val="24"/>
        </w:rPr>
        <w:fldChar w:fldCharType="end"/>
      </w:r>
      <w:r w:rsidRPr="001F52E5">
        <w:rPr>
          <w:sz w:val="24"/>
          <w:szCs w:val="24"/>
        </w:rPr>
        <w:t>.</w:t>
      </w:r>
    </w:p>
    <w:p w:rsidR="0070415B" w:rsidRPr="001F52E5" w:rsidRDefault="0070415B" w:rsidP="0070415B">
      <w:pPr>
        <w:pStyle w:val="Body"/>
        <w:rPr>
          <w:sz w:val="24"/>
          <w:szCs w:val="24"/>
        </w:rPr>
      </w:pPr>
      <w:r w:rsidRPr="001F52E5">
        <w:rPr>
          <w:sz w:val="24"/>
          <w:szCs w:val="24"/>
        </w:rPr>
        <w:t xml:space="preserve">Ship anchorage at the Port of Cairns was considered to be primarily related to tidal access issues at the port which affect both cargo and cruise/passenger ships. Currently vessels with draft restrictions are required to wait at anchor for appropriate tide conditions or, in the case of some cruise ships, are currently too large to enter port under all conditions. Future plans to improve channel and port access (yet to be assessed) would likely reduce the current demand for anchorage. </w:t>
      </w:r>
    </w:p>
    <w:p w:rsidR="0070415B" w:rsidRPr="001F52E5" w:rsidRDefault="0070415B" w:rsidP="0070415B">
      <w:pPr>
        <w:pStyle w:val="Body"/>
        <w:rPr>
          <w:sz w:val="24"/>
          <w:szCs w:val="24"/>
        </w:rPr>
      </w:pPr>
      <w:r w:rsidRPr="001F52E5">
        <w:rPr>
          <w:sz w:val="24"/>
          <w:szCs w:val="24"/>
        </w:rPr>
        <w:t xml:space="preserve">Some cruise/passenger ships which call at Cairns already have ship dynamic positioning capability but this would not be used if they were able to enter the port in the future. </w:t>
      </w:r>
    </w:p>
    <w:p w:rsidR="0070415B" w:rsidRPr="001F52E5" w:rsidRDefault="0070415B" w:rsidP="0070415B">
      <w:pPr>
        <w:pStyle w:val="Body"/>
        <w:rPr>
          <w:sz w:val="24"/>
          <w:szCs w:val="24"/>
        </w:rPr>
      </w:pPr>
      <w:r w:rsidRPr="001F52E5">
        <w:rPr>
          <w:sz w:val="24"/>
          <w:szCs w:val="24"/>
        </w:rPr>
        <w:t xml:space="preserve">The expected relatively low growth in ship calls (around two per cent per year, refer to section </w:t>
      </w:r>
      <w:r w:rsidRPr="001F52E5">
        <w:rPr>
          <w:sz w:val="24"/>
          <w:szCs w:val="24"/>
        </w:rPr>
        <w:fldChar w:fldCharType="begin"/>
      </w:r>
      <w:r w:rsidRPr="001F52E5">
        <w:rPr>
          <w:sz w:val="24"/>
          <w:szCs w:val="24"/>
        </w:rPr>
        <w:instrText xml:space="preserve"> REF _Ref343519380 \r \h  \* MERGEFORMAT </w:instrText>
      </w:r>
      <w:r w:rsidRPr="001F52E5">
        <w:rPr>
          <w:sz w:val="24"/>
          <w:szCs w:val="24"/>
        </w:rPr>
      </w:r>
      <w:r w:rsidRPr="001F52E5">
        <w:rPr>
          <w:sz w:val="24"/>
          <w:szCs w:val="24"/>
        </w:rPr>
        <w:fldChar w:fldCharType="separate"/>
      </w:r>
      <w:r>
        <w:rPr>
          <w:sz w:val="24"/>
          <w:szCs w:val="24"/>
        </w:rPr>
        <w:t>4.5.3</w:t>
      </w:r>
      <w:r w:rsidRPr="001F52E5">
        <w:rPr>
          <w:sz w:val="24"/>
          <w:szCs w:val="24"/>
        </w:rPr>
        <w:fldChar w:fldCharType="end"/>
      </w:r>
      <w:r w:rsidRPr="001F52E5">
        <w:rPr>
          <w:sz w:val="24"/>
          <w:szCs w:val="24"/>
        </w:rPr>
        <w:t xml:space="preserve">) at the Port of Cairns over the next 20 years was also considered to support continuing anchorage practices. </w:t>
      </w:r>
    </w:p>
    <w:p w:rsidR="0070415B" w:rsidRPr="001F52E5" w:rsidRDefault="0070415B" w:rsidP="0070415B">
      <w:pPr>
        <w:pStyle w:val="Body"/>
        <w:rPr>
          <w:sz w:val="24"/>
          <w:szCs w:val="24"/>
        </w:rPr>
      </w:pPr>
      <w:r w:rsidRPr="001F52E5">
        <w:rPr>
          <w:sz w:val="24"/>
          <w:szCs w:val="24"/>
        </w:rPr>
        <w:t>The current practices of ship anchoring were considered to have minimal future impact for the environment and other users beyond that which has already occurred. Ship safety and the ability to rapidly respond to any maritime incident are considered to be excellent under existing arrangements given the close proximity of the main anchorage area to the port.</w:t>
      </w:r>
    </w:p>
    <w:p w:rsidR="0070415B" w:rsidRPr="001F52E5" w:rsidRDefault="0070415B" w:rsidP="0070415B">
      <w:pPr>
        <w:pStyle w:val="Body"/>
        <w:rPr>
          <w:sz w:val="24"/>
          <w:szCs w:val="24"/>
        </w:rPr>
      </w:pPr>
      <w:r w:rsidRPr="001F52E5">
        <w:rPr>
          <w:sz w:val="24"/>
          <w:szCs w:val="24"/>
        </w:rPr>
        <w:t xml:space="preserve">In conclusion, current practices with the future planned improvements in channel and port access were envisaged as relevant anchorage management options in the future for the Port of Cairns. It should be noted that the possible environmental impacts of any future channel/port access improvements at the Port of Cairns are considered to be outside the scope of this study. </w:t>
      </w:r>
    </w:p>
    <w:p w:rsidR="0070415B" w:rsidRDefault="0070415B" w:rsidP="001A657F">
      <w:pPr>
        <w:pStyle w:val="Body"/>
        <w:rPr>
          <w:sz w:val="24"/>
          <w:szCs w:val="24"/>
        </w:rPr>
        <w:sectPr w:rsidR="0070415B" w:rsidSect="00B6174B">
          <w:headerReference w:type="default" r:id="rId58"/>
          <w:footerReference w:type="default" r:id="rId59"/>
          <w:pgSz w:w="11906" w:h="16838" w:code="9"/>
          <w:pgMar w:top="1418" w:right="1701" w:bottom="1701" w:left="1418" w:header="709" w:footer="709" w:gutter="0"/>
          <w:cols w:space="720"/>
          <w:docGrid w:linePitch="273"/>
        </w:sectPr>
      </w:pPr>
    </w:p>
    <w:p w:rsidR="001A657F" w:rsidRPr="00705FB6" w:rsidRDefault="001A657F" w:rsidP="001A657F">
      <w:pPr>
        <w:pStyle w:val="CaptionTable"/>
        <w:rPr>
          <w:sz w:val="24"/>
          <w:szCs w:val="24"/>
        </w:rPr>
      </w:pPr>
      <w:bookmarkStart w:id="458" w:name="_Ref343502619"/>
      <w:bookmarkStart w:id="459" w:name="_Toc342402114"/>
      <w:bookmarkStart w:id="460" w:name="_Toc343582065"/>
      <w:bookmarkStart w:id="461" w:name="_Toc343597160"/>
      <w:bookmarkStart w:id="462" w:name="_Toc362274374"/>
      <w:r w:rsidRPr="00705FB6">
        <w:rPr>
          <w:sz w:val="24"/>
          <w:szCs w:val="24"/>
        </w:rPr>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5</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2</w:t>
      </w:r>
      <w:r w:rsidR="00542883">
        <w:rPr>
          <w:sz w:val="24"/>
          <w:szCs w:val="24"/>
        </w:rPr>
        <w:fldChar w:fldCharType="end"/>
      </w:r>
      <w:bookmarkEnd w:id="458"/>
      <w:r w:rsidR="001F52E5" w:rsidRPr="00705FB6">
        <w:rPr>
          <w:noProof/>
          <w:sz w:val="24"/>
          <w:szCs w:val="24"/>
        </w:rPr>
        <w:t>:</w:t>
      </w:r>
      <w:r w:rsidRPr="00705FB6">
        <w:rPr>
          <w:sz w:val="24"/>
          <w:szCs w:val="24"/>
        </w:rPr>
        <w:t xml:space="preserve"> </w:t>
      </w:r>
      <w:r w:rsidRPr="00DE2A47">
        <w:rPr>
          <w:b w:val="0"/>
          <w:sz w:val="24"/>
          <w:szCs w:val="24"/>
        </w:rPr>
        <w:t>Overview of ship anchorage management options and relevance for Port of Cairns</w:t>
      </w:r>
      <w:bookmarkEnd w:id="459"/>
      <w:bookmarkEnd w:id="460"/>
      <w:bookmarkEnd w:id="461"/>
      <w:bookmarkEnd w:id="462"/>
    </w:p>
    <w:tbl>
      <w:tblPr>
        <w:tblStyle w:val="TableGrid"/>
        <w:tblW w:w="13974" w:type="dxa"/>
        <w:tblBorders>
          <w:left w:val="none" w:sz="0" w:space="0" w:color="auto"/>
          <w:right w:val="none" w:sz="0" w:space="0" w:color="auto"/>
          <w:insideV w:val="none" w:sz="0" w:space="0" w:color="auto"/>
        </w:tblBorders>
        <w:tblLook w:val="04A0" w:firstRow="1" w:lastRow="0" w:firstColumn="1" w:lastColumn="0" w:noHBand="0" w:noVBand="1"/>
        <w:tblCaption w:val="Overview of ship anchorage management options and relevance for Port of Cairns"/>
        <w:tblDescription w:val="An overview of the potential ship anchorage management options for the Port of Cairns. Columns represent the option number, name of the option and each assessed criteria. Further discussion of management options for the port is provided in Section 5.3.1."/>
      </w:tblPr>
      <w:tblGrid>
        <w:gridCol w:w="1298"/>
        <w:gridCol w:w="2189"/>
        <w:gridCol w:w="2230"/>
        <w:gridCol w:w="2469"/>
        <w:gridCol w:w="1991"/>
        <w:gridCol w:w="2044"/>
        <w:gridCol w:w="1753"/>
      </w:tblGrid>
      <w:tr w:rsidR="00AF426C" w:rsidRPr="005A6867" w:rsidTr="00705FB6">
        <w:trPr>
          <w:trHeight w:val="146"/>
          <w:tblHeader/>
        </w:trPr>
        <w:tc>
          <w:tcPr>
            <w:tcW w:w="1298" w:type="dxa"/>
            <w:vMerge w:val="restart"/>
          </w:tcPr>
          <w:p w:rsidR="00AF426C" w:rsidRPr="00AF426C" w:rsidRDefault="00AF426C" w:rsidP="00AF426C">
            <w:pPr>
              <w:pStyle w:val="Body"/>
              <w:rPr>
                <w:b/>
                <w:sz w:val="24"/>
                <w:szCs w:val="24"/>
              </w:rPr>
            </w:pPr>
            <w:r w:rsidRPr="00AF426C">
              <w:rPr>
                <w:b/>
                <w:sz w:val="24"/>
                <w:szCs w:val="24"/>
              </w:rPr>
              <w:t>Option</w:t>
            </w:r>
          </w:p>
        </w:tc>
        <w:tc>
          <w:tcPr>
            <w:tcW w:w="2189" w:type="dxa"/>
            <w:vMerge w:val="restart"/>
          </w:tcPr>
          <w:p w:rsidR="00AF426C" w:rsidRPr="00AF426C" w:rsidRDefault="00AF426C" w:rsidP="00AF426C">
            <w:pPr>
              <w:pStyle w:val="Body"/>
              <w:rPr>
                <w:b/>
                <w:sz w:val="24"/>
                <w:szCs w:val="24"/>
              </w:rPr>
            </w:pPr>
            <w:r w:rsidRPr="00AF426C">
              <w:rPr>
                <w:b/>
                <w:sz w:val="24"/>
                <w:szCs w:val="24"/>
              </w:rPr>
              <w:t>Name</w:t>
            </w:r>
          </w:p>
        </w:tc>
        <w:tc>
          <w:tcPr>
            <w:tcW w:w="10487" w:type="dxa"/>
            <w:gridSpan w:val="5"/>
          </w:tcPr>
          <w:p w:rsidR="00AF426C" w:rsidRPr="00AF426C" w:rsidRDefault="00AF426C" w:rsidP="00AF426C">
            <w:pPr>
              <w:pStyle w:val="Body"/>
              <w:jc w:val="center"/>
              <w:rPr>
                <w:b/>
                <w:sz w:val="24"/>
                <w:szCs w:val="24"/>
              </w:rPr>
            </w:pPr>
            <w:r w:rsidRPr="00AF426C">
              <w:rPr>
                <w:b/>
                <w:sz w:val="24"/>
                <w:szCs w:val="24"/>
              </w:rPr>
              <w:t>Assessed Criteria (Potential Net Benefits)</w:t>
            </w:r>
          </w:p>
        </w:tc>
      </w:tr>
      <w:tr w:rsidR="00AF426C" w:rsidRPr="005A6867" w:rsidTr="00705FB6">
        <w:trPr>
          <w:trHeight w:val="146"/>
          <w:tblHeader/>
        </w:trPr>
        <w:tc>
          <w:tcPr>
            <w:tcW w:w="1298" w:type="dxa"/>
            <w:vMerge/>
          </w:tcPr>
          <w:p w:rsidR="00AF426C" w:rsidRPr="00AF426C" w:rsidRDefault="00AF426C" w:rsidP="00AF426C">
            <w:pPr>
              <w:pStyle w:val="Body"/>
              <w:rPr>
                <w:b/>
                <w:sz w:val="24"/>
                <w:szCs w:val="24"/>
              </w:rPr>
            </w:pPr>
          </w:p>
        </w:tc>
        <w:tc>
          <w:tcPr>
            <w:tcW w:w="2189" w:type="dxa"/>
            <w:vMerge/>
          </w:tcPr>
          <w:p w:rsidR="00AF426C" w:rsidRPr="00AF426C" w:rsidRDefault="00AF426C" w:rsidP="00AF426C">
            <w:pPr>
              <w:pStyle w:val="Body"/>
              <w:rPr>
                <w:b/>
                <w:sz w:val="24"/>
                <w:szCs w:val="24"/>
              </w:rPr>
            </w:pPr>
          </w:p>
        </w:tc>
        <w:tc>
          <w:tcPr>
            <w:tcW w:w="2230" w:type="dxa"/>
          </w:tcPr>
          <w:p w:rsidR="00AF426C" w:rsidRPr="00AF426C" w:rsidRDefault="00AF426C" w:rsidP="00AF426C">
            <w:pPr>
              <w:pStyle w:val="Body"/>
              <w:rPr>
                <w:b/>
                <w:sz w:val="24"/>
                <w:szCs w:val="24"/>
              </w:rPr>
            </w:pPr>
            <w:r w:rsidRPr="00AF426C">
              <w:rPr>
                <w:b/>
                <w:sz w:val="24"/>
                <w:szCs w:val="24"/>
              </w:rPr>
              <w:t>Economic / Commercial impacts</w:t>
            </w:r>
          </w:p>
        </w:tc>
        <w:tc>
          <w:tcPr>
            <w:tcW w:w="2469" w:type="dxa"/>
          </w:tcPr>
          <w:p w:rsidR="00AF426C" w:rsidRPr="00AF426C" w:rsidRDefault="00AF426C" w:rsidP="00AF426C">
            <w:pPr>
              <w:pStyle w:val="Body"/>
              <w:rPr>
                <w:b/>
                <w:sz w:val="24"/>
                <w:szCs w:val="24"/>
              </w:rPr>
            </w:pPr>
            <w:r w:rsidRPr="00AF426C">
              <w:rPr>
                <w:b/>
                <w:sz w:val="24"/>
                <w:szCs w:val="24"/>
              </w:rPr>
              <w:t>Environmental impacts</w:t>
            </w:r>
          </w:p>
        </w:tc>
        <w:tc>
          <w:tcPr>
            <w:tcW w:w="1991" w:type="dxa"/>
          </w:tcPr>
          <w:p w:rsidR="00AF426C" w:rsidRPr="00AF426C" w:rsidRDefault="00AF426C" w:rsidP="00AF426C">
            <w:pPr>
              <w:pStyle w:val="Body"/>
              <w:rPr>
                <w:b/>
                <w:sz w:val="24"/>
                <w:szCs w:val="24"/>
              </w:rPr>
            </w:pPr>
            <w:r w:rsidRPr="00AF426C">
              <w:rPr>
                <w:b/>
                <w:sz w:val="24"/>
                <w:szCs w:val="24"/>
              </w:rPr>
              <w:t>Ship safety / Response impacts</w:t>
            </w:r>
          </w:p>
        </w:tc>
        <w:tc>
          <w:tcPr>
            <w:tcW w:w="2044" w:type="dxa"/>
          </w:tcPr>
          <w:p w:rsidR="00AF426C" w:rsidRPr="00AF426C" w:rsidRDefault="00AF426C" w:rsidP="00AF426C">
            <w:pPr>
              <w:pStyle w:val="Body"/>
              <w:rPr>
                <w:b/>
                <w:sz w:val="24"/>
                <w:szCs w:val="24"/>
              </w:rPr>
            </w:pPr>
            <w:r w:rsidRPr="00AF426C">
              <w:rPr>
                <w:b/>
                <w:sz w:val="24"/>
                <w:szCs w:val="24"/>
              </w:rPr>
              <w:t>Other user impacts</w:t>
            </w:r>
          </w:p>
        </w:tc>
        <w:tc>
          <w:tcPr>
            <w:tcW w:w="1753" w:type="dxa"/>
          </w:tcPr>
          <w:p w:rsidR="00AF426C" w:rsidRPr="00AF426C" w:rsidRDefault="00AF426C" w:rsidP="00AF426C">
            <w:pPr>
              <w:pStyle w:val="Body"/>
              <w:rPr>
                <w:b/>
                <w:sz w:val="24"/>
                <w:szCs w:val="24"/>
              </w:rPr>
            </w:pPr>
            <w:r w:rsidRPr="00AF426C">
              <w:rPr>
                <w:b/>
                <w:sz w:val="24"/>
                <w:szCs w:val="24"/>
              </w:rPr>
              <w:t>Relevant for future</w:t>
            </w:r>
          </w:p>
        </w:tc>
      </w:tr>
      <w:tr w:rsidR="00AF426C" w:rsidRPr="005A6867" w:rsidTr="00705FB6">
        <w:trPr>
          <w:trHeight w:val="146"/>
        </w:trPr>
        <w:tc>
          <w:tcPr>
            <w:tcW w:w="1298" w:type="dxa"/>
          </w:tcPr>
          <w:p w:rsidR="00AF426C" w:rsidRPr="00AF426C" w:rsidRDefault="00AF426C" w:rsidP="00AF426C">
            <w:pPr>
              <w:pStyle w:val="Body"/>
              <w:rPr>
                <w:b/>
                <w:sz w:val="24"/>
                <w:szCs w:val="24"/>
              </w:rPr>
            </w:pPr>
            <w:r w:rsidRPr="00AF426C">
              <w:rPr>
                <w:b/>
                <w:sz w:val="24"/>
                <w:szCs w:val="24"/>
              </w:rPr>
              <w:t>1</w:t>
            </w:r>
          </w:p>
        </w:tc>
        <w:tc>
          <w:tcPr>
            <w:tcW w:w="2189" w:type="dxa"/>
          </w:tcPr>
          <w:p w:rsidR="00AF426C" w:rsidRPr="00AF426C" w:rsidRDefault="00AF426C" w:rsidP="00AF426C">
            <w:pPr>
              <w:pStyle w:val="Body"/>
              <w:rPr>
                <w:sz w:val="24"/>
                <w:szCs w:val="24"/>
              </w:rPr>
            </w:pPr>
            <w:r w:rsidRPr="00AF426C">
              <w:rPr>
                <w:sz w:val="24"/>
                <w:szCs w:val="24"/>
              </w:rPr>
              <w:t>Business-as-usual</w:t>
            </w:r>
          </w:p>
        </w:tc>
        <w:tc>
          <w:tcPr>
            <w:tcW w:w="2230" w:type="dxa"/>
          </w:tcPr>
          <w:p w:rsidR="00AF426C" w:rsidRPr="00AF426C" w:rsidRDefault="00AF426C" w:rsidP="00AF426C">
            <w:pPr>
              <w:pStyle w:val="Body"/>
              <w:rPr>
                <w:sz w:val="24"/>
                <w:szCs w:val="24"/>
              </w:rPr>
            </w:pPr>
            <w:r w:rsidRPr="00AF426C">
              <w:rPr>
                <w:sz w:val="24"/>
                <w:szCs w:val="24"/>
              </w:rPr>
              <w:t>Yes (supports tidal access &amp; cruise-ships)</w:t>
            </w:r>
          </w:p>
        </w:tc>
        <w:tc>
          <w:tcPr>
            <w:tcW w:w="2469" w:type="dxa"/>
          </w:tcPr>
          <w:p w:rsidR="00AF426C" w:rsidRPr="00AF426C" w:rsidRDefault="00AF426C" w:rsidP="00AF426C">
            <w:pPr>
              <w:pStyle w:val="Body"/>
              <w:rPr>
                <w:sz w:val="24"/>
                <w:szCs w:val="24"/>
              </w:rPr>
            </w:pPr>
            <w:r w:rsidRPr="00AF426C">
              <w:rPr>
                <w:sz w:val="24"/>
                <w:szCs w:val="24"/>
              </w:rPr>
              <w:t>Minimal (occurred)</w:t>
            </w:r>
          </w:p>
        </w:tc>
        <w:tc>
          <w:tcPr>
            <w:tcW w:w="1991" w:type="dxa"/>
          </w:tcPr>
          <w:p w:rsidR="00AF426C" w:rsidRPr="00AF426C" w:rsidRDefault="00AF426C" w:rsidP="00AF426C">
            <w:pPr>
              <w:pStyle w:val="Body"/>
              <w:rPr>
                <w:sz w:val="24"/>
                <w:szCs w:val="24"/>
              </w:rPr>
            </w:pPr>
            <w:r w:rsidRPr="00AF426C">
              <w:rPr>
                <w:sz w:val="24"/>
                <w:szCs w:val="24"/>
              </w:rPr>
              <w:t>Excellent (close to port)</w:t>
            </w:r>
          </w:p>
        </w:tc>
        <w:tc>
          <w:tcPr>
            <w:tcW w:w="2044" w:type="dxa"/>
          </w:tcPr>
          <w:p w:rsidR="00AF426C" w:rsidRPr="00AF426C" w:rsidRDefault="00AF426C" w:rsidP="00AF426C">
            <w:pPr>
              <w:pStyle w:val="Body"/>
              <w:rPr>
                <w:sz w:val="24"/>
                <w:szCs w:val="24"/>
              </w:rPr>
            </w:pPr>
            <w:r w:rsidRPr="00AF426C">
              <w:rPr>
                <w:sz w:val="24"/>
                <w:szCs w:val="24"/>
              </w:rPr>
              <w:t>Minimal (current)</w:t>
            </w:r>
          </w:p>
        </w:tc>
        <w:tc>
          <w:tcPr>
            <w:tcW w:w="1753" w:type="dxa"/>
          </w:tcPr>
          <w:p w:rsidR="00AF426C" w:rsidRPr="00AF426C" w:rsidRDefault="00AF426C" w:rsidP="00AF426C">
            <w:pPr>
              <w:pStyle w:val="Body"/>
              <w:rPr>
                <w:sz w:val="24"/>
                <w:szCs w:val="24"/>
              </w:rPr>
            </w:pPr>
            <w:r w:rsidRPr="00AF426C">
              <w:rPr>
                <w:sz w:val="24"/>
                <w:szCs w:val="24"/>
              </w:rPr>
              <w:t>Yes</w:t>
            </w:r>
          </w:p>
        </w:tc>
      </w:tr>
      <w:tr w:rsidR="00AF426C" w:rsidRPr="005A6867" w:rsidTr="00705FB6">
        <w:trPr>
          <w:trHeight w:val="146"/>
        </w:trPr>
        <w:tc>
          <w:tcPr>
            <w:tcW w:w="1298" w:type="dxa"/>
          </w:tcPr>
          <w:p w:rsidR="00AF426C" w:rsidRPr="00AF426C" w:rsidRDefault="00AF426C" w:rsidP="00AF426C">
            <w:pPr>
              <w:pStyle w:val="Body"/>
              <w:rPr>
                <w:b/>
                <w:sz w:val="24"/>
                <w:szCs w:val="24"/>
              </w:rPr>
            </w:pPr>
            <w:r w:rsidRPr="00AF426C">
              <w:rPr>
                <w:b/>
                <w:sz w:val="24"/>
                <w:szCs w:val="24"/>
              </w:rPr>
              <w:t>2</w:t>
            </w:r>
          </w:p>
        </w:tc>
        <w:tc>
          <w:tcPr>
            <w:tcW w:w="2189" w:type="dxa"/>
          </w:tcPr>
          <w:p w:rsidR="00AF426C" w:rsidRPr="00AF426C" w:rsidRDefault="00AF426C" w:rsidP="00AF426C">
            <w:pPr>
              <w:pStyle w:val="Body"/>
              <w:rPr>
                <w:sz w:val="24"/>
                <w:szCs w:val="24"/>
              </w:rPr>
            </w:pPr>
            <w:r w:rsidRPr="00AF426C">
              <w:rPr>
                <w:sz w:val="24"/>
                <w:szCs w:val="24"/>
              </w:rPr>
              <w:t>Improved</w:t>
            </w:r>
          </w:p>
        </w:tc>
        <w:tc>
          <w:tcPr>
            <w:tcW w:w="2230" w:type="dxa"/>
          </w:tcPr>
          <w:p w:rsidR="00AF426C" w:rsidRPr="00AF426C" w:rsidRDefault="00AF426C" w:rsidP="00AF426C">
            <w:pPr>
              <w:pStyle w:val="Body"/>
              <w:rPr>
                <w:sz w:val="24"/>
                <w:szCs w:val="24"/>
              </w:rPr>
            </w:pPr>
            <w:r w:rsidRPr="00AF426C">
              <w:rPr>
                <w:sz w:val="24"/>
                <w:szCs w:val="24"/>
              </w:rPr>
              <w:t>Yes (when port access dredged)</w:t>
            </w:r>
          </w:p>
        </w:tc>
        <w:tc>
          <w:tcPr>
            <w:tcW w:w="2469" w:type="dxa"/>
          </w:tcPr>
          <w:p w:rsidR="00AF426C" w:rsidRPr="00AF426C" w:rsidRDefault="00AF426C" w:rsidP="00AF426C">
            <w:pPr>
              <w:pStyle w:val="Body"/>
              <w:rPr>
                <w:sz w:val="24"/>
                <w:szCs w:val="24"/>
              </w:rPr>
            </w:pPr>
            <w:r w:rsidRPr="00AF426C">
              <w:rPr>
                <w:sz w:val="24"/>
                <w:szCs w:val="24"/>
              </w:rPr>
              <w:t>Possibly (via less use of anchorages)</w:t>
            </w:r>
          </w:p>
        </w:tc>
        <w:tc>
          <w:tcPr>
            <w:tcW w:w="1991" w:type="dxa"/>
          </w:tcPr>
          <w:p w:rsidR="00AF426C" w:rsidRPr="00AF426C" w:rsidRDefault="00AF426C" w:rsidP="00AF426C">
            <w:pPr>
              <w:pStyle w:val="Body"/>
              <w:rPr>
                <w:sz w:val="24"/>
                <w:szCs w:val="24"/>
              </w:rPr>
            </w:pPr>
            <w:r w:rsidRPr="00AF426C">
              <w:rPr>
                <w:sz w:val="24"/>
                <w:szCs w:val="24"/>
              </w:rPr>
              <w:t>Excellent (close to port)</w:t>
            </w:r>
          </w:p>
        </w:tc>
        <w:tc>
          <w:tcPr>
            <w:tcW w:w="2044" w:type="dxa"/>
          </w:tcPr>
          <w:p w:rsidR="00AF426C" w:rsidRPr="00AF426C" w:rsidRDefault="00AF426C" w:rsidP="00AF426C">
            <w:pPr>
              <w:pStyle w:val="Body"/>
              <w:rPr>
                <w:sz w:val="24"/>
                <w:szCs w:val="24"/>
              </w:rPr>
            </w:pPr>
            <w:r w:rsidRPr="00AF426C">
              <w:rPr>
                <w:sz w:val="24"/>
                <w:szCs w:val="24"/>
              </w:rPr>
              <w:t>Possibly (via less use of anchorages)</w:t>
            </w:r>
          </w:p>
        </w:tc>
        <w:tc>
          <w:tcPr>
            <w:tcW w:w="1753" w:type="dxa"/>
          </w:tcPr>
          <w:p w:rsidR="00AF426C" w:rsidRPr="00AF426C" w:rsidRDefault="00AF426C" w:rsidP="00AF426C">
            <w:pPr>
              <w:pStyle w:val="Body"/>
              <w:rPr>
                <w:sz w:val="24"/>
                <w:szCs w:val="24"/>
              </w:rPr>
            </w:pPr>
            <w:r w:rsidRPr="00AF426C">
              <w:rPr>
                <w:sz w:val="24"/>
                <w:szCs w:val="24"/>
              </w:rPr>
              <w:t>Yes</w:t>
            </w:r>
          </w:p>
        </w:tc>
      </w:tr>
      <w:tr w:rsidR="00AF426C" w:rsidRPr="005A6867" w:rsidTr="00705FB6">
        <w:trPr>
          <w:trHeight w:val="146"/>
        </w:trPr>
        <w:tc>
          <w:tcPr>
            <w:tcW w:w="1298" w:type="dxa"/>
          </w:tcPr>
          <w:p w:rsidR="00AF426C" w:rsidRPr="00AF426C" w:rsidRDefault="00AF426C" w:rsidP="00AF426C">
            <w:pPr>
              <w:pStyle w:val="Body"/>
              <w:rPr>
                <w:b/>
                <w:sz w:val="24"/>
                <w:szCs w:val="24"/>
              </w:rPr>
            </w:pPr>
            <w:r w:rsidRPr="00AF426C">
              <w:rPr>
                <w:b/>
                <w:sz w:val="24"/>
                <w:szCs w:val="24"/>
              </w:rPr>
              <w:t>3</w:t>
            </w:r>
          </w:p>
        </w:tc>
        <w:tc>
          <w:tcPr>
            <w:tcW w:w="2189" w:type="dxa"/>
          </w:tcPr>
          <w:p w:rsidR="00AF426C" w:rsidRPr="00AF426C" w:rsidRDefault="00AF426C" w:rsidP="00AF426C">
            <w:pPr>
              <w:pStyle w:val="Body"/>
              <w:rPr>
                <w:sz w:val="24"/>
                <w:szCs w:val="24"/>
              </w:rPr>
            </w:pPr>
            <w:r w:rsidRPr="00AF426C">
              <w:rPr>
                <w:sz w:val="24"/>
                <w:szCs w:val="24"/>
              </w:rPr>
              <w:t>All-at-Port</w:t>
            </w:r>
          </w:p>
        </w:tc>
        <w:tc>
          <w:tcPr>
            <w:tcW w:w="2230" w:type="dxa"/>
          </w:tcPr>
          <w:p w:rsidR="00AF426C" w:rsidRPr="00AF426C" w:rsidRDefault="00AF426C" w:rsidP="00AF426C">
            <w:pPr>
              <w:pStyle w:val="Body"/>
              <w:rPr>
                <w:sz w:val="24"/>
                <w:szCs w:val="24"/>
              </w:rPr>
            </w:pPr>
            <w:r w:rsidRPr="00AF426C">
              <w:rPr>
                <w:sz w:val="24"/>
                <w:szCs w:val="24"/>
              </w:rPr>
              <w:t>High negative</w:t>
            </w:r>
          </w:p>
        </w:tc>
        <w:tc>
          <w:tcPr>
            <w:tcW w:w="2469" w:type="dxa"/>
          </w:tcPr>
          <w:p w:rsidR="00AF426C" w:rsidRPr="00AF426C" w:rsidRDefault="00AF426C" w:rsidP="00AF426C">
            <w:pPr>
              <w:pStyle w:val="Body"/>
              <w:rPr>
                <w:sz w:val="24"/>
                <w:szCs w:val="24"/>
              </w:rPr>
            </w:pPr>
            <w:r w:rsidRPr="00AF426C">
              <w:rPr>
                <w:sz w:val="24"/>
                <w:szCs w:val="24"/>
              </w:rPr>
              <w:t>Uncertain</w:t>
            </w:r>
          </w:p>
        </w:tc>
        <w:tc>
          <w:tcPr>
            <w:tcW w:w="1991" w:type="dxa"/>
          </w:tcPr>
          <w:p w:rsidR="00AF426C" w:rsidRPr="00AF426C" w:rsidRDefault="00AF426C" w:rsidP="00AF426C">
            <w:pPr>
              <w:pStyle w:val="Body"/>
              <w:rPr>
                <w:sz w:val="24"/>
                <w:szCs w:val="24"/>
              </w:rPr>
            </w:pPr>
            <w:r w:rsidRPr="00AF426C">
              <w:rPr>
                <w:sz w:val="24"/>
                <w:szCs w:val="24"/>
              </w:rPr>
              <w:t>Excellent (in port)</w:t>
            </w:r>
          </w:p>
        </w:tc>
        <w:tc>
          <w:tcPr>
            <w:tcW w:w="2044" w:type="dxa"/>
          </w:tcPr>
          <w:p w:rsidR="00AF426C" w:rsidRPr="00AF426C" w:rsidRDefault="00AF426C" w:rsidP="00AF426C">
            <w:pPr>
              <w:pStyle w:val="Body"/>
              <w:rPr>
                <w:sz w:val="24"/>
                <w:szCs w:val="24"/>
              </w:rPr>
            </w:pPr>
            <w:r w:rsidRPr="00AF426C">
              <w:rPr>
                <w:sz w:val="24"/>
                <w:szCs w:val="24"/>
              </w:rPr>
              <w:t>Possibly (via no use of anchorages)</w:t>
            </w:r>
          </w:p>
        </w:tc>
        <w:tc>
          <w:tcPr>
            <w:tcW w:w="1753" w:type="dxa"/>
          </w:tcPr>
          <w:p w:rsidR="00AF426C" w:rsidRPr="00AF426C" w:rsidRDefault="00AF426C" w:rsidP="00AF426C">
            <w:pPr>
              <w:pStyle w:val="Body"/>
              <w:rPr>
                <w:sz w:val="24"/>
                <w:szCs w:val="24"/>
              </w:rPr>
            </w:pPr>
            <w:r w:rsidRPr="00AF426C">
              <w:rPr>
                <w:sz w:val="24"/>
                <w:szCs w:val="24"/>
              </w:rPr>
              <w:t>No</w:t>
            </w:r>
          </w:p>
        </w:tc>
      </w:tr>
      <w:tr w:rsidR="00AF426C" w:rsidRPr="005A6867" w:rsidTr="00705FB6">
        <w:trPr>
          <w:trHeight w:val="146"/>
        </w:trPr>
        <w:tc>
          <w:tcPr>
            <w:tcW w:w="1298" w:type="dxa"/>
          </w:tcPr>
          <w:p w:rsidR="00AF426C" w:rsidRPr="00AF426C" w:rsidRDefault="00AF426C" w:rsidP="00AF426C">
            <w:pPr>
              <w:pStyle w:val="Body"/>
              <w:rPr>
                <w:b/>
                <w:sz w:val="24"/>
                <w:szCs w:val="24"/>
              </w:rPr>
            </w:pPr>
            <w:r w:rsidRPr="00AF426C">
              <w:rPr>
                <w:b/>
                <w:sz w:val="24"/>
                <w:szCs w:val="24"/>
              </w:rPr>
              <w:t>4</w:t>
            </w:r>
          </w:p>
        </w:tc>
        <w:tc>
          <w:tcPr>
            <w:tcW w:w="2189" w:type="dxa"/>
          </w:tcPr>
          <w:p w:rsidR="00AF426C" w:rsidRPr="00AF426C" w:rsidRDefault="00AF426C" w:rsidP="00AF426C">
            <w:pPr>
              <w:pStyle w:val="Body"/>
              <w:rPr>
                <w:sz w:val="24"/>
                <w:szCs w:val="24"/>
              </w:rPr>
            </w:pPr>
            <w:r w:rsidRPr="00AF426C">
              <w:rPr>
                <w:sz w:val="24"/>
                <w:szCs w:val="24"/>
              </w:rPr>
              <w:t>All-in-Port limits</w:t>
            </w:r>
          </w:p>
        </w:tc>
        <w:tc>
          <w:tcPr>
            <w:tcW w:w="2230" w:type="dxa"/>
          </w:tcPr>
          <w:p w:rsidR="00AF426C" w:rsidRPr="00AF426C" w:rsidRDefault="00AF426C" w:rsidP="00AF426C">
            <w:pPr>
              <w:pStyle w:val="Body"/>
              <w:rPr>
                <w:sz w:val="24"/>
                <w:szCs w:val="24"/>
              </w:rPr>
            </w:pPr>
            <w:r w:rsidRPr="00AF426C">
              <w:rPr>
                <w:sz w:val="24"/>
                <w:szCs w:val="24"/>
              </w:rPr>
              <w:t>Likely no change</w:t>
            </w:r>
          </w:p>
        </w:tc>
        <w:tc>
          <w:tcPr>
            <w:tcW w:w="2469" w:type="dxa"/>
          </w:tcPr>
          <w:p w:rsidR="00AF426C" w:rsidRPr="00AF426C" w:rsidRDefault="00AF426C" w:rsidP="00AF426C">
            <w:pPr>
              <w:pStyle w:val="Body"/>
              <w:rPr>
                <w:sz w:val="24"/>
                <w:szCs w:val="24"/>
              </w:rPr>
            </w:pPr>
            <w:r w:rsidRPr="00AF426C">
              <w:rPr>
                <w:sz w:val="24"/>
                <w:szCs w:val="24"/>
              </w:rPr>
              <w:t>Likely no change</w:t>
            </w:r>
          </w:p>
        </w:tc>
        <w:tc>
          <w:tcPr>
            <w:tcW w:w="1991" w:type="dxa"/>
          </w:tcPr>
          <w:p w:rsidR="00AF426C" w:rsidRPr="00AF426C" w:rsidRDefault="00AF426C" w:rsidP="00AF426C">
            <w:pPr>
              <w:pStyle w:val="Body"/>
              <w:rPr>
                <w:sz w:val="24"/>
                <w:szCs w:val="24"/>
              </w:rPr>
            </w:pPr>
            <w:r w:rsidRPr="00AF426C">
              <w:rPr>
                <w:sz w:val="24"/>
                <w:szCs w:val="24"/>
              </w:rPr>
              <w:t>Likely no change</w:t>
            </w:r>
          </w:p>
        </w:tc>
        <w:tc>
          <w:tcPr>
            <w:tcW w:w="2044" w:type="dxa"/>
          </w:tcPr>
          <w:p w:rsidR="00AF426C" w:rsidRPr="00AF426C" w:rsidRDefault="00AF426C" w:rsidP="00AF426C">
            <w:pPr>
              <w:pStyle w:val="Body"/>
              <w:rPr>
                <w:sz w:val="24"/>
                <w:szCs w:val="24"/>
              </w:rPr>
            </w:pPr>
            <w:r w:rsidRPr="00AF426C">
              <w:rPr>
                <w:sz w:val="24"/>
                <w:szCs w:val="24"/>
              </w:rPr>
              <w:t>Likely no change</w:t>
            </w:r>
          </w:p>
        </w:tc>
        <w:tc>
          <w:tcPr>
            <w:tcW w:w="1753" w:type="dxa"/>
          </w:tcPr>
          <w:p w:rsidR="00AF426C" w:rsidRPr="00AF426C" w:rsidRDefault="00AF426C" w:rsidP="00AF426C">
            <w:pPr>
              <w:pStyle w:val="Body"/>
              <w:rPr>
                <w:sz w:val="24"/>
                <w:szCs w:val="24"/>
              </w:rPr>
            </w:pPr>
            <w:r w:rsidRPr="00AF426C">
              <w:rPr>
                <w:sz w:val="24"/>
                <w:szCs w:val="24"/>
              </w:rPr>
              <w:t>Part of 1</w:t>
            </w:r>
          </w:p>
        </w:tc>
      </w:tr>
      <w:tr w:rsidR="00AF426C" w:rsidRPr="005A6867" w:rsidTr="00705FB6">
        <w:trPr>
          <w:trHeight w:val="146"/>
        </w:trPr>
        <w:tc>
          <w:tcPr>
            <w:tcW w:w="1298" w:type="dxa"/>
          </w:tcPr>
          <w:p w:rsidR="00AF426C" w:rsidRPr="00AF426C" w:rsidRDefault="00AF426C" w:rsidP="00AF426C">
            <w:pPr>
              <w:pStyle w:val="Body"/>
              <w:rPr>
                <w:b/>
                <w:sz w:val="24"/>
                <w:szCs w:val="24"/>
              </w:rPr>
            </w:pPr>
            <w:r w:rsidRPr="00AF426C">
              <w:rPr>
                <w:b/>
                <w:sz w:val="24"/>
                <w:szCs w:val="24"/>
              </w:rPr>
              <w:t>5</w:t>
            </w:r>
          </w:p>
        </w:tc>
        <w:tc>
          <w:tcPr>
            <w:tcW w:w="2189" w:type="dxa"/>
          </w:tcPr>
          <w:p w:rsidR="00AF426C" w:rsidRPr="00AF426C" w:rsidRDefault="00AF426C" w:rsidP="00AF426C">
            <w:pPr>
              <w:pStyle w:val="Body"/>
              <w:rPr>
                <w:sz w:val="24"/>
                <w:szCs w:val="24"/>
              </w:rPr>
            </w:pPr>
            <w:r w:rsidRPr="00AF426C">
              <w:rPr>
                <w:sz w:val="24"/>
                <w:szCs w:val="24"/>
              </w:rPr>
              <w:t>Fixed-Moored</w:t>
            </w:r>
          </w:p>
        </w:tc>
        <w:tc>
          <w:tcPr>
            <w:tcW w:w="2230" w:type="dxa"/>
          </w:tcPr>
          <w:p w:rsidR="00AF426C" w:rsidRPr="00AF426C" w:rsidRDefault="00AF426C" w:rsidP="00AF426C">
            <w:pPr>
              <w:pStyle w:val="Body"/>
              <w:rPr>
                <w:sz w:val="24"/>
                <w:szCs w:val="24"/>
              </w:rPr>
            </w:pPr>
            <w:r w:rsidRPr="00AF426C">
              <w:rPr>
                <w:sz w:val="24"/>
                <w:szCs w:val="24"/>
              </w:rPr>
              <w:t>High negative</w:t>
            </w:r>
          </w:p>
        </w:tc>
        <w:tc>
          <w:tcPr>
            <w:tcW w:w="2469" w:type="dxa"/>
          </w:tcPr>
          <w:p w:rsidR="00AF426C" w:rsidRPr="00AF426C" w:rsidRDefault="00AF426C" w:rsidP="00AF426C">
            <w:pPr>
              <w:pStyle w:val="Body"/>
              <w:rPr>
                <w:sz w:val="24"/>
                <w:szCs w:val="24"/>
              </w:rPr>
            </w:pPr>
            <w:r w:rsidRPr="00AF426C">
              <w:rPr>
                <w:sz w:val="24"/>
                <w:szCs w:val="24"/>
              </w:rPr>
              <w:t>Likely negative</w:t>
            </w:r>
          </w:p>
        </w:tc>
        <w:tc>
          <w:tcPr>
            <w:tcW w:w="1991" w:type="dxa"/>
          </w:tcPr>
          <w:p w:rsidR="00AF426C" w:rsidRPr="00AF426C" w:rsidRDefault="00AF426C" w:rsidP="00AF426C">
            <w:pPr>
              <w:pStyle w:val="Body"/>
              <w:rPr>
                <w:sz w:val="24"/>
                <w:szCs w:val="24"/>
              </w:rPr>
            </w:pPr>
            <w:r w:rsidRPr="00AF426C">
              <w:rPr>
                <w:sz w:val="24"/>
                <w:szCs w:val="24"/>
              </w:rPr>
              <w:t>Likely negative</w:t>
            </w:r>
          </w:p>
        </w:tc>
        <w:tc>
          <w:tcPr>
            <w:tcW w:w="2044" w:type="dxa"/>
          </w:tcPr>
          <w:p w:rsidR="00AF426C" w:rsidRPr="00AF426C" w:rsidRDefault="00AF426C" w:rsidP="00AF426C">
            <w:pPr>
              <w:pStyle w:val="Body"/>
              <w:rPr>
                <w:sz w:val="24"/>
                <w:szCs w:val="24"/>
              </w:rPr>
            </w:pPr>
            <w:r w:rsidRPr="00AF426C">
              <w:rPr>
                <w:sz w:val="24"/>
                <w:szCs w:val="24"/>
              </w:rPr>
              <w:t>Likely no change</w:t>
            </w:r>
          </w:p>
        </w:tc>
        <w:tc>
          <w:tcPr>
            <w:tcW w:w="1753" w:type="dxa"/>
          </w:tcPr>
          <w:p w:rsidR="00AF426C" w:rsidRPr="00AF426C" w:rsidRDefault="00AF426C" w:rsidP="00AF426C">
            <w:pPr>
              <w:pStyle w:val="Body"/>
              <w:rPr>
                <w:sz w:val="24"/>
                <w:szCs w:val="24"/>
              </w:rPr>
            </w:pPr>
            <w:r w:rsidRPr="00AF426C">
              <w:rPr>
                <w:sz w:val="24"/>
                <w:szCs w:val="24"/>
              </w:rPr>
              <w:t>No</w:t>
            </w:r>
          </w:p>
        </w:tc>
      </w:tr>
      <w:tr w:rsidR="00AF426C" w:rsidRPr="005A6867" w:rsidTr="00705FB6">
        <w:trPr>
          <w:trHeight w:val="146"/>
        </w:trPr>
        <w:tc>
          <w:tcPr>
            <w:tcW w:w="1298" w:type="dxa"/>
          </w:tcPr>
          <w:p w:rsidR="00AF426C" w:rsidRPr="00AF426C" w:rsidRDefault="00AF426C" w:rsidP="00AF426C">
            <w:pPr>
              <w:pStyle w:val="Body"/>
              <w:rPr>
                <w:b/>
                <w:sz w:val="24"/>
                <w:szCs w:val="24"/>
              </w:rPr>
            </w:pPr>
            <w:r w:rsidRPr="00AF426C">
              <w:rPr>
                <w:b/>
                <w:sz w:val="24"/>
                <w:szCs w:val="24"/>
              </w:rPr>
              <w:t>6</w:t>
            </w:r>
          </w:p>
        </w:tc>
        <w:tc>
          <w:tcPr>
            <w:tcW w:w="2189" w:type="dxa"/>
          </w:tcPr>
          <w:p w:rsidR="00AF426C" w:rsidRPr="00AF426C" w:rsidRDefault="00AF426C" w:rsidP="00AF426C">
            <w:pPr>
              <w:pStyle w:val="Body"/>
              <w:rPr>
                <w:sz w:val="24"/>
                <w:szCs w:val="24"/>
              </w:rPr>
            </w:pPr>
            <w:r w:rsidRPr="00AF426C">
              <w:rPr>
                <w:sz w:val="24"/>
                <w:szCs w:val="24"/>
              </w:rPr>
              <w:t>All-at-Sea</w:t>
            </w:r>
          </w:p>
        </w:tc>
        <w:tc>
          <w:tcPr>
            <w:tcW w:w="2230" w:type="dxa"/>
          </w:tcPr>
          <w:p w:rsidR="00AF426C" w:rsidRPr="00AF426C" w:rsidRDefault="00AF426C" w:rsidP="00AF426C">
            <w:pPr>
              <w:pStyle w:val="Body"/>
              <w:rPr>
                <w:sz w:val="24"/>
                <w:szCs w:val="24"/>
              </w:rPr>
            </w:pPr>
            <w:r w:rsidRPr="00AF426C">
              <w:rPr>
                <w:sz w:val="24"/>
                <w:szCs w:val="24"/>
              </w:rPr>
              <w:t>Negative</w:t>
            </w:r>
          </w:p>
        </w:tc>
        <w:tc>
          <w:tcPr>
            <w:tcW w:w="2469" w:type="dxa"/>
          </w:tcPr>
          <w:p w:rsidR="00AF426C" w:rsidRPr="00AF426C" w:rsidRDefault="00AF426C" w:rsidP="00AF426C">
            <w:pPr>
              <w:pStyle w:val="Body"/>
              <w:rPr>
                <w:sz w:val="24"/>
                <w:szCs w:val="24"/>
              </w:rPr>
            </w:pPr>
            <w:r w:rsidRPr="00AF426C">
              <w:rPr>
                <w:sz w:val="24"/>
                <w:szCs w:val="24"/>
              </w:rPr>
              <w:t>Uncertain</w:t>
            </w:r>
          </w:p>
        </w:tc>
        <w:tc>
          <w:tcPr>
            <w:tcW w:w="1991" w:type="dxa"/>
          </w:tcPr>
          <w:p w:rsidR="00AF426C" w:rsidRPr="00AF426C" w:rsidRDefault="00AF426C" w:rsidP="00AF426C">
            <w:pPr>
              <w:pStyle w:val="Body"/>
              <w:rPr>
                <w:sz w:val="24"/>
                <w:szCs w:val="24"/>
              </w:rPr>
            </w:pPr>
            <w:r w:rsidRPr="00AF426C">
              <w:rPr>
                <w:sz w:val="24"/>
                <w:szCs w:val="24"/>
              </w:rPr>
              <w:t>Likely negative</w:t>
            </w:r>
          </w:p>
        </w:tc>
        <w:tc>
          <w:tcPr>
            <w:tcW w:w="2044" w:type="dxa"/>
          </w:tcPr>
          <w:p w:rsidR="00AF426C" w:rsidRPr="00AF426C" w:rsidRDefault="00AF426C" w:rsidP="00AF426C">
            <w:pPr>
              <w:pStyle w:val="Body"/>
              <w:rPr>
                <w:sz w:val="24"/>
                <w:szCs w:val="24"/>
              </w:rPr>
            </w:pPr>
            <w:r w:rsidRPr="00AF426C">
              <w:rPr>
                <w:sz w:val="24"/>
                <w:szCs w:val="24"/>
              </w:rPr>
              <w:t>Uncertain</w:t>
            </w:r>
          </w:p>
        </w:tc>
        <w:tc>
          <w:tcPr>
            <w:tcW w:w="1753" w:type="dxa"/>
          </w:tcPr>
          <w:p w:rsidR="00AF426C" w:rsidRPr="00AF426C" w:rsidRDefault="00AF426C" w:rsidP="00AF426C">
            <w:pPr>
              <w:pStyle w:val="Body"/>
              <w:rPr>
                <w:sz w:val="24"/>
                <w:szCs w:val="24"/>
              </w:rPr>
            </w:pPr>
            <w:r w:rsidRPr="00AF426C">
              <w:rPr>
                <w:sz w:val="24"/>
                <w:szCs w:val="24"/>
              </w:rPr>
              <w:t>No</w:t>
            </w:r>
          </w:p>
        </w:tc>
      </w:tr>
      <w:tr w:rsidR="00AF426C" w:rsidRPr="005A6867" w:rsidTr="00705FB6">
        <w:trPr>
          <w:trHeight w:val="146"/>
        </w:trPr>
        <w:tc>
          <w:tcPr>
            <w:tcW w:w="1298" w:type="dxa"/>
          </w:tcPr>
          <w:p w:rsidR="00AF426C" w:rsidRPr="00AF426C" w:rsidRDefault="00AF426C" w:rsidP="00AF426C">
            <w:pPr>
              <w:pStyle w:val="Body"/>
              <w:rPr>
                <w:b/>
                <w:sz w:val="24"/>
                <w:szCs w:val="24"/>
              </w:rPr>
            </w:pPr>
            <w:r w:rsidRPr="00AF426C">
              <w:rPr>
                <w:b/>
                <w:sz w:val="24"/>
                <w:szCs w:val="24"/>
              </w:rPr>
              <w:t>7</w:t>
            </w:r>
          </w:p>
        </w:tc>
        <w:tc>
          <w:tcPr>
            <w:tcW w:w="2189" w:type="dxa"/>
          </w:tcPr>
          <w:p w:rsidR="00AF426C" w:rsidRPr="00AF426C" w:rsidRDefault="00AF426C" w:rsidP="00AF426C">
            <w:pPr>
              <w:pStyle w:val="Body"/>
              <w:rPr>
                <w:sz w:val="24"/>
                <w:szCs w:val="24"/>
              </w:rPr>
            </w:pPr>
            <w:r w:rsidRPr="00AF426C">
              <w:rPr>
                <w:sz w:val="24"/>
                <w:szCs w:val="24"/>
              </w:rPr>
              <w:t>Scheduled Arrivals</w:t>
            </w:r>
          </w:p>
        </w:tc>
        <w:tc>
          <w:tcPr>
            <w:tcW w:w="2230" w:type="dxa"/>
          </w:tcPr>
          <w:p w:rsidR="00AF426C" w:rsidRPr="00AF426C" w:rsidRDefault="00AF426C" w:rsidP="00AF426C">
            <w:pPr>
              <w:pStyle w:val="Body"/>
              <w:rPr>
                <w:sz w:val="24"/>
                <w:szCs w:val="24"/>
              </w:rPr>
            </w:pPr>
            <w:r w:rsidRPr="00AF426C">
              <w:rPr>
                <w:sz w:val="24"/>
                <w:szCs w:val="24"/>
              </w:rPr>
              <w:t>Uncertain</w:t>
            </w:r>
          </w:p>
        </w:tc>
        <w:tc>
          <w:tcPr>
            <w:tcW w:w="2469" w:type="dxa"/>
          </w:tcPr>
          <w:p w:rsidR="00AF426C" w:rsidRPr="00AF426C" w:rsidRDefault="00AF426C" w:rsidP="00AF426C">
            <w:pPr>
              <w:pStyle w:val="Body"/>
              <w:rPr>
                <w:sz w:val="24"/>
                <w:szCs w:val="24"/>
              </w:rPr>
            </w:pPr>
            <w:r w:rsidRPr="00AF426C">
              <w:rPr>
                <w:sz w:val="24"/>
                <w:szCs w:val="24"/>
              </w:rPr>
              <w:t>Uncertain</w:t>
            </w:r>
          </w:p>
        </w:tc>
        <w:tc>
          <w:tcPr>
            <w:tcW w:w="1991" w:type="dxa"/>
          </w:tcPr>
          <w:p w:rsidR="00AF426C" w:rsidRPr="00AF426C" w:rsidRDefault="00AF426C" w:rsidP="00AF426C">
            <w:pPr>
              <w:pStyle w:val="Body"/>
              <w:rPr>
                <w:sz w:val="24"/>
                <w:szCs w:val="24"/>
              </w:rPr>
            </w:pPr>
            <w:r w:rsidRPr="00AF426C">
              <w:rPr>
                <w:sz w:val="24"/>
                <w:szCs w:val="24"/>
              </w:rPr>
              <w:t>Uncertain</w:t>
            </w:r>
          </w:p>
        </w:tc>
        <w:tc>
          <w:tcPr>
            <w:tcW w:w="2044" w:type="dxa"/>
          </w:tcPr>
          <w:p w:rsidR="00AF426C" w:rsidRPr="00AF426C" w:rsidRDefault="00AF426C" w:rsidP="00AF426C">
            <w:pPr>
              <w:pStyle w:val="Body"/>
              <w:rPr>
                <w:sz w:val="24"/>
                <w:szCs w:val="24"/>
              </w:rPr>
            </w:pPr>
            <w:r w:rsidRPr="00AF426C">
              <w:rPr>
                <w:sz w:val="24"/>
                <w:szCs w:val="24"/>
              </w:rPr>
              <w:t>Uncertain</w:t>
            </w:r>
          </w:p>
        </w:tc>
        <w:tc>
          <w:tcPr>
            <w:tcW w:w="1753" w:type="dxa"/>
          </w:tcPr>
          <w:p w:rsidR="00AF426C" w:rsidRPr="00AF426C" w:rsidRDefault="00AF426C" w:rsidP="00AF426C">
            <w:pPr>
              <w:pStyle w:val="Body"/>
              <w:rPr>
                <w:sz w:val="24"/>
                <w:szCs w:val="24"/>
              </w:rPr>
            </w:pPr>
            <w:r w:rsidRPr="00AF426C">
              <w:rPr>
                <w:sz w:val="24"/>
                <w:szCs w:val="24"/>
              </w:rPr>
              <w:t>No</w:t>
            </w:r>
          </w:p>
        </w:tc>
      </w:tr>
      <w:tr w:rsidR="00AF426C" w:rsidRPr="005A6867" w:rsidTr="00705FB6">
        <w:trPr>
          <w:trHeight w:val="146"/>
        </w:trPr>
        <w:tc>
          <w:tcPr>
            <w:tcW w:w="1298" w:type="dxa"/>
          </w:tcPr>
          <w:p w:rsidR="00AF426C" w:rsidRPr="00AF426C" w:rsidRDefault="00AF426C" w:rsidP="00AF426C">
            <w:pPr>
              <w:pStyle w:val="Body"/>
              <w:rPr>
                <w:b/>
                <w:sz w:val="24"/>
                <w:szCs w:val="24"/>
              </w:rPr>
            </w:pPr>
            <w:r w:rsidRPr="00AF426C">
              <w:rPr>
                <w:b/>
                <w:sz w:val="24"/>
                <w:szCs w:val="24"/>
              </w:rPr>
              <w:t>8</w:t>
            </w:r>
          </w:p>
        </w:tc>
        <w:tc>
          <w:tcPr>
            <w:tcW w:w="2189" w:type="dxa"/>
          </w:tcPr>
          <w:p w:rsidR="00AF426C" w:rsidRPr="00AF426C" w:rsidRDefault="00AF426C" w:rsidP="00AF426C">
            <w:pPr>
              <w:pStyle w:val="Body"/>
              <w:rPr>
                <w:sz w:val="24"/>
                <w:szCs w:val="24"/>
              </w:rPr>
            </w:pPr>
            <w:r w:rsidRPr="00AF426C">
              <w:rPr>
                <w:sz w:val="24"/>
                <w:szCs w:val="24"/>
              </w:rPr>
              <w:t>Scheduled Arrivals plus Anchorage</w:t>
            </w:r>
          </w:p>
        </w:tc>
        <w:tc>
          <w:tcPr>
            <w:tcW w:w="2230" w:type="dxa"/>
          </w:tcPr>
          <w:p w:rsidR="00AF426C" w:rsidRPr="00AF426C" w:rsidRDefault="00AF426C" w:rsidP="00AF426C">
            <w:pPr>
              <w:pStyle w:val="Body"/>
              <w:rPr>
                <w:sz w:val="24"/>
                <w:szCs w:val="24"/>
              </w:rPr>
            </w:pPr>
            <w:r w:rsidRPr="00AF426C">
              <w:rPr>
                <w:sz w:val="24"/>
                <w:szCs w:val="24"/>
              </w:rPr>
              <w:t>Benefits &amp; costs to be evaluated</w:t>
            </w:r>
          </w:p>
        </w:tc>
        <w:tc>
          <w:tcPr>
            <w:tcW w:w="2469" w:type="dxa"/>
          </w:tcPr>
          <w:p w:rsidR="00AF426C" w:rsidRPr="00AF426C" w:rsidRDefault="00AF426C" w:rsidP="00AF426C">
            <w:pPr>
              <w:pStyle w:val="Body"/>
              <w:rPr>
                <w:sz w:val="24"/>
                <w:szCs w:val="24"/>
              </w:rPr>
            </w:pPr>
            <w:r w:rsidRPr="00AF426C">
              <w:rPr>
                <w:sz w:val="24"/>
                <w:szCs w:val="24"/>
              </w:rPr>
              <w:t>Possibly benefits or no change</w:t>
            </w:r>
          </w:p>
        </w:tc>
        <w:tc>
          <w:tcPr>
            <w:tcW w:w="1991" w:type="dxa"/>
          </w:tcPr>
          <w:p w:rsidR="00AF426C" w:rsidRPr="00AF426C" w:rsidRDefault="00AF426C" w:rsidP="00AF426C">
            <w:pPr>
              <w:pStyle w:val="Body"/>
              <w:rPr>
                <w:sz w:val="24"/>
                <w:szCs w:val="24"/>
              </w:rPr>
            </w:pPr>
            <w:r w:rsidRPr="00AF426C">
              <w:rPr>
                <w:sz w:val="24"/>
                <w:szCs w:val="24"/>
              </w:rPr>
              <w:t>Uncertain</w:t>
            </w:r>
          </w:p>
        </w:tc>
        <w:tc>
          <w:tcPr>
            <w:tcW w:w="2044" w:type="dxa"/>
          </w:tcPr>
          <w:p w:rsidR="00AF426C" w:rsidRPr="00AF426C" w:rsidRDefault="00AF426C" w:rsidP="00AF426C">
            <w:pPr>
              <w:pStyle w:val="Body"/>
              <w:rPr>
                <w:sz w:val="24"/>
                <w:szCs w:val="24"/>
              </w:rPr>
            </w:pPr>
            <w:r w:rsidRPr="00AF426C">
              <w:rPr>
                <w:sz w:val="24"/>
                <w:szCs w:val="24"/>
              </w:rPr>
              <w:t>Possibly benefits or no change</w:t>
            </w:r>
          </w:p>
        </w:tc>
        <w:tc>
          <w:tcPr>
            <w:tcW w:w="1753" w:type="dxa"/>
          </w:tcPr>
          <w:p w:rsidR="00AF426C" w:rsidRPr="00AF426C" w:rsidRDefault="00AF426C" w:rsidP="00AF426C">
            <w:pPr>
              <w:pStyle w:val="Body"/>
              <w:rPr>
                <w:sz w:val="24"/>
                <w:szCs w:val="24"/>
              </w:rPr>
            </w:pPr>
            <w:r w:rsidRPr="00AF426C">
              <w:rPr>
                <w:sz w:val="24"/>
                <w:szCs w:val="24"/>
              </w:rPr>
              <w:t>No</w:t>
            </w:r>
          </w:p>
        </w:tc>
      </w:tr>
      <w:tr w:rsidR="00AF426C" w:rsidRPr="005A6867" w:rsidTr="00705FB6">
        <w:trPr>
          <w:trHeight w:val="146"/>
        </w:trPr>
        <w:tc>
          <w:tcPr>
            <w:tcW w:w="1298" w:type="dxa"/>
            <w:vMerge w:val="restart"/>
          </w:tcPr>
          <w:p w:rsidR="00AF426C" w:rsidRPr="00AF426C" w:rsidRDefault="00AF426C" w:rsidP="00AF426C">
            <w:pPr>
              <w:pStyle w:val="Body"/>
              <w:rPr>
                <w:b/>
                <w:sz w:val="24"/>
                <w:szCs w:val="24"/>
              </w:rPr>
            </w:pPr>
            <w:r w:rsidRPr="00AF426C">
              <w:rPr>
                <w:b/>
                <w:sz w:val="24"/>
                <w:szCs w:val="24"/>
              </w:rPr>
              <w:t>9</w:t>
            </w:r>
          </w:p>
        </w:tc>
        <w:tc>
          <w:tcPr>
            <w:tcW w:w="2189" w:type="dxa"/>
          </w:tcPr>
          <w:p w:rsidR="00AF426C" w:rsidRPr="00AF426C" w:rsidRDefault="00AF426C" w:rsidP="00AF426C">
            <w:pPr>
              <w:pStyle w:val="Body"/>
              <w:rPr>
                <w:sz w:val="24"/>
                <w:szCs w:val="24"/>
              </w:rPr>
            </w:pPr>
            <w:r w:rsidRPr="00AF426C">
              <w:rPr>
                <w:sz w:val="24"/>
                <w:szCs w:val="24"/>
              </w:rPr>
              <w:t>Demand Management</w:t>
            </w:r>
          </w:p>
          <w:p w:rsidR="00AF426C" w:rsidRPr="00AF426C" w:rsidRDefault="00AF426C" w:rsidP="00AF426C">
            <w:pPr>
              <w:pStyle w:val="Body"/>
              <w:rPr>
                <w:sz w:val="24"/>
                <w:szCs w:val="24"/>
              </w:rPr>
            </w:pPr>
            <w:r w:rsidRPr="00AF426C">
              <w:rPr>
                <w:sz w:val="24"/>
                <w:szCs w:val="24"/>
              </w:rPr>
              <w:t xml:space="preserve">(a) Capped ship arrivals </w:t>
            </w:r>
          </w:p>
        </w:tc>
        <w:tc>
          <w:tcPr>
            <w:tcW w:w="2230" w:type="dxa"/>
          </w:tcPr>
          <w:p w:rsidR="00AF426C" w:rsidRPr="00AF426C" w:rsidRDefault="00AF426C" w:rsidP="00AF426C">
            <w:pPr>
              <w:pStyle w:val="Body"/>
              <w:rPr>
                <w:sz w:val="24"/>
                <w:szCs w:val="24"/>
              </w:rPr>
            </w:pPr>
            <w:r w:rsidRPr="00AF426C">
              <w:rPr>
                <w:sz w:val="24"/>
                <w:szCs w:val="24"/>
              </w:rPr>
              <w:t>High negative</w:t>
            </w:r>
          </w:p>
        </w:tc>
        <w:tc>
          <w:tcPr>
            <w:tcW w:w="2469" w:type="dxa"/>
          </w:tcPr>
          <w:p w:rsidR="00AF426C" w:rsidRPr="00AF426C" w:rsidRDefault="00AF426C" w:rsidP="00AF426C">
            <w:pPr>
              <w:pStyle w:val="Body"/>
              <w:rPr>
                <w:sz w:val="24"/>
                <w:szCs w:val="24"/>
              </w:rPr>
            </w:pPr>
            <w:r w:rsidRPr="00AF426C">
              <w:rPr>
                <w:sz w:val="24"/>
                <w:szCs w:val="24"/>
              </w:rPr>
              <w:t>Uncertain</w:t>
            </w:r>
          </w:p>
        </w:tc>
        <w:tc>
          <w:tcPr>
            <w:tcW w:w="1991" w:type="dxa"/>
          </w:tcPr>
          <w:p w:rsidR="00AF426C" w:rsidRPr="00AF426C" w:rsidRDefault="00AF426C" w:rsidP="00AF426C">
            <w:pPr>
              <w:pStyle w:val="Body"/>
              <w:rPr>
                <w:sz w:val="24"/>
                <w:szCs w:val="24"/>
              </w:rPr>
            </w:pPr>
            <w:r w:rsidRPr="00AF426C">
              <w:rPr>
                <w:sz w:val="24"/>
                <w:szCs w:val="24"/>
              </w:rPr>
              <w:t>Uncertain</w:t>
            </w:r>
          </w:p>
        </w:tc>
        <w:tc>
          <w:tcPr>
            <w:tcW w:w="2044" w:type="dxa"/>
          </w:tcPr>
          <w:p w:rsidR="00AF426C" w:rsidRPr="00AF426C" w:rsidRDefault="00AF426C" w:rsidP="00AF426C">
            <w:pPr>
              <w:pStyle w:val="Body"/>
              <w:rPr>
                <w:sz w:val="24"/>
                <w:szCs w:val="24"/>
              </w:rPr>
            </w:pPr>
            <w:r w:rsidRPr="00AF426C">
              <w:rPr>
                <w:sz w:val="24"/>
                <w:szCs w:val="24"/>
              </w:rPr>
              <w:t>Uncertain</w:t>
            </w:r>
          </w:p>
        </w:tc>
        <w:tc>
          <w:tcPr>
            <w:tcW w:w="1753" w:type="dxa"/>
          </w:tcPr>
          <w:p w:rsidR="00AF426C" w:rsidRPr="00AF426C" w:rsidRDefault="00AF426C" w:rsidP="00AF426C">
            <w:pPr>
              <w:pStyle w:val="Body"/>
              <w:rPr>
                <w:sz w:val="24"/>
                <w:szCs w:val="24"/>
              </w:rPr>
            </w:pPr>
            <w:r w:rsidRPr="00AF426C">
              <w:rPr>
                <w:sz w:val="24"/>
                <w:szCs w:val="24"/>
              </w:rPr>
              <w:t>No</w:t>
            </w:r>
          </w:p>
        </w:tc>
      </w:tr>
      <w:tr w:rsidR="00AF426C" w:rsidRPr="005A6867" w:rsidTr="00705FB6">
        <w:trPr>
          <w:trHeight w:val="146"/>
        </w:trPr>
        <w:tc>
          <w:tcPr>
            <w:tcW w:w="1298" w:type="dxa"/>
            <w:vMerge/>
          </w:tcPr>
          <w:p w:rsidR="00AF426C" w:rsidRPr="00AF426C" w:rsidRDefault="00AF426C" w:rsidP="00AF426C">
            <w:pPr>
              <w:pStyle w:val="Body"/>
              <w:rPr>
                <w:b/>
                <w:sz w:val="24"/>
                <w:szCs w:val="24"/>
              </w:rPr>
            </w:pPr>
          </w:p>
        </w:tc>
        <w:tc>
          <w:tcPr>
            <w:tcW w:w="2189" w:type="dxa"/>
          </w:tcPr>
          <w:p w:rsidR="00AF426C" w:rsidRPr="00AF426C" w:rsidRDefault="00AF426C" w:rsidP="00AF426C">
            <w:pPr>
              <w:pStyle w:val="Body"/>
              <w:rPr>
                <w:sz w:val="24"/>
                <w:szCs w:val="24"/>
              </w:rPr>
            </w:pPr>
            <w:r w:rsidRPr="00AF426C">
              <w:rPr>
                <w:sz w:val="24"/>
                <w:szCs w:val="24"/>
              </w:rPr>
              <w:t>(b) Anchorage pricing</w:t>
            </w:r>
          </w:p>
        </w:tc>
        <w:tc>
          <w:tcPr>
            <w:tcW w:w="2230" w:type="dxa"/>
          </w:tcPr>
          <w:p w:rsidR="00AF426C" w:rsidRPr="00AF426C" w:rsidRDefault="00AF426C" w:rsidP="00AF426C">
            <w:pPr>
              <w:pStyle w:val="Body"/>
              <w:rPr>
                <w:sz w:val="24"/>
                <w:szCs w:val="24"/>
              </w:rPr>
            </w:pPr>
            <w:r w:rsidRPr="00AF426C">
              <w:rPr>
                <w:sz w:val="24"/>
                <w:szCs w:val="24"/>
              </w:rPr>
              <w:t>Negative</w:t>
            </w:r>
          </w:p>
        </w:tc>
        <w:tc>
          <w:tcPr>
            <w:tcW w:w="2469" w:type="dxa"/>
          </w:tcPr>
          <w:p w:rsidR="00AF426C" w:rsidRPr="00AF426C" w:rsidRDefault="00AF426C" w:rsidP="00AF426C">
            <w:pPr>
              <w:pStyle w:val="Body"/>
              <w:rPr>
                <w:sz w:val="24"/>
                <w:szCs w:val="24"/>
              </w:rPr>
            </w:pPr>
            <w:r w:rsidRPr="00AF426C">
              <w:rPr>
                <w:sz w:val="24"/>
                <w:szCs w:val="24"/>
              </w:rPr>
              <w:t>Likely no change</w:t>
            </w:r>
          </w:p>
        </w:tc>
        <w:tc>
          <w:tcPr>
            <w:tcW w:w="1991" w:type="dxa"/>
          </w:tcPr>
          <w:p w:rsidR="00AF426C" w:rsidRPr="00AF426C" w:rsidRDefault="00AF426C" w:rsidP="00AF426C">
            <w:pPr>
              <w:pStyle w:val="Body"/>
              <w:rPr>
                <w:sz w:val="24"/>
                <w:szCs w:val="24"/>
              </w:rPr>
            </w:pPr>
            <w:r w:rsidRPr="00AF426C">
              <w:rPr>
                <w:sz w:val="24"/>
                <w:szCs w:val="24"/>
              </w:rPr>
              <w:t>Likely no change</w:t>
            </w:r>
          </w:p>
        </w:tc>
        <w:tc>
          <w:tcPr>
            <w:tcW w:w="2044" w:type="dxa"/>
          </w:tcPr>
          <w:p w:rsidR="00AF426C" w:rsidRPr="00AF426C" w:rsidRDefault="00AF426C" w:rsidP="00AF426C">
            <w:pPr>
              <w:pStyle w:val="Body"/>
              <w:rPr>
                <w:sz w:val="24"/>
                <w:szCs w:val="24"/>
              </w:rPr>
            </w:pPr>
            <w:r w:rsidRPr="00AF426C">
              <w:rPr>
                <w:sz w:val="24"/>
                <w:szCs w:val="24"/>
              </w:rPr>
              <w:t>Likely no change</w:t>
            </w:r>
          </w:p>
        </w:tc>
        <w:tc>
          <w:tcPr>
            <w:tcW w:w="1753" w:type="dxa"/>
          </w:tcPr>
          <w:p w:rsidR="00AF426C" w:rsidRPr="00AF426C" w:rsidRDefault="00AF426C" w:rsidP="00AF426C">
            <w:pPr>
              <w:pStyle w:val="Body"/>
              <w:rPr>
                <w:sz w:val="24"/>
                <w:szCs w:val="24"/>
              </w:rPr>
            </w:pPr>
            <w:r w:rsidRPr="00AF426C">
              <w:rPr>
                <w:sz w:val="24"/>
                <w:szCs w:val="24"/>
              </w:rPr>
              <w:t>No</w:t>
            </w:r>
          </w:p>
        </w:tc>
      </w:tr>
      <w:tr w:rsidR="00AF426C" w:rsidRPr="005A6867" w:rsidTr="00705FB6">
        <w:trPr>
          <w:trHeight w:val="146"/>
        </w:trPr>
        <w:tc>
          <w:tcPr>
            <w:tcW w:w="1298" w:type="dxa"/>
          </w:tcPr>
          <w:p w:rsidR="00AF426C" w:rsidRPr="00AF426C" w:rsidRDefault="00AF426C" w:rsidP="00AF426C">
            <w:pPr>
              <w:pStyle w:val="Body"/>
              <w:rPr>
                <w:b/>
                <w:sz w:val="24"/>
                <w:szCs w:val="24"/>
              </w:rPr>
            </w:pPr>
            <w:r w:rsidRPr="00AF426C">
              <w:rPr>
                <w:b/>
                <w:sz w:val="24"/>
                <w:szCs w:val="24"/>
              </w:rPr>
              <w:t>10</w:t>
            </w:r>
          </w:p>
        </w:tc>
        <w:tc>
          <w:tcPr>
            <w:tcW w:w="2189" w:type="dxa"/>
          </w:tcPr>
          <w:p w:rsidR="00AF426C" w:rsidRPr="00AF426C" w:rsidRDefault="00AF426C" w:rsidP="00AF426C">
            <w:pPr>
              <w:pStyle w:val="Body"/>
              <w:rPr>
                <w:sz w:val="24"/>
                <w:szCs w:val="24"/>
              </w:rPr>
            </w:pPr>
            <w:r w:rsidRPr="00AF426C">
              <w:rPr>
                <w:sz w:val="24"/>
                <w:szCs w:val="24"/>
              </w:rPr>
              <w:t>Port consolidation Strategy</w:t>
            </w:r>
          </w:p>
        </w:tc>
        <w:tc>
          <w:tcPr>
            <w:tcW w:w="2230" w:type="dxa"/>
          </w:tcPr>
          <w:p w:rsidR="00AF426C" w:rsidRPr="00AF426C" w:rsidRDefault="00AF426C" w:rsidP="00AF426C">
            <w:pPr>
              <w:pStyle w:val="Body"/>
              <w:rPr>
                <w:sz w:val="24"/>
                <w:szCs w:val="24"/>
              </w:rPr>
            </w:pPr>
            <w:r w:rsidRPr="00AF426C">
              <w:rPr>
                <w:sz w:val="24"/>
                <w:szCs w:val="24"/>
              </w:rPr>
              <w:t>High negative</w:t>
            </w:r>
          </w:p>
        </w:tc>
        <w:tc>
          <w:tcPr>
            <w:tcW w:w="2469" w:type="dxa"/>
          </w:tcPr>
          <w:p w:rsidR="00AF426C" w:rsidRPr="00AF426C" w:rsidRDefault="00AF426C" w:rsidP="00AF426C">
            <w:pPr>
              <w:pStyle w:val="Body"/>
              <w:rPr>
                <w:sz w:val="24"/>
                <w:szCs w:val="24"/>
              </w:rPr>
            </w:pPr>
            <w:r w:rsidRPr="00AF426C">
              <w:rPr>
                <w:sz w:val="24"/>
                <w:szCs w:val="24"/>
              </w:rPr>
              <w:t>Uncertain</w:t>
            </w:r>
          </w:p>
        </w:tc>
        <w:tc>
          <w:tcPr>
            <w:tcW w:w="1991" w:type="dxa"/>
          </w:tcPr>
          <w:p w:rsidR="00AF426C" w:rsidRPr="00AF426C" w:rsidRDefault="00AF426C" w:rsidP="00AF426C">
            <w:pPr>
              <w:pStyle w:val="Body"/>
              <w:rPr>
                <w:sz w:val="24"/>
                <w:szCs w:val="24"/>
              </w:rPr>
            </w:pPr>
            <w:r w:rsidRPr="00AF426C">
              <w:rPr>
                <w:sz w:val="24"/>
                <w:szCs w:val="24"/>
              </w:rPr>
              <w:t>Uncertain</w:t>
            </w:r>
          </w:p>
        </w:tc>
        <w:tc>
          <w:tcPr>
            <w:tcW w:w="2044" w:type="dxa"/>
          </w:tcPr>
          <w:p w:rsidR="00AF426C" w:rsidRPr="00AF426C" w:rsidRDefault="00AF426C" w:rsidP="00AF426C">
            <w:pPr>
              <w:pStyle w:val="Body"/>
              <w:rPr>
                <w:sz w:val="24"/>
                <w:szCs w:val="24"/>
              </w:rPr>
            </w:pPr>
            <w:r w:rsidRPr="00AF426C">
              <w:rPr>
                <w:sz w:val="24"/>
                <w:szCs w:val="24"/>
              </w:rPr>
              <w:t>Uncertain</w:t>
            </w:r>
          </w:p>
        </w:tc>
        <w:tc>
          <w:tcPr>
            <w:tcW w:w="1753" w:type="dxa"/>
          </w:tcPr>
          <w:p w:rsidR="00AF426C" w:rsidRPr="00AF426C" w:rsidRDefault="00AF426C" w:rsidP="00AF426C">
            <w:pPr>
              <w:pStyle w:val="Body"/>
              <w:rPr>
                <w:sz w:val="24"/>
                <w:szCs w:val="24"/>
              </w:rPr>
            </w:pPr>
            <w:r w:rsidRPr="00AF426C">
              <w:rPr>
                <w:sz w:val="24"/>
                <w:szCs w:val="24"/>
              </w:rPr>
              <w:t>No</w:t>
            </w:r>
          </w:p>
        </w:tc>
      </w:tr>
      <w:tr w:rsidR="00AF426C" w:rsidRPr="005A6867" w:rsidTr="00705FB6">
        <w:trPr>
          <w:trHeight w:val="1165"/>
        </w:trPr>
        <w:tc>
          <w:tcPr>
            <w:tcW w:w="1298" w:type="dxa"/>
            <w:vMerge w:val="restart"/>
          </w:tcPr>
          <w:p w:rsidR="00AF426C" w:rsidRPr="00AF426C" w:rsidRDefault="00AF426C" w:rsidP="00AF426C">
            <w:pPr>
              <w:pStyle w:val="Body"/>
              <w:rPr>
                <w:b/>
                <w:sz w:val="24"/>
                <w:szCs w:val="24"/>
              </w:rPr>
            </w:pPr>
            <w:r w:rsidRPr="00AF426C">
              <w:rPr>
                <w:b/>
                <w:sz w:val="24"/>
                <w:szCs w:val="24"/>
              </w:rPr>
              <w:t>Others</w:t>
            </w:r>
          </w:p>
        </w:tc>
        <w:tc>
          <w:tcPr>
            <w:tcW w:w="2189" w:type="dxa"/>
          </w:tcPr>
          <w:p w:rsidR="00AF426C" w:rsidRPr="00AF426C" w:rsidRDefault="00AF426C" w:rsidP="00AF426C">
            <w:pPr>
              <w:pStyle w:val="Body"/>
              <w:rPr>
                <w:sz w:val="24"/>
                <w:szCs w:val="24"/>
              </w:rPr>
            </w:pPr>
            <w:r w:rsidRPr="00AF426C">
              <w:rPr>
                <w:sz w:val="24"/>
                <w:szCs w:val="24"/>
              </w:rPr>
              <w:t>(a) Ship dynamic positioning</w:t>
            </w:r>
          </w:p>
        </w:tc>
        <w:tc>
          <w:tcPr>
            <w:tcW w:w="2230" w:type="dxa"/>
          </w:tcPr>
          <w:p w:rsidR="00AF426C" w:rsidRPr="00AF426C" w:rsidRDefault="00AF426C" w:rsidP="00AF426C">
            <w:pPr>
              <w:pStyle w:val="Body"/>
              <w:rPr>
                <w:sz w:val="24"/>
                <w:szCs w:val="24"/>
              </w:rPr>
            </w:pPr>
            <w:r w:rsidRPr="00AF426C">
              <w:rPr>
                <w:sz w:val="24"/>
                <w:szCs w:val="24"/>
              </w:rPr>
              <w:t>High negative</w:t>
            </w:r>
          </w:p>
        </w:tc>
        <w:tc>
          <w:tcPr>
            <w:tcW w:w="2469" w:type="dxa"/>
          </w:tcPr>
          <w:p w:rsidR="00AF426C" w:rsidRPr="00AF426C" w:rsidRDefault="00AF426C" w:rsidP="00AF426C">
            <w:pPr>
              <w:pStyle w:val="Body"/>
              <w:rPr>
                <w:sz w:val="24"/>
                <w:szCs w:val="24"/>
              </w:rPr>
            </w:pPr>
            <w:r w:rsidRPr="00AF426C">
              <w:rPr>
                <w:sz w:val="24"/>
                <w:szCs w:val="24"/>
              </w:rPr>
              <w:t>Potentially (no anchorage used)</w:t>
            </w:r>
          </w:p>
        </w:tc>
        <w:tc>
          <w:tcPr>
            <w:tcW w:w="1991" w:type="dxa"/>
          </w:tcPr>
          <w:p w:rsidR="00AF426C" w:rsidRPr="00AF426C" w:rsidRDefault="00AF426C" w:rsidP="00AF426C">
            <w:pPr>
              <w:pStyle w:val="Body"/>
              <w:rPr>
                <w:sz w:val="24"/>
                <w:szCs w:val="24"/>
              </w:rPr>
            </w:pPr>
            <w:r w:rsidRPr="00AF426C">
              <w:rPr>
                <w:sz w:val="24"/>
                <w:szCs w:val="24"/>
              </w:rPr>
              <w:t>Uncertain</w:t>
            </w:r>
          </w:p>
        </w:tc>
        <w:tc>
          <w:tcPr>
            <w:tcW w:w="2044" w:type="dxa"/>
          </w:tcPr>
          <w:p w:rsidR="00AF426C" w:rsidRPr="00AF426C" w:rsidRDefault="00AF426C" w:rsidP="00AF426C">
            <w:pPr>
              <w:pStyle w:val="Body"/>
              <w:rPr>
                <w:sz w:val="24"/>
                <w:szCs w:val="24"/>
              </w:rPr>
            </w:pPr>
            <w:r w:rsidRPr="00AF426C">
              <w:rPr>
                <w:sz w:val="24"/>
                <w:szCs w:val="24"/>
              </w:rPr>
              <w:t>Likely no change</w:t>
            </w:r>
          </w:p>
        </w:tc>
        <w:tc>
          <w:tcPr>
            <w:tcW w:w="1753" w:type="dxa"/>
          </w:tcPr>
          <w:p w:rsidR="00AF426C" w:rsidRPr="00AF426C" w:rsidRDefault="00AF426C" w:rsidP="00AF426C">
            <w:pPr>
              <w:pStyle w:val="Body"/>
              <w:rPr>
                <w:sz w:val="24"/>
                <w:szCs w:val="24"/>
              </w:rPr>
            </w:pPr>
            <w:r w:rsidRPr="00AF426C">
              <w:rPr>
                <w:sz w:val="24"/>
                <w:szCs w:val="24"/>
              </w:rPr>
              <w:t>Part (cruise ships)</w:t>
            </w:r>
          </w:p>
        </w:tc>
      </w:tr>
      <w:tr w:rsidR="00AF426C" w:rsidRPr="005A6867" w:rsidTr="00705FB6">
        <w:trPr>
          <w:trHeight w:val="146"/>
        </w:trPr>
        <w:tc>
          <w:tcPr>
            <w:tcW w:w="1298" w:type="dxa"/>
            <w:vMerge/>
          </w:tcPr>
          <w:p w:rsidR="00AF426C" w:rsidRPr="00AF426C" w:rsidRDefault="00AF426C" w:rsidP="00AF426C">
            <w:pPr>
              <w:pStyle w:val="Body"/>
              <w:rPr>
                <w:sz w:val="24"/>
                <w:szCs w:val="24"/>
              </w:rPr>
            </w:pPr>
          </w:p>
        </w:tc>
        <w:tc>
          <w:tcPr>
            <w:tcW w:w="2189" w:type="dxa"/>
          </w:tcPr>
          <w:p w:rsidR="00AF426C" w:rsidRPr="00AF426C" w:rsidRDefault="00AF426C" w:rsidP="00AF426C">
            <w:pPr>
              <w:pStyle w:val="Body"/>
              <w:rPr>
                <w:sz w:val="24"/>
                <w:szCs w:val="24"/>
              </w:rPr>
            </w:pPr>
            <w:r w:rsidRPr="00AF426C">
              <w:rPr>
                <w:sz w:val="24"/>
                <w:szCs w:val="24"/>
              </w:rPr>
              <w:t>(b) Mixed options</w:t>
            </w:r>
          </w:p>
        </w:tc>
        <w:tc>
          <w:tcPr>
            <w:tcW w:w="2230" w:type="dxa"/>
          </w:tcPr>
          <w:p w:rsidR="00AF426C" w:rsidRPr="00AF426C" w:rsidRDefault="00AF426C" w:rsidP="00AF426C">
            <w:pPr>
              <w:pStyle w:val="Body"/>
              <w:rPr>
                <w:sz w:val="24"/>
                <w:szCs w:val="24"/>
              </w:rPr>
            </w:pPr>
            <w:r w:rsidRPr="00AF426C">
              <w:rPr>
                <w:sz w:val="24"/>
                <w:szCs w:val="24"/>
              </w:rPr>
              <w:t>-</w:t>
            </w:r>
          </w:p>
        </w:tc>
        <w:tc>
          <w:tcPr>
            <w:tcW w:w="2469" w:type="dxa"/>
          </w:tcPr>
          <w:p w:rsidR="00AF426C" w:rsidRPr="00AF426C" w:rsidRDefault="00AF426C" w:rsidP="00AF426C">
            <w:pPr>
              <w:pStyle w:val="Body"/>
              <w:rPr>
                <w:sz w:val="24"/>
                <w:szCs w:val="24"/>
              </w:rPr>
            </w:pPr>
            <w:r w:rsidRPr="00AF426C">
              <w:rPr>
                <w:sz w:val="24"/>
                <w:szCs w:val="24"/>
              </w:rPr>
              <w:t>-</w:t>
            </w:r>
          </w:p>
        </w:tc>
        <w:tc>
          <w:tcPr>
            <w:tcW w:w="1991" w:type="dxa"/>
          </w:tcPr>
          <w:p w:rsidR="00AF426C" w:rsidRPr="00AF426C" w:rsidRDefault="00AF426C" w:rsidP="00AF426C">
            <w:pPr>
              <w:pStyle w:val="Body"/>
              <w:rPr>
                <w:sz w:val="24"/>
                <w:szCs w:val="24"/>
              </w:rPr>
            </w:pPr>
            <w:r w:rsidRPr="00AF426C">
              <w:rPr>
                <w:sz w:val="24"/>
                <w:szCs w:val="24"/>
              </w:rPr>
              <w:t>-</w:t>
            </w:r>
          </w:p>
        </w:tc>
        <w:tc>
          <w:tcPr>
            <w:tcW w:w="2044" w:type="dxa"/>
          </w:tcPr>
          <w:p w:rsidR="00AF426C" w:rsidRPr="00AF426C" w:rsidRDefault="00AF426C" w:rsidP="00AF426C">
            <w:pPr>
              <w:pStyle w:val="Body"/>
              <w:rPr>
                <w:sz w:val="24"/>
                <w:szCs w:val="24"/>
              </w:rPr>
            </w:pPr>
            <w:r w:rsidRPr="00AF426C">
              <w:rPr>
                <w:sz w:val="24"/>
                <w:szCs w:val="24"/>
              </w:rPr>
              <w:t>-</w:t>
            </w:r>
          </w:p>
        </w:tc>
        <w:tc>
          <w:tcPr>
            <w:tcW w:w="1753" w:type="dxa"/>
          </w:tcPr>
          <w:p w:rsidR="00AF426C" w:rsidRPr="00AF426C" w:rsidRDefault="00AF426C" w:rsidP="00AF426C">
            <w:pPr>
              <w:pStyle w:val="Body"/>
              <w:rPr>
                <w:sz w:val="24"/>
                <w:szCs w:val="24"/>
              </w:rPr>
            </w:pPr>
            <w:r w:rsidRPr="00AF426C">
              <w:rPr>
                <w:sz w:val="24"/>
                <w:szCs w:val="24"/>
              </w:rPr>
              <w:t>1 and 2</w:t>
            </w:r>
          </w:p>
        </w:tc>
      </w:tr>
    </w:tbl>
    <w:p w:rsidR="00705FB6" w:rsidRDefault="00705FB6" w:rsidP="00A2699D">
      <w:pPr>
        <w:pStyle w:val="Body"/>
        <w:sectPr w:rsidR="00705FB6" w:rsidSect="00705FB6">
          <w:headerReference w:type="default" r:id="rId60"/>
          <w:footerReference w:type="default" r:id="rId61"/>
          <w:pgSz w:w="16838" w:h="11906" w:orient="landscape" w:code="9"/>
          <w:pgMar w:top="1701" w:right="1701" w:bottom="1418" w:left="1418" w:header="709" w:footer="709" w:gutter="0"/>
          <w:cols w:space="720"/>
          <w:docGrid w:linePitch="273"/>
        </w:sectPr>
      </w:pPr>
    </w:p>
    <w:p w:rsidR="001A657F" w:rsidRPr="001F52E5" w:rsidRDefault="001A657F" w:rsidP="00905CF3">
      <w:pPr>
        <w:pStyle w:val="Heading3"/>
        <w:rPr>
          <w:sz w:val="24"/>
          <w:szCs w:val="24"/>
        </w:rPr>
      </w:pPr>
      <w:bookmarkStart w:id="463" w:name="_Toc342402485"/>
      <w:bookmarkStart w:id="464" w:name="_Toc343597285"/>
      <w:bookmarkStart w:id="465" w:name="_Toc362274332"/>
      <w:r w:rsidRPr="00B41CFA">
        <w:rPr>
          <w:sz w:val="24"/>
        </w:rPr>
        <w:t xml:space="preserve">Relevant ship anchorage management options for the Port of </w:t>
      </w:r>
      <w:r w:rsidRPr="001F52E5">
        <w:rPr>
          <w:sz w:val="24"/>
          <w:szCs w:val="24"/>
        </w:rPr>
        <w:t>Townsville</w:t>
      </w:r>
      <w:bookmarkEnd w:id="463"/>
      <w:bookmarkEnd w:id="464"/>
      <w:bookmarkEnd w:id="465"/>
    </w:p>
    <w:p w:rsidR="001A657F" w:rsidRPr="001F52E5" w:rsidRDefault="001A657F" w:rsidP="001A657F">
      <w:pPr>
        <w:pStyle w:val="Body"/>
        <w:rPr>
          <w:sz w:val="24"/>
          <w:szCs w:val="24"/>
        </w:rPr>
      </w:pPr>
      <w:r w:rsidRPr="001F52E5">
        <w:rPr>
          <w:sz w:val="24"/>
          <w:szCs w:val="24"/>
        </w:rPr>
        <w:t>The possible future relevance of the identified ship anchorage management options specifically for the Port of Townsville was considered with regard to four criteria:</w:t>
      </w:r>
    </w:p>
    <w:p w:rsidR="001A657F" w:rsidRPr="001F52E5" w:rsidRDefault="001A657F" w:rsidP="001A657F">
      <w:pPr>
        <w:pStyle w:val="Body"/>
        <w:numPr>
          <w:ilvl w:val="0"/>
          <w:numId w:val="21"/>
        </w:numPr>
        <w:rPr>
          <w:sz w:val="24"/>
          <w:szCs w:val="24"/>
        </w:rPr>
      </w:pPr>
      <w:r w:rsidRPr="001F52E5">
        <w:rPr>
          <w:sz w:val="24"/>
          <w:szCs w:val="24"/>
        </w:rPr>
        <w:t>Possible economic and commercial impacts</w:t>
      </w:r>
    </w:p>
    <w:p w:rsidR="001A657F" w:rsidRPr="001F52E5" w:rsidRDefault="001A657F" w:rsidP="001A657F">
      <w:pPr>
        <w:pStyle w:val="Body"/>
        <w:numPr>
          <w:ilvl w:val="0"/>
          <w:numId w:val="21"/>
        </w:numPr>
        <w:rPr>
          <w:sz w:val="24"/>
          <w:szCs w:val="24"/>
        </w:rPr>
      </w:pPr>
      <w:r w:rsidRPr="001F52E5">
        <w:rPr>
          <w:sz w:val="24"/>
          <w:szCs w:val="24"/>
        </w:rPr>
        <w:t>Possible environmental impacts with the goal of achieving net environmental gains</w:t>
      </w:r>
    </w:p>
    <w:p w:rsidR="001A657F" w:rsidRPr="001F52E5" w:rsidRDefault="001A657F" w:rsidP="001A657F">
      <w:pPr>
        <w:pStyle w:val="Body"/>
        <w:numPr>
          <w:ilvl w:val="0"/>
          <w:numId w:val="21"/>
        </w:numPr>
        <w:rPr>
          <w:sz w:val="24"/>
          <w:szCs w:val="24"/>
        </w:rPr>
      </w:pPr>
      <w:r w:rsidRPr="001F52E5">
        <w:rPr>
          <w:sz w:val="24"/>
          <w:szCs w:val="24"/>
        </w:rPr>
        <w:t>Possible ship safety and emergency response impacts</w:t>
      </w:r>
    </w:p>
    <w:p w:rsidR="001A657F" w:rsidRPr="001F52E5" w:rsidRDefault="001A657F" w:rsidP="001A657F">
      <w:pPr>
        <w:pStyle w:val="Body"/>
        <w:numPr>
          <w:ilvl w:val="0"/>
          <w:numId w:val="21"/>
        </w:numPr>
        <w:rPr>
          <w:sz w:val="24"/>
          <w:szCs w:val="24"/>
        </w:rPr>
      </w:pPr>
      <w:r w:rsidRPr="001F52E5">
        <w:rPr>
          <w:sz w:val="24"/>
          <w:szCs w:val="24"/>
        </w:rPr>
        <w:t>Possible other user and social impacts</w:t>
      </w:r>
      <w:r w:rsidR="001F52E5">
        <w:rPr>
          <w:sz w:val="24"/>
          <w:szCs w:val="24"/>
        </w:rPr>
        <w:t>.</w:t>
      </w:r>
    </w:p>
    <w:p w:rsidR="001A657F" w:rsidRDefault="001A657F" w:rsidP="001A657F">
      <w:pPr>
        <w:pStyle w:val="Body"/>
        <w:rPr>
          <w:sz w:val="24"/>
          <w:szCs w:val="24"/>
        </w:rPr>
      </w:pPr>
      <w:r w:rsidRPr="001F52E5">
        <w:rPr>
          <w:sz w:val="24"/>
          <w:szCs w:val="24"/>
        </w:rPr>
        <w:t xml:space="preserve">An overview of the results of the examination for the Port of Townsville is contained in </w:t>
      </w:r>
      <w:r w:rsidR="00ED39F9" w:rsidRPr="001F52E5">
        <w:rPr>
          <w:sz w:val="24"/>
          <w:szCs w:val="24"/>
        </w:rPr>
        <w:fldChar w:fldCharType="begin"/>
      </w:r>
      <w:r w:rsidR="00ED39F9" w:rsidRPr="001F52E5">
        <w:rPr>
          <w:sz w:val="24"/>
          <w:szCs w:val="24"/>
        </w:rPr>
        <w:instrText xml:space="preserve"> REF  _Ref343502801 \* Lower \h  \* MERGEFORMAT </w:instrText>
      </w:r>
      <w:r w:rsidR="00ED39F9" w:rsidRPr="001F52E5">
        <w:rPr>
          <w:sz w:val="24"/>
          <w:szCs w:val="24"/>
        </w:rPr>
      </w:r>
      <w:r w:rsidR="00ED39F9" w:rsidRPr="001F52E5">
        <w:rPr>
          <w:sz w:val="24"/>
          <w:szCs w:val="24"/>
        </w:rPr>
        <w:fldChar w:fldCharType="separate"/>
      </w:r>
      <w:r w:rsidR="005F6E51" w:rsidRPr="004E48F3">
        <w:rPr>
          <w:sz w:val="24"/>
          <w:szCs w:val="24"/>
        </w:rPr>
        <w:t xml:space="preserve">table </w:t>
      </w:r>
      <w:r w:rsidR="005F6E51">
        <w:rPr>
          <w:noProof/>
          <w:sz w:val="24"/>
          <w:szCs w:val="24"/>
        </w:rPr>
        <w:t>5</w:t>
      </w:r>
      <w:r w:rsidR="005F6E51" w:rsidRPr="004E48F3">
        <w:rPr>
          <w:noProof/>
          <w:sz w:val="24"/>
          <w:szCs w:val="24"/>
        </w:rPr>
        <w:noBreakHyphen/>
      </w:r>
      <w:r w:rsidR="005F6E51">
        <w:rPr>
          <w:noProof/>
          <w:sz w:val="24"/>
          <w:szCs w:val="24"/>
        </w:rPr>
        <w:t>3</w:t>
      </w:r>
      <w:r w:rsidR="00ED39F9" w:rsidRPr="001F52E5">
        <w:rPr>
          <w:sz w:val="24"/>
          <w:szCs w:val="24"/>
        </w:rPr>
        <w:fldChar w:fldCharType="end"/>
      </w:r>
      <w:r w:rsidRPr="001F52E5">
        <w:rPr>
          <w:sz w:val="24"/>
          <w:szCs w:val="24"/>
        </w:rPr>
        <w:t>.</w:t>
      </w:r>
    </w:p>
    <w:p w:rsidR="0070415B" w:rsidRPr="001F52E5" w:rsidRDefault="0070415B" w:rsidP="0070415B">
      <w:pPr>
        <w:pStyle w:val="Body"/>
        <w:rPr>
          <w:sz w:val="24"/>
          <w:szCs w:val="24"/>
        </w:rPr>
      </w:pPr>
      <w:r w:rsidRPr="001F52E5">
        <w:rPr>
          <w:sz w:val="24"/>
          <w:szCs w:val="24"/>
        </w:rPr>
        <w:t>Ship anchorage at the Port of Townsville was considered to be typical of a port with multiple trades and visited by multiple ship types requiring operational flexibility. Most of the current anchorage area is outside of the port limits and it is undesignated.</w:t>
      </w:r>
    </w:p>
    <w:p w:rsidR="0070415B" w:rsidRPr="001F52E5" w:rsidRDefault="0070415B" w:rsidP="0070415B">
      <w:pPr>
        <w:pStyle w:val="Body"/>
        <w:rPr>
          <w:sz w:val="24"/>
          <w:szCs w:val="24"/>
        </w:rPr>
      </w:pPr>
      <w:r w:rsidRPr="001F52E5">
        <w:rPr>
          <w:sz w:val="24"/>
          <w:szCs w:val="24"/>
        </w:rPr>
        <w:t xml:space="preserve">The expected relatively low growth in ship calls (around two per cent per year, refer to section </w:t>
      </w:r>
      <w:r w:rsidRPr="001F52E5">
        <w:rPr>
          <w:sz w:val="24"/>
          <w:szCs w:val="24"/>
        </w:rPr>
        <w:fldChar w:fldCharType="begin"/>
      </w:r>
      <w:r w:rsidRPr="001F52E5">
        <w:rPr>
          <w:sz w:val="24"/>
          <w:szCs w:val="24"/>
        </w:rPr>
        <w:instrText xml:space="preserve"> REF _Ref343580495 \r \h </w:instrText>
      </w:r>
      <w:r>
        <w:rPr>
          <w:sz w:val="24"/>
          <w:szCs w:val="24"/>
        </w:rPr>
        <w:instrText xml:space="preserve"> \* MERGEFORMAT </w:instrText>
      </w:r>
      <w:r w:rsidRPr="001F52E5">
        <w:rPr>
          <w:sz w:val="24"/>
          <w:szCs w:val="24"/>
        </w:rPr>
      </w:r>
      <w:r w:rsidRPr="001F52E5">
        <w:rPr>
          <w:sz w:val="24"/>
          <w:szCs w:val="24"/>
        </w:rPr>
        <w:fldChar w:fldCharType="separate"/>
      </w:r>
      <w:r>
        <w:rPr>
          <w:sz w:val="24"/>
          <w:szCs w:val="24"/>
        </w:rPr>
        <w:t>4.6.3</w:t>
      </w:r>
      <w:r w:rsidRPr="001F52E5">
        <w:rPr>
          <w:sz w:val="24"/>
          <w:szCs w:val="24"/>
        </w:rPr>
        <w:fldChar w:fldCharType="end"/>
      </w:r>
      <w:r w:rsidRPr="001F52E5">
        <w:rPr>
          <w:sz w:val="24"/>
          <w:szCs w:val="24"/>
        </w:rPr>
        <w:t>) at the Port of Townsville over the next 20 years was also considered to support continuing anchorage practices. There is, however, possibility to improve existing anchorage management by implementing designated anchorage areas, particularly recognising that future ship call growth will be possibly underpinned by bulk carriers requiring anchorage.</w:t>
      </w:r>
    </w:p>
    <w:p w:rsidR="0070415B" w:rsidRPr="001F52E5" w:rsidRDefault="0070415B" w:rsidP="0070415B">
      <w:pPr>
        <w:pStyle w:val="Body"/>
        <w:rPr>
          <w:sz w:val="24"/>
          <w:szCs w:val="24"/>
        </w:rPr>
      </w:pPr>
      <w:r w:rsidRPr="001F52E5">
        <w:rPr>
          <w:sz w:val="24"/>
          <w:szCs w:val="24"/>
        </w:rPr>
        <w:t xml:space="preserve">The current practices of ship anchoring were considered to have minimal future impact for the environment and other users beyond that which has already occurred. Ship safety and the ability to rapidly respond to any maritime incident are considered to be excellent under existing arrangements given the close proximity of the main anchorage area to the port. Environmental, economic and social benefits may, however, be realised if anchorage areas were designated at this port. </w:t>
      </w:r>
    </w:p>
    <w:p w:rsidR="0070415B" w:rsidRPr="001F52E5" w:rsidRDefault="0070415B" w:rsidP="0070415B">
      <w:pPr>
        <w:pStyle w:val="Body"/>
        <w:rPr>
          <w:sz w:val="24"/>
          <w:szCs w:val="24"/>
        </w:rPr>
      </w:pPr>
      <w:r w:rsidRPr="001F52E5">
        <w:rPr>
          <w:sz w:val="24"/>
          <w:szCs w:val="24"/>
        </w:rPr>
        <w:t>In conclusion, current practices, with the possibility of designating anchorage areas as a future improvement, were envisaged as relevant anchorage management options in the future for the Port of Townsville.</w:t>
      </w:r>
    </w:p>
    <w:p w:rsidR="004E48F3" w:rsidRDefault="004E48F3" w:rsidP="001A657F">
      <w:pPr>
        <w:pStyle w:val="Body"/>
        <w:rPr>
          <w:sz w:val="24"/>
          <w:szCs w:val="24"/>
        </w:rPr>
        <w:sectPr w:rsidR="004E48F3" w:rsidSect="00B6174B">
          <w:headerReference w:type="default" r:id="rId62"/>
          <w:footerReference w:type="default" r:id="rId63"/>
          <w:pgSz w:w="11906" w:h="16838" w:code="9"/>
          <w:pgMar w:top="1418" w:right="1701" w:bottom="1701" w:left="1418" w:header="709" w:footer="709" w:gutter="0"/>
          <w:cols w:space="720"/>
          <w:docGrid w:linePitch="273"/>
        </w:sectPr>
      </w:pPr>
    </w:p>
    <w:p w:rsidR="001A657F" w:rsidRPr="004E48F3" w:rsidRDefault="001A657F" w:rsidP="004E48F3">
      <w:pPr>
        <w:pStyle w:val="CaptionTable"/>
        <w:spacing w:after="240"/>
        <w:rPr>
          <w:sz w:val="24"/>
          <w:szCs w:val="24"/>
        </w:rPr>
      </w:pPr>
      <w:bookmarkStart w:id="466" w:name="_Ref343502801"/>
      <w:bookmarkStart w:id="467" w:name="_Toc342402115"/>
      <w:bookmarkStart w:id="468" w:name="_Toc343597161"/>
      <w:bookmarkStart w:id="469" w:name="_Toc362274375"/>
      <w:r w:rsidRPr="004E48F3">
        <w:rPr>
          <w:sz w:val="24"/>
          <w:szCs w:val="24"/>
        </w:rPr>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5</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3</w:t>
      </w:r>
      <w:r w:rsidR="00542883">
        <w:rPr>
          <w:sz w:val="24"/>
          <w:szCs w:val="24"/>
        </w:rPr>
        <w:fldChar w:fldCharType="end"/>
      </w:r>
      <w:bookmarkEnd w:id="466"/>
      <w:r w:rsidR="001F52E5" w:rsidRPr="004E48F3">
        <w:rPr>
          <w:noProof/>
          <w:sz w:val="24"/>
          <w:szCs w:val="24"/>
        </w:rPr>
        <w:t>:</w:t>
      </w:r>
      <w:r w:rsidRPr="004E48F3">
        <w:rPr>
          <w:sz w:val="24"/>
          <w:szCs w:val="24"/>
        </w:rPr>
        <w:t xml:space="preserve"> </w:t>
      </w:r>
      <w:r w:rsidRPr="00DE2A47">
        <w:rPr>
          <w:b w:val="0"/>
          <w:sz w:val="24"/>
          <w:szCs w:val="24"/>
        </w:rPr>
        <w:t>Overview of ship anchorage management options and relevance for Port of Townsville</w:t>
      </w:r>
      <w:bookmarkEnd w:id="467"/>
      <w:bookmarkEnd w:id="468"/>
      <w:bookmarkEnd w:id="469"/>
    </w:p>
    <w:tbl>
      <w:tblPr>
        <w:tblStyle w:val="TableGrid3"/>
        <w:tblW w:w="13994" w:type="dxa"/>
        <w:tblBorders>
          <w:left w:val="none" w:sz="0" w:space="0" w:color="auto"/>
          <w:right w:val="none" w:sz="0" w:space="0" w:color="auto"/>
          <w:insideV w:val="none" w:sz="0" w:space="0" w:color="auto"/>
        </w:tblBorders>
        <w:tblLook w:val="04A0" w:firstRow="1" w:lastRow="0" w:firstColumn="1" w:lastColumn="0" w:noHBand="0" w:noVBand="1"/>
        <w:tblCaption w:val="Overview of ship anchorage management options and relevance for Port of Townsville"/>
        <w:tblDescription w:val="An overview of the potential ship anchorage management options for the Port of Townsville. Columns represent the option number, name of the option and each assessed criteria. Further discussion of management options for the port is provided in Section 5.3.2."/>
      </w:tblPr>
      <w:tblGrid>
        <w:gridCol w:w="990"/>
        <w:gridCol w:w="1640"/>
        <w:gridCol w:w="1672"/>
        <w:gridCol w:w="1950"/>
        <w:gridCol w:w="3680"/>
        <w:gridCol w:w="2225"/>
        <w:gridCol w:w="1837"/>
      </w:tblGrid>
      <w:tr w:rsidR="004E48F3" w:rsidRPr="004E48F3" w:rsidTr="004E48F3">
        <w:trPr>
          <w:trHeight w:val="146"/>
          <w:tblHeader/>
        </w:trPr>
        <w:tc>
          <w:tcPr>
            <w:tcW w:w="973" w:type="dxa"/>
            <w:vMerge w:val="restart"/>
          </w:tcPr>
          <w:p w:rsidR="004E48F3" w:rsidRPr="004E48F3" w:rsidRDefault="004E48F3" w:rsidP="004E48F3">
            <w:pPr>
              <w:spacing w:after="120" w:line="276" w:lineRule="auto"/>
              <w:rPr>
                <w:rFonts w:ascii="Arial" w:hAnsi="Arial" w:cs="Arial"/>
                <w:color w:val="auto"/>
                <w:sz w:val="24"/>
                <w:szCs w:val="24"/>
              </w:rPr>
            </w:pPr>
            <w:r w:rsidRPr="004E48F3">
              <w:rPr>
                <w:rFonts w:ascii="Arial" w:hAnsi="Arial" w:cs="Arial"/>
                <w:color w:val="auto"/>
                <w:sz w:val="24"/>
                <w:szCs w:val="24"/>
              </w:rPr>
              <w:t>Option</w:t>
            </w:r>
          </w:p>
        </w:tc>
        <w:tc>
          <w:tcPr>
            <w:tcW w:w="1641" w:type="dxa"/>
            <w:vMerge w:val="restart"/>
          </w:tcPr>
          <w:p w:rsidR="004E48F3" w:rsidRPr="004E48F3" w:rsidRDefault="004E48F3" w:rsidP="004E48F3">
            <w:pPr>
              <w:spacing w:after="120" w:line="276" w:lineRule="auto"/>
              <w:rPr>
                <w:rFonts w:ascii="Arial" w:hAnsi="Arial" w:cs="Arial"/>
                <w:color w:val="auto"/>
                <w:sz w:val="24"/>
                <w:szCs w:val="24"/>
              </w:rPr>
            </w:pPr>
            <w:r w:rsidRPr="004E48F3">
              <w:rPr>
                <w:rFonts w:ascii="Arial" w:hAnsi="Arial" w:cs="Arial"/>
                <w:color w:val="auto"/>
                <w:sz w:val="24"/>
                <w:szCs w:val="24"/>
              </w:rPr>
              <w:t>Name</w:t>
            </w:r>
          </w:p>
        </w:tc>
        <w:tc>
          <w:tcPr>
            <w:tcW w:w="11380" w:type="dxa"/>
            <w:gridSpan w:val="5"/>
          </w:tcPr>
          <w:p w:rsidR="004E48F3" w:rsidRPr="004E48F3" w:rsidRDefault="004E48F3" w:rsidP="004E48F3">
            <w:pPr>
              <w:spacing w:after="120" w:line="276" w:lineRule="auto"/>
              <w:jc w:val="center"/>
              <w:rPr>
                <w:rFonts w:ascii="Arial" w:hAnsi="Arial" w:cs="Arial"/>
                <w:color w:val="auto"/>
                <w:sz w:val="24"/>
                <w:szCs w:val="24"/>
              </w:rPr>
            </w:pPr>
            <w:r w:rsidRPr="004E48F3">
              <w:rPr>
                <w:rFonts w:ascii="Arial" w:hAnsi="Arial" w:cs="Arial"/>
                <w:color w:val="auto"/>
                <w:sz w:val="24"/>
                <w:szCs w:val="24"/>
              </w:rPr>
              <w:t>Assessed Criteria (Potential Net Benefits)</w:t>
            </w:r>
          </w:p>
        </w:tc>
      </w:tr>
      <w:tr w:rsidR="004E48F3" w:rsidRPr="004E48F3" w:rsidTr="004E48F3">
        <w:trPr>
          <w:trHeight w:val="146"/>
          <w:tblHeader/>
        </w:trPr>
        <w:tc>
          <w:tcPr>
            <w:tcW w:w="973" w:type="dxa"/>
            <w:vMerge/>
          </w:tcPr>
          <w:p w:rsidR="004E48F3" w:rsidRPr="004E48F3" w:rsidRDefault="004E48F3" w:rsidP="004E48F3">
            <w:pPr>
              <w:spacing w:after="120" w:line="276" w:lineRule="auto"/>
              <w:rPr>
                <w:rFonts w:ascii="Arial" w:hAnsi="Arial" w:cs="Arial"/>
                <w:color w:val="auto"/>
                <w:sz w:val="24"/>
                <w:szCs w:val="24"/>
              </w:rPr>
            </w:pPr>
          </w:p>
        </w:tc>
        <w:tc>
          <w:tcPr>
            <w:tcW w:w="1641" w:type="dxa"/>
            <w:vMerge/>
          </w:tcPr>
          <w:p w:rsidR="004E48F3" w:rsidRPr="004E48F3" w:rsidRDefault="004E48F3" w:rsidP="004E48F3">
            <w:pPr>
              <w:spacing w:after="120" w:line="276" w:lineRule="auto"/>
              <w:rPr>
                <w:rFonts w:ascii="Arial" w:hAnsi="Arial" w:cs="Arial"/>
                <w:color w:val="auto"/>
                <w:sz w:val="24"/>
                <w:szCs w:val="24"/>
              </w:rPr>
            </w:pPr>
          </w:p>
        </w:tc>
        <w:tc>
          <w:tcPr>
            <w:tcW w:w="1672" w:type="dxa"/>
          </w:tcPr>
          <w:p w:rsidR="004E48F3" w:rsidRPr="004E48F3" w:rsidRDefault="004E48F3" w:rsidP="0075468D">
            <w:pPr>
              <w:spacing w:after="120" w:line="276" w:lineRule="auto"/>
              <w:rPr>
                <w:rFonts w:ascii="Arial" w:hAnsi="Arial" w:cs="Arial"/>
                <w:color w:val="auto"/>
                <w:sz w:val="24"/>
                <w:szCs w:val="24"/>
              </w:rPr>
            </w:pPr>
            <w:r w:rsidRPr="004E48F3">
              <w:rPr>
                <w:rFonts w:ascii="Arial" w:hAnsi="Arial" w:cs="Arial"/>
                <w:color w:val="auto"/>
                <w:sz w:val="24"/>
                <w:szCs w:val="24"/>
              </w:rPr>
              <w:t>Economic / Commercial impacts</w:t>
            </w:r>
          </w:p>
        </w:tc>
        <w:tc>
          <w:tcPr>
            <w:tcW w:w="1950" w:type="dxa"/>
          </w:tcPr>
          <w:p w:rsidR="004E48F3" w:rsidRPr="004E48F3" w:rsidRDefault="004E48F3" w:rsidP="0075468D">
            <w:pPr>
              <w:spacing w:after="120" w:line="276" w:lineRule="auto"/>
              <w:rPr>
                <w:rFonts w:ascii="Arial" w:hAnsi="Arial" w:cs="Arial"/>
                <w:color w:val="auto"/>
                <w:sz w:val="24"/>
                <w:szCs w:val="24"/>
              </w:rPr>
            </w:pPr>
            <w:r w:rsidRPr="004E48F3">
              <w:rPr>
                <w:rFonts w:ascii="Arial" w:hAnsi="Arial" w:cs="Arial"/>
                <w:color w:val="auto"/>
                <w:sz w:val="24"/>
                <w:szCs w:val="24"/>
              </w:rPr>
              <w:t>Environmental impacts</w:t>
            </w:r>
          </w:p>
        </w:tc>
        <w:tc>
          <w:tcPr>
            <w:tcW w:w="3690" w:type="dxa"/>
          </w:tcPr>
          <w:p w:rsidR="004E48F3" w:rsidRPr="004E48F3" w:rsidRDefault="004E48F3" w:rsidP="0075468D">
            <w:pPr>
              <w:spacing w:after="120" w:line="276" w:lineRule="auto"/>
              <w:rPr>
                <w:rFonts w:ascii="Arial" w:hAnsi="Arial" w:cs="Arial"/>
                <w:color w:val="auto"/>
                <w:sz w:val="24"/>
                <w:szCs w:val="24"/>
              </w:rPr>
            </w:pPr>
            <w:r w:rsidRPr="004E48F3">
              <w:rPr>
                <w:rFonts w:ascii="Arial" w:hAnsi="Arial" w:cs="Arial"/>
                <w:color w:val="auto"/>
                <w:sz w:val="24"/>
                <w:szCs w:val="24"/>
              </w:rPr>
              <w:t>Ship safety / Response impacts</w:t>
            </w:r>
          </w:p>
        </w:tc>
        <w:tc>
          <w:tcPr>
            <w:tcW w:w="2228" w:type="dxa"/>
          </w:tcPr>
          <w:p w:rsidR="004E48F3" w:rsidRPr="004E48F3" w:rsidRDefault="004E48F3" w:rsidP="0075468D">
            <w:pPr>
              <w:spacing w:after="120" w:line="276" w:lineRule="auto"/>
              <w:rPr>
                <w:rFonts w:ascii="Arial" w:hAnsi="Arial" w:cs="Arial"/>
                <w:color w:val="auto"/>
                <w:sz w:val="24"/>
                <w:szCs w:val="24"/>
              </w:rPr>
            </w:pPr>
            <w:r w:rsidRPr="004E48F3">
              <w:rPr>
                <w:rFonts w:ascii="Arial" w:hAnsi="Arial" w:cs="Arial"/>
                <w:color w:val="auto"/>
                <w:sz w:val="24"/>
                <w:szCs w:val="24"/>
              </w:rPr>
              <w:t>Other user impacts</w:t>
            </w:r>
          </w:p>
        </w:tc>
        <w:tc>
          <w:tcPr>
            <w:tcW w:w="1840" w:type="dxa"/>
          </w:tcPr>
          <w:p w:rsidR="004E48F3" w:rsidRPr="004E48F3" w:rsidRDefault="004E48F3" w:rsidP="0075468D">
            <w:pPr>
              <w:spacing w:after="120" w:line="276" w:lineRule="auto"/>
              <w:rPr>
                <w:rFonts w:ascii="Arial" w:hAnsi="Arial" w:cs="Arial"/>
                <w:color w:val="auto"/>
                <w:sz w:val="24"/>
                <w:szCs w:val="24"/>
              </w:rPr>
            </w:pPr>
            <w:r w:rsidRPr="004E48F3">
              <w:rPr>
                <w:rFonts w:ascii="Arial" w:hAnsi="Arial" w:cs="Arial"/>
                <w:color w:val="auto"/>
                <w:sz w:val="24"/>
                <w:szCs w:val="24"/>
              </w:rPr>
              <w:t>Relevant for future</w:t>
            </w:r>
          </w:p>
        </w:tc>
      </w:tr>
      <w:tr w:rsidR="004E48F3" w:rsidRPr="004E48F3" w:rsidTr="004E48F3">
        <w:trPr>
          <w:trHeight w:val="146"/>
        </w:trPr>
        <w:tc>
          <w:tcPr>
            <w:tcW w:w="973" w:type="dxa"/>
          </w:tcPr>
          <w:p w:rsidR="004E48F3" w:rsidRPr="004E48F3" w:rsidRDefault="004E48F3" w:rsidP="004E48F3">
            <w:pPr>
              <w:spacing w:after="120" w:line="276" w:lineRule="auto"/>
              <w:rPr>
                <w:rFonts w:ascii="Arial" w:hAnsi="Arial" w:cs="Arial"/>
                <w:color w:val="auto"/>
                <w:sz w:val="24"/>
                <w:szCs w:val="24"/>
              </w:rPr>
            </w:pPr>
            <w:r w:rsidRPr="004E48F3">
              <w:rPr>
                <w:rFonts w:ascii="Arial" w:hAnsi="Arial" w:cs="Arial"/>
                <w:color w:val="auto"/>
                <w:sz w:val="24"/>
                <w:szCs w:val="24"/>
              </w:rPr>
              <w:t>1</w:t>
            </w:r>
          </w:p>
        </w:tc>
        <w:tc>
          <w:tcPr>
            <w:tcW w:w="1641"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Business-as-usual</w:t>
            </w:r>
          </w:p>
        </w:tc>
        <w:tc>
          <w:tcPr>
            <w:tcW w:w="1672"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 xml:space="preserve">Yes </w:t>
            </w:r>
          </w:p>
        </w:tc>
        <w:tc>
          <w:tcPr>
            <w:tcW w:w="195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Minimal (occurred)</w:t>
            </w:r>
          </w:p>
        </w:tc>
        <w:tc>
          <w:tcPr>
            <w:tcW w:w="369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Excellent (close to port)</w:t>
            </w:r>
          </w:p>
        </w:tc>
        <w:tc>
          <w:tcPr>
            <w:tcW w:w="2228"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Minimal (current)</w:t>
            </w:r>
          </w:p>
        </w:tc>
        <w:tc>
          <w:tcPr>
            <w:tcW w:w="184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Yes</w:t>
            </w:r>
          </w:p>
        </w:tc>
      </w:tr>
      <w:tr w:rsidR="004E48F3" w:rsidRPr="004E48F3" w:rsidTr="004E48F3">
        <w:trPr>
          <w:trHeight w:val="146"/>
        </w:trPr>
        <w:tc>
          <w:tcPr>
            <w:tcW w:w="973" w:type="dxa"/>
          </w:tcPr>
          <w:p w:rsidR="004E48F3" w:rsidRPr="004E48F3" w:rsidRDefault="004E48F3" w:rsidP="004E48F3">
            <w:pPr>
              <w:spacing w:after="120" w:line="276" w:lineRule="auto"/>
              <w:rPr>
                <w:rFonts w:ascii="Arial" w:hAnsi="Arial" w:cs="Arial"/>
                <w:color w:val="auto"/>
                <w:sz w:val="24"/>
                <w:szCs w:val="24"/>
              </w:rPr>
            </w:pPr>
            <w:r w:rsidRPr="004E48F3">
              <w:rPr>
                <w:rFonts w:ascii="Arial" w:hAnsi="Arial" w:cs="Arial"/>
                <w:color w:val="auto"/>
                <w:sz w:val="24"/>
                <w:szCs w:val="24"/>
              </w:rPr>
              <w:t>2</w:t>
            </w:r>
          </w:p>
        </w:tc>
        <w:tc>
          <w:tcPr>
            <w:tcW w:w="1641"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Improved</w:t>
            </w:r>
          </w:p>
        </w:tc>
        <w:tc>
          <w:tcPr>
            <w:tcW w:w="1672"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Yes (efficiencies)</w:t>
            </w:r>
          </w:p>
        </w:tc>
        <w:tc>
          <w:tcPr>
            <w:tcW w:w="195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Uncertain</w:t>
            </w:r>
          </w:p>
        </w:tc>
        <w:tc>
          <w:tcPr>
            <w:tcW w:w="369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Excellent (close to port)</w:t>
            </w:r>
          </w:p>
        </w:tc>
        <w:tc>
          <w:tcPr>
            <w:tcW w:w="2228"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Uncertain</w:t>
            </w:r>
          </w:p>
        </w:tc>
        <w:tc>
          <w:tcPr>
            <w:tcW w:w="184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Yes</w:t>
            </w:r>
          </w:p>
        </w:tc>
      </w:tr>
      <w:tr w:rsidR="004E48F3" w:rsidRPr="004E48F3" w:rsidTr="004E48F3">
        <w:trPr>
          <w:trHeight w:val="146"/>
        </w:trPr>
        <w:tc>
          <w:tcPr>
            <w:tcW w:w="973" w:type="dxa"/>
          </w:tcPr>
          <w:p w:rsidR="004E48F3" w:rsidRPr="004E48F3" w:rsidRDefault="004E48F3" w:rsidP="004E48F3">
            <w:pPr>
              <w:spacing w:after="120" w:line="276" w:lineRule="auto"/>
              <w:rPr>
                <w:rFonts w:ascii="Arial" w:hAnsi="Arial" w:cs="Arial"/>
                <w:color w:val="auto"/>
                <w:sz w:val="24"/>
                <w:szCs w:val="24"/>
              </w:rPr>
            </w:pPr>
            <w:r w:rsidRPr="004E48F3">
              <w:rPr>
                <w:rFonts w:ascii="Arial" w:hAnsi="Arial" w:cs="Arial"/>
                <w:color w:val="auto"/>
                <w:sz w:val="24"/>
                <w:szCs w:val="24"/>
              </w:rPr>
              <w:t>3</w:t>
            </w:r>
          </w:p>
        </w:tc>
        <w:tc>
          <w:tcPr>
            <w:tcW w:w="1641"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All-at-Port</w:t>
            </w:r>
          </w:p>
        </w:tc>
        <w:tc>
          <w:tcPr>
            <w:tcW w:w="1672"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High negative</w:t>
            </w:r>
          </w:p>
        </w:tc>
        <w:tc>
          <w:tcPr>
            <w:tcW w:w="195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Uncertain</w:t>
            </w:r>
          </w:p>
        </w:tc>
        <w:tc>
          <w:tcPr>
            <w:tcW w:w="369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Excellent (in port)</w:t>
            </w:r>
          </w:p>
        </w:tc>
        <w:tc>
          <w:tcPr>
            <w:tcW w:w="2228"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Possibly (via no use of anchorages)</w:t>
            </w:r>
          </w:p>
        </w:tc>
        <w:tc>
          <w:tcPr>
            <w:tcW w:w="184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No</w:t>
            </w:r>
          </w:p>
        </w:tc>
      </w:tr>
      <w:tr w:rsidR="004E48F3" w:rsidRPr="004E48F3" w:rsidTr="004E48F3">
        <w:trPr>
          <w:trHeight w:val="146"/>
        </w:trPr>
        <w:tc>
          <w:tcPr>
            <w:tcW w:w="973" w:type="dxa"/>
          </w:tcPr>
          <w:p w:rsidR="004E48F3" w:rsidRPr="004E48F3" w:rsidRDefault="004E48F3" w:rsidP="004E48F3">
            <w:pPr>
              <w:spacing w:after="120" w:line="276" w:lineRule="auto"/>
              <w:rPr>
                <w:rFonts w:ascii="Arial" w:hAnsi="Arial" w:cs="Arial"/>
                <w:color w:val="auto"/>
                <w:sz w:val="24"/>
                <w:szCs w:val="24"/>
              </w:rPr>
            </w:pPr>
            <w:r w:rsidRPr="004E48F3">
              <w:rPr>
                <w:rFonts w:ascii="Arial" w:hAnsi="Arial" w:cs="Arial"/>
                <w:color w:val="auto"/>
                <w:sz w:val="24"/>
                <w:szCs w:val="24"/>
              </w:rPr>
              <w:t>4</w:t>
            </w:r>
          </w:p>
        </w:tc>
        <w:tc>
          <w:tcPr>
            <w:tcW w:w="1641"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All-in-Port limits</w:t>
            </w:r>
          </w:p>
        </w:tc>
        <w:tc>
          <w:tcPr>
            <w:tcW w:w="1672"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Likely negative (uncertain if feasible)</w:t>
            </w:r>
          </w:p>
        </w:tc>
        <w:tc>
          <w:tcPr>
            <w:tcW w:w="195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Uncertain</w:t>
            </w:r>
          </w:p>
        </w:tc>
        <w:tc>
          <w:tcPr>
            <w:tcW w:w="369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Likely negative (navigation issues)</w:t>
            </w:r>
          </w:p>
        </w:tc>
        <w:tc>
          <w:tcPr>
            <w:tcW w:w="2228"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Uncertain / Possible</w:t>
            </w:r>
          </w:p>
        </w:tc>
        <w:tc>
          <w:tcPr>
            <w:tcW w:w="184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No</w:t>
            </w:r>
          </w:p>
        </w:tc>
      </w:tr>
      <w:tr w:rsidR="004E48F3" w:rsidRPr="004E48F3" w:rsidTr="004E48F3">
        <w:trPr>
          <w:trHeight w:val="146"/>
        </w:trPr>
        <w:tc>
          <w:tcPr>
            <w:tcW w:w="973" w:type="dxa"/>
          </w:tcPr>
          <w:p w:rsidR="004E48F3" w:rsidRPr="004E48F3" w:rsidRDefault="004E48F3" w:rsidP="004E48F3">
            <w:pPr>
              <w:spacing w:after="120" w:line="276" w:lineRule="auto"/>
              <w:rPr>
                <w:rFonts w:ascii="Arial" w:hAnsi="Arial" w:cs="Arial"/>
                <w:color w:val="auto"/>
                <w:sz w:val="24"/>
                <w:szCs w:val="24"/>
              </w:rPr>
            </w:pPr>
            <w:r w:rsidRPr="004E48F3">
              <w:rPr>
                <w:rFonts w:ascii="Arial" w:hAnsi="Arial" w:cs="Arial"/>
                <w:color w:val="auto"/>
                <w:sz w:val="24"/>
                <w:szCs w:val="24"/>
              </w:rPr>
              <w:t>5</w:t>
            </w:r>
          </w:p>
        </w:tc>
        <w:tc>
          <w:tcPr>
            <w:tcW w:w="1641"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Fixed-Moored</w:t>
            </w:r>
          </w:p>
        </w:tc>
        <w:tc>
          <w:tcPr>
            <w:tcW w:w="1672"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High negative</w:t>
            </w:r>
          </w:p>
        </w:tc>
        <w:tc>
          <w:tcPr>
            <w:tcW w:w="195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Likely negative</w:t>
            </w:r>
          </w:p>
        </w:tc>
        <w:tc>
          <w:tcPr>
            <w:tcW w:w="369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Likely negative</w:t>
            </w:r>
          </w:p>
        </w:tc>
        <w:tc>
          <w:tcPr>
            <w:tcW w:w="2228"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Likely negative</w:t>
            </w:r>
          </w:p>
        </w:tc>
        <w:tc>
          <w:tcPr>
            <w:tcW w:w="184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No</w:t>
            </w:r>
          </w:p>
        </w:tc>
      </w:tr>
      <w:tr w:rsidR="004E48F3" w:rsidRPr="004E48F3" w:rsidTr="004E48F3">
        <w:trPr>
          <w:trHeight w:val="146"/>
        </w:trPr>
        <w:tc>
          <w:tcPr>
            <w:tcW w:w="973" w:type="dxa"/>
          </w:tcPr>
          <w:p w:rsidR="004E48F3" w:rsidRPr="004E48F3" w:rsidRDefault="004E48F3" w:rsidP="004E48F3">
            <w:pPr>
              <w:spacing w:after="120" w:line="276" w:lineRule="auto"/>
              <w:rPr>
                <w:rFonts w:ascii="Arial" w:hAnsi="Arial" w:cs="Arial"/>
                <w:color w:val="auto"/>
                <w:sz w:val="24"/>
                <w:szCs w:val="24"/>
              </w:rPr>
            </w:pPr>
            <w:r w:rsidRPr="004E48F3">
              <w:rPr>
                <w:rFonts w:ascii="Arial" w:hAnsi="Arial" w:cs="Arial"/>
                <w:color w:val="auto"/>
                <w:sz w:val="24"/>
                <w:szCs w:val="24"/>
              </w:rPr>
              <w:t>6</w:t>
            </w:r>
          </w:p>
        </w:tc>
        <w:tc>
          <w:tcPr>
            <w:tcW w:w="1641"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All-at-Sea</w:t>
            </w:r>
          </w:p>
        </w:tc>
        <w:tc>
          <w:tcPr>
            <w:tcW w:w="1672"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Negative</w:t>
            </w:r>
          </w:p>
        </w:tc>
        <w:tc>
          <w:tcPr>
            <w:tcW w:w="195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Uncertain</w:t>
            </w:r>
          </w:p>
        </w:tc>
        <w:tc>
          <w:tcPr>
            <w:tcW w:w="369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Likely negative</w:t>
            </w:r>
          </w:p>
        </w:tc>
        <w:tc>
          <w:tcPr>
            <w:tcW w:w="2228"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Uncertain</w:t>
            </w:r>
          </w:p>
        </w:tc>
        <w:tc>
          <w:tcPr>
            <w:tcW w:w="184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No</w:t>
            </w:r>
          </w:p>
        </w:tc>
      </w:tr>
      <w:tr w:rsidR="004E48F3" w:rsidRPr="004E48F3" w:rsidTr="004E48F3">
        <w:trPr>
          <w:trHeight w:val="146"/>
        </w:trPr>
        <w:tc>
          <w:tcPr>
            <w:tcW w:w="973" w:type="dxa"/>
          </w:tcPr>
          <w:p w:rsidR="004E48F3" w:rsidRPr="004E48F3" w:rsidRDefault="004E48F3" w:rsidP="004E48F3">
            <w:pPr>
              <w:spacing w:after="120" w:line="276" w:lineRule="auto"/>
              <w:rPr>
                <w:rFonts w:ascii="Arial" w:hAnsi="Arial" w:cs="Arial"/>
                <w:color w:val="auto"/>
                <w:sz w:val="24"/>
                <w:szCs w:val="24"/>
              </w:rPr>
            </w:pPr>
            <w:r w:rsidRPr="004E48F3">
              <w:rPr>
                <w:rFonts w:ascii="Arial" w:hAnsi="Arial" w:cs="Arial"/>
                <w:color w:val="auto"/>
                <w:sz w:val="24"/>
                <w:szCs w:val="24"/>
              </w:rPr>
              <w:t>7</w:t>
            </w:r>
          </w:p>
        </w:tc>
        <w:tc>
          <w:tcPr>
            <w:tcW w:w="1641"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Scheduled Arrivals</w:t>
            </w:r>
          </w:p>
        </w:tc>
        <w:tc>
          <w:tcPr>
            <w:tcW w:w="1672"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Uncertain</w:t>
            </w:r>
          </w:p>
        </w:tc>
        <w:tc>
          <w:tcPr>
            <w:tcW w:w="195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Uncertain</w:t>
            </w:r>
          </w:p>
        </w:tc>
        <w:tc>
          <w:tcPr>
            <w:tcW w:w="369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Uncertain</w:t>
            </w:r>
          </w:p>
        </w:tc>
        <w:tc>
          <w:tcPr>
            <w:tcW w:w="2228"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Uncertain</w:t>
            </w:r>
          </w:p>
        </w:tc>
        <w:tc>
          <w:tcPr>
            <w:tcW w:w="184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No</w:t>
            </w:r>
          </w:p>
        </w:tc>
      </w:tr>
      <w:tr w:rsidR="004E48F3" w:rsidRPr="004E48F3" w:rsidTr="004E48F3">
        <w:trPr>
          <w:trHeight w:val="146"/>
        </w:trPr>
        <w:tc>
          <w:tcPr>
            <w:tcW w:w="973" w:type="dxa"/>
          </w:tcPr>
          <w:p w:rsidR="004E48F3" w:rsidRPr="004E48F3" w:rsidRDefault="004E48F3" w:rsidP="004E48F3">
            <w:pPr>
              <w:spacing w:after="120" w:line="276" w:lineRule="auto"/>
              <w:rPr>
                <w:rFonts w:ascii="Arial" w:hAnsi="Arial" w:cs="Arial"/>
                <w:color w:val="auto"/>
                <w:sz w:val="24"/>
                <w:szCs w:val="24"/>
              </w:rPr>
            </w:pPr>
            <w:r w:rsidRPr="004E48F3">
              <w:rPr>
                <w:rFonts w:ascii="Arial" w:hAnsi="Arial" w:cs="Arial"/>
                <w:color w:val="auto"/>
                <w:sz w:val="24"/>
                <w:szCs w:val="24"/>
              </w:rPr>
              <w:t>8</w:t>
            </w:r>
          </w:p>
        </w:tc>
        <w:tc>
          <w:tcPr>
            <w:tcW w:w="1641"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Scheduled Arrivals plus Anchorage</w:t>
            </w:r>
          </w:p>
        </w:tc>
        <w:tc>
          <w:tcPr>
            <w:tcW w:w="1672"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Benefits &amp; costs to be evaluated</w:t>
            </w:r>
          </w:p>
        </w:tc>
        <w:tc>
          <w:tcPr>
            <w:tcW w:w="195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Possibly benefits or no change</w:t>
            </w:r>
          </w:p>
        </w:tc>
        <w:tc>
          <w:tcPr>
            <w:tcW w:w="369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Uncertain</w:t>
            </w:r>
          </w:p>
        </w:tc>
        <w:tc>
          <w:tcPr>
            <w:tcW w:w="2228"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Possibly benefits or no change</w:t>
            </w:r>
          </w:p>
        </w:tc>
        <w:tc>
          <w:tcPr>
            <w:tcW w:w="184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No</w:t>
            </w:r>
          </w:p>
        </w:tc>
      </w:tr>
      <w:tr w:rsidR="004E48F3" w:rsidRPr="004E48F3" w:rsidTr="004E48F3">
        <w:trPr>
          <w:trHeight w:val="146"/>
        </w:trPr>
        <w:tc>
          <w:tcPr>
            <w:tcW w:w="973" w:type="dxa"/>
            <w:vMerge w:val="restart"/>
          </w:tcPr>
          <w:p w:rsidR="004E48F3" w:rsidRPr="004E48F3" w:rsidRDefault="004E48F3" w:rsidP="004E48F3">
            <w:pPr>
              <w:spacing w:after="120" w:line="276" w:lineRule="auto"/>
              <w:rPr>
                <w:rFonts w:ascii="Arial" w:hAnsi="Arial" w:cs="Arial"/>
                <w:color w:val="auto"/>
                <w:sz w:val="24"/>
                <w:szCs w:val="24"/>
              </w:rPr>
            </w:pPr>
            <w:r w:rsidRPr="004E48F3">
              <w:rPr>
                <w:rFonts w:ascii="Arial" w:hAnsi="Arial" w:cs="Arial"/>
                <w:color w:val="auto"/>
                <w:sz w:val="24"/>
                <w:szCs w:val="24"/>
              </w:rPr>
              <w:t>9</w:t>
            </w:r>
          </w:p>
        </w:tc>
        <w:tc>
          <w:tcPr>
            <w:tcW w:w="1641"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Demand Management</w:t>
            </w:r>
          </w:p>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 xml:space="preserve">(a) Capped ship arrivals </w:t>
            </w:r>
          </w:p>
        </w:tc>
        <w:tc>
          <w:tcPr>
            <w:tcW w:w="1672"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High negative</w:t>
            </w:r>
          </w:p>
        </w:tc>
        <w:tc>
          <w:tcPr>
            <w:tcW w:w="195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Uncertain</w:t>
            </w:r>
          </w:p>
        </w:tc>
        <w:tc>
          <w:tcPr>
            <w:tcW w:w="369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Uncertain</w:t>
            </w:r>
          </w:p>
        </w:tc>
        <w:tc>
          <w:tcPr>
            <w:tcW w:w="2228"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Uncertain</w:t>
            </w:r>
          </w:p>
        </w:tc>
        <w:tc>
          <w:tcPr>
            <w:tcW w:w="184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No</w:t>
            </w:r>
          </w:p>
        </w:tc>
      </w:tr>
      <w:tr w:rsidR="004E48F3" w:rsidRPr="004E48F3" w:rsidTr="004E48F3">
        <w:trPr>
          <w:trHeight w:val="146"/>
        </w:trPr>
        <w:tc>
          <w:tcPr>
            <w:tcW w:w="973" w:type="dxa"/>
            <w:vMerge/>
          </w:tcPr>
          <w:p w:rsidR="004E48F3" w:rsidRPr="004E48F3" w:rsidRDefault="004E48F3" w:rsidP="004E48F3">
            <w:pPr>
              <w:spacing w:after="120" w:line="276" w:lineRule="auto"/>
              <w:rPr>
                <w:rFonts w:ascii="Arial" w:hAnsi="Arial" w:cs="Arial"/>
                <w:color w:val="auto"/>
                <w:sz w:val="24"/>
                <w:szCs w:val="24"/>
              </w:rPr>
            </w:pPr>
          </w:p>
        </w:tc>
        <w:tc>
          <w:tcPr>
            <w:tcW w:w="1641"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(b) Anchorage pricing</w:t>
            </w:r>
          </w:p>
        </w:tc>
        <w:tc>
          <w:tcPr>
            <w:tcW w:w="1672"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Negative</w:t>
            </w:r>
          </w:p>
        </w:tc>
        <w:tc>
          <w:tcPr>
            <w:tcW w:w="195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Likely no change</w:t>
            </w:r>
          </w:p>
        </w:tc>
        <w:tc>
          <w:tcPr>
            <w:tcW w:w="3690" w:type="dxa"/>
          </w:tcPr>
          <w:p w:rsidR="004E48F3" w:rsidRPr="004E48F3" w:rsidRDefault="004E48F3" w:rsidP="004E48F3">
            <w:pPr>
              <w:spacing w:after="120"/>
              <w:rPr>
                <w:rFonts w:ascii="Arial" w:hAnsi="Arial" w:cs="Arial"/>
                <w:b w:val="0"/>
                <w:color w:val="auto"/>
                <w:sz w:val="24"/>
                <w:szCs w:val="24"/>
              </w:rPr>
            </w:pPr>
            <w:r w:rsidRPr="004E48F3">
              <w:rPr>
                <w:rFonts w:ascii="Arial" w:hAnsi="Arial" w:cs="Arial"/>
                <w:b w:val="0"/>
                <w:color w:val="auto"/>
                <w:sz w:val="24"/>
                <w:szCs w:val="24"/>
              </w:rPr>
              <w:t>Likely no change</w:t>
            </w:r>
          </w:p>
        </w:tc>
        <w:tc>
          <w:tcPr>
            <w:tcW w:w="2228" w:type="dxa"/>
          </w:tcPr>
          <w:p w:rsidR="004E48F3" w:rsidRPr="004E48F3" w:rsidRDefault="004E48F3" w:rsidP="004E48F3">
            <w:pPr>
              <w:spacing w:after="120"/>
              <w:rPr>
                <w:rFonts w:ascii="Arial" w:hAnsi="Arial" w:cs="Arial"/>
                <w:b w:val="0"/>
                <w:color w:val="auto"/>
                <w:sz w:val="24"/>
                <w:szCs w:val="24"/>
              </w:rPr>
            </w:pPr>
            <w:r w:rsidRPr="004E48F3">
              <w:rPr>
                <w:rFonts w:ascii="Arial" w:hAnsi="Arial" w:cs="Arial"/>
                <w:b w:val="0"/>
                <w:color w:val="auto"/>
                <w:sz w:val="24"/>
                <w:szCs w:val="24"/>
              </w:rPr>
              <w:t>Likely no change</w:t>
            </w:r>
          </w:p>
        </w:tc>
        <w:tc>
          <w:tcPr>
            <w:tcW w:w="184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No</w:t>
            </w:r>
          </w:p>
        </w:tc>
      </w:tr>
      <w:tr w:rsidR="004E48F3" w:rsidRPr="004E48F3" w:rsidTr="004E48F3">
        <w:trPr>
          <w:trHeight w:val="146"/>
        </w:trPr>
        <w:tc>
          <w:tcPr>
            <w:tcW w:w="973" w:type="dxa"/>
          </w:tcPr>
          <w:p w:rsidR="004E48F3" w:rsidRPr="004E48F3" w:rsidRDefault="004E48F3" w:rsidP="004E48F3">
            <w:pPr>
              <w:spacing w:after="120" w:line="276" w:lineRule="auto"/>
              <w:rPr>
                <w:rFonts w:ascii="Arial" w:hAnsi="Arial" w:cs="Arial"/>
                <w:color w:val="auto"/>
                <w:sz w:val="24"/>
                <w:szCs w:val="24"/>
              </w:rPr>
            </w:pPr>
            <w:r w:rsidRPr="004E48F3">
              <w:rPr>
                <w:rFonts w:ascii="Arial" w:hAnsi="Arial" w:cs="Arial"/>
                <w:color w:val="auto"/>
                <w:sz w:val="24"/>
                <w:szCs w:val="24"/>
              </w:rPr>
              <w:t>10</w:t>
            </w:r>
          </w:p>
        </w:tc>
        <w:tc>
          <w:tcPr>
            <w:tcW w:w="1641"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Port consolidation Strategy</w:t>
            </w:r>
          </w:p>
        </w:tc>
        <w:tc>
          <w:tcPr>
            <w:tcW w:w="1672"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High negative (uncertain for coal)</w:t>
            </w:r>
          </w:p>
        </w:tc>
        <w:tc>
          <w:tcPr>
            <w:tcW w:w="195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Uncertain</w:t>
            </w:r>
          </w:p>
        </w:tc>
        <w:tc>
          <w:tcPr>
            <w:tcW w:w="369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Uncertain</w:t>
            </w:r>
          </w:p>
        </w:tc>
        <w:tc>
          <w:tcPr>
            <w:tcW w:w="2228"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Uncertain</w:t>
            </w:r>
          </w:p>
        </w:tc>
        <w:tc>
          <w:tcPr>
            <w:tcW w:w="184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No</w:t>
            </w:r>
          </w:p>
        </w:tc>
      </w:tr>
      <w:tr w:rsidR="004E48F3" w:rsidRPr="004E48F3" w:rsidTr="004E48F3">
        <w:trPr>
          <w:trHeight w:val="1164"/>
        </w:trPr>
        <w:tc>
          <w:tcPr>
            <w:tcW w:w="973" w:type="dxa"/>
            <w:vMerge w:val="restart"/>
          </w:tcPr>
          <w:p w:rsidR="004E48F3" w:rsidRPr="004E48F3" w:rsidRDefault="004E48F3" w:rsidP="004E48F3">
            <w:pPr>
              <w:spacing w:after="120" w:line="276" w:lineRule="auto"/>
              <w:rPr>
                <w:rFonts w:ascii="Arial" w:hAnsi="Arial" w:cs="Arial"/>
                <w:color w:val="auto"/>
                <w:sz w:val="24"/>
                <w:szCs w:val="24"/>
              </w:rPr>
            </w:pPr>
            <w:r w:rsidRPr="004E48F3">
              <w:rPr>
                <w:rFonts w:ascii="Arial" w:hAnsi="Arial" w:cs="Arial"/>
                <w:color w:val="auto"/>
                <w:sz w:val="24"/>
                <w:szCs w:val="24"/>
              </w:rPr>
              <w:t>Others</w:t>
            </w:r>
          </w:p>
        </w:tc>
        <w:tc>
          <w:tcPr>
            <w:tcW w:w="1641"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(a) Ship dynamic positioning</w:t>
            </w:r>
          </w:p>
        </w:tc>
        <w:tc>
          <w:tcPr>
            <w:tcW w:w="1672"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High negative</w:t>
            </w:r>
          </w:p>
        </w:tc>
        <w:tc>
          <w:tcPr>
            <w:tcW w:w="195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Potentially (no anchorage used)</w:t>
            </w:r>
          </w:p>
        </w:tc>
        <w:tc>
          <w:tcPr>
            <w:tcW w:w="369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Uncertain</w:t>
            </w:r>
          </w:p>
        </w:tc>
        <w:tc>
          <w:tcPr>
            <w:tcW w:w="2228"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Likely no change</w:t>
            </w:r>
          </w:p>
        </w:tc>
        <w:tc>
          <w:tcPr>
            <w:tcW w:w="184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Part (cruise ships)</w:t>
            </w:r>
          </w:p>
        </w:tc>
      </w:tr>
      <w:tr w:rsidR="004E48F3" w:rsidRPr="004E48F3" w:rsidTr="004E48F3">
        <w:trPr>
          <w:trHeight w:val="146"/>
        </w:trPr>
        <w:tc>
          <w:tcPr>
            <w:tcW w:w="973" w:type="dxa"/>
            <w:vMerge/>
          </w:tcPr>
          <w:p w:rsidR="004E48F3" w:rsidRPr="004E48F3" w:rsidRDefault="004E48F3" w:rsidP="004E48F3">
            <w:pPr>
              <w:spacing w:after="120" w:line="276" w:lineRule="auto"/>
              <w:rPr>
                <w:rFonts w:ascii="Arial" w:hAnsi="Arial" w:cs="Arial"/>
                <w:b w:val="0"/>
                <w:color w:val="auto"/>
                <w:sz w:val="24"/>
                <w:szCs w:val="24"/>
              </w:rPr>
            </w:pPr>
          </w:p>
        </w:tc>
        <w:tc>
          <w:tcPr>
            <w:tcW w:w="1641"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(b) Mixed options</w:t>
            </w:r>
          </w:p>
        </w:tc>
        <w:tc>
          <w:tcPr>
            <w:tcW w:w="1672" w:type="dxa"/>
          </w:tcPr>
          <w:p w:rsidR="004E48F3" w:rsidRPr="004E48F3" w:rsidRDefault="004E48F3" w:rsidP="004E48F3">
            <w:pPr>
              <w:spacing w:after="120" w:line="276" w:lineRule="auto"/>
              <w:jc w:val="center"/>
              <w:rPr>
                <w:rFonts w:ascii="Arial" w:hAnsi="Arial" w:cs="Arial"/>
                <w:b w:val="0"/>
                <w:color w:val="auto"/>
                <w:sz w:val="24"/>
                <w:szCs w:val="24"/>
              </w:rPr>
            </w:pPr>
            <w:r w:rsidRPr="004E48F3">
              <w:rPr>
                <w:rFonts w:ascii="Arial" w:hAnsi="Arial" w:cs="Arial"/>
                <w:b w:val="0"/>
                <w:color w:val="auto"/>
                <w:sz w:val="24"/>
                <w:szCs w:val="24"/>
              </w:rPr>
              <w:t>-</w:t>
            </w:r>
          </w:p>
        </w:tc>
        <w:tc>
          <w:tcPr>
            <w:tcW w:w="1950" w:type="dxa"/>
          </w:tcPr>
          <w:p w:rsidR="004E48F3" w:rsidRPr="004E48F3" w:rsidRDefault="004E48F3" w:rsidP="004E48F3">
            <w:pPr>
              <w:spacing w:after="120" w:line="276" w:lineRule="auto"/>
              <w:jc w:val="center"/>
              <w:rPr>
                <w:rFonts w:ascii="Arial" w:hAnsi="Arial" w:cs="Arial"/>
                <w:b w:val="0"/>
                <w:color w:val="auto"/>
                <w:sz w:val="24"/>
                <w:szCs w:val="24"/>
              </w:rPr>
            </w:pPr>
            <w:r w:rsidRPr="004E48F3">
              <w:rPr>
                <w:rFonts w:ascii="Arial" w:hAnsi="Arial" w:cs="Arial"/>
                <w:b w:val="0"/>
                <w:color w:val="auto"/>
                <w:sz w:val="24"/>
                <w:szCs w:val="24"/>
              </w:rPr>
              <w:t>-</w:t>
            </w:r>
          </w:p>
        </w:tc>
        <w:tc>
          <w:tcPr>
            <w:tcW w:w="3690" w:type="dxa"/>
          </w:tcPr>
          <w:p w:rsidR="004E48F3" w:rsidRPr="004E48F3" w:rsidRDefault="004E48F3" w:rsidP="004E48F3">
            <w:pPr>
              <w:spacing w:after="120" w:line="276" w:lineRule="auto"/>
              <w:jc w:val="center"/>
              <w:rPr>
                <w:rFonts w:ascii="Arial" w:hAnsi="Arial" w:cs="Arial"/>
                <w:b w:val="0"/>
                <w:color w:val="auto"/>
                <w:sz w:val="24"/>
                <w:szCs w:val="24"/>
              </w:rPr>
            </w:pPr>
            <w:r w:rsidRPr="004E48F3">
              <w:rPr>
                <w:rFonts w:ascii="Arial" w:hAnsi="Arial" w:cs="Arial"/>
                <w:b w:val="0"/>
                <w:color w:val="auto"/>
                <w:sz w:val="24"/>
                <w:szCs w:val="24"/>
              </w:rPr>
              <w:t>-</w:t>
            </w:r>
          </w:p>
        </w:tc>
        <w:tc>
          <w:tcPr>
            <w:tcW w:w="2228" w:type="dxa"/>
          </w:tcPr>
          <w:p w:rsidR="004E48F3" w:rsidRPr="004E48F3" w:rsidRDefault="004E48F3" w:rsidP="004E48F3">
            <w:pPr>
              <w:spacing w:after="120" w:line="276" w:lineRule="auto"/>
              <w:jc w:val="center"/>
              <w:rPr>
                <w:rFonts w:ascii="Arial" w:hAnsi="Arial" w:cs="Arial"/>
                <w:b w:val="0"/>
                <w:color w:val="auto"/>
                <w:sz w:val="24"/>
                <w:szCs w:val="24"/>
              </w:rPr>
            </w:pPr>
            <w:r w:rsidRPr="004E48F3">
              <w:rPr>
                <w:rFonts w:ascii="Arial" w:hAnsi="Arial" w:cs="Arial"/>
                <w:b w:val="0"/>
                <w:color w:val="auto"/>
                <w:sz w:val="24"/>
                <w:szCs w:val="24"/>
              </w:rPr>
              <w:t>-</w:t>
            </w:r>
          </w:p>
        </w:tc>
        <w:tc>
          <w:tcPr>
            <w:tcW w:w="1840" w:type="dxa"/>
          </w:tcPr>
          <w:p w:rsidR="004E48F3" w:rsidRPr="004E48F3" w:rsidRDefault="004E48F3" w:rsidP="004E48F3">
            <w:pPr>
              <w:spacing w:after="120" w:line="276" w:lineRule="auto"/>
              <w:rPr>
                <w:rFonts w:ascii="Arial" w:hAnsi="Arial" w:cs="Arial"/>
                <w:b w:val="0"/>
                <w:color w:val="auto"/>
                <w:sz w:val="24"/>
                <w:szCs w:val="24"/>
              </w:rPr>
            </w:pPr>
            <w:r w:rsidRPr="004E48F3">
              <w:rPr>
                <w:rFonts w:ascii="Arial" w:hAnsi="Arial" w:cs="Arial"/>
                <w:b w:val="0"/>
                <w:color w:val="auto"/>
                <w:sz w:val="24"/>
                <w:szCs w:val="24"/>
              </w:rPr>
              <w:t>1 and 2</w:t>
            </w:r>
          </w:p>
        </w:tc>
      </w:tr>
    </w:tbl>
    <w:p w:rsidR="001A657F" w:rsidRDefault="001A657F" w:rsidP="00A2699D">
      <w:pPr>
        <w:pStyle w:val="Body"/>
      </w:pPr>
    </w:p>
    <w:p w:rsidR="004E48F3" w:rsidRDefault="004E48F3" w:rsidP="001A657F">
      <w:pPr>
        <w:pStyle w:val="Body"/>
        <w:rPr>
          <w:sz w:val="24"/>
          <w:szCs w:val="24"/>
        </w:rPr>
        <w:sectPr w:rsidR="004E48F3" w:rsidSect="004E48F3">
          <w:headerReference w:type="default" r:id="rId64"/>
          <w:footerReference w:type="default" r:id="rId65"/>
          <w:pgSz w:w="16838" w:h="11906" w:orient="landscape" w:code="9"/>
          <w:pgMar w:top="1701" w:right="1701" w:bottom="1418" w:left="1418" w:header="709" w:footer="709" w:gutter="0"/>
          <w:cols w:space="720"/>
          <w:docGrid w:linePitch="273"/>
        </w:sectPr>
      </w:pPr>
    </w:p>
    <w:p w:rsidR="001A657F" w:rsidRPr="00B41CFA" w:rsidRDefault="001A657F" w:rsidP="00905CF3">
      <w:pPr>
        <w:pStyle w:val="Heading3"/>
        <w:rPr>
          <w:sz w:val="24"/>
        </w:rPr>
      </w:pPr>
      <w:bookmarkStart w:id="470" w:name="_Toc347820427"/>
      <w:bookmarkStart w:id="471" w:name="_Toc347820567"/>
      <w:bookmarkStart w:id="472" w:name="_Toc347832961"/>
      <w:bookmarkStart w:id="473" w:name="_Toc342402486"/>
      <w:bookmarkStart w:id="474" w:name="_Toc343597286"/>
      <w:bookmarkStart w:id="475" w:name="_Toc362274333"/>
      <w:bookmarkEnd w:id="470"/>
      <w:bookmarkEnd w:id="471"/>
      <w:bookmarkEnd w:id="472"/>
      <w:r w:rsidRPr="00B41CFA">
        <w:rPr>
          <w:sz w:val="24"/>
        </w:rPr>
        <w:t>Relevant ship anchorage management options for the Port of Abbot Point</w:t>
      </w:r>
      <w:bookmarkEnd w:id="473"/>
      <w:bookmarkEnd w:id="474"/>
      <w:bookmarkEnd w:id="475"/>
    </w:p>
    <w:p w:rsidR="001A657F" w:rsidRPr="001F52E5" w:rsidRDefault="001A657F" w:rsidP="001A657F">
      <w:pPr>
        <w:pStyle w:val="Body"/>
        <w:rPr>
          <w:sz w:val="24"/>
          <w:szCs w:val="24"/>
        </w:rPr>
      </w:pPr>
      <w:r w:rsidRPr="001F52E5">
        <w:rPr>
          <w:sz w:val="24"/>
          <w:szCs w:val="24"/>
        </w:rPr>
        <w:t>The possible future relevance of the identified ship anchorage management options specifically for the Port of Abbot Point was considered with regard to four criteria:</w:t>
      </w:r>
    </w:p>
    <w:p w:rsidR="001A657F" w:rsidRPr="001F52E5" w:rsidRDefault="001A657F" w:rsidP="001A657F">
      <w:pPr>
        <w:pStyle w:val="Body"/>
        <w:numPr>
          <w:ilvl w:val="0"/>
          <w:numId w:val="21"/>
        </w:numPr>
        <w:rPr>
          <w:sz w:val="24"/>
          <w:szCs w:val="24"/>
        </w:rPr>
      </w:pPr>
      <w:r w:rsidRPr="001F52E5">
        <w:rPr>
          <w:sz w:val="24"/>
          <w:szCs w:val="24"/>
        </w:rPr>
        <w:t>Possible economic and commercial impacts</w:t>
      </w:r>
    </w:p>
    <w:p w:rsidR="001A657F" w:rsidRPr="001F52E5" w:rsidRDefault="001A657F" w:rsidP="001A657F">
      <w:pPr>
        <w:pStyle w:val="Body"/>
        <w:numPr>
          <w:ilvl w:val="0"/>
          <w:numId w:val="21"/>
        </w:numPr>
        <w:rPr>
          <w:sz w:val="24"/>
          <w:szCs w:val="24"/>
        </w:rPr>
      </w:pPr>
      <w:r w:rsidRPr="001F52E5">
        <w:rPr>
          <w:sz w:val="24"/>
          <w:szCs w:val="24"/>
        </w:rPr>
        <w:t>Possible environmental impacts with the goal of achieving net environmental gains</w:t>
      </w:r>
    </w:p>
    <w:p w:rsidR="001A657F" w:rsidRPr="001F52E5" w:rsidRDefault="001A657F" w:rsidP="001A657F">
      <w:pPr>
        <w:pStyle w:val="Body"/>
        <w:numPr>
          <w:ilvl w:val="0"/>
          <w:numId w:val="21"/>
        </w:numPr>
        <w:rPr>
          <w:sz w:val="24"/>
          <w:szCs w:val="24"/>
        </w:rPr>
      </w:pPr>
      <w:r w:rsidRPr="001F52E5">
        <w:rPr>
          <w:sz w:val="24"/>
          <w:szCs w:val="24"/>
        </w:rPr>
        <w:t>Possible ship safety and emergency response impacts</w:t>
      </w:r>
    </w:p>
    <w:p w:rsidR="001A657F" w:rsidRPr="001F52E5" w:rsidRDefault="001A657F" w:rsidP="001A657F">
      <w:pPr>
        <w:pStyle w:val="Body"/>
        <w:numPr>
          <w:ilvl w:val="0"/>
          <w:numId w:val="21"/>
        </w:numPr>
        <w:rPr>
          <w:sz w:val="24"/>
          <w:szCs w:val="24"/>
        </w:rPr>
      </w:pPr>
      <w:r w:rsidRPr="001F52E5">
        <w:rPr>
          <w:sz w:val="24"/>
          <w:szCs w:val="24"/>
        </w:rPr>
        <w:t>Possible other user and social impacts</w:t>
      </w:r>
      <w:r w:rsidR="001F52E5">
        <w:rPr>
          <w:sz w:val="24"/>
          <w:szCs w:val="24"/>
        </w:rPr>
        <w:t>.</w:t>
      </w:r>
    </w:p>
    <w:p w:rsidR="001A657F" w:rsidRDefault="001A657F" w:rsidP="001A657F">
      <w:pPr>
        <w:pStyle w:val="Body"/>
        <w:rPr>
          <w:sz w:val="24"/>
          <w:szCs w:val="24"/>
        </w:rPr>
      </w:pPr>
      <w:r w:rsidRPr="001F52E5">
        <w:rPr>
          <w:sz w:val="24"/>
          <w:szCs w:val="24"/>
        </w:rPr>
        <w:t xml:space="preserve">An overview of the results of the examination for the Port of Abbot Point are contained in </w:t>
      </w:r>
      <w:r w:rsidR="00ED39F9" w:rsidRPr="001F52E5">
        <w:rPr>
          <w:sz w:val="24"/>
          <w:szCs w:val="24"/>
        </w:rPr>
        <w:fldChar w:fldCharType="begin"/>
      </w:r>
      <w:r w:rsidR="00ED39F9" w:rsidRPr="001F52E5">
        <w:rPr>
          <w:sz w:val="24"/>
          <w:szCs w:val="24"/>
        </w:rPr>
        <w:instrText xml:space="preserve"> REF  _Ref343502894 \* Lower \h  \* MERGEFORMAT </w:instrText>
      </w:r>
      <w:r w:rsidR="00ED39F9" w:rsidRPr="001F52E5">
        <w:rPr>
          <w:sz w:val="24"/>
          <w:szCs w:val="24"/>
        </w:rPr>
      </w:r>
      <w:r w:rsidR="00ED39F9" w:rsidRPr="001F52E5">
        <w:rPr>
          <w:sz w:val="24"/>
          <w:szCs w:val="24"/>
        </w:rPr>
        <w:fldChar w:fldCharType="separate"/>
      </w:r>
      <w:r w:rsidR="005F6E51" w:rsidRPr="004E48F3">
        <w:rPr>
          <w:sz w:val="24"/>
          <w:szCs w:val="24"/>
        </w:rPr>
        <w:t xml:space="preserve">table </w:t>
      </w:r>
      <w:r w:rsidR="005F6E51">
        <w:rPr>
          <w:noProof/>
          <w:sz w:val="24"/>
          <w:szCs w:val="24"/>
        </w:rPr>
        <w:t>5</w:t>
      </w:r>
      <w:r w:rsidR="005F6E51" w:rsidRPr="004E48F3">
        <w:rPr>
          <w:noProof/>
          <w:sz w:val="24"/>
          <w:szCs w:val="24"/>
        </w:rPr>
        <w:noBreakHyphen/>
      </w:r>
      <w:r w:rsidR="005F6E51">
        <w:rPr>
          <w:noProof/>
          <w:sz w:val="24"/>
          <w:szCs w:val="24"/>
        </w:rPr>
        <w:t>4</w:t>
      </w:r>
      <w:r w:rsidR="00ED39F9" w:rsidRPr="001F52E5">
        <w:rPr>
          <w:sz w:val="24"/>
          <w:szCs w:val="24"/>
        </w:rPr>
        <w:fldChar w:fldCharType="end"/>
      </w:r>
      <w:r w:rsidRPr="001F52E5">
        <w:rPr>
          <w:sz w:val="24"/>
          <w:szCs w:val="24"/>
        </w:rPr>
        <w:t>.</w:t>
      </w:r>
    </w:p>
    <w:p w:rsidR="0070415B" w:rsidRPr="001F52E5" w:rsidRDefault="0070415B" w:rsidP="0070415B">
      <w:pPr>
        <w:pStyle w:val="Body"/>
        <w:rPr>
          <w:sz w:val="24"/>
          <w:szCs w:val="24"/>
        </w:rPr>
      </w:pPr>
      <w:r w:rsidRPr="001F52E5">
        <w:rPr>
          <w:sz w:val="24"/>
          <w:szCs w:val="24"/>
        </w:rPr>
        <w:t>Ship anchorage at the Port of Abbot Point was considered to be typical of a single commodity coal export port. It was noted that part of the current anchorage area is inside of the port limits and anchorage drop points are undesignated.</w:t>
      </w:r>
    </w:p>
    <w:p w:rsidR="0070415B" w:rsidRPr="001F52E5" w:rsidRDefault="0070415B" w:rsidP="0070415B">
      <w:pPr>
        <w:pStyle w:val="Body"/>
        <w:rPr>
          <w:sz w:val="24"/>
          <w:szCs w:val="24"/>
        </w:rPr>
      </w:pPr>
      <w:r w:rsidRPr="001F52E5">
        <w:rPr>
          <w:sz w:val="24"/>
          <w:szCs w:val="24"/>
        </w:rPr>
        <w:t xml:space="preserve">The expected relatively significant growth in future ship calls (around 11 per cent per year, refer to section </w:t>
      </w:r>
      <w:r w:rsidRPr="001F52E5">
        <w:rPr>
          <w:sz w:val="24"/>
          <w:szCs w:val="24"/>
        </w:rPr>
        <w:fldChar w:fldCharType="begin"/>
      </w:r>
      <w:r w:rsidRPr="001F52E5">
        <w:rPr>
          <w:sz w:val="24"/>
          <w:szCs w:val="24"/>
        </w:rPr>
        <w:instrText xml:space="preserve"> REF _Ref343520140 \r \h  \* MERGEFORMAT </w:instrText>
      </w:r>
      <w:r w:rsidRPr="001F52E5">
        <w:rPr>
          <w:sz w:val="24"/>
          <w:szCs w:val="24"/>
        </w:rPr>
      </w:r>
      <w:r w:rsidRPr="001F52E5">
        <w:rPr>
          <w:sz w:val="24"/>
          <w:szCs w:val="24"/>
        </w:rPr>
        <w:fldChar w:fldCharType="separate"/>
      </w:r>
      <w:r>
        <w:rPr>
          <w:sz w:val="24"/>
          <w:szCs w:val="24"/>
        </w:rPr>
        <w:t>4.7.3</w:t>
      </w:r>
      <w:r w:rsidRPr="001F52E5">
        <w:rPr>
          <w:sz w:val="24"/>
          <w:szCs w:val="24"/>
        </w:rPr>
        <w:fldChar w:fldCharType="end"/>
      </w:r>
      <w:r w:rsidRPr="001F52E5">
        <w:rPr>
          <w:sz w:val="24"/>
          <w:szCs w:val="24"/>
        </w:rPr>
        <w:t>) at the Port of Abbot Point was considered to support improving current anchorage practices by implementing designated anchorage areas. The option of scheduled arrivals with designated anchorages was also considered to be relevant. However, there is some discussion that scheduled arrivals may possibly result in ships idling more at sea and/or anchoring elsewhere than if more designated anchorages were provided.</w:t>
      </w:r>
    </w:p>
    <w:p w:rsidR="0070415B" w:rsidRPr="001F52E5" w:rsidRDefault="0070415B" w:rsidP="0070415B">
      <w:pPr>
        <w:pStyle w:val="Body"/>
        <w:rPr>
          <w:sz w:val="24"/>
          <w:szCs w:val="24"/>
        </w:rPr>
      </w:pPr>
      <w:r w:rsidRPr="001F52E5">
        <w:rPr>
          <w:sz w:val="24"/>
          <w:szCs w:val="24"/>
        </w:rPr>
        <w:t>The current practices of ship anchoring with the current size of port operations were considered to have minimal impact for the environment and other users beyond th</w:t>
      </w:r>
      <w:r w:rsidR="00FA782B">
        <w:rPr>
          <w:sz w:val="24"/>
          <w:szCs w:val="24"/>
        </w:rPr>
        <w:t xml:space="preserve">at which has already occurred. </w:t>
      </w:r>
      <w:r w:rsidRPr="001F52E5">
        <w:rPr>
          <w:sz w:val="24"/>
          <w:szCs w:val="24"/>
        </w:rPr>
        <w:t xml:space="preserve">Ship safety and the ability to rapidly respond to any maritime incident are considered to be excellent under existing arrangements given the close proximity of the main anchorage area to the port. Environmental and economic benefits may, however, be realised if anchorage areas were designated at this port. </w:t>
      </w:r>
    </w:p>
    <w:p w:rsidR="0070415B" w:rsidRPr="001F52E5" w:rsidRDefault="0070415B" w:rsidP="0070415B">
      <w:pPr>
        <w:pStyle w:val="Body"/>
        <w:rPr>
          <w:sz w:val="24"/>
          <w:szCs w:val="24"/>
        </w:rPr>
      </w:pPr>
      <w:r w:rsidRPr="001F52E5">
        <w:rPr>
          <w:sz w:val="24"/>
          <w:szCs w:val="24"/>
        </w:rPr>
        <w:t>In conclusion, current practices with designated anchorage areas as a future improvement and possibly scheduled ship arrivals if and when anchorage demand dictates, were envisaged as relevant anchorage management options in the future for the Port of Abbot Point.</w:t>
      </w:r>
    </w:p>
    <w:p w:rsidR="004E48F3" w:rsidRDefault="004E48F3" w:rsidP="001A657F">
      <w:pPr>
        <w:pStyle w:val="Body"/>
        <w:rPr>
          <w:sz w:val="24"/>
          <w:szCs w:val="24"/>
        </w:rPr>
        <w:sectPr w:rsidR="004E48F3" w:rsidSect="00B6174B">
          <w:headerReference w:type="default" r:id="rId66"/>
          <w:footerReference w:type="default" r:id="rId67"/>
          <w:pgSz w:w="11906" w:h="16838" w:code="9"/>
          <w:pgMar w:top="1418" w:right="1701" w:bottom="1701" w:left="1418" w:header="709" w:footer="709" w:gutter="0"/>
          <w:cols w:space="720"/>
          <w:docGrid w:linePitch="273"/>
        </w:sectPr>
      </w:pPr>
    </w:p>
    <w:p w:rsidR="001A657F" w:rsidRDefault="001A657F" w:rsidP="001A657F">
      <w:pPr>
        <w:pStyle w:val="CaptionTable"/>
        <w:rPr>
          <w:sz w:val="24"/>
          <w:szCs w:val="24"/>
        </w:rPr>
      </w:pPr>
      <w:bookmarkStart w:id="476" w:name="_Ref343502894"/>
      <w:bookmarkStart w:id="477" w:name="_Toc342402116"/>
      <w:bookmarkStart w:id="478" w:name="_Toc343582066"/>
      <w:bookmarkStart w:id="479" w:name="_Toc343597162"/>
      <w:bookmarkStart w:id="480" w:name="_Toc362274376"/>
      <w:r w:rsidRPr="004E48F3">
        <w:rPr>
          <w:sz w:val="24"/>
          <w:szCs w:val="24"/>
        </w:rPr>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5</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4</w:t>
      </w:r>
      <w:r w:rsidR="00542883">
        <w:rPr>
          <w:sz w:val="24"/>
          <w:szCs w:val="24"/>
        </w:rPr>
        <w:fldChar w:fldCharType="end"/>
      </w:r>
      <w:bookmarkEnd w:id="476"/>
      <w:r w:rsidRPr="004E48F3">
        <w:rPr>
          <w:sz w:val="24"/>
          <w:szCs w:val="24"/>
        </w:rPr>
        <w:t xml:space="preserve">: </w:t>
      </w:r>
      <w:r w:rsidRPr="00DE2A47">
        <w:rPr>
          <w:b w:val="0"/>
          <w:sz w:val="24"/>
          <w:szCs w:val="24"/>
        </w:rPr>
        <w:t>Overview of ship anchorage management options and relevance for Port of Abbot Point</w:t>
      </w:r>
      <w:bookmarkEnd w:id="477"/>
      <w:bookmarkEnd w:id="478"/>
      <w:bookmarkEnd w:id="479"/>
      <w:bookmarkEnd w:id="480"/>
    </w:p>
    <w:tbl>
      <w:tblPr>
        <w:tblStyle w:val="TableGrid4"/>
        <w:tblW w:w="13920" w:type="dxa"/>
        <w:tblBorders>
          <w:left w:val="none" w:sz="0" w:space="0" w:color="auto"/>
          <w:right w:val="none" w:sz="0" w:space="0" w:color="auto"/>
          <w:insideV w:val="none" w:sz="0" w:space="0" w:color="auto"/>
        </w:tblBorders>
        <w:tblLook w:val="04A0" w:firstRow="1" w:lastRow="0" w:firstColumn="1" w:lastColumn="0" w:noHBand="0" w:noVBand="1"/>
        <w:tblCaption w:val="Overview of ship anchorage management options and relevance for Port of Abbot Point"/>
        <w:tblDescription w:val="An overview of the potential ship anchorage management options for the Port of Abbot Point. Columns represent the option number, name of the option and each assessed criteria. Further discussion of management options for the port is provided in Section 5.3.3."/>
      </w:tblPr>
      <w:tblGrid>
        <w:gridCol w:w="1068"/>
        <w:gridCol w:w="2311"/>
        <w:gridCol w:w="2139"/>
        <w:gridCol w:w="2502"/>
        <w:gridCol w:w="1854"/>
        <w:gridCol w:w="2216"/>
        <w:gridCol w:w="1830"/>
      </w:tblGrid>
      <w:tr w:rsidR="00705FB6" w:rsidRPr="00705FB6" w:rsidTr="00705FB6">
        <w:trPr>
          <w:trHeight w:val="146"/>
          <w:tblHeader/>
        </w:trPr>
        <w:tc>
          <w:tcPr>
            <w:tcW w:w="1068" w:type="dxa"/>
            <w:vMerge w:val="restart"/>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Option</w:t>
            </w:r>
          </w:p>
        </w:tc>
        <w:tc>
          <w:tcPr>
            <w:tcW w:w="2311" w:type="dxa"/>
            <w:vMerge w:val="restart"/>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Name</w:t>
            </w:r>
          </w:p>
        </w:tc>
        <w:tc>
          <w:tcPr>
            <w:tcW w:w="10541" w:type="dxa"/>
            <w:gridSpan w:val="5"/>
          </w:tcPr>
          <w:p w:rsidR="00705FB6" w:rsidRPr="00705FB6" w:rsidRDefault="00705FB6" w:rsidP="00705FB6">
            <w:pPr>
              <w:spacing w:after="120" w:line="276" w:lineRule="auto"/>
              <w:jc w:val="center"/>
              <w:rPr>
                <w:rFonts w:ascii="Arial" w:hAnsi="Arial" w:cs="Arial"/>
                <w:color w:val="auto"/>
                <w:sz w:val="24"/>
                <w:szCs w:val="24"/>
              </w:rPr>
            </w:pPr>
            <w:r w:rsidRPr="00705FB6">
              <w:rPr>
                <w:rFonts w:ascii="Arial" w:hAnsi="Arial" w:cs="Arial"/>
                <w:color w:val="auto"/>
                <w:sz w:val="24"/>
                <w:szCs w:val="24"/>
              </w:rPr>
              <w:t>Assessed Criteria (Potential Net Benefits)</w:t>
            </w:r>
          </w:p>
        </w:tc>
      </w:tr>
      <w:tr w:rsidR="00705FB6" w:rsidRPr="00705FB6" w:rsidTr="00705FB6">
        <w:trPr>
          <w:trHeight w:val="146"/>
          <w:tblHeader/>
        </w:trPr>
        <w:tc>
          <w:tcPr>
            <w:tcW w:w="1068" w:type="dxa"/>
            <w:vMerge/>
          </w:tcPr>
          <w:p w:rsidR="00705FB6" w:rsidRPr="00705FB6" w:rsidRDefault="00705FB6" w:rsidP="00705FB6">
            <w:pPr>
              <w:spacing w:after="120" w:line="276" w:lineRule="auto"/>
              <w:rPr>
                <w:rFonts w:ascii="Arial" w:hAnsi="Arial" w:cs="Arial"/>
                <w:color w:val="auto"/>
                <w:sz w:val="24"/>
                <w:szCs w:val="24"/>
              </w:rPr>
            </w:pPr>
          </w:p>
        </w:tc>
        <w:tc>
          <w:tcPr>
            <w:tcW w:w="2311" w:type="dxa"/>
            <w:vMerge/>
          </w:tcPr>
          <w:p w:rsidR="00705FB6" w:rsidRPr="00705FB6" w:rsidRDefault="00705FB6" w:rsidP="00705FB6">
            <w:pPr>
              <w:spacing w:after="120" w:line="276" w:lineRule="auto"/>
              <w:rPr>
                <w:rFonts w:ascii="Arial" w:hAnsi="Arial" w:cs="Arial"/>
                <w:color w:val="auto"/>
                <w:sz w:val="24"/>
                <w:szCs w:val="24"/>
              </w:rPr>
            </w:pPr>
          </w:p>
        </w:tc>
        <w:tc>
          <w:tcPr>
            <w:tcW w:w="2139" w:type="dxa"/>
          </w:tcPr>
          <w:p w:rsidR="00705FB6" w:rsidRPr="00705FB6" w:rsidRDefault="00705FB6" w:rsidP="0075468D">
            <w:pPr>
              <w:spacing w:after="120" w:line="276" w:lineRule="auto"/>
              <w:rPr>
                <w:rFonts w:ascii="Arial" w:hAnsi="Arial" w:cs="Arial"/>
                <w:color w:val="auto"/>
                <w:sz w:val="24"/>
                <w:szCs w:val="24"/>
              </w:rPr>
            </w:pPr>
            <w:r w:rsidRPr="00705FB6">
              <w:rPr>
                <w:rFonts w:ascii="Arial" w:hAnsi="Arial" w:cs="Arial"/>
                <w:color w:val="auto"/>
                <w:sz w:val="24"/>
                <w:szCs w:val="24"/>
              </w:rPr>
              <w:t>Economic / Commercial impacts</w:t>
            </w:r>
          </w:p>
        </w:tc>
        <w:tc>
          <w:tcPr>
            <w:tcW w:w="2502" w:type="dxa"/>
          </w:tcPr>
          <w:p w:rsidR="00705FB6" w:rsidRPr="00705FB6" w:rsidRDefault="00705FB6" w:rsidP="0075468D">
            <w:pPr>
              <w:spacing w:after="120" w:line="276" w:lineRule="auto"/>
              <w:rPr>
                <w:rFonts w:ascii="Arial" w:hAnsi="Arial" w:cs="Arial"/>
                <w:color w:val="auto"/>
                <w:sz w:val="24"/>
                <w:szCs w:val="24"/>
              </w:rPr>
            </w:pPr>
            <w:r w:rsidRPr="00705FB6">
              <w:rPr>
                <w:rFonts w:ascii="Arial" w:hAnsi="Arial" w:cs="Arial"/>
                <w:color w:val="auto"/>
                <w:sz w:val="24"/>
                <w:szCs w:val="24"/>
              </w:rPr>
              <w:t>Environmental impacts</w:t>
            </w:r>
          </w:p>
        </w:tc>
        <w:tc>
          <w:tcPr>
            <w:tcW w:w="1854" w:type="dxa"/>
          </w:tcPr>
          <w:p w:rsidR="00705FB6" w:rsidRPr="00705FB6" w:rsidRDefault="00705FB6" w:rsidP="0075468D">
            <w:pPr>
              <w:spacing w:after="120" w:line="276" w:lineRule="auto"/>
              <w:rPr>
                <w:rFonts w:ascii="Arial" w:hAnsi="Arial" w:cs="Arial"/>
                <w:color w:val="auto"/>
                <w:sz w:val="24"/>
                <w:szCs w:val="24"/>
              </w:rPr>
            </w:pPr>
            <w:r w:rsidRPr="00705FB6">
              <w:rPr>
                <w:rFonts w:ascii="Arial" w:hAnsi="Arial" w:cs="Arial"/>
                <w:color w:val="auto"/>
                <w:sz w:val="24"/>
                <w:szCs w:val="24"/>
              </w:rPr>
              <w:t>Ship safety / Response impacts</w:t>
            </w:r>
          </w:p>
        </w:tc>
        <w:tc>
          <w:tcPr>
            <w:tcW w:w="2216" w:type="dxa"/>
          </w:tcPr>
          <w:p w:rsidR="00705FB6" w:rsidRPr="00705FB6" w:rsidRDefault="00705FB6" w:rsidP="0075468D">
            <w:pPr>
              <w:spacing w:after="120" w:line="276" w:lineRule="auto"/>
              <w:rPr>
                <w:rFonts w:ascii="Arial" w:hAnsi="Arial" w:cs="Arial"/>
                <w:color w:val="auto"/>
                <w:sz w:val="24"/>
                <w:szCs w:val="24"/>
              </w:rPr>
            </w:pPr>
            <w:r w:rsidRPr="00705FB6">
              <w:rPr>
                <w:rFonts w:ascii="Arial" w:hAnsi="Arial" w:cs="Arial"/>
                <w:color w:val="auto"/>
                <w:sz w:val="24"/>
                <w:szCs w:val="24"/>
              </w:rPr>
              <w:t>Other user impacts</w:t>
            </w:r>
          </w:p>
        </w:tc>
        <w:tc>
          <w:tcPr>
            <w:tcW w:w="1830" w:type="dxa"/>
          </w:tcPr>
          <w:p w:rsidR="00705FB6" w:rsidRPr="00705FB6" w:rsidRDefault="00705FB6" w:rsidP="0075468D">
            <w:pPr>
              <w:spacing w:after="120" w:line="276" w:lineRule="auto"/>
              <w:rPr>
                <w:rFonts w:ascii="Arial" w:hAnsi="Arial" w:cs="Arial"/>
                <w:color w:val="auto"/>
                <w:sz w:val="24"/>
                <w:szCs w:val="24"/>
              </w:rPr>
            </w:pPr>
            <w:r w:rsidRPr="00705FB6">
              <w:rPr>
                <w:rFonts w:ascii="Arial" w:hAnsi="Arial" w:cs="Arial"/>
                <w:color w:val="auto"/>
                <w:sz w:val="24"/>
                <w:szCs w:val="24"/>
              </w:rPr>
              <w:t>Relevant for future</w:t>
            </w:r>
          </w:p>
        </w:tc>
      </w:tr>
      <w:tr w:rsidR="00705FB6" w:rsidRPr="00705FB6" w:rsidTr="00705FB6">
        <w:trPr>
          <w:trHeight w:val="146"/>
        </w:trPr>
        <w:tc>
          <w:tcPr>
            <w:tcW w:w="1068"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1</w:t>
            </w:r>
          </w:p>
        </w:tc>
        <w:tc>
          <w:tcPr>
            <w:tcW w:w="231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Business-as-usual</w:t>
            </w:r>
          </w:p>
        </w:tc>
        <w:tc>
          <w:tcPr>
            <w:tcW w:w="213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 xml:space="preserve">Yes </w:t>
            </w:r>
          </w:p>
        </w:tc>
        <w:tc>
          <w:tcPr>
            <w:tcW w:w="250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Minimal (occurred)</w:t>
            </w:r>
          </w:p>
        </w:tc>
        <w:tc>
          <w:tcPr>
            <w:tcW w:w="1854"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Excellent (close to port)</w:t>
            </w:r>
          </w:p>
        </w:tc>
        <w:tc>
          <w:tcPr>
            <w:tcW w:w="2216"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Minimal (current)</w:t>
            </w:r>
          </w:p>
        </w:tc>
        <w:tc>
          <w:tcPr>
            <w:tcW w:w="183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Yes</w:t>
            </w:r>
          </w:p>
        </w:tc>
      </w:tr>
      <w:tr w:rsidR="00705FB6" w:rsidRPr="00705FB6" w:rsidTr="00705FB6">
        <w:trPr>
          <w:trHeight w:val="146"/>
        </w:trPr>
        <w:tc>
          <w:tcPr>
            <w:tcW w:w="1068"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2</w:t>
            </w:r>
          </w:p>
        </w:tc>
        <w:tc>
          <w:tcPr>
            <w:tcW w:w="231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Improved</w:t>
            </w:r>
          </w:p>
        </w:tc>
        <w:tc>
          <w:tcPr>
            <w:tcW w:w="213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Yes (efficiencies)</w:t>
            </w:r>
          </w:p>
        </w:tc>
        <w:tc>
          <w:tcPr>
            <w:tcW w:w="250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54"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Excellent (close to port)</w:t>
            </w:r>
          </w:p>
        </w:tc>
        <w:tc>
          <w:tcPr>
            <w:tcW w:w="2216"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3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Yes</w:t>
            </w:r>
          </w:p>
        </w:tc>
      </w:tr>
      <w:tr w:rsidR="00705FB6" w:rsidRPr="00705FB6" w:rsidTr="00705FB6">
        <w:trPr>
          <w:trHeight w:val="146"/>
        </w:trPr>
        <w:tc>
          <w:tcPr>
            <w:tcW w:w="1068"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3</w:t>
            </w:r>
          </w:p>
        </w:tc>
        <w:tc>
          <w:tcPr>
            <w:tcW w:w="231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All-at-Port</w:t>
            </w:r>
          </w:p>
        </w:tc>
        <w:tc>
          <w:tcPr>
            <w:tcW w:w="213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High negative</w:t>
            </w:r>
          </w:p>
        </w:tc>
        <w:tc>
          <w:tcPr>
            <w:tcW w:w="250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54"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Excellent (in port)</w:t>
            </w:r>
          </w:p>
        </w:tc>
        <w:tc>
          <w:tcPr>
            <w:tcW w:w="2216"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Possibly (via no use of anchorages)</w:t>
            </w:r>
          </w:p>
        </w:tc>
        <w:tc>
          <w:tcPr>
            <w:tcW w:w="183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6"/>
        </w:trPr>
        <w:tc>
          <w:tcPr>
            <w:tcW w:w="1068"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4</w:t>
            </w:r>
          </w:p>
        </w:tc>
        <w:tc>
          <w:tcPr>
            <w:tcW w:w="231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All-in-Port limits</w:t>
            </w:r>
          </w:p>
        </w:tc>
        <w:tc>
          <w:tcPr>
            <w:tcW w:w="213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negative (uncertain if feasible)</w:t>
            </w:r>
          </w:p>
        </w:tc>
        <w:tc>
          <w:tcPr>
            <w:tcW w:w="250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54"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negative (navigation issues)</w:t>
            </w:r>
          </w:p>
        </w:tc>
        <w:tc>
          <w:tcPr>
            <w:tcW w:w="2216"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 / Possible</w:t>
            </w:r>
          </w:p>
        </w:tc>
        <w:tc>
          <w:tcPr>
            <w:tcW w:w="183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6"/>
        </w:trPr>
        <w:tc>
          <w:tcPr>
            <w:tcW w:w="1068"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5</w:t>
            </w:r>
          </w:p>
        </w:tc>
        <w:tc>
          <w:tcPr>
            <w:tcW w:w="231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Fixed-Moored</w:t>
            </w:r>
          </w:p>
        </w:tc>
        <w:tc>
          <w:tcPr>
            <w:tcW w:w="213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High negative</w:t>
            </w:r>
          </w:p>
        </w:tc>
        <w:tc>
          <w:tcPr>
            <w:tcW w:w="250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negative</w:t>
            </w:r>
          </w:p>
        </w:tc>
        <w:tc>
          <w:tcPr>
            <w:tcW w:w="1854"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negative</w:t>
            </w:r>
          </w:p>
        </w:tc>
        <w:tc>
          <w:tcPr>
            <w:tcW w:w="2216"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negative</w:t>
            </w:r>
          </w:p>
        </w:tc>
        <w:tc>
          <w:tcPr>
            <w:tcW w:w="183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6"/>
        </w:trPr>
        <w:tc>
          <w:tcPr>
            <w:tcW w:w="1068"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6</w:t>
            </w:r>
          </w:p>
        </w:tc>
        <w:tc>
          <w:tcPr>
            <w:tcW w:w="231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All-at-Sea</w:t>
            </w:r>
          </w:p>
        </w:tc>
        <w:tc>
          <w:tcPr>
            <w:tcW w:w="213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Negative</w:t>
            </w:r>
          </w:p>
        </w:tc>
        <w:tc>
          <w:tcPr>
            <w:tcW w:w="250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54"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negative</w:t>
            </w:r>
          </w:p>
        </w:tc>
        <w:tc>
          <w:tcPr>
            <w:tcW w:w="2216"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3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6"/>
        </w:trPr>
        <w:tc>
          <w:tcPr>
            <w:tcW w:w="1068"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7</w:t>
            </w:r>
          </w:p>
        </w:tc>
        <w:tc>
          <w:tcPr>
            <w:tcW w:w="231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Scheduled Arrivals</w:t>
            </w:r>
          </w:p>
        </w:tc>
        <w:tc>
          <w:tcPr>
            <w:tcW w:w="213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250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54"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2216"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3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6"/>
        </w:trPr>
        <w:tc>
          <w:tcPr>
            <w:tcW w:w="1068"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8</w:t>
            </w:r>
          </w:p>
        </w:tc>
        <w:tc>
          <w:tcPr>
            <w:tcW w:w="231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Scheduled Arrivals plus Anchorage</w:t>
            </w:r>
          </w:p>
        </w:tc>
        <w:tc>
          <w:tcPr>
            <w:tcW w:w="213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Benefits &amp; costs to be evaluated</w:t>
            </w:r>
          </w:p>
        </w:tc>
        <w:tc>
          <w:tcPr>
            <w:tcW w:w="250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Possibly benefits or no change</w:t>
            </w:r>
          </w:p>
        </w:tc>
        <w:tc>
          <w:tcPr>
            <w:tcW w:w="1854"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2216"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Possibly benefits or no change</w:t>
            </w:r>
          </w:p>
        </w:tc>
        <w:tc>
          <w:tcPr>
            <w:tcW w:w="183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Possibly (but link to Hay Point)</w:t>
            </w:r>
          </w:p>
        </w:tc>
      </w:tr>
      <w:tr w:rsidR="00705FB6" w:rsidRPr="00705FB6" w:rsidTr="00705FB6">
        <w:trPr>
          <w:trHeight w:val="146"/>
        </w:trPr>
        <w:tc>
          <w:tcPr>
            <w:tcW w:w="1068" w:type="dxa"/>
            <w:vMerge w:val="restart"/>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9</w:t>
            </w:r>
          </w:p>
        </w:tc>
        <w:tc>
          <w:tcPr>
            <w:tcW w:w="231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Demand Management</w:t>
            </w:r>
          </w:p>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 xml:space="preserve">(a) Capped ship arrivals </w:t>
            </w:r>
          </w:p>
        </w:tc>
        <w:tc>
          <w:tcPr>
            <w:tcW w:w="213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High negative</w:t>
            </w:r>
          </w:p>
        </w:tc>
        <w:tc>
          <w:tcPr>
            <w:tcW w:w="250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54"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2216"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3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6"/>
        </w:trPr>
        <w:tc>
          <w:tcPr>
            <w:tcW w:w="1068" w:type="dxa"/>
            <w:vMerge/>
          </w:tcPr>
          <w:p w:rsidR="00705FB6" w:rsidRPr="00705FB6" w:rsidRDefault="00705FB6" w:rsidP="00705FB6">
            <w:pPr>
              <w:spacing w:after="120" w:line="276" w:lineRule="auto"/>
              <w:rPr>
                <w:rFonts w:ascii="Arial" w:hAnsi="Arial" w:cs="Arial"/>
                <w:color w:val="auto"/>
                <w:sz w:val="24"/>
                <w:szCs w:val="24"/>
              </w:rPr>
            </w:pPr>
          </w:p>
        </w:tc>
        <w:tc>
          <w:tcPr>
            <w:tcW w:w="231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(b) Anchorage pricing</w:t>
            </w:r>
          </w:p>
        </w:tc>
        <w:tc>
          <w:tcPr>
            <w:tcW w:w="213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Negative</w:t>
            </w:r>
          </w:p>
        </w:tc>
        <w:tc>
          <w:tcPr>
            <w:tcW w:w="250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no change</w:t>
            </w:r>
          </w:p>
        </w:tc>
        <w:tc>
          <w:tcPr>
            <w:tcW w:w="1854" w:type="dxa"/>
          </w:tcPr>
          <w:p w:rsidR="00705FB6" w:rsidRPr="00705FB6" w:rsidRDefault="00705FB6" w:rsidP="00705FB6">
            <w:pPr>
              <w:spacing w:after="120"/>
              <w:rPr>
                <w:rFonts w:ascii="Arial" w:hAnsi="Arial" w:cs="Arial"/>
                <w:b w:val="0"/>
                <w:color w:val="auto"/>
                <w:sz w:val="24"/>
                <w:szCs w:val="24"/>
              </w:rPr>
            </w:pPr>
            <w:r w:rsidRPr="00705FB6">
              <w:rPr>
                <w:rFonts w:ascii="Arial" w:hAnsi="Arial" w:cs="Arial"/>
                <w:b w:val="0"/>
                <w:color w:val="auto"/>
                <w:sz w:val="24"/>
                <w:szCs w:val="24"/>
              </w:rPr>
              <w:t>Likely no change</w:t>
            </w:r>
          </w:p>
        </w:tc>
        <w:tc>
          <w:tcPr>
            <w:tcW w:w="2216" w:type="dxa"/>
          </w:tcPr>
          <w:p w:rsidR="00705FB6" w:rsidRPr="00705FB6" w:rsidRDefault="00705FB6" w:rsidP="00705FB6">
            <w:pPr>
              <w:spacing w:after="120"/>
              <w:rPr>
                <w:rFonts w:ascii="Arial" w:hAnsi="Arial" w:cs="Arial"/>
                <w:b w:val="0"/>
                <w:color w:val="auto"/>
                <w:sz w:val="24"/>
                <w:szCs w:val="24"/>
              </w:rPr>
            </w:pPr>
            <w:r w:rsidRPr="00705FB6">
              <w:rPr>
                <w:rFonts w:ascii="Arial" w:hAnsi="Arial" w:cs="Arial"/>
                <w:b w:val="0"/>
                <w:color w:val="auto"/>
                <w:sz w:val="24"/>
                <w:szCs w:val="24"/>
              </w:rPr>
              <w:t>Likely no change</w:t>
            </w:r>
          </w:p>
        </w:tc>
        <w:tc>
          <w:tcPr>
            <w:tcW w:w="183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6"/>
        </w:trPr>
        <w:tc>
          <w:tcPr>
            <w:tcW w:w="1068"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10</w:t>
            </w:r>
          </w:p>
        </w:tc>
        <w:tc>
          <w:tcPr>
            <w:tcW w:w="231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Port consolidation Strategy</w:t>
            </w:r>
          </w:p>
        </w:tc>
        <w:tc>
          <w:tcPr>
            <w:tcW w:w="213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High negative (re alternative port routing)</w:t>
            </w:r>
          </w:p>
        </w:tc>
        <w:tc>
          <w:tcPr>
            <w:tcW w:w="250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54"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2216"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3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166"/>
        </w:trPr>
        <w:tc>
          <w:tcPr>
            <w:tcW w:w="1068" w:type="dxa"/>
            <w:vMerge w:val="restart"/>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Others</w:t>
            </w:r>
          </w:p>
        </w:tc>
        <w:tc>
          <w:tcPr>
            <w:tcW w:w="231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(a) Ship dynamic positioning</w:t>
            </w:r>
          </w:p>
        </w:tc>
        <w:tc>
          <w:tcPr>
            <w:tcW w:w="213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High negative</w:t>
            </w:r>
          </w:p>
        </w:tc>
        <w:tc>
          <w:tcPr>
            <w:tcW w:w="250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Potentially (no anchorage used)</w:t>
            </w:r>
          </w:p>
        </w:tc>
        <w:tc>
          <w:tcPr>
            <w:tcW w:w="1854"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2216"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no change</w:t>
            </w:r>
          </w:p>
        </w:tc>
        <w:tc>
          <w:tcPr>
            <w:tcW w:w="183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6"/>
        </w:trPr>
        <w:tc>
          <w:tcPr>
            <w:tcW w:w="1068" w:type="dxa"/>
            <w:vMerge/>
          </w:tcPr>
          <w:p w:rsidR="00705FB6" w:rsidRPr="00705FB6" w:rsidRDefault="00705FB6" w:rsidP="00705FB6">
            <w:pPr>
              <w:spacing w:after="120" w:line="276" w:lineRule="auto"/>
              <w:rPr>
                <w:rFonts w:ascii="Arial" w:hAnsi="Arial" w:cs="Arial"/>
                <w:b w:val="0"/>
                <w:color w:val="auto"/>
                <w:sz w:val="24"/>
                <w:szCs w:val="24"/>
              </w:rPr>
            </w:pPr>
          </w:p>
        </w:tc>
        <w:tc>
          <w:tcPr>
            <w:tcW w:w="231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(b) Mixed options</w:t>
            </w:r>
          </w:p>
        </w:tc>
        <w:tc>
          <w:tcPr>
            <w:tcW w:w="2139" w:type="dxa"/>
          </w:tcPr>
          <w:p w:rsidR="00705FB6" w:rsidRPr="00705FB6" w:rsidRDefault="00705FB6" w:rsidP="00705FB6">
            <w:pPr>
              <w:spacing w:after="120" w:line="276" w:lineRule="auto"/>
              <w:jc w:val="center"/>
              <w:rPr>
                <w:rFonts w:ascii="Arial" w:hAnsi="Arial" w:cs="Arial"/>
                <w:b w:val="0"/>
                <w:color w:val="auto"/>
                <w:sz w:val="24"/>
                <w:szCs w:val="24"/>
              </w:rPr>
            </w:pPr>
            <w:r w:rsidRPr="00705FB6">
              <w:rPr>
                <w:rFonts w:ascii="Arial" w:hAnsi="Arial" w:cs="Arial"/>
                <w:b w:val="0"/>
                <w:color w:val="auto"/>
                <w:sz w:val="24"/>
                <w:szCs w:val="24"/>
              </w:rPr>
              <w:t>-</w:t>
            </w:r>
          </w:p>
        </w:tc>
        <w:tc>
          <w:tcPr>
            <w:tcW w:w="2502" w:type="dxa"/>
          </w:tcPr>
          <w:p w:rsidR="00705FB6" w:rsidRPr="00705FB6" w:rsidRDefault="00705FB6" w:rsidP="00705FB6">
            <w:pPr>
              <w:spacing w:after="120" w:line="276" w:lineRule="auto"/>
              <w:jc w:val="center"/>
              <w:rPr>
                <w:rFonts w:ascii="Arial" w:hAnsi="Arial" w:cs="Arial"/>
                <w:b w:val="0"/>
                <w:color w:val="auto"/>
                <w:sz w:val="24"/>
                <w:szCs w:val="24"/>
              </w:rPr>
            </w:pPr>
            <w:r w:rsidRPr="00705FB6">
              <w:rPr>
                <w:rFonts w:ascii="Arial" w:hAnsi="Arial" w:cs="Arial"/>
                <w:b w:val="0"/>
                <w:color w:val="auto"/>
                <w:sz w:val="24"/>
                <w:szCs w:val="24"/>
              </w:rPr>
              <w:t>-</w:t>
            </w:r>
          </w:p>
        </w:tc>
        <w:tc>
          <w:tcPr>
            <w:tcW w:w="1854" w:type="dxa"/>
          </w:tcPr>
          <w:p w:rsidR="00705FB6" w:rsidRPr="00705FB6" w:rsidRDefault="00705FB6" w:rsidP="00705FB6">
            <w:pPr>
              <w:spacing w:after="120" w:line="276" w:lineRule="auto"/>
              <w:jc w:val="center"/>
              <w:rPr>
                <w:rFonts w:ascii="Arial" w:hAnsi="Arial" w:cs="Arial"/>
                <w:b w:val="0"/>
                <w:color w:val="auto"/>
                <w:sz w:val="24"/>
                <w:szCs w:val="24"/>
              </w:rPr>
            </w:pPr>
            <w:r w:rsidRPr="00705FB6">
              <w:rPr>
                <w:rFonts w:ascii="Arial" w:hAnsi="Arial" w:cs="Arial"/>
                <w:b w:val="0"/>
                <w:color w:val="auto"/>
                <w:sz w:val="24"/>
                <w:szCs w:val="24"/>
              </w:rPr>
              <w:t>-</w:t>
            </w:r>
          </w:p>
        </w:tc>
        <w:tc>
          <w:tcPr>
            <w:tcW w:w="2216" w:type="dxa"/>
          </w:tcPr>
          <w:p w:rsidR="00705FB6" w:rsidRPr="00705FB6" w:rsidRDefault="00705FB6" w:rsidP="00705FB6">
            <w:pPr>
              <w:spacing w:after="120" w:line="276" w:lineRule="auto"/>
              <w:jc w:val="center"/>
              <w:rPr>
                <w:rFonts w:ascii="Arial" w:hAnsi="Arial" w:cs="Arial"/>
                <w:b w:val="0"/>
                <w:color w:val="auto"/>
                <w:sz w:val="24"/>
                <w:szCs w:val="24"/>
              </w:rPr>
            </w:pPr>
            <w:r w:rsidRPr="00705FB6">
              <w:rPr>
                <w:rFonts w:ascii="Arial" w:hAnsi="Arial" w:cs="Arial"/>
                <w:b w:val="0"/>
                <w:color w:val="auto"/>
                <w:sz w:val="24"/>
                <w:szCs w:val="24"/>
              </w:rPr>
              <w:t>-</w:t>
            </w:r>
          </w:p>
        </w:tc>
        <w:tc>
          <w:tcPr>
            <w:tcW w:w="183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1, 2 and 8</w:t>
            </w:r>
          </w:p>
        </w:tc>
      </w:tr>
    </w:tbl>
    <w:p w:rsidR="001A657F" w:rsidRPr="00BC648A" w:rsidRDefault="001A657F" w:rsidP="00A2699D">
      <w:pPr>
        <w:pStyle w:val="Body"/>
      </w:pPr>
    </w:p>
    <w:p w:rsidR="004E48F3" w:rsidRDefault="004E48F3" w:rsidP="001A657F">
      <w:pPr>
        <w:pStyle w:val="Body"/>
        <w:rPr>
          <w:sz w:val="24"/>
          <w:szCs w:val="24"/>
        </w:rPr>
        <w:sectPr w:rsidR="004E48F3" w:rsidSect="004E48F3">
          <w:headerReference w:type="default" r:id="rId68"/>
          <w:footerReference w:type="default" r:id="rId69"/>
          <w:pgSz w:w="16838" w:h="11906" w:orient="landscape" w:code="9"/>
          <w:pgMar w:top="1701" w:right="1701" w:bottom="1418" w:left="1418" w:header="709" w:footer="709" w:gutter="0"/>
          <w:cols w:space="720"/>
          <w:docGrid w:linePitch="273"/>
        </w:sectPr>
      </w:pPr>
    </w:p>
    <w:p w:rsidR="001A657F" w:rsidRPr="00B41CFA" w:rsidRDefault="001A657F" w:rsidP="00905CF3">
      <w:pPr>
        <w:pStyle w:val="Heading3"/>
        <w:rPr>
          <w:sz w:val="24"/>
        </w:rPr>
      </w:pPr>
      <w:bookmarkStart w:id="481" w:name="_Toc342402487"/>
      <w:bookmarkStart w:id="482" w:name="_Toc343597287"/>
      <w:bookmarkStart w:id="483" w:name="_Toc362274334"/>
      <w:r w:rsidRPr="00B41CFA">
        <w:rPr>
          <w:sz w:val="24"/>
        </w:rPr>
        <w:t>Relevant ship anchorage management options for the Port of Hay Point</w:t>
      </w:r>
      <w:bookmarkEnd w:id="481"/>
      <w:bookmarkEnd w:id="482"/>
      <w:bookmarkEnd w:id="483"/>
    </w:p>
    <w:p w:rsidR="001A657F" w:rsidRPr="001F52E5" w:rsidRDefault="001A657F" w:rsidP="001A657F">
      <w:pPr>
        <w:pStyle w:val="Body"/>
        <w:rPr>
          <w:sz w:val="24"/>
          <w:szCs w:val="24"/>
        </w:rPr>
      </w:pPr>
      <w:r w:rsidRPr="001F52E5">
        <w:rPr>
          <w:sz w:val="24"/>
          <w:szCs w:val="24"/>
        </w:rPr>
        <w:t>The possible future relevance of the identified ship anchorage management options specifically for the Port of Hay Point was considered with regard to four criteria:</w:t>
      </w:r>
    </w:p>
    <w:p w:rsidR="001A657F" w:rsidRPr="001F52E5" w:rsidRDefault="001A657F" w:rsidP="001A657F">
      <w:pPr>
        <w:pStyle w:val="Body"/>
        <w:numPr>
          <w:ilvl w:val="0"/>
          <w:numId w:val="21"/>
        </w:numPr>
        <w:rPr>
          <w:sz w:val="24"/>
          <w:szCs w:val="24"/>
        </w:rPr>
      </w:pPr>
      <w:r w:rsidRPr="001F52E5">
        <w:rPr>
          <w:sz w:val="24"/>
          <w:szCs w:val="24"/>
        </w:rPr>
        <w:t>Possible economic and commercial impacts</w:t>
      </w:r>
    </w:p>
    <w:p w:rsidR="001A657F" w:rsidRPr="001F52E5" w:rsidRDefault="001A657F" w:rsidP="001A657F">
      <w:pPr>
        <w:pStyle w:val="Body"/>
        <w:numPr>
          <w:ilvl w:val="0"/>
          <w:numId w:val="21"/>
        </w:numPr>
        <w:rPr>
          <w:sz w:val="24"/>
          <w:szCs w:val="24"/>
        </w:rPr>
      </w:pPr>
      <w:r w:rsidRPr="001F52E5">
        <w:rPr>
          <w:sz w:val="24"/>
          <w:szCs w:val="24"/>
        </w:rPr>
        <w:t>Possible environmental impacts with the goal of achieving net environmental gains</w:t>
      </w:r>
    </w:p>
    <w:p w:rsidR="001A657F" w:rsidRPr="001F52E5" w:rsidRDefault="001A657F" w:rsidP="001A657F">
      <w:pPr>
        <w:pStyle w:val="Body"/>
        <w:numPr>
          <w:ilvl w:val="0"/>
          <w:numId w:val="21"/>
        </w:numPr>
        <w:rPr>
          <w:sz w:val="24"/>
          <w:szCs w:val="24"/>
        </w:rPr>
      </w:pPr>
      <w:r w:rsidRPr="001F52E5">
        <w:rPr>
          <w:sz w:val="24"/>
          <w:szCs w:val="24"/>
        </w:rPr>
        <w:t>Possible ship safety and emergency response impacts</w:t>
      </w:r>
    </w:p>
    <w:p w:rsidR="001A657F" w:rsidRPr="001F52E5" w:rsidRDefault="001A657F" w:rsidP="001A657F">
      <w:pPr>
        <w:pStyle w:val="Body"/>
        <w:numPr>
          <w:ilvl w:val="0"/>
          <w:numId w:val="21"/>
        </w:numPr>
        <w:rPr>
          <w:sz w:val="24"/>
          <w:szCs w:val="24"/>
        </w:rPr>
      </w:pPr>
      <w:r w:rsidRPr="001F52E5">
        <w:rPr>
          <w:sz w:val="24"/>
          <w:szCs w:val="24"/>
        </w:rPr>
        <w:t>Possible other user and social impacts</w:t>
      </w:r>
      <w:r w:rsidR="00D41D3C">
        <w:rPr>
          <w:sz w:val="24"/>
          <w:szCs w:val="24"/>
        </w:rPr>
        <w:t>.</w:t>
      </w:r>
    </w:p>
    <w:p w:rsidR="001A657F" w:rsidRPr="001F52E5" w:rsidRDefault="001A657F" w:rsidP="001A657F">
      <w:pPr>
        <w:pStyle w:val="Body"/>
        <w:rPr>
          <w:sz w:val="24"/>
          <w:szCs w:val="24"/>
        </w:rPr>
      </w:pPr>
      <w:r w:rsidRPr="001F52E5">
        <w:rPr>
          <w:sz w:val="24"/>
          <w:szCs w:val="24"/>
        </w:rPr>
        <w:t xml:space="preserve">An overview of the results of the examination for the Port of Hay Point is contained in </w:t>
      </w:r>
      <w:r w:rsidR="00ED39F9" w:rsidRPr="001F52E5">
        <w:rPr>
          <w:sz w:val="24"/>
          <w:szCs w:val="24"/>
        </w:rPr>
        <w:fldChar w:fldCharType="begin"/>
      </w:r>
      <w:r w:rsidR="00ED39F9" w:rsidRPr="001F52E5">
        <w:rPr>
          <w:sz w:val="24"/>
          <w:szCs w:val="24"/>
        </w:rPr>
        <w:instrText xml:space="preserve"> REF  _Ref343502977 \* Lower \h  \* MERGEFORMAT </w:instrText>
      </w:r>
      <w:r w:rsidR="00ED39F9" w:rsidRPr="001F52E5">
        <w:rPr>
          <w:sz w:val="24"/>
          <w:szCs w:val="24"/>
        </w:rPr>
      </w:r>
      <w:r w:rsidR="00ED39F9" w:rsidRPr="001F52E5">
        <w:rPr>
          <w:sz w:val="24"/>
          <w:szCs w:val="24"/>
        </w:rPr>
        <w:fldChar w:fldCharType="separate"/>
      </w:r>
      <w:r w:rsidR="005F6E51" w:rsidRPr="00705FB6">
        <w:rPr>
          <w:sz w:val="24"/>
          <w:szCs w:val="24"/>
        </w:rPr>
        <w:t xml:space="preserve">table </w:t>
      </w:r>
      <w:r w:rsidR="005F6E51">
        <w:rPr>
          <w:noProof/>
          <w:sz w:val="24"/>
          <w:szCs w:val="24"/>
        </w:rPr>
        <w:t>5</w:t>
      </w:r>
      <w:r w:rsidR="005F6E51" w:rsidRPr="00705FB6">
        <w:rPr>
          <w:noProof/>
          <w:sz w:val="24"/>
          <w:szCs w:val="24"/>
        </w:rPr>
        <w:noBreakHyphen/>
      </w:r>
      <w:r w:rsidR="005F6E51">
        <w:rPr>
          <w:noProof/>
          <w:sz w:val="24"/>
          <w:szCs w:val="24"/>
        </w:rPr>
        <w:t>5</w:t>
      </w:r>
      <w:r w:rsidR="00ED39F9" w:rsidRPr="001F52E5">
        <w:rPr>
          <w:sz w:val="24"/>
          <w:szCs w:val="24"/>
        </w:rPr>
        <w:fldChar w:fldCharType="end"/>
      </w:r>
      <w:r w:rsidRPr="001F52E5">
        <w:rPr>
          <w:sz w:val="24"/>
          <w:szCs w:val="24"/>
        </w:rPr>
        <w:t xml:space="preserve">. </w:t>
      </w:r>
    </w:p>
    <w:p w:rsidR="0070415B" w:rsidRPr="001F52E5" w:rsidRDefault="009A1592" w:rsidP="0070415B">
      <w:pPr>
        <w:pStyle w:val="Body"/>
        <w:rPr>
          <w:sz w:val="24"/>
          <w:szCs w:val="24"/>
        </w:rPr>
      </w:pPr>
      <w:r w:rsidRPr="001F52E5">
        <w:rPr>
          <w:sz w:val="24"/>
          <w:szCs w:val="24"/>
        </w:rPr>
        <w:t>Ship anchorage at the Port of Hay Point was considered to be typical of a single commodity coal export port. However, there are currently two sets of terminal operations, each requiring anchorage demand. This is expected to increase to a third set in the future with planned expansion at Dudgeon Point also requiring anchorage use. It was noted that the current inner anchorage area is inside of the port limits, and that anchorages are designated.</w:t>
      </w:r>
      <w:r w:rsidR="0070415B" w:rsidRPr="0070415B">
        <w:rPr>
          <w:sz w:val="24"/>
          <w:szCs w:val="24"/>
        </w:rPr>
        <w:t xml:space="preserve"> </w:t>
      </w:r>
      <w:r w:rsidR="0070415B" w:rsidRPr="001F52E5">
        <w:rPr>
          <w:sz w:val="24"/>
          <w:szCs w:val="24"/>
        </w:rPr>
        <w:t xml:space="preserve">The expected relatively moderate growth in future ship calls (around five to six per cent per year, refer to section </w:t>
      </w:r>
      <w:r w:rsidR="0070415B" w:rsidRPr="001F52E5">
        <w:rPr>
          <w:sz w:val="24"/>
          <w:szCs w:val="24"/>
        </w:rPr>
        <w:fldChar w:fldCharType="begin"/>
      </w:r>
      <w:r w:rsidR="0070415B" w:rsidRPr="001F52E5">
        <w:rPr>
          <w:sz w:val="24"/>
          <w:szCs w:val="24"/>
        </w:rPr>
        <w:instrText xml:space="preserve"> REF _Ref343520140 \r \h </w:instrText>
      </w:r>
      <w:r w:rsidR="0070415B">
        <w:rPr>
          <w:sz w:val="24"/>
          <w:szCs w:val="24"/>
        </w:rPr>
        <w:instrText xml:space="preserve"> \* MERGEFORMAT </w:instrText>
      </w:r>
      <w:r w:rsidR="0070415B" w:rsidRPr="001F52E5">
        <w:rPr>
          <w:sz w:val="24"/>
          <w:szCs w:val="24"/>
        </w:rPr>
      </w:r>
      <w:r w:rsidR="0070415B" w:rsidRPr="001F52E5">
        <w:rPr>
          <w:sz w:val="24"/>
          <w:szCs w:val="24"/>
        </w:rPr>
        <w:fldChar w:fldCharType="separate"/>
      </w:r>
      <w:r w:rsidR="0070415B">
        <w:rPr>
          <w:sz w:val="24"/>
          <w:szCs w:val="24"/>
        </w:rPr>
        <w:t>4.7.3</w:t>
      </w:r>
      <w:r w:rsidR="0070415B" w:rsidRPr="001F52E5">
        <w:rPr>
          <w:sz w:val="24"/>
          <w:szCs w:val="24"/>
        </w:rPr>
        <w:fldChar w:fldCharType="end"/>
      </w:r>
      <w:r w:rsidR="0070415B" w:rsidRPr="001F52E5">
        <w:rPr>
          <w:sz w:val="24"/>
          <w:szCs w:val="24"/>
        </w:rPr>
        <w:t xml:space="preserve">) at the Port of Hay Point, from a relatively large base, was considered likely to put pressure on the existing capacity of the current designated anchorage areas. This will be further evaluated in the CBA modelling and suggests that scheduled arrivals with designated anchorages are relevant management strategies likely to be required at this port in future. </w:t>
      </w:r>
    </w:p>
    <w:p w:rsidR="0070415B" w:rsidRPr="001F52E5" w:rsidRDefault="0070415B" w:rsidP="0070415B">
      <w:pPr>
        <w:pStyle w:val="Body"/>
        <w:rPr>
          <w:sz w:val="24"/>
          <w:szCs w:val="24"/>
        </w:rPr>
      </w:pPr>
      <w:r w:rsidRPr="001F52E5">
        <w:rPr>
          <w:sz w:val="24"/>
          <w:szCs w:val="24"/>
        </w:rPr>
        <w:t xml:space="preserve">A further option of charging for anchoring (anchor pricing, a type of demand management as defined by Option 9 in </w:t>
      </w:r>
      <w:r w:rsidRPr="001F52E5">
        <w:rPr>
          <w:sz w:val="24"/>
          <w:szCs w:val="24"/>
        </w:rPr>
        <w:fldChar w:fldCharType="begin"/>
      </w:r>
      <w:r w:rsidRPr="001F52E5">
        <w:rPr>
          <w:sz w:val="24"/>
          <w:szCs w:val="24"/>
        </w:rPr>
        <w:instrText xml:space="preserve"> REF _Ref343595154 \h </w:instrText>
      </w:r>
      <w:r>
        <w:rPr>
          <w:sz w:val="24"/>
          <w:szCs w:val="24"/>
        </w:rPr>
        <w:instrText xml:space="preserve"> \* MERGEFORMAT </w:instrText>
      </w:r>
      <w:r w:rsidRPr="001F52E5">
        <w:rPr>
          <w:sz w:val="24"/>
          <w:szCs w:val="24"/>
        </w:rPr>
      </w:r>
      <w:r w:rsidRPr="001F52E5">
        <w:rPr>
          <w:sz w:val="24"/>
          <w:szCs w:val="24"/>
        </w:rPr>
        <w:fldChar w:fldCharType="separate"/>
      </w:r>
      <w:r w:rsidR="00945863">
        <w:rPr>
          <w:sz w:val="24"/>
          <w:szCs w:val="24"/>
        </w:rPr>
        <w:t>t</w:t>
      </w:r>
      <w:r w:rsidRPr="00705FB6">
        <w:rPr>
          <w:sz w:val="24"/>
          <w:szCs w:val="24"/>
        </w:rPr>
        <w:t xml:space="preserve">able </w:t>
      </w:r>
      <w:r>
        <w:rPr>
          <w:noProof/>
          <w:sz w:val="24"/>
          <w:szCs w:val="24"/>
        </w:rPr>
        <w:t>5</w:t>
      </w:r>
      <w:r w:rsidRPr="00705FB6">
        <w:rPr>
          <w:noProof/>
          <w:sz w:val="24"/>
          <w:szCs w:val="24"/>
        </w:rPr>
        <w:noBreakHyphen/>
      </w:r>
      <w:r>
        <w:rPr>
          <w:noProof/>
          <w:sz w:val="24"/>
          <w:szCs w:val="24"/>
        </w:rPr>
        <w:t>5</w:t>
      </w:r>
      <w:r w:rsidRPr="001F52E5">
        <w:rPr>
          <w:sz w:val="24"/>
          <w:szCs w:val="24"/>
        </w:rPr>
        <w:fldChar w:fldCharType="end"/>
      </w:r>
      <w:r w:rsidRPr="001F52E5">
        <w:rPr>
          <w:sz w:val="24"/>
          <w:szCs w:val="24"/>
        </w:rPr>
        <w:t>) was considered as possibly relevant. However, it was also considered commercially problematic. To significantly reduce the average length of stay at anchor prices would need to be high, which could result in ships idling more at sea and/or anchoring elsewhere than if fees were not applied to use of designated anchorages. This could also shift anchoring to another port in Queensland which did not have fees for use of designated anchorages.</w:t>
      </w:r>
    </w:p>
    <w:p w:rsidR="0070415B" w:rsidRPr="001F52E5" w:rsidRDefault="0070415B" w:rsidP="0070415B">
      <w:pPr>
        <w:pStyle w:val="Body"/>
        <w:rPr>
          <w:sz w:val="24"/>
          <w:szCs w:val="24"/>
        </w:rPr>
      </w:pPr>
      <w:r w:rsidRPr="001F52E5">
        <w:rPr>
          <w:sz w:val="24"/>
          <w:szCs w:val="24"/>
        </w:rPr>
        <w:t xml:space="preserve">The current practices of ship anchoring in designated areas with the current size of port operations were considered to have minimal impact for the environment and other users beyond that which has already occurred. Ship safety and the ability to rapidly respond to any maritime incident are considered to be good under existing arrangements given the close proximity of the main anchorage area to the port, albeit that some anchorages are located further offshore. </w:t>
      </w:r>
    </w:p>
    <w:p w:rsidR="00705FB6" w:rsidRDefault="0070415B" w:rsidP="009A1592">
      <w:pPr>
        <w:pStyle w:val="Body"/>
        <w:rPr>
          <w:sz w:val="24"/>
          <w:szCs w:val="24"/>
        </w:rPr>
      </w:pPr>
      <w:r w:rsidRPr="001F52E5">
        <w:rPr>
          <w:sz w:val="24"/>
          <w:szCs w:val="24"/>
        </w:rPr>
        <w:t>In conclusion, current practices with designated anchorage areas were envisaged as relevant if future demand can be accommodated by the existing capacity of the designated anchorage areas. In the scenario where future demand cannot be met by the current anchorage capacity, then scheduled arrivals in combination with dedicated anchorages and/or anchorage pricing were envisaged as relevant anchorage management options for the Port of Hay Point.</w:t>
      </w:r>
    </w:p>
    <w:p w:rsidR="00705FB6" w:rsidRDefault="00705FB6" w:rsidP="009A1592">
      <w:pPr>
        <w:pStyle w:val="Body"/>
        <w:rPr>
          <w:sz w:val="24"/>
          <w:szCs w:val="24"/>
        </w:rPr>
        <w:sectPr w:rsidR="00705FB6" w:rsidSect="00B6174B">
          <w:headerReference w:type="default" r:id="rId70"/>
          <w:footerReference w:type="default" r:id="rId71"/>
          <w:pgSz w:w="11906" w:h="16838" w:code="9"/>
          <w:pgMar w:top="1418" w:right="1701" w:bottom="1701" w:left="1418" w:header="709" w:footer="709" w:gutter="0"/>
          <w:cols w:space="720"/>
          <w:docGrid w:linePitch="273"/>
        </w:sectPr>
      </w:pPr>
    </w:p>
    <w:p w:rsidR="001A657F" w:rsidRPr="00705FB6" w:rsidRDefault="001A657F" w:rsidP="00705FB6">
      <w:pPr>
        <w:pStyle w:val="CaptionTable"/>
        <w:spacing w:after="240"/>
        <w:rPr>
          <w:sz w:val="24"/>
          <w:szCs w:val="24"/>
        </w:rPr>
      </w:pPr>
      <w:bookmarkStart w:id="484" w:name="_Ref343595154"/>
      <w:bookmarkStart w:id="485" w:name="_Ref343502977"/>
      <w:bookmarkStart w:id="486" w:name="_Toc342402117"/>
      <w:bookmarkStart w:id="487" w:name="_Toc343582067"/>
      <w:bookmarkStart w:id="488" w:name="_Toc343597163"/>
      <w:bookmarkStart w:id="489" w:name="_Toc362274377"/>
      <w:r w:rsidRPr="00705FB6">
        <w:rPr>
          <w:sz w:val="24"/>
          <w:szCs w:val="24"/>
        </w:rPr>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5</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5</w:t>
      </w:r>
      <w:r w:rsidR="00542883">
        <w:rPr>
          <w:sz w:val="24"/>
          <w:szCs w:val="24"/>
        </w:rPr>
        <w:fldChar w:fldCharType="end"/>
      </w:r>
      <w:bookmarkEnd w:id="484"/>
      <w:bookmarkEnd w:id="485"/>
      <w:r w:rsidR="001F52E5" w:rsidRPr="00705FB6">
        <w:rPr>
          <w:noProof/>
          <w:sz w:val="24"/>
          <w:szCs w:val="24"/>
        </w:rPr>
        <w:t>:</w:t>
      </w:r>
      <w:r w:rsidRPr="00705FB6">
        <w:rPr>
          <w:sz w:val="24"/>
          <w:szCs w:val="24"/>
        </w:rPr>
        <w:t xml:space="preserve"> </w:t>
      </w:r>
      <w:r w:rsidRPr="00DE2A47">
        <w:rPr>
          <w:b w:val="0"/>
          <w:sz w:val="24"/>
          <w:szCs w:val="24"/>
        </w:rPr>
        <w:t>Overview of ship anchorage management options and relevance for Port of Hay Point</w:t>
      </w:r>
      <w:bookmarkEnd w:id="486"/>
      <w:bookmarkEnd w:id="487"/>
      <w:bookmarkEnd w:id="488"/>
      <w:bookmarkEnd w:id="489"/>
    </w:p>
    <w:tbl>
      <w:tblPr>
        <w:tblStyle w:val="TableGrid"/>
        <w:tblW w:w="13956" w:type="dxa"/>
        <w:tblBorders>
          <w:left w:val="none" w:sz="0" w:space="0" w:color="auto"/>
          <w:right w:val="none" w:sz="0" w:space="0" w:color="auto"/>
          <w:insideV w:val="none" w:sz="0" w:space="0" w:color="auto"/>
        </w:tblBorders>
        <w:tblLook w:val="04A0" w:firstRow="1" w:lastRow="0" w:firstColumn="1" w:lastColumn="0" w:noHBand="0" w:noVBand="1"/>
        <w:tblCaption w:val="Overview of ship anchorage management options and relevance for Port of Hay Point"/>
        <w:tblDescription w:val="An overview of the potential ship anchorage management options for the Port of Hay Point. Columns represent the option number, name of the option and each assessed criteria. Further discussion of management options for the port is provided in Section 5.3.4."/>
      </w:tblPr>
      <w:tblGrid>
        <w:gridCol w:w="1070"/>
        <w:gridCol w:w="2317"/>
        <w:gridCol w:w="2145"/>
        <w:gridCol w:w="2508"/>
        <w:gridCol w:w="1859"/>
        <w:gridCol w:w="2222"/>
        <w:gridCol w:w="1835"/>
      </w:tblGrid>
      <w:tr w:rsidR="00705FB6" w:rsidRPr="00705FB6" w:rsidTr="00705FB6">
        <w:trPr>
          <w:trHeight w:val="146"/>
          <w:tblHeader/>
        </w:trPr>
        <w:tc>
          <w:tcPr>
            <w:tcW w:w="1070" w:type="dxa"/>
            <w:vMerge w:val="restart"/>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Option</w:t>
            </w:r>
          </w:p>
        </w:tc>
        <w:tc>
          <w:tcPr>
            <w:tcW w:w="2317" w:type="dxa"/>
            <w:vMerge w:val="restart"/>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Name</w:t>
            </w:r>
          </w:p>
        </w:tc>
        <w:tc>
          <w:tcPr>
            <w:tcW w:w="10569" w:type="dxa"/>
            <w:gridSpan w:val="5"/>
          </w:tcPr>
          <w:p w:rsidR="00705FB6" w:rsidRPr="00705FB6" w:rsidRDefault="00705FB6" w:rsidP="00705FB6">
            <w:pPr>
              <w:spacing w:after="120" w:line="276" w:lineRule="auto"/>
              <w:jc w:val="center"/>
              <w:rPr>
                <w:rFonts w:ascii="Arial" w:hAnsi="Arial" w:cs="Arial"/>
                <w:color w:val="auto"/>
                <w:sz w:val="24"/>
                <w:szCs w:val="24"/>
              </w:rPr>
            </w:pPr>
            <w:r w:rsidRPr="00705FB6">
              <w:rPr>
                <w:rFonts w:ascii="Arial" w:hAnsi="Arial" w:cs="Arial"/>
                <w:color w:val="auto"/>
                <w:sz w:val="24"/>
                <w:szCs w:val="24"/>
              </w:rPr>
              <w:t>Assessed Criteria (Potential Net Benefits)</w:t>
            </w:r>
          </w:p>
        </w:tc>
      </w:tr>
      <w:tr w:rsidR="00705FB6" w:rsidRPr="00705FB6" w:rsidTr="00705FB6">
        <w:trPr>
          <w:trHeight w:val="146"/>
          <w:tblHeader/>
        </w:trPr>
        <w:tc>
          <w:tcPr>
            <w:tcW w:w="1070" w:type="dxa"/>
            <w:vMerge/>
          </w:tcPr>
          <w:p w:rsidR="00705FB6" w:rsidRPr="00705FB6" w:rsidRDefault="00705FB6" w:rsidP="00705FB6">
            <w:pPr>
              <w:spacing w:after="120" w:line="276" w:lineRule="auto"/>
              <w:rPr>
                <w:rFonts w:ascii="Arial" w:hAnsi="Arial" w:cs="Arial"/>
                <w:color w:val="auto"/>
                <w:sz w:val="24"/>
                <w:szCs w:val="24"/>
              </w:rPr>
            </w:pPr>
          </w:p>
        </w:tc>
        <w:tc>
          <w:tcPr>
            <w:tcW w:w="2317" w:type="dxa"/>
            <w:vMerge/>
          </w:tcPr>
          <w:p w:rsidR="00705FB6" w:rsidRPr="00705FB6" w:rsidRDefault="00705FB6" w:rsidP="00705FB6">
            <w:pPr>
              <w:spacing w:after="120" w:line="276" w:lineRule="auto"/>
              <w:rPr>
                <w:rFonts w:ascii="Arial" w:hAnsi="Arial" w:cs="Arial"/>
                <w:color w:val="auto"/>
                <w:sz w:val="24"/>
                <w:szCs w:val="24"/>
              </w:rPr>
            </w:pPr>
          </w:p>
        </w:tc>
        <w:tc>
          <w:tcPr>
            <w:tcW w:w="2145" w:type="dxa"/>
          </w:tcPr>
          <w:p w:rsidR="00705FB6" w:rsidRPr="00705FB6" w:rsidRDefault="00705FB6" w:rsidP="0075468D">
            <w:pPr>
              <w:spacing w:after="120" w:line="276" w:lineRule="auto"/>
              <w:rPr>
                <w:rFonts w:ascii="Arial" w:hAnsi="Arial" w:cs="Arial"/>
                <w:color w:val="auto"/>
                <w:sz w:val="24"/>
                <w:szCs w:val="24"/>
              </w:rPr>
            </w:pPr>
            <w:r w:rsidRPr="00705FB6">
              <w:rPr>
                <w:rFonts w:ascii="Arial" w:hAnsi="Arial" w:cs="Arial"/>
                <w:color w:val="auto"/>
                <w:sz w:val="24"/>
                <w:szCs w:val="24"/>
              </w:rPr>
              <w:t>Economic / Commercial impacts</w:t>
            </w:r>
          </w:p>
        </w:tc>
        <w:tc>
          <w:tcPr>
            <w:tcW w:w="2508" w:type="dxa"/>
          </w:tcPr>
          <w:p w:rsidR="00705FB6" w:rsidRPr="00705FB6" w:rsidRDefault="00705FB6" w:rsidP="0075468D">
            <w:pPr>
              <w:spacing w:after="120" w:line="276" w:lineRule="auto"/>
              <w:rPr>
                <w:rFonts w:ascii="Arial" w:hAnsi="Arial" w:cs="Arial"/>
                <w:color w:val="auto"/>
                <w:sz w:val="24"/>
                <w:szCs w:val="24"/>
              </w:rPr>
            </w:pPr>
            <w:r w:rsidRPr="00705FB6">
              <w:rPr>
                <w:rFonts w:ascii="Arial" w:hAnsi="Arial" w:cs="Arial"/>
                <w:color w:val="auto"/>
                <w:sz w:val="24"/>
                <w:szCs w:val="24"/>
              </w:rPr>
              <w:t>Environmental impacts</w:t>
            </w:r>
          </w:p>
        </w:tc>
        <w:tc>
          <w:tcPr>
            <w:tcW w:w="1859" w:type="dxa"/>
          </w:tcPr>
          <w:p w:rsidR="00705FB6" w:rsidRPr="00705FB6" w:rsidRDefault="00705FB6" w:rsidP="0075468D">
            <w:pPr>
              <w:spacing w:after="120" w:line="276" w:lineRule="auto"/>
              <w:rPr>
                <w:rFonts w:ascii="Arial" w:hAnsi="Arial" w:cs="Arial"/>
                <w:color w:val="auto"/>
                <w:sz w:val="24"/>
                <w:szCs w:val="24"/>
              </w:rPr>
            </w:pPr>
            <w:r w:rsidRPr="00705FB6">
              <w:rPr>
                <w:rFonts w:ascii="Arial" w:hAnsi="Arial" w:cs="Arial"/>
                <w:color w:val="auto"/>
                <w:sz w:val="24"/>
                <w:szCs w:val="24"/>
              </w:rPr>
              <w:t>Ship safety / Response impacts</w:t>
            </w:r>
          </w:p>
        </w:tc>
        <w:tc>
          <w:tcPr>
            <w:tcW w:w="2222" w:type="dxa"/>
          </w:tcPr>
          <w:p w:rsidR="00705FB6" w:rsidRPr="00705FB6" w:rsidRDefault="00705FB6" w:rsidP="0075468D">
            <w:pPr>
              <w:spacing w:after="120" w:line="276" w:lineRule="auto"/>
              <w:rPr>
                <w:rFonts w:ascii="Arial" w:hAnsi="Arial" w:cs="Arial"/>
                <w:color w:val="auto"/>
                <w:sz w:val="24"/>
                <w:szCs w:val="24"/>
              </w:rPr>
            </w:pPr>
            <w:r w:rsidRPr="00705FB6">
              <w:rPr>
                <w:rFonts w:ascii="Arial" w:hAnsi="Arial" w:cs="Arial"/>
                <w:color w:val="auto"/>
                <w:sz w:val="24"/>
                <w:szCs w:val="24"/>
              </w:rPr>
              <w:t>Other user impacts</w:t>
            </w:r>
          </w:p>
        </w:tc>
        <w:tc>
          <w:tcPr>
            <w:tcW w:w="1835" w:type="dxa"/>
          </w:tcPr>
          <w:p w:rsidR="00705FB6" w:rsidRPr="00705FB6" w:rsidRDefault="00705FB6" w:rsidP="0075468D">
            <w:pPr>
              <w:spacing w:after="120" w:line="276" w:lineRule="auto"/>
              <w:rPr>
                <w:rFonts w:ascii="Arial" w:hAnsi="Arial" w:cs="Arial"/>
                <w:color w:val="auto"/>
                <w:sz w:val="24"/>
                <w:szCs w:val="24"/>
              </w:rPr>
            </w:pPr>
            <w:r w:rsidRPr="00705FB6">
              <w:rPr>
                <w:rFonts w:ascii="Arial" w:hAnsi="Arial" w:cs="Arial"/>
                <w:color w:val="auto"/>
                <w:sz w:val="24"/>
                <w:szCs w:val="24"/>
              </w:rPr>
              <w:t>Relevant for future</w:t>
            </w:r>
          </w:p>
        </w:tc>
      </w:tr>
      <w:tr w:rsidR="00705FB6" w:rsidRPr="00705FB6" w:rsidTr="00705FB6">
        <w:trPr>
          <w:trHeight w:val="146"/>
        </w:trPr>
        <w:tc>
          <w:tcPr>
            <w:tcW w:w="1070"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1</w:t>
            </w:r>
          </w:p>
        </w:tc>
        <w:tc>
          <w:tcPr>
            <w:tcW w:w="2317"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Business-as-usual</w:t>
            </w:r>
          </w:p>
        </w:tc>
        <w:tc>
          <w:tcPr>
            <w:tcW w:w="214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 xml:space="preserve">Yes </w:t>
            </w:r>
          </w:p>
        </w:tc>
        <w:tc>
          <w:tcPr>
            <w:tcW w:w="250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Minimal (occurred)</w:t>
            </w:r>
          </w:p>
        </w:tc>
        <w:tc>
          <w:tcPr>
            <w:tcW w:w="185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Excellent (close to port)</w:t>
            </w:r>
          </w:p>
        </w:tc>
        <w:tc>
          <w:tcPr>
            <w:tcW w:w="222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Minimal (current)</w:t>
            </w:r>
          </w:p>
        </w:tc>
        <w:tc>
          <w:tcPr>
            <w:tcW w:w="183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Yes</w:t>
            </w:r>
          </w:p>
        </w:tc>
      </w:tr>
      <w:tr w:rsidR="00705FB6" w:rsidRPr="00705FB6" w:rsidTr="00705FB6">
        <w:trPr>
          <w:trHeight w:val="146"/>
        </w:trPr>
        <w:tc>
          <w:tcPr>
            <w:tcW w:w="1070"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2</w:t>
            </w:r>
          </w:p>
        </w:tc>
        <w:tc>
          <w:tcPr>
            <w:tcW w:w="2317"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Improved</w:t>
            </w:r>
          </w:p>
        </w:tc>
        <w:tc>
          <w:tcPr>
            <w:tcW w:w="214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Yes (efficiencies)</w:t>
            </w:r>
          </w:p>
        </w:tc>
        <w:tc>
          <w:tcPr>
            <w:tcW w:w="250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5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Excellent (close to port)</w:t>
            </w:r>
          </w:p>
        </w:tc>
        <w:tc>
          <w:tcPr>
            <w:tcW w:w="222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3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Yes</w:t>
            </w:r>
          </w:p>
        </w:tc>
      </w:tr>
      <w:tr w:rsidR="00705FB6" w:rsidRPr="00705FB6" w:rsidTr="00705FB6">
        <w:trPr>
          <w:trHeight w:val="146"/>
        </w:trPr>
        <w:tc>
          <w:tcPr>
            <w:tcW w:w="1070"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3</w:t>
            </w:r>
          </w:p>
        </w:tc>
        <w:tc>
          <w:tcPr>
            <w:tcW w:w="2317"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All-at-Port</w:t>
            </w:r>
          </w:p>
        </w:tc>
        <w:tc>
          <w:tcPr>
            <w:tcW w:w="214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High negative</w:t>
            </w:r>
          </w:p>
        </w:tc>
        <w:tc>
          <w:tcPr>
            <w:tcW w:w="250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5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Excellent (in port)</w:t>
            </w:r>
          </w:p>
        </w:tc>
        <w:tc>
          <w:tcPr>
            <w:tcW w:w="222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Possibly (via no use of anchorages)</w:t>
            </w:r>
          </w:p>
        </w:tc>
        <w:tc>
          <w:tcPr>
            <w:tcW w:w="183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6"/>
        </w:trPr>
        <w:tc>
          <w:tcPr>
            <w:tcW w:w="1070"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4</w:t>
            </w:r>
          </w:p>
        </w:tc>
        <w:tc>
          <w:tcPr>
            <w:tcW w:w="2317"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All-in-Port limits</w:t>
            </w:r>
          </w:p>
        </w:tc>
        <w:tc>
          <w:tcPr>
            <w:tcW w:w="214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negative (uncertain if feasible)</w:t>
            </w:r>
          </w:p>
        </w:tc>
        <w:tc>
          <w:tcPr>
            <w:tcW w:w="250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5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negative (navigation issues)</w:t>
            </w:r>
          </w:p>
        </w:tc>
        <w:tc>
          <w:tcPr>
            <w:tcW w:w="222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 / Possible</w:t>
            </w:r>
          </w:p>
        </w:tc>
        <w:tc>
          <w:tcPr>
            <w:tcW w:w="183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6"/>
        </w:trPr>
        <w:tc>
          <w:tcPr>
            <w:tcW w:w="1070"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5</w:t>
            </w:r>
          </w:p>
        </w:tc>
        <w:tc>
          <w:tcPr>
            <w:tcW w:w="2317"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Fixed-Moored</w:t>
            </w:r>
          </w:p>
        </w:tc>
        <w:tc>
          <w:tcPr>
            <w:tcW w:w="214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High negative</w:t>
            </w:r>
          </w:p>
        </w:tc>
        <w:tc>
          <w:tcPr>
            <w:tcW w:w="250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negative</w:t>
            </w:r>
          </w:p>
        </w:tc>
        <w:tc>
          <w:tcPr>
            <w:tcW w:w="185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negative</w:t>
            </w:r>
          </w:p>
        </w:tc>
        <w:tc>
          <w:tcPr>
            <w:tcW w:w="222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negative</w:t>
            </w:r>
          </w:p>
        </w:tc>
        <w:tc>
          <w:tcPr>
            <w:tcW w:w="183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6"/>
        </w:trPr>
        <w:tc>
          <w:tcPr>
            <w:tcW w:w="1070"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6</w:t>
            </w:r>
          </w:p>
        </w:tc>
        <w:tc>
          <w:tcPr>
            <w:tcW w:w="2317"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All-at-Sea</w:t>
            </w:r>
          </w:p>
        </w:tc>
        <w:tc>
          <w:tcPr>
            <w:tcW w:w="214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Negative</w:t>
            </w:r>
          </w:p>
        </w:tc>
        <w:tc>
          <w:tcPr>
            <w:tcW w:w="250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5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negative</w:t>
            </w:r>
          </w:p>
        </w:tc>
        <w:tc>
          <w:tcPr>
            <w:tcW w:w="222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3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6"/>
        </w:trPr>
        <w:tc>
          <w:tcPr>
            <w:tcW w:w="1070"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7</w:t>
            </w:r>
          </w:p>
        </w:tc>
        <w:tc>
          <w:tcPr>
            <w:tcW w:w="2317"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Scheduled Arrivals</w:t>
            </w:r>
          </w:p>
        </w:tc>
        <w:tc>
          <w:tcPr>
            <w:tcW w:w="214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250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5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222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3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6"/>
        </w:trPr>
        <w:tc>
          <w:tcPr>
            <w:tcW w:w="1070"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8</w:t>
            </w:r>
          </w:p>
        </w:tc>
        <w:tc>
          <w:tcPr>
            <w:tcW w:w="2317"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Scheduled Arrivals plus Anchorage</w:t>
            </w:r>
          </w:p>
        </w:tc>
        <w:tc>
          <w:tcPr>
            <w:tcW w:w="214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Benefits &amp; costs to be evaluated</w:t>
            </w:r>
          </w:p>
        </w:tc>
        <w:tc>
          <w:tcPr>
            <w:tcW w:w="250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Possibly benefits or no change</w:t>
            </w:r>
          </w:p>
        </w:tc>
        <w:tc>
          <w:tcPr>
            <w:tcW w:w="185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222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Possibly benefits or no change</w:t>
            </w:r>
          </w:p>
        </w:tc>
        <w:tc>
          <w:tcPr>
            <w:tcW w:w="1835" w:type="dxa"/>
          </w:tcPr>
          <w:p w:rsid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Possibly (but link to Hay Point)</w:t>
            </w:r>
          </w:p>
          <w:p w:rsidR="00705FB6" w:rsidRPr="00705FB6" w:rsidRDefault="00705FB6" w:rsidP="00705FB6">
            <w:pPr>
              <w:spacing w:after="120" w:line="276" w:lineRule="auto"/>
              <w:rPr>
                <w:rFonts w:ascii="Arial" w:hAnsi="Arial" w:cs="Arial"/>
                <w:b w:val="0"/>
                <w:color w:val="auto"/>
                <w:sz w:val="24"/>
                <w:szCs w:val="24"/>
              </w:rPr>
            </w:pPr>
          </w:p>
        </w:tc>
      </w:tr>
      <w:tr w:rsidR="00705FB6" w:rsidRPr="00705FB6" w:rsidTr="00705FB6">
        <w:trPr>
          <w:trHeight w:val="146"/>
        </w:trPr>
        <w:tc>
          <w:tcPr>
            <w:tcW w:w="1070" w:type="dxa"/>
            <w:vMerge w:val="restart"/>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9</w:t>
            </w:r>
          </w:p>
        </w:tc>
        <w:tc>
          <w:tcPr>
            <w:tcW w:w="2317"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Demand Management</w:t>
            </w:r>
          </w:p>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 xml:space="preserve">(a) Capped ship arrivals </w:t>
            </w:r>
          </w:p>
        </w:tc>
        <w:tc>
          <w:tcPr>
            <w:tcW w:w="214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High negative</w:t>
            </w:r>
          </w:p>
        </w:tc>
        <w:tc>
          <w:tcPr>
            <w:tcW w:w="250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5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222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3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6"/>
        </w:trPr>
        <w:tc>
          <w:tcPr>
            <w:tcW w:w="1070" w:type="dxa"/>
            <w:vMerge/>
          </w:tcPr>
          <w:p w:rsidR="00705FB6" w:rsidRPr="00705FB6" w:rsidRDefault="00705FB6" w:rsidP="00705FB6">
            <w:pPr>
              <w:spacing w:after="120" w:line="276" w:lineRule="auto"/>
              <w:rPr>
                <w:rFonts w:ascii="Arial" w:hAnsi="Arial" w:cs="Arial"/>
                <w:color w:val="auto"/>
                <w:sz w:val="24"/>
                <w:szCs w:val="24"/>
              </w:rPr>
            </w:pPr>
          </w:p>
        </w:tc>
        <w:tc>
          <w:tcPr>
            <w:tcW w:w="2317"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(b) Anchorage pricing</w:t>
            </w:r>
          </w:p>
        </w:tc>
        <w:tc>
          <w:tcPr>
            <w:tcW w:w="214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Negative</w:t>
            </w:r>
          </w:p>
        </w:tc>
        <w:tc>
          <w:tcPr>
            <w:tcW w:w="250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no change</w:t>
            </w:r>
          </w:p>
        </w:tc>
        <w:tc>
          <w:tcPr>
            <w:tcW w:w="1859" w:type="dxa"/>
          </w:tcPr>
          <w:p w:rsidR="00705FB6" w:rsidRPr="00705FB6" w:rsidRDefault="00705FB6" w:rsidP="00705FB6">
            <w:pPr>
              <w:spacing w:after="120"/>
              <w:rPr>
                <w:rFonts w:ascii="Arial" w:hAnsi="Arial" w:cs="Arial"/>
                <w:b w:val="0"/>
                <w:color w:val="auto"/>
                <w:sz w:val="24"/>
                <w:szCs w:val="24"/>
              </w:rPr>
            </w:pPr>
            <w:r w:rsidRPr="00705FB6">
              <w:rPr>
                <w:rFonts w:ascii="Arial" w:hAnsi="Arial" w:cs="Arial"/>
                <w:b w:val="0"/>
                <w:color w:val="auto"/>
                <w:sz w:val="24"/>
                <w:szCs w:val="24"/>
              </w:rPr>
              <w:t>Likely no change</w:t>
            </w:r>
          </w:p>
        </w:tc>
        <w:tc>
          <w:tcPr>
            <w:tcW w:w="2222" w:type="dxa"/>
          </w:tcPr>
          <w:p w:rsidR="00705FB6" w:rsidRPr="00705FB6" w:rsidRDefault="00705FB6" w:rsidP="00705FB6">
            <w:pPr>
              <w:spacing w:after="120"/>
              <w:rPr>
                <w:rFonts w:ascii="Arial" w:hAnsi="Arial" w:cs="Arial"/>
                <w:b w:val="0"/>
                <w:color w:val="auto"/>
                <w:sz w:val="24"/>
                <w:szCs w:val="24"/>
              </w:rPr>
            </w:pPr>
            <w:r w:rsidRPr="00705FB6">
              <w:rPr>
                <w:rFonts w:ascii="Arial" w:hAnsi="Arial" w:cs="Arial"/>
                <w:b w:val="0"/>
                <w:color w:val="auto"/>
                <w:sz w:val="24"/>
                <w:szCs w:val="24"/>
              </w:rPr>
              <w:t>Likely no change</w:t>
            </w:r>
          </w:p>
        </w:tc>
        <w:tc>
          <w:tcPr>
            <w:tcW w:w="183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6"/>
        </w:trPr>
        <w:tc>
          <w:tcPr>
            <w:tcW w:w="1070"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10</w:t>
            </w:r>
          </w:p>
        </w:tc>
        <w:tc>
          <w:tcPr>
            <w:tcW w:w="2317"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Port consolidation Strategy</w:t>
            </w:r>
          </w:p>
        </w:tc>
        <w:tc>
          <w:tcPr>
            <w:tcW w:w="214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High negative (re alternative port routing)</w:t>
            </w:r>
          </w:p>
        </w:tc>
        <w:tc>
          <w:tcPr>
            <w:tcW w:w="250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5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222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3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169"/>
        </w:trPr>
        <w:tc>
          <w:tcPr>
            <w:tcW w:w="1070" w:type="dxa"/>
            <w:vMerge w:val="restart"/>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Others</w:t>
            </w:r>
          </w:p>
        </w:tc>
        <w:tc>
          <w:tcPr>
            <w:tcW w:w="2317"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(a) Ship dynamic positioning</w:t>
            </w:r>
          </w:p>
        </w:tc>
        <w:tc>
          <w:tcPr>
            <w:tcW w:w="214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High negative</w:t>
            </w:r>
          </w:p>
        </w:tc>
        <w:tc>
          <w:tcPr>
            <w:tcW w:w="250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Potentially (no anchorage used)</w:t>
            </w:r>
          </w:p>
        </w:tc>
        <w:tc>
          <w:tcPr>
            <w:tcW w:w="1859"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222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no change</w:t>
            </w:r>
          </w:p>
        </w:tc>
        <w:tc>
          <w:tcPr>
            <w:tcW w:w="183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6"/>
        </w:trPr>
        <w:tc>
          <w:tcPr>
            <w:tcW w:w="1070" w:type="dxa"/>
            <w:vMerge/>
          </w:tcPr>
          <w:p w:rsidR="00705FB6" w:rsidRPr="00705FB6" w:rsidRDefault="00705FB6" w:rsidP="00705FB6">
            <w:pPr>
              <w:spacing w:after="120" w:line="276" w:lineRule="auto"/>
              <w:rPr>
                <w:rFonts w:ascii="Arial" w:hAnsi="Arial" w:cs="Arial"/>
                <w:b w:val="0"/>
                <w:color w:val="auto"/>
                <w:sz w:val="24"/>
                <w:szCs w:val="24"/>
              </w:rPr>
            </w:pPr>
          </w:p>
        </w:tc>
        <w:tc>
          <w:tcPr>
            <w:tcW w:w="2317"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(b) Mixed options</w:t>
            </w:r>
          </w:p>
        </w:tc>
        <w:tc>
          <w:tcPr>
            <w:tcW w:w="2145" w:type="dxa"/>
          </w:tcPr>
          <w:p w:rsidR="00705FB6" w:rsidRPr="00705FB6" w:rsidRDefault="00705FB6" w:rsidP="00705FB6">
            <w:pPr>
              <w:spacing w:after="120" w:line="276" w:lineRule="auto"/>
              <w:jc w:val="center"/>
              <w:rPr>
                <w:rFonts w:ascii="Arial" w:hAnsi="Arial" w:cs="Arial"/>
                <w:b w:val="0"/>
                <w:color w:val="auto"/>
                <w:sz w:val="24"/>
                <w:szCs w:val="24"/>
              </w:rPr>
            </w:pPr>
            <w:r w:rsidRPr="00705FB6">
              <w:rPr>
                <w:rFonts w:ascii="Arial" w:hAnsi="Arial" w:cs="Arial"/>
                <w:b w:val="0"/>
                <w:color w:val="auto"/>
                <w:sz w:val="24"/>
                <w:szCs w:val="24"/>
              </w:rPr>
              <w:t>-</w:t>
            </w:r>
          </w:p>
        </w:tc>
        <w:tc>
          <w:tcPr>
            <w:tcW w:w="2508" w:type="dxa"/>
          </w:tcPr>
          <w:p w:rsidR="00705FB6" w:rsidRPr="00705FB6" w:rsidRDefault="00705FB6" w:rsidP="00705FB6">
            <w:pPr>
              <w:spacing w:after="120" w:line="276" w:lineRule="auto"/>
              <w:jc w:val="center"/>
              <w:rPr>
                <w:rFonts w:ascii="Arial" w:hAnsi="Arial" w:cs="Arial"/>
                <w:b w:val="0"/>
                <w:color w:val="auto"/>
                <w:sz w:val="24"/>
                <w:szCs w:val="24"/>
              </w:rPr>
            </w:pPr>
            <w:r w:rsidRPr="00705FB6">
              <w:rPr>
                <w:rFonts w:ascii="Arial" w:hAnsi="Arial" w:cs="Arial"/>
                <w:b w:val="0"/>
                <w:color w:val="auto"/>
                <w:sz w:val="24"/>
                <w:szCs w:val="24"/>
              </w:rPr>
              <w:t>-</w:t>
            </w:r>
          </w:p>
        </w:tc>
        <w:tc>
          <w:tcPr>
            <w:tcW w:w="1859" w:type="dxa"/>
          </w:tcPr>
          <w:p w:rsidR="00705FB6" w:rsidRPr="00705FB6" w:rsidRDefault="00705FB6" w:rsidP="00705FB6">
            <w:pPr>
              <w:spacing w:after="120" w:line="276" w:lineRule="auto"/>
              <w:jc w:val="center"/>
              <w:rPr>
                <w:rFonts w:ascii="Arial" w:hAnsi="Arial" w:cs="Arial"/>
                <w:b w:val="0"/>
                <w:color w:val="auto"/>
                <w:sz w:val="24"/>
                <w:szCs w:val="24"/>
              </w:rPr>
            </w:pPr>
            <w:r w:rsidRPr="00705FB6">
              <w:rPr>
                <w:rFonts w:ascii="Arial" w:hAnsi="Arial" w:cs="Arial"/>
                <w:b w:val="0"/>
                <w:color w:val="auto"/>
                <w:sz w:val="24"/>
                <w:szCs w:val="24"/>
              </w:rPr>
              <w:t>-</w:t>
            </w:r>
          </w:p>
        </w:tc>
        <w:tc>
          <w:tcPr>
            <w:tcW w:w="2222" w:type="dxa"/>
          </w:tcPr>
          <w:p w:rsidR="00705FB6" w:rsidRPr="00705FB6" w:rsidRDefault="00705FB6" w:rsidP="00705FB6">
            <w:pPr>
              <w:spacing w:after="120" w:line="276" w:lineRule="auto"/>
              <w:jc w:val="center"/>
              <w:rPr>
                <w:rFonts w:ascii="Arial" w:hAnsi="Arial" w:cs="Arial"/>
                <w:b w:val="0"/>
                <w:color w:val="auto"/>
                <w:sz w:val="24"/>
                <w:szCs w:val="24"/>
              </w:rPr>
            </w:pPr>
            <w:r w:rsidRPr="00705FB6">
              <w:rPr>
                <w:rFonts w:ascii="Arial" w:hAnsi="Arial" w:cs="Arial"/>
                <w:b w:val="0"/>
                <w:color w:val="auto"/>
                <w:sz w:val="24"/>
                <w:szCs w:val="24"/>
              </w:rPr>
              <w:t>-</w:t>
            </w:r>
          </w:p>
        </w:tc>
        <w:tc>
          <w:tcPr>
            <w:tcW w:w="183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1, 2 and 8</w:t>
            </w:r>
          </w:p>
        </w:tc>
      </w:tr>
    </w:tbl>
    <w:p w:rsidR="009A1592" w:rsidRDefault="009A1592" w:rsidP="00705FB6">
      <w:pPr>
        <w:pStyle w:val="Body"/>
      </w:pPr>
    </w:p>
    <w:p w:rsidR="00705FB6" w:rsidRDefault="00705FB6" w:rsidP="00705FB6">
      <w:pPr>
        <w:pStyle w:val="Body"/>
        <w:sectPr w:rsidR="00705FB6" w:rsidSect="00705FB6">
          <w:headerReference w:type="default" r:id="rId72"/>
          <w:footerReference w:type="default" r:id="rId73"/>
          <w:pgSz w:w="16838" w:h="11906" w:orient="landscape" w:code="9"/>
          <w:pgMar w:top="1701" w:right="1701" w:bottom="1418" w:left="1418" w:header="709" w:footer="709" w:gutter="0"/>
          <w:cols w:space="720"/>
          <w:docGrid w:linePitch="273"/>
        </w:sectPr>
      </w:pPr>
    </w:p>
    <w:p w:rsidR="0075468D" w:rsidRPr="00B41CFA" w:rsidRDefault="0075468D" w:rsidP="0075468D">
      <w:pPr>
        <w:pStyle w:val="Heading3"/>
        <w:rPr>
          <w:sz w:val="24"/>
        </w:rPr>
      </w:pPr>
      <w:bookmarkStart w:id="490" w:name="_Toc342402488"/>
      <w:bookmarkStart w:id="491" w:name="_Toc343597288"/>
      <w:bookmarkStart w:id="492" w:name="_Ref347735944"/>
      <w:bookmarkStart w:id="493" w:name="_Ref347756158"/>
      <w:bookmarkStart w:id="494" w:name="_Toc362274335"/>
      <w:r w:rsidRPr="00B41CFA">
        <w:rPr>
          <w:sz w:val="24"/>
        </w:rPr>
        <w:t>Relevant ship anchorage management options for the Port of Gladstone</w:t>
      </w:r>
      <w:bookmarkEnd w:id="490"/>
      <w:bookmarkEnd w:id="491"/>
      <w:bookmarkEnd w:id="492"/>
      <w:bookmarkEnd w:id="493"/>
      <w:bookmarkEnd w:id="494"/>
    </w:p>
    <w:p w:rsidR="0075468D" w:rsidRPr="001F52E5" w:rsidRDefault="0075468D" w:rsidP="0075468D">
      <w:pPr>
        <w:pStyle w:val="Body"/>
        <w:rPr>
          <w:sz w:val="24"/>
          <w:szCs w:val="24"/>
        </w:rPr>
      </w:pPr>
      <w:r w:rsidRPr="001F52E5">
        <w:rPr>
          <w:sz w:val="24"/>
          <w:szCs w:val="24"/>
        </w:rPr>
        <w:t>The possible future relevance of the identified ship anchorage management options specifically for the Port of Gladstone was considered with regard to four criteria:</w:t>
      </w:r>
    </w:p>
    <w:p w:rsidR="0075468D" w:rsidRPr="001F52E5" w:rsidRDefault="0075468D" w:rsidP="0075468D">
      <w:pPr>
        <w:pStyle w:val="Body"/>
        <w:numPr>
          <w:ilvl w:val="0"/>
          <w:numId w:val="21"/>
        </w:numPr>
        <w:rPr>
          <w:sz w:val="24"/>
          <w:szCs w:val="24"/>
        </w:rPr>
      </w:pPr>
      <w:r w:rsidRPr="001F52E5">
        <w:rPr>
          <w:sz w:val="24"/>
          <w:szCs w:val="24"/>
        </w:rPr>
        <w:t>Possible economic and commercial impacts</w:t>
      </w:r>
    </w:p>
    <w:p w:rsidR="0075468D" w:rsidRPr="001F52E5" w:rsidRDefault="0075468D" w:rsidP="0075468D">
      <w:pPr>
        <w:pStyle w:val="Body"/>
        <w:numPr>
          <w:ilvl w:val="0"/>
          <w:numId w:val="21"/>
        </w:numPr>
        <w:rPr>
          <w:sz w:val="24"/>
          <w:szCs w:val="24"/>
        </w:rPr>
      </w:pPr>
      <w:r w:rsidRPr="001F52E5">
        <w:rPr>
          <w:sz w:val="24"/>
          <w:szCs w:val="24"/>
        </w:rPr>
        <w:t>Possible environmental impacts with the goal of achieving net environmental gains</w:t>
      </w:r>
    </w:p>
    <w:p w:rsidR="0075468D" w:rsidRPr="001F52E5" w:rsidRDefault="0075468D" w:rsidP="0075468D">
      <w:pPr>
        <w:pStyle w:val="Body"/>
        <w:numPr>
          <w:ilvl w:val="0"/>
          <w:numId w:val="21"/>
        </w:numPr>
        <w:rPr>
          <w:sz w:val="24"/>
          <w:szCs w:val="24"/>
        </w:rPr>
      </w:pPr>
      <w:r w:rsidRPr="001F52E5">
        <w:rPr>
          <w:sz w:val="24"/>
          <w:szCs w:val="24"/>
        </w:rPr>
        <w:t>Possible ship safety and emergency response impacts</w:t>
      </w:r>
    </w:p>
    <w:p w:rsidR="0075468D" w:rsidRPr="001F52E5" w:rsidRDefault="0075468D" w:rsidP="0075468D">
      <w:pPr>
        <w:pStyle w:val="Body"/>
        <w:numPr>
          <w:ilvl w:val="0"/>
          <w:numId w:val="21"/>
        </w:numPr>
        <w:rPr>
          <w:sz w:val="24"/>
          <w:szCs w:val="24"/>
        </w:rPr>
      </w:pPr>
      <w:r w:rsidRPr="001F52E5">
        <w:rPr>
          <w:sz w:val="24"/>
          <w:szCs w:val="24"/>
        </w:rPr>
        <w:t>Possible other user and social impacts</w:t>
      </w:r>
      <w:r>
        <w:rPr>
          <w:sz w:val="24"/>
          <w:szCs w:val="24"/>
        </w:rPr>
        <w:t>.</w:t>
      </w:r>
    </w:p>
    <w:p w:rsidR="0070415B" w:rsidRPr="001F52E5" w:rsidRDefault="0075468D" w:rsidP="0070415B">
      <w:pPr>
        <w:pStyle w:val="Body"/>
        <w:rPr>
          <w:sz w:val="24"/>
          <w:szCs w:val="24"/>
        </w:rPr>
      </w:pPr>
      <w:r w:rsidRPr="001F52E5">
        <w:rPr>
          <w:sz w:val="24"/>
          <w:szCs w:val="24"/>
        </w:rPr>
        <w:t xml:space="preserve">An overview of the results of the examination for the Port of Gladstone is contained in </w:t>
      </w:r>
      <w:r w:rsidRPr="001F52E5">
        <w:rPr>
          <w:sz w:val="24"/>
          <w:szCs w:val="24"/>
        </w:rPr>
        <w:fldChar w:fldCharType="begin"/>
      </w:r>
      <w:r w:rsidRPr="001F52E5">
        <w:rPr>
          <w:sz w:val="24"/>
          <w:szCs w:val="24"/>
        </w:rPr>
        <w:instrText xml:space="preserve"> REF  _Ref343503039 \* Lower \h  \* MERGEFORMAT </w:instrText>
      </w:r>
      <w:r w:rsidRPr="001F52E5">
        <w:rPr>
          <w:sz w:val="24"/>
          <w:szCs w:val="24"/>
        </w:rPr>
      </w:r>
      <w:r w:rsidRPr="001F52E5">
        <w:rPr>
          <w:sz w:val="24"/>
          <w:szCs w:val="24"/>
        </w:rPr>
        <w:fldChar w:fldCharType="separate"/>
      </w:r>
      <w:r w:rsidRPr="00705FB6">
        <w:rPr>
          <w:sz w:val="24"/>
          <w:szCs w:val="24"/>
        </w:rPr>
        <w:t xml:space="preserve">table </w:t>
      </w:r>
      <w:r>
        <w:rPr>
          <w:noProof/>
          <w:sz w:val="24"/>
          <w:szCs w:val="24"/>
        </w:rPr>
        <w:t>5</w:t>
      </w:r>
      <w:r w:rsidRPr="00705FB6">
        <w:rPr>
          <w:noProof/>
          <w:sz w:val="24"/>
          <w:szCs w:val="24"/>
        </w:rPr>
        <w:noBreakHyphen/>
      </w:r>
      <w:r>
        <w:rPr>
          <w:noProof/>
          <w:sz w:val="24"/>
          <w:szCs w:val="24"/>
        </w:rPr>
        <w:t>6</w:t>
      </w:r>
      <w:r w:rsidRPr="001F52E5">
        <w:rPr>
          <w:sz w:val="24"/>
          <w:szCs w:val="24"/>
        </w:rPr>
        <w:fldChar w:fldCharType="end"/>
      </w:r>
      <w:r w:rsidRPr="001F52E5">
        <w:rPr>
          <w:sz w:val="24"/>
          <w:szCs w:val="24"/>
        </w:rPr>
        <w:t xml:space="preserve">. </w:t>
      </w:r>
      <w:r w:rsidR="0070415B" w:rsidRPr="001F52E5">
        <w:rPr>
          <w:sz w:val="24"/>
          <w:szCs w:val="24"/>
        </w:rPr>
        <w:t>Ship anchorage at the Port of Gladstone was considered to be typical of a port with multiple trades and visited by multiple ship types requiring operational flexibility. It was noted that the current main anchorage area is outside of the port limits, with the smaller area being inside port limits. All existing anchorage areas are designated.</w:t>
      </w:r>
    </w:p>
    <w:p w:rsidR="0070415B" w:rsidRPr="001F52E5" w:rsidRDefault="0070415B" w:rsidP="0070415B">
      <w:pPr>
        <w:pStyle w:val="Body"/>
        <w:rPr>
          <w:sz w:val="24"/>
          <w:szCs w:val="24"/>
        </w:rPr>
      </w:pPr>
      <w:r w:rsidRPr="001F52E5">
        <w:rPr>
          <w:sz w:val="24"/>
          <w:szCs w:val="24"/>
        </w:rPr>
        <w:t xml:space="preserve">The expected small to moderate future growth in all ship calls (around three to four per cent per year, refer to section </w:t>
      </w:r>
      <w:r w:rsidRPr="001F52E5">
        <w:rPr>
          <w:sz w:val="24"/>
          <w:szCs w:val="24"/>
        </w:rPr>
        <w:fldChar w:fldCharType="begin"/>
      </w:r>
      <w:r w:rsidRPr="001F52E5">
        <w:rPr>
          <w:sz w:val="24"/>
          <w:szCs w:val="24"/>
        </w:rPr>
        <w:instrText xml:space="preserve"> REF _Ref343520306 \r \h  \* MERGEFORMAT </w:instrText>
      </w:r>
      <w:r w:rsidRPr="001F52E5">
        <w:rPr>
          <w:sz w:val="24"/>
          <w:szCs w:val="24"/>
        </w:rPr>
      </w:r>
      <w:r w:rsidRPr="001F52E5">
        <w:rPr>
          <w:sz w:val="24"/>
          <w:szCs w:val="24"/>
        </w:rPr>
        <w:fldChar w:fldCharType="separate"/>
      </w:r>
      <w:r>
        <w:rPr>
          <w:sz w:val="24"/>
          <w:szCs w:val="24"/>
        </w:rPr>
        <w:t>4.9.3</w:t>
      </w:r>
      <w:r w:rsidRPr="001F52E5">
        <w:rPr>
          <w:sz w:val="24"/>
          <w:szCs w:val="24"/>
        </w:rPr>
        <w:fldChar w:fldCharType="end"/>
      </w:r>
      <w:r w:rsidRPr="001F52E5">
        <w:rPr>
          <w:sz w:val="24"/>
          <w:szCs w:val="24"/>
        </w:rPr>
        <w:t xml:space="preserve">) at the Port of Gladstone was considered to support continuing anchorage practices. Gas carriers (LNG ships) typically require only a small amount of anchorage as they principally operate on a direct to berth from sea scheduled form of operation. There is, however, a possible need to adopt additional or alternate anchorage management options for appropriate management of increasing numbers of coal ships (bulk carriers). </w:t>
      </w:r>
    </w:p>
    <w:p w:rsidR="0070415B" w:rsidRPr="001F52E5" w:rsidRDefault="0070415B" w:rsidP="0070415B">
      <w:pPr>
        <w:pStyle w:val="Body"/>
        <w:rPr>
          <w:sz w:val="24"/>
          <w:szCs w:val="24"/>
        </w:rPr>
      </w:pPr>
      <w:r w:rsidRPr="001F52E5">
        <w:rPr>
          <w:sz w:val="24"/>
          <w:szCs w:val="24"/>
        </w:rPr>
        <w:t>The option of charging for anchoring (anchor pricing, a type of demand management), avoiding the need to expand existing anchorage areas, is possibly relevant for Gladstone. However, it was also considered commercially problematic. To significantly reduce the average length of stay at anchor, prices would need to be high, which could result in ships idling more at sea and/or anchoring elsewhere than if fees were not applied to use of designated anchorages. This could also shift anchoring to another port in Queensland which did not have fees for use of designated anchorages.</w:t>
      </w:r>
    </w:p>
    <w:p w:rsidR="0070415B" w:rsidRPr="001F52E5" w:rsidRDefault="0070415B" w:rsidP="0070415B">
      <w:pPr>
        <w:pStyle w:val="Body"/>
        <w:rPr>
          <w:sz w:val="24"/>
          <w:szCs w:val="24"/>
        </w:rPr>
      </w:pPr>
      <w:r w:rsidRPr="001F52E5">
        <w:rPr>
          <w:sz w:val="24"/>
          <w:szCs w:val="24"/>
        </w:rPr>
        <w:t xml:space="preserve">In the scenario of current anchorages being unable to accommodate future numbers of coal ships, and in the absence of an anchorage pricing mechanism, then the option of scheduled arrivals combined with dedicated anchorages may be relevant. This would require existing designated anchorages being re-designated into coal ship and non-coal ship anchorages. </w:t>
      </w:r>
    </w:p>
    <w:p w:rsidR="0070415B" w:rsidRPr="001F52E5" w:rsidRDefault="0070415B" w:rsidP="0070415B">
      <w:pPr>
        <w:pStyle w:val="Body"/>
        <w:rPr>
          <w:sz w:val="24"/>
          <w:szCs w:val="24"/>
        </w:rPr>
      </w:pPr>
      <w:r w:rsidRPr="001F52E5">
        <w:rPr>
          <w:sz w:val="24"/>
          <w:szCs w:val="24"/>
        </w:rPr>
        <w:t xml:space="preserve">The current practices of ship anchoring were considered to have minimal future impact for the environment and other users beyond that which has already occurred. Ship safety and the ability to rapidly respond to any maritime incident are considered to be excellent under existing arrangements given the close proximity of the main anchorage area to the port. </w:t>
      </w:r>
    </w:p>
    <w:p w:rsidR="0070415B" w:rsidRPr="001F52E5" w:rsidRDefault="0070415B" w:rsidP="0070415B">
      <w:pPr>
        <w:pStyle w:val="Body"/>
        <w:rPr>
          <w:sz w:val="24"/>
          <w:szCs w:val="24"/>
        </w:rPr>
      </w:pPr>
      <w:r w:rsidRPr="001F52E5">
        <w:rPr>
          <w:sz w:val="24"/>
          <w:szCs w:val="24"/>
        </w:rPr>
        <w:t>In conclusion, current practices with designated anchorage areas were envisaged as relevant if future demand can be accommodated by the existing capacity of the designated anchorage areas. In the scenario where future demand cannot be met by the current anchorage capacity, then anchorage pricing and/or scheduled arrivals in combination with dedicated anchorages particularly for coal ships were envisaged as relevant anchorage management options for the Port of Gladstone.</w:t>
      </w:r>
    </w:p>
    <w:p w:rsidR="00705FB6" w:rsidRDefault="00705FB6" w:rsidP="001A657F">
      <w:pPr>
        <w:pStyle w:val="Body"/>
        <w:rPr>
          <w:sz w:val="24"/>
          <w:szCs w:val="24"/>
        </w:rPr>
      </w:pPr>
    </w:p>
    <w:p w:rsidR="00705FB6" w:rsidRDefault="00705FB6" w:rsidP="001A657F">
      <w:pPr>
        <w:pStyle w:val="Body"/>
        <w:rPr>
          <w:sz w:val="24"/>
          <w:szCs w:val="24"/>
        </w:rPr>
        <w:sectPr w:rsidR="00705FB6" w:rsidSect="00B6174B">
          <w:headerReference w:type="default" r:id="rId74"/>
          <w:footerReference w:type="default" r:id="rId75"/>
          <w:pgSz w:w="11906" w:h="16838" w:code="9"/>
          <w:pgMar w:top="1418" w:right="1701" w:bottom="1701" w:left="1418" w:header="709" w:footer="709" w:gutter="0"/>
          <w:cols w:space="720"/>
          <w:docGrid w:linePitch="273"/>
        </w:sectPr>
      </w:pPr>
    </w:p>
    <w:p w:rsidR="001A657F" w:rsidRPr="00705FB6" w:rsidRDefault="001A657F" w:rsidP="00705FB6">
      <w:pPr>
        <w:pStyle w:val="CaptionTable"/>
        <w:spacing w:after="240"/>
        <w:rPr>
          <w:sz w:val="24"/>
          <w:szCs w:val="24"/>
        </w:rPr>
      </w:pPr>
      <w:bookmarkStart w:id="495" w:name="_Ref343503039"/>
      <w:bookmarkStart w:id="496" w:name="_Toc342402118"/>
      <w:bookmarkStart w:id="497" w:name="_Toc343582068"/>
      <w:bookmarkStart w:id="498" w:name="_Toc343597164"/>
      <w:bookmarkStart w:id="499" w:name="_Toc362274378"/>
      <w:r w:rsidRPr="00705FB6">
        <w:rPr>
          <w:sz w:val="24"/>
          <w:szCs w:val="24"/>
        </w:rPr>
        <w:t xml:space="preserve">Table </w:t>
      </w:r>
      <w:r w:rsidR="00542883">
        <w:rPr>
          <w:sz w:val="24"/>
          <w:szCs w:val="24"/>
        </w:rPr>
        <w:fldChar w:fldCharType="begin"/>
      </w:r>
      <w:r w:rsidR="00542883">
        <w:rPr>
          <w:sz w:val="24"/>
          <w:szCs w:val="24"/>
        </w:rPr>
        <w:instrText xml:space="preserve"> STYLEREF 1 \s </w:instrText>
      </w:r>
      <w:r w:rsidR="00542883">
        <w:rPr>
          <w:sz w:val="24"/>
          <w:szCs w:val="24"/>
        </w:rPr>
        <w:fldChar w:fldCharType="separate"/>
      </w:r>
      <w:r w:rsidR="00542883">
        <w:rPr>
          <w:noProof/>
          <w:sz w:val="24"/>
          <w:szCs w:val="24"/>
        </w:rPr>
        <w:t>5</w:t>
      </w:r>
      <w:r w:rsidR="00542883">
        <w:rPr>
          <w:sz w:val="24"/>
          <w:szCs w:val="24"/>
        </w:rPr>
        <w:fldChar w:fldCharType="end"/>
      </w:r>
      <w:r w:rsidR="00542883">
        <w:rPr>
          <w:sz w:val="24"/>
          <w:szCs w:val="24"/>
        </w:rPr>
        <w:noBreakHyphen/>
      </w:r>
      <w:r w:rsidR="00542883">
        <w:rPr>
          <w:sz w:val="24"/>
          <w:szCs w:val="24"/>
        </w:rPr>
        <w:fldChar w:fldCharType="begin"/>
      </w:r>
      <w:r w:rsidR="00542883">
        <w:rPr>
          <w:sz w:val="24"/>
          <w:szCs w:val="24"/>
        </w:rPr>
        <w:instrText xml:space="preserve"> SEQ Table \* ARABIC \s 1 </w:instrText>
      </w:r>
      <w:r w:rsidR="00542883">
        <w:rPr>
          <w:sz w:val="24"/>
          <w:szCs w:val="24"/>
        </w:rPr>
        <w:fldChar w:fldCharType="separate"/>
      </w:r>
      <w:r w:rsidR="00542883">
        <w:rPr>
          <w:noProof/>
          <w:sz w:val="24"/>
          <w:szCs w:val="24"/>
        </w:rPr>
        <w:t>6</w:t>
      </w:r>
      <w:r w:rsidR="00542883">
        <w:rPr>
          <w:sz w:val="24"/>
          <w:szCs w:val="24"/>
        </w:rPr>
        <w:fldChar w:fldCharType="end"/>
      </w:r>
      <w:bookmarkEnd w:id="495"/>
      <w:r w:rsidR="001F52E5" w:rsidRPr="00DE2A47">
        <w:rPr>
          <w:noProof/>
          <w:sz w:val="24"/>
          <w:szCs w:val="24"/>
        </w:rPr>
        <w:t>:</w:t>
      </w:r>
      <w:r w:rsidRPr="00DE2A47">
        <w:rPr>
          <w:b w:val="0"/>
          <w:sz w:val="24"/>
          <w:szCs w:val="24"/>
        </w:rPr>
        <w:t xml:space="preserve"> Overview of ship anchorage management options and relevance for Port of Gladstone</w:t>
      </w:r>
      <w:bookmarkEnd w:id="496"/>
      <w:bookmarkEnd w:id="497"/>
      <w:bookmarkEnd w:id="498"/>
      <w:bookmarkEnd w:id="499"/>
    </w:p>
    <w:tbl>
      <w:tblPr>
        <w:tblStyle w:val="TableGrid5"/>
        <w:tblW w:w="13976" w:type="dxa"/>
        <w:tblBorders>
          <w:left w:val="none" w:sz="0" w:space="0" w:color="auto"/>
          <w:right w:val="none" w:sz="0" w:space="0" w:color="auto"/>
          <w:insideV w:val="none" w:sz="0" w:space="0" w:color="auto"/>
        </w:tblBorders>
        <w:tblLook w:val="04A0" w:firstRow="1" w:lastRow="0" w:firstColumn="1" w:lastColumn="0" w:noHBand="0" w:noVBand="1"/>
        <w:tblCaption w:val="Overview of ship anchorage management options and relevance for Port of Gladstone"/>
        <w:tblDescription w:val="An overview of the potential ship anchorage management options for the Port of Gladstone. Columns represent the option number, name of the option and each assessed criteria. Further discussion of management options for the port is provided in Section 5.3.5."/>
      </w:tblPr>
      <w:tblGrid>
        <w:gridCol w:w="1072"/>
        <w:gridCol w:w="2320"/>
        <w:gridCol w:w="2148"/>
        <w:gridCol w:w="2512"/>
        <w:gridCol w:w="1861"/>
        <w:gridCol w:w="2225"/>
        <w:gridCol w:w="1838"/>
      </w:tblGrid>
      <w:tr w:rsidR="00705FB6" w:rsidRPr="00705FB6" w:rsidTr="00705FB6">
        <w:trPr>
          <w:trHeight w:val="147"/>
          <w:tblHeader/>
        </w:trPr>
        <w:tc>
          <w:tcPr>
            <w:tcW w:w="1072" w:type="dxa"/>
            <w:vMerge w:val="restart"/>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Option</w:t>
            </w:r>
          </w:p>
        </w:tc>
        <w:tc>
          <w:tcPr>
            <w:tcW w:w="2320" w:type="dxa"/>
            <w:vMerge w:val="restart"/>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Name</w:t>
            </w:r>
          </w:p>
        </w:tc>
        <w:tc>
          <w:tcPr>
            <w:tcW w:w="10584" w:type="dxa"/>
            <w:gridSpan w:val="5"/>
          </w:tcPr>
          <w:p w:rsidR="00705FB6" w:rsidRPr="00705FB6" w:rsidRDefault="00705FB6" w:rsidP="00705FB6">
            <w:pPr>
              <w:spacing w:after="120" w:line="276" w:lineRule="auto"/>
              <w:jc w:val="center"/>
              <w:rPr>
                <w:rFonts w:ascii="Arial" w:hAnsi="Arial" w:cs="Arial"/>
                <w:color w:val="auto"/>
                <w:sz w:val="24"/>
                <w:szCs w:val="24"/>
              </w:rPr>
            </w:pPr>
            <w:r w:rsidRPr="00705FB6">
              <w:rPr>
                <w:rFonts w:ascii="Arial" w:hAnsi="Arial" w:cs="Arial"/>
                <w:color w:val="auto"/>
                <w:sz w:val="24"/>
                <w:szCs w:val="24"/>
              </w:rPr>
              <w:t>Assessed Criteria (Potential Net Benefits)</w:t>
            </w:r>
          </w:p>
        </w:tc>
      </w:tr>
      <w:tr w:rsidR="00705FB6" w:rsidRPr="00705FB6" w:rsidTr="00705FB6">
        <w:trPr>
          <w:trHeight w:val="147"/>
          <w:tblHeader/>
        </w:trPr>
        <w:tc>
          <w:tcPr>
            <w:tcW w:w="1072" w:type="dxa"/>
            <w:vMerge/>
          </w:tcPr>
          <w:p w:rsidR="00705FB6" w:rsidRPr="00705FB6" w:rsidRDefault="00705FB6" w:rsidP="00705FB6">
            <w:pPr>
              <w:spacing w:after="120" w:line="276" w:lineRule="auto"/>
              <w:rPr>
                <w:rFonts w:ascii="Arial" w:hAnsi="Arial" w:cs="Arial"/>
                <w:color w:val="auto"/>
                <w:sz w:val="24"/>
                <w:szCs w:val="24"/>
              </w:rPr>
            </w:pPr>
          </w:p>
        </w:tc>
        <w:tc>
          <w:tcPr>
            <w:tcW w:w="2320" w:type="dxa"/>
            <w:vMerge/>
          </w:tcPr>
          <w:p w:rsidR="00705FB6" w:rsidRPr="00705FB6" w:rsidRDefault="00705FB6" w:rsidP="00705FB6">
            <w:pPr>
              <w:spacing w:after="120" w:line="276" w:lineRule="auto"/>
              <w:rPr>
                <w:rFonts w:ascii="Arial" w:hAnsi="Arial" w:cs="Arial"/>
                <w:color w:val="auto"/>
                <w:sz w:val="24"/>
                <w:szCs w:val="24"/>
              </w:rPr>
            </w:pPr>
          </w:p>
        </w:tc>
        <w:tc>
          <w:tcPr>
            <w:tcW w:w="2148" w:type="dxa"/>
          </w:tcPr>
          <w:p w:rsidR="00705FB6" w:rsidRPr="00705FB6" w:rsidRDefault="00705FB6" w:rsidP="0075468D">
            <w:pPr>
              <w:spacing w:after="120" w:line="276" w:lineRule="auto"/>
              <w:rPr>
                <w:rFonts w:ascii="Arial" w:hAnsi="Arial" w:cs="Arial"/>
                <w:color w:val="auto"/>
                <w:sz w:val="24"/>
                <w:szCs w:val="24"/>
              </w:rPr>
            </w:pPr>
            <w:r w:rsidRPr="00705FB6">
              <w:rPr>
                <w:rFonts w:ascii="Arial" w:hAnsi="Arial" w:cs="Arial"/>
                <w:color w:val="auto"/>
                <w:sz w:val="24"/>
                <w:szCs w:val="24"/>
              </w:rPr>
              <w:t>Economic / Commercial impacts</w:t>
            </w:r>
          </w:p>
        </w:tc>
        <w:tc>
          <w:tcPr>
            <w:tcW w:w="2512" w:type="dxa"/>
          </w:tcPr>
          <w:p w:rsidR="00705FB6" w:rsidRPr="00705FB6" w:rsidRDefault="00705FB6" w:rsidP="0075468D">
            <w:pPr>
              <w:spacing w:after="120" w:line="276" w:lineRule="auto"/>
              <w:rPr>
                <w:rFonts w:ascii="Arial" w:hAnsi="Arial" w:cs="Arial"/>
                <w:color w:val="auto"/>
                <w:sz w:val="24"/>
                <w:szCs w:val="24"/>
              </w:rPr>
            </w:pPr>
            <w:r w:rsidRPr="00705FB6">
              <w:rPr>
                <w:rFonts w:ascii="Arial" w:hAnsi="Arial" w:cs="Arial"/>
                <w:color w:val="auto"/>
                <w:sz w:val="24"/>
                <w:szCs w:val="24"/>
              </w:rPr>
              <w:t>Environmental impacts</w:t>
            </w:r>
          </w:p>
        </w:tc>
        <w:tc>
          <w:tcPr>
            <w:tcW w:w="1861" w:type="dxa"/>
          </w:tcPr>
          <w:p w:rsidR="00705FB6" w:rsidRPr="00705FB6" w:rsidRDefault="00705FB6" w:rsidP="0075468D">
            <w:pPr>
              <w:spacing w:after="120" w:line="276" w:lineRule="auto"/>
              <w:rPr>
                <w:rFonts w:ascii="Arial" w:hAnsi="Arial" w:cs="Arial"/>
                <w:color w:val="auto"/>
                <w:sz w:val="24"/>
                <w:szCs w:val="24"/>
              </w:rPr>
            </w:pPr>
            <w:r w:rsidRPr="00705FB6">
              <w:rPr>
                <w:rFonts w:ascii="Arial" w:hAnsi="Arial" w:cs="Arial"/>
                <w:color w:val="auto"/>
                <w:sz w:val="24"/>
                <w:szCs w:val="24"/>
              </w:rPr>
              <w:t>Ship safety / Response impacts</w:t>
            </w:r>
          </w:p>
        </w:tc>
        <w:tc>
          <w:tcPr>
            <w:tcW w:w="2225" w:type="dxa"/>
          </w:tcPr>
          <w:p w:rsidR="00705FB6" w:rsidRPr="00705FB6" w:rsidRDefault="00705FB6" w:rsidP="0075468D">
            <w:pPr>
              <w:spacing w:after="120" w:line="276" w:lineRule="auto"/>
              <w:rPr>
                <w:rFonts w:ascii="Arial" w:hAnsi="Arial" w:cs="Arial"/>
                <w:color w:val="auto"/>
                <w:sz w:val="24"/>
                <w:szCs w:val="24"/>
              </w:rPr>
            </w:pPr>
            <w:r w:rsidRPr="00705FB6">
              <w:rPr>
                <w:rFonts w:ascii="Arial" w:hAnsi="Arial" w:cs="Arial"/>
                <w:color w:val="auto"/>
                <w:sz w:val="24"/>
                <w:szCs w:val="24"/>
              </w:rPr>
              <w:t>Other user impacts</w:t>
            </w:r>
          </w:p>
        </w:tc>
        <w:tc>
          <w:tcPr>
            <w:tcW w:w="1838" w:type="dxa"/>
          </w:tcPr>
          <w:p w:rsidR="00705FB6" w:rsidRPr="00705FB6" w:rsidRDefault="00705FB6" w:rsidP="0075468D">
            <w:pPr>
              <w:spacing w:after="120" w:line="276" w:lineRule="auto"/>
              <w:rPr>
                <w:rFonts w:ascii="Arial" w:hAnsi="Arial" w:cs="Arial"/>
                <w:color w:val="auto"/>
                <w:sz w:val="24"/>
                <w:szCs w:val="24"/>
              </w:rPr>
            </w:pPr>
            <w:r w:rsidRPr="00705FB6">
              <w:rPr>
                <w:rFonts w:ascii="Arial" w:hAnsi="Arial" w:cs="Arial"/>
                <w:color w:val="auto"/>
                <w:sz w:val="24"/>
                <w:szCs w:val="24"/>
              </w:rPr>
              <w:t>Relevant for future</w:t>
            </w:r>
          </w:p>
        </w:tc>
      </w:tr>
      <w:tr w:rsidR="00705FB6" w:rsidRPr="00705FB6" w:rsidTr="00705FB6">
        <w:trPr>
          <w:trHeight w:val="147"/>
        </w:trPr>
        <w:tc>
          <w:tcPr>
            <w:tcW w:w="1072"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1</w:t>
            </w:r>
          </w:p>
        </w:tc>
        <w:tc>
          <w:tcPr>
            <w:tcW w:w="232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Business-as-usual</w:t>
            </w:r>
          </w:p>
        </w:tc>
        <w:tc>
          <w:tcPr>
            <w:tcW w:w="214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 xml:space="preserve">Yes </w:t>
            </w:r>
          </w:p>
        </w:tc>
        <w:tc>
          <w:tcPr>
            <w:tcW w:w="251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Minimal (occurred)</w:t>
            </w:r>
          </w:p>
        </w:tc>
        <w:tc>
          <w:tcPr>
            <w:tcW w:w="186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Excellent (close to port)</w:t>
            </w:r>
          </w:p>
        </w:tc>
        <w:tc>
          <w:tcPr>
            <w:tcW w:w="222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Minimal (current)</w:t>
            </w:r>
          </w:p>
        </w:tc>
        <w:tc>
          <w:tcPr>
            <w:tcW w:w="183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Yes</w:t>
            </w:r>
          </w:p>
        </w:tc>
      </w:tr>
      <w:tr w:rsidR="00705FB6" w:rsidRPr="00705FB6" w:rsidTr="00705FB6">
        <w:trPr>
          <w:trHeight w:val="147"/>
        </w:trPr>
        <w:tc>
          <w:tcPr>
            <w:tcW w:w="1072"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2</w:t>
            </w:r>
          </w:p>
        </w:tc>
        <w:tc>
          <w:tcPr>
            <w:tcW w:w="232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Improved</w:t>
            </w:r>
          </w:p>
        </w:tc>
        <w:tc>
          <w:tcPr>
            <w:tcW w:w="214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 (already designated areas)</w:t>
            </w:r>
          </w:p>
        </w:tc>
        <w:tc>
          <w:tcPr>
            <w:tcW w:w="251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 (already designated areas)</w:t>
            </w:r>
          </w:p>
        </w:tc>
        <w:tc>
          <w:tcPr>
            <w:tcW w:w="1861" w:type="dxa"/>
          </w:tcPr>
          <w:p w:rsidR="00705FB6" w:rsidRPr="00705FB6" w:rsidRDefault="00705FB6" w:rsidP="00705FB6">
            <w:pPr>
              <w:spacing w:after="120"/>
              <w:rPr>
                <w:rFonts w:ascii="Arial" w:hAnsi="Arial" w:cs="Arial"/>
                <w:b w:val="0"/>
                <w:color w:val="auto"/>
                <w:sz w:val="24"/>
                <w:szCs w:val="24"/>
              </w:rPr>
            </w:pPr>
            <w:r w:rsidRPr="00705FB6">
              <w:rPr>
                <w:rFonts w:ascii="Arial" w:hAnsi="Arial" w:cs="Arial"/>
                <w:b w:val="0"/>
                <w:color w:val="auto"/>
                <w:sz w:val="24"/>
                <w:szCs w:val="24"/>
              </w:rPr>
              <w:t>No (already designated areas</w:t>
            </w:r>
          </w:p>
        </w:tc>
        <w:tc>
          <w:tcPr>
            <w:tcW w:w="2225" w:type="dxa"/>
          </w:tcPr>
          <w:p w:rsidR="00705FB6" w:rsidRPr="00705FB6" w:rsidRDefault="00705FB6" w:rsidP="00705FB6">
            <w:pPr>
              <w:spacing w:after="120"/>
              <w:rPr>
                <w:rFonts w:ascii="Arial" w:hAnsi="Arial" w:cs="Arial"/>
                <w:b w:val="0"/>
                <w:color w:val="auto"/>
                <w:sz w:val="24"/>
                <w:szCs w:val="24"/>
              </w:rPr>
            </w:pPr>
            <w:r w:rsidRPr="00705FB6">
              <w:rPr>
                <w:rFonts w:ascii="Arial" w:hAnsi="Arial" w:cs="Arial"/>
                <w:b w:val="0"/>
                <w:color w:val="auto"/>
                <w:sz w:val="24"/>
                <w:szCs w:val="24"/>
              </w:rPr>
              <w:t>No (already designated areas</w:t>
            </w:r>
          </w:p>
        </w:tc>
        <w:tc>
          <w:tcPr>
            <w:tcW w:w="183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7"/>
        </w:trPr>
        <w:tc>
          <w:tcPr>
            <w:tcW w:w="1072"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3</w:t>
            </w:r>
          </w:p>
        </w:tc>
        <w:tc>
          <w:tcPr>
            <w:tcW w:w="232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All-at-Port</w:t>
            </w:r>
          </w:p>
        </w:tc>
        <w:tc>
          <w:tcPr>
            <w:tcW w:w="214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High negative</w:t>
            </w:r>
          </w:p>
        </w:tc>
        <w:tc>
          <w:tcPr>
            <w:tcW w:w="251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6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Excellent (in port)</w:t>
            </w:r>
          </w:p>
        </w:tc>
        <w:tc>
          <w:tcPr>
            <w:tcW w:w="222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Possibly (via no use of anchorages)</w:t>
            </w:r>
          </w:p>
        </w:tc>
        <w:tc>
          <w:tcPr>
            <w:tcW w:w="183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7"/>
        </w:trPr>
        <w:tc>
          <w:tcPr>
            <w:tcW w:w="1072"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4</w:t>
            </w:r>
          </w:p>
        </w:tc>
        <w:tc>
          <w:tcPr>
            <w:tcW w:w="232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All-in-Port limits</w:t>
            </w:r>
          </w:p>
        </w:tc>
        <w:tc>
          <w:tcPr>
            <w:tcW w:w="214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Technically unfeasible</w:t>
            </w:r>
          </w:p>
        </w:tc>
        <w:tc>
          <w:tcPr>
            <w:tcW w:w="251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6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negative (navigation issues)</w:t>
            </w:r>
          </w:p>
        </w:tc>
        <w:tc>
          <w:tcPr>
            <w:tcW w:w="222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 / Possible</w:t>
            </w:r>
          </w:p>
        </w:tc>
        <w:tc>
          <w:tcPr>
            <w:tcW w:w="183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7"/>
        </w:trPr>
        <w:tc>
          <w:tcPr>
            <w:tcW w:w="1072"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5</w:t>
            </w:r>
          </w:p>
        </w:tc>
        <w:tc>
          <w:tcPr>
            <w:tcW w:w="232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Fixed-Moored</w:t>
            </w:r>
          </w:p>
        </w:tc>
        <w:tc>
          <w:tcPr>
            <w:tcW w:w="214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High negative</w:t>
            </w:r>
          </w:p>
        </w:tc>
        <w:tc>
          <w:tcPr>
            <w:tcW w:w="251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negative</w:t>
            </w:r>
          </w:p>
        </w:tc>
        <w:tc>
          <w:tcPr>
            <w:tcW w:w="186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negative</w:t>
            </w:r>
          </w:p>
        </w:tc>
        <w:tc>
          <w:tcPr>
            <w:tcW w:w="222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negative</w:t>
            </w:r>
          </w:p>
        </w:tc>
        <w:tc>
          <w:tcPr>
            <w:tcW w:w="183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7"/>
        </w:trPr>
        <w:tc>
          <w:tcPr>
            <w:tcW w:w="1072"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6</w:t>
            </w:r>
          </w:p>
        </w:tc>
        <w:tc>
          <w:tcPr>
            <w:tcW w:w="232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All-at-Sea</w:t>
            </w:r>
          </w:p>
        </w:tc>
        <w:tc>
          <w:tcPr>
            <w:tcW w:w="214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Negative</w:t>
            </w:r>
          </w:p>
        </w:tc>
        <w:tc>
          <w:tcPr>
            <w:tcW w:w="251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6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negative</w:t>
            </w:r>
          </w:p>
        </w:tc>
        <w:tc>
          <w:tcPr>
            <w:tcW w:w="222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3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7"/>
        </w:trPr>
        <w:tc>
          <w:tcPr>
            <w:tcW w:w="1072"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7</w:t>
            </w:r>
          </w:p>
        </w:tc>
        <w:tc>
          <w:tcPr>
            <w:tcW w:w="232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Scheduled Arrivals</w:t>
            </w:r>
          </w:p>
        </w:tc>
        <w:tc>
          <w:tcPr>
            <w:tcW w:w="214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251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6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222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3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7"/>
        </w:trPr>
        <w:tc>
          <w:tcPr>
            <w:tcW w:w="1072"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8</w:t>
            </w:r>
          </w:p>
        </w:tc>
        <w:tc>
          <w:tcPr>
            <w:tcW w:w="232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Scheduled Arrivals plus Anchorage</w:t>
            </w:r>
          </w:p>
        </w:tc>
        <w:tc>
          <w:tcPr>
            <w:tcW w:w="214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Benefits &amp; costs to be evaluated</w:t>
            </w:r>
          </w:p>
        </w:tc>
        <w:tc>
          <w:tcPr>
            <w:tcW w:w="251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Possibly benefits or no change</w:t>
            </w:r>
          </w:p>
        </w:tc>
        <w:tc>
          <w:tcPr>
            <w:tcW w:w="186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222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Possibly benefits or no change</w:t>
            </w:r>
          </w:p>
        </w:tc>
        <w:tc>
          <w:tcPr>
            <w:tcW w:w="183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 (exception being for coal ships)</w:t>
            </w:r>
          </w:p>
        </w:tc>
      </w:tr>
      <w:tr w:rsidR="00705FB6" w:rsidRPr="00705FB6" w:rsidTr="00705FB6">
        <w:trPr>
          <w:trHeight w:val="147"/>
        </w:trPr>
        <w:tc>
          <w:tcPr>
            <w:tcW w:w="1072" w:type="dxa"/>
            <w:vMerge w:val="restart"/>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9</w:t>
            </w:r>
          </w:p>
        </w:tc>
        <w:tc>
          <w:tcPr>
            <w:tcW w:w="232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Demand Management</w:t>
            </w:r>
          </w:p>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 xml:space="preserve">(a) Capped ship arrivals </w:t>
            </w:r>
          </w:p>
        </w:tc>
        <w:tc>
          <w:tcPr>
            <w:tcW w:w="214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High negative</w:t>
            </w:r>
          </w:p>
        </w:tc>
        <w:tc>
          <w:tcPr>
            <w:tcW w:w="251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6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222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3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7"/>
        </w:trPr>
        <w:tc>
          <w:tcPr>
            <w:tcW w:w="1072" w:type="dxa"/>
            <w:vMerge/>
          </w:tcPr>
          <w:p w:rsidR="00705FB6" w:rsidRPr="00705FB6" w:rsidRDefault="00705FB6" w:rsidP="00705FB6">
            <w:pPr>
              <w:spacing w:after="120" w:line="276" w:lineRule="auto"/>
              <w:rPr>
                <w:rFonts w:ascii="Arial" w:hAnsi="Arial" w:cs="Arial"/>
                <w:color w:val="auto"/>
                <w:sz w:val="24"/>
                <w:szCs w:val="24"/>
              </w:rPr>
            </w:pPr>
          </w:p>
        </w:tc>
        <w:tc>
          <w:tcPr>
            <w:tcW w:w="232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(b) Anchorage pricing</w:t>
            </w:r>
          </w:p>
        </w:tc>
        <w:tc>
          <w:tcPr>
            <w:tcW w:w="214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Negative</w:t>
            </w:r>
          </w:p>
        </w:tc>
        <w:tc>
          <w:tcPr>
            <w:tcW w:w="251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no change</w:t>
            </w:r>
          </w:p>
        </w:tc>
        <w:tc>
          <w:tcPr>
            <w:tcW w:w="1861" w:type="dxa"/>
          </w:tcPr>
          <w:p w:rsidR="00705FB6" w:rsidRPr="00705FB6" w:rsidRDefault="00705FB6" w:rsidP="00705FB6">
            <w:pPr>
              <w:spacing w:after="120"/>
              <w:rPr>
                <w:rFonts w:ascii="Arial" w:hAnsi="Arial" w:cs="Arial"/>
                <w:b w:val="0"/>
                <w:color w:val="auto"/>
                <w:sz w:val="24"/>
                <w:szCs w:val="24"/>
              </w:rPr>
            </w:pPr>
            <w:r w:rsidRPr="00705FB6">
              <w:rPr>
                <w:rFonts w:ascii="Arial" w:hAnsi="Arial" w:cs="Arial"/>
                <w:b w:val="0"/>
                <w:color w:val="auto"/>
                <w:sz w:val="24"/>
                <w:szCs w:val="24"/>
              </w:rPr>
              <w:t>Likely no change</w:t>
            </w:r>
          </w:p>
        </w:tc>
        <w:tc>
          <w:tcPr>
            <w:tcW w:w="2225" w:type="dxa"/>
          </w:tcPr>
          <w:p w:rsidR="00705FB6" w:rsidRPr="00705FB6" w:rsidRDefault="00705FB6" w:rsidP="00705FB6">
            <w:pPr>
              <w:spacing w:after="120"/>
              <w:rPr>
                <w:rFonts w:ascii="Arial" w:hAnsi="Arial" w:cs="Arial"/>
                <w:b w:val="0"/>
                <w:color w:val="auto"/>
                <w:sz w:val="24"/>
                <w:szCs w:val="24"/>
              </w:rPr>
            </w:pPr>
            <w:r w:rsidRPr="00705FB6">
              <w:rPr>
                <w:rFonts w:ascii="Arial" w:hAnsi="Arial" w:cs="Arial"/>
                <w:b w:val="0"/>
                <w:color w:val="auto"/>
                <w:sz w:val="24"/>
                <w:szCs w:val="24"/>
              </w:rPr>
              <w:t>Likely no change</w:t>
            </w:r>
          </w:p>
        </w:tc>
        <w:tc>
          <w:tcPr>
            <w:tcW w:w="183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Possibly</w:t>
            </w:r>
          </w:p>
        </w:tc>
      </w:tr>
      <w:tr w:rsidR="00705FB6" w:rsidRPr="00705FB6" w:rsidTr="00705FB6">
        <w:trPr>
          <w:trHeight w:val="147"/>
        </w:trPr>
        <w:tc>
          <w:tcPr>
            <w:tcW w:w="1072" w:type="dxa"/>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10</w:t>
            </w:r>
          </w:p>
        </w:tc>
        <w:tc>
          <w:tcPr>
            <w:tcW w:w="232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Port consolidation Strategy</w:t>
            </w:r>
          </w:p>
        </w:tc>
        <w:tc>
          <w:tcPr>
            <w:tcW w:w="214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High negative (re. alternative port routing)</w:t>
            </w:r>
          </w:p>
        </w:tc>
        <w:tc>
          <w:tcPr>
            <w:tcW w:w="251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6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222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183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175"/>
        </w:trPr>
        <w:tc>
          <w:tcPr>
            <w:tcW w:w="1072" w:type="dxa"/>
            <w:vMerge w:val="restart"/>
          </w:tcPr>
          <w:p w:rsidR="00705FB6" w:rsidRPr="00705FB6" w:rsidRDefault="00705FB6" w:rsidP="00705FB6">
            <w:pPr>
              <w:spacing w:after="120" w:line="276" w:lineRule="auto"/>
              <w:rPr>
                <w:rFonts w:ascii="Arial" w:hAnsi="Arial" w:cs="Arial"/>
                <w:color w:val="auto"/>
                <w:sz w:val="24"/>
                <w:szCs w:val="24"/>
              </w:rPr>
            </w:pPr>
            <w:r w:rsidRPr="00705FB6">
              <w:rPr>
                <w:rFonts w:ascii="Arial" w:hAnsi="Arial" w:cs="Arial"/>
                <w:color w:val="auto"/>
                <w:sz w:val="24"/>
                <w:szCs w:val="24"/>
              </w:rPr>
              <w:t>Others</w:t>
            </w:r>
          </w:p>
        </w:tc>
        <w:tc>
          <w:tcPr>
            <w:tcW w:w="232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(a) Ship dynamic positioning</w:t>
            </w:r>
          </w:p>
        </w:tc>
        <w:tc>
          <w:tcPr>
            <w:tcW w:w="214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High negative</w:t>
            </w:r>
          </w:p>
        </w:tc>
        <w:tc>
          <w:tcPr>
            <w:tcW w:w="251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Potentially (no anchorage used)</w:t>
            </w:r>
          </w:p>
        </w:tc>
        <w:tc>
          <w:tcPr>
            <w:tcW w:w="186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Uncertain</w:t>
            </w:r>
          </w:p>
        </w:tc>
        <w:tc>
          <w:tcPr>
            <w:tcW w:w="222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Likely no change</w:t>
            </w:r>
          </w:p>
        </w:tc>
        <w:tc>
          <w:tcPr>
            <w:tcW w:w="183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No</w:t>
            </w:r>
          </w:p>
        </w:tc>
      </w:tr>
      <w:tr w:rsidR="00705FB6" w:rsidRPr="00705FB6" w:rsidTr="00705FB6">
        <w:trPr>
          <w:trHeight w:val="147"/>
        </w:trPr>
        <w:tc>
          <w:tcPr>
            <w:tcW w:w="1072" w:type="dxa"/>
            <w:vMerge/>
          </w:tcPr>
          <w:p w:rsidR="00705FB6" w:rsidRPr="00705FB6" w:rsidRDefault="00705FB6" w:rsidP="00705FB6">
            <w:pPr>
              <w:spacing w:after="120" w:line="276" w:lineRule="auto"/>
              <w:rPr>
                <w:rFonts w:ascii="Arial" w:hAnsi="Arial" w:cs="Arial"/>
                <w:b w:val="0"/>
                <w:color w:val="auto"/>
                <w:sz w:val="24"/>
                <w:szCs w:val="24"/>
              </w:rPr>
            </w:pPr>
          </w:p>
        </w:tc>
        <w:tc>
          <w:tcPr>
            <w:tcW w:w="2320"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(b) Mixed options</w:t>
            </w:r>
          </w:p>
        </w:tc>
        <w:tc>
          <w:tcPr>
            <w:tcW w:w="214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w:t>
            </w:r>
          </w:p>
        </w:tc>
        <w:tc>
          <w:tcPr>
            <w:tcW w:w="2512"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w:t>
            </w:r>
          </w:p>
        </w:tc>
        <w:tc>
          <w:tcPr>
            <w:tcW w:w="1861"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w:t>
            </w:r>
          </w:p>
        </w:tc>
        <w:tc>
          <w:tcPr>
            <w:tcW w:w="2225"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w:t>
            </w:r>
          </w:p>
        </w:tc>
        <w:tc>
          <w:tcPr>
            <w:tcW w:w="1838" w:type="dxa"/>
          </w:tcPr>
          <w:p w:rsidR="00705FB6" w:rsidRPr="00705FB6" w:rsidRDefault="00705FB6" w:rsidP="00705FB6">
            <w:pPr>
              <w:spacing w:after="120" w:line="276" w:lineRule="auto"/>
              <w:rPr>
                <w:rFonts w:ascii="Arial" w:hAnsi="Arial" w:cs="Arial"/>
                <w:b w:val="0"/>
                <w:color w:val="auto"/>
                <w:sz w:val="24"/>
                <w:szCs w:val="24"/>
              </w:rPr>
            </w:pPr>
            <w:r w:rsidRPr="00705FB6">
              <w:rPr>
                <w:rFonts w:ascii="Arial" w:hAnsi="Arial" w:cs="Arial"/>
                <w:b w:val="0"/>
                <w:color w:val="auto"/>
                <w:sz w:val="24"/>
                <w:szCs w:val="24"/>
              </w:rPr>
              <w:t>1, (8), 9</w:t>
            </w:r>
          </w:p>
        </w:tc>
      </w:tr>
    </w:tbl>
    <w:p w:rsidR="001A657F" w:rsidRPr="00BA08D3" w:rsidRDefault="001A657F" w:rsidP="00705FB6">
      <w:pPr>
        <w:pStyle w:val="Body"/>
      </w:pPr>
    </w:p>
    <w:p w:rsidR="00705FB6" w:rsidRDefault="00705FB6" w:rsidP="001A657F">
      <w:pPr>
        <w:pStyle w:val="Body"/>
        <w:rPr>
          <w:sz w:val="24"/>
          <w:szCs w:val="24"/>
        </w:rPr>
        <w:sectPr w:rsidR="00705FB6" w:rsidSect="00705FB6">
          <w:headerReference w:type="default" r:id="rId76"/>
          <w:footerReference w:type="default" r:id="rId77"/>
          <w:pgSz w:w="16838" w:h="11906" w:orient="landscape" w:code="9"/>
          <w:pgMar w:top="1701" w:right="1701" w:bottom="1418" w:left="1418" w:header="709" w:footer="709" w:gutter="0"/>
          <w:cols w:space="720"/>
          <w:docGrid w:linePitch="273"/>
        </w:sectPr>
      </w:pPr>
    </w:p>
    <w:p w:rsidR="001A657F" w:rsidRDefault="001A657F" w:rsidP="001A657F">
      <w:pPr>
        <w:pStyle w:val="Heading1"/>
      </w:pPr>
      <w:bookmarkStart w:id="500" w:name="_Toc343597289"/>
      <w:bookmarkStart w:id="501" w:name="_Toc362274336"/>
      <w:bookmarkEnd w:id="452"/>
      <w:r>
        <w:t>OVERview of AN existing vessel arrival management system</w:t>
      </w:r>
      <w:bookmarkEnd w:id="500"/>
      <w:bookmarkEnd w:id="501"/>
    </w:p>
    <w:p w:rsidR="001A657F" w:rsidRPr="00B41CFA" w:rsidRDefault="001A657F" w:rsidP="001A657F">
      <w:pPr>
        <w:pStyle w:val="Heading2"/>
        <w:rPr>
          <w:sz w:val="24"/>
        </w:rPr>
      </w:pPr>
      <w:bookmarkStart w:id="502" w:name="_Toc343597290"/>
      <w:bookmarkStart w:id="503" w:name="_Toc362274337"/>
      <w:r w:rsidRPr="00B41CFA">
        <w:rPr>
          <w:sz w:val="24"/>
        </w:rPr>
        <w:t>Background</w:t>
      </w:r>
      <w:bookmarkEnd w:id="502"/>
      <w:bookmarkEnd w:id="503"/>
    </w:p>
    <w:p w:rsidR="001A657F" w:rsidRPr="001F52E5" w:rsidRDefault="001A657F" w:rsidP="00905CF3">
      <w:pPr>
        <w:pStyle w:val="Body"/>
        <w:rPr>
          <w:sz w:val="24"/>
          <w:szCs w:val="24"/>
        </w:rPr>
      </w:pPr>
      <w:r w:rsidRPr="001F52E5">
        <w:rPr>
          <w:sz w:val="24"/>
          <w:szCs w:val="24"/>
        </w:rPr>
        <w:t xml:space="preserve">Under section </w:t>
      </w:r>
      <w:r w:rsidR="00CD38ED" w:rsidRPr="001F52E5">
        <w:rPr>
          <w:sz w:val="24"/>
          <w:szCs w:val="24"/>
        </w:rPr>
        <w:fldChar w:fldCharType="begin"/>
      </w:r>
      <w:r w:rsidRPr="001F52E5">
        <w:rPr>
          <w:sz w:val="24"/>
          <w:szCs w:val="24"/>
        </w:rPr>
        <w:instrText xml:space="preserve"> REF _Ref347759732 \r \h </w:instrText>
      </w:r>
      <w:r w:rsidR="001F52E5">
        <w:rPr>
          <w:sz w:val="24"/>
          <w:szCs w:val="24"/>
        </w:rPr>
        <w:instrText xml:space="preserve"> \* MERGEFORMAT </w:instrText>
      </w:r>
      <w:r w:rsidR="00CD38ED" w:rsidRPr="001F52E5">
        <w:rPr>
          <w:sz w:val="24"/>
          <w:szCs w:val="24"/>
        </w:rPr>
      </w:r>
      <w:r w:rsidR="00CD38ED" w:rsidRPr="001F52E5">
        <w:rPr>
          <w:sz w:val="24"/>
          <w:szCs w:val="24"/>
        </w:rPr>
        <w:fldChar w:fldCharType="separate"/>
      </w:r>
      <w:r w:rsidR="005F6E51">
        <w:rPr>
          <w:sz w:val="24"/>
          <w:szCs w:val="24"/>
        </w:rPr>
        <w:t>5</w:t>
      </w:r>
      <w:r w:rsidR="00CD38ED" w:rsidRPr="001F52E5">
        <w:rPr>
          <w:sz w:val="24"/>
          <w:szCs w:val="24"/>
        </w:rPr>
        <w:fldChar w:fldCharType="end"/>
      </w:r>
      <w:r w:rsidRPr="001F52E5">
        <w:rPr>
          <w:sz w:val="24"/>
          <w:szCs w:val="24"/>
        </w:rPr>
        <w:t>, it was noted that a number of potential anchorage management options may be applicable to each of the ports under study. Of these, the “</w:t>
      </w:r>
      <w:r w:rsidR="00BD73FB" w:rsidRPr="001F52E5">
        <w:rPr>
          <w:sz w:val="24"/>
          <w:szCs w:val="24"/>
        </w:rPr>
        <w:t>A</w:t>
      </w:r>
      <w:r w:rsidRPr="001F52E5">
        <w:rPr>
          <w:sz w:val="24"/>
          <w:szCs w:val="24"/>
        </w:rPr>
        <w:t>ll-in-port” and “</w:t>
      </w:r>
      <w:r w:rsidR="00BD73FB" w:rsidRPr="001F52E5">
        <w:rPr>
          <w:sz w:val="24"/>
          <w:szCs w:val="24"/>
        </w:rPr>
        <w:t>F</w:t>
      </w:r>
      <w:r w:rsidRPr="001F52E5">
        <w:rPr>
          <w:sz w:val="24"/>
          <w:szCs w:val="24"/>
        </w:rPr>
        <w:t xml:space="preserve">ixed-mooring” options may not be cost effective but are included in the CBA modelling to enable better quantification. Other options, including improving current practice by designating anchorages where none currently exist and adopting scheduled arrivals are, however, likely scenarios for future anchorage demand management. In particular, scheduled arrivals may be appropriate for management of coal ship arrivals if future demand outstrips availability of anchorage areas. The use of such a management option is evaluated in the CBA modelling (reported in section </w:t>
      </w:r>
      <w:r w:rsidR="001F52E5">
        <w:rPr>
          <w:sz w:val="24"/>
          <w:szCs w:val="24"/>
        </w:rPr>
        <w:fldChar w:fldCharType="begin"/>
      </w:r>
      <w:r w:rsidR="001F52E5">
        <w:rPr>
          <w:sz w:val="24"/>
          <w:szCs w:val="24"/>
        </w:rPr>
        <w:instrText xml:space="preserve"> REF _Ref358819953 \n \h </w:instrText>
      </w:r>
      <w:r w:rsidR="001F52E5">
        <w:rPr>
          <w:sz w:val="24"/>
          <w:szCs w:val="24"/>
        </w:rPr>
      </w:r>
      <w:r w:rsidR="001F52E5">
        <w:rPr>
          <w:sz w:val="24"/>
          <w:szCs w:val="24"/>
        </w:rPr>
        <w:fldChar w:fldCharType="separate"/>
      </w:r>
      <w:r w:rsidR="005F6E51">
        <w:rPr>
          <w:sz w:val="24"/>
          <w:szCs w:val="24"/>
        </w:rPr>
        <w:t>7</w:t>
      </w:r>
      <w:r w:rsidR="001F52E5">
        <w:rPr>
          <w:sz w:val="24"/>
          <w:szCs w:val="24"/>
        </w:rPr>
        <w:fldChar w:fldCharType="end"/>
      </w:r>
      <w:r w:rsidRPr="001F52E5">
        <w:rPr>
          <w:sz w:val="24"/>
          <w:szCs w:val="24"/>
        </w:rPr>
        <w:t>) for those ports where a future expansion in shipping anchorages is identified based on forecast demand.</w:t>
      </w:r>
    </w:p>
    <w:p w:rsidR="001A657F" w:rsidRPr="001F52E5" w:rsidRDefault="001A657F" w:rsidP="00905CF3">
      <w:pPr>
        <w:pStyle w:val="Body"/>
        <w:rPr>
          <w:sz w:val="24"/>
          <w:szCs w:val="24"/>
        </w:rPr>
      </w:pPr>
      <w:r w:rsidRPr="001F52E5">
        <w:rPr>
          <w:sz w:val="24"/>
          <w:szCs w:val="24"/>
        </w:rPr>
        <w:t>This section provides a case study overview of a vessel arrival system which has application to the ports assessed under this project. This case study identifies potential considerations for implementation of such a system in Queensland.</w:t>
      </w:r>
    </w:p>
    <w:p w:rsidR="001A657F" w:rsidRPr="001F52E5" w:rsidRDefault="001A657F" w:rsidP="001A657F">
      <w:pPr>
        <w:pStyle w:val="Heading3"/>
        <w:rPr>
          <w:sz w:val="24"/>
          <w:szCs w:val="24"/>
        </w:rPr>
      </w:pPr>
      <w:bookmarkStart w:id="504" w:name="_Toc343597291"/>
      <w:bookmarkStart w:id="505" w:name="_Toc362274338"/>
      <w:r w:rsidRPr="001F52E5">
        <w:rPr>
          <w:sz w:val="24"/>
          <w:szCs w:val="24"/>
        </w:rPr>
        <w:t>Overseas</w:t>
      </w:r>
      <w:bookmarkEnd w:id="504"/>
      <w:bookmarkEnd w:id="505"/>
    </w:p>
    <w:p w:rsidR="001A657F" w:rsidRPr="001F52E5" w:rsidRDefault="001A657F" w:rsidP="001A657F">
      <w:pPr>
        <w:pStyle w:val="Body"/>
        <w:rPr>
          <w:sz w:val="24"/>
          <w:szCs w:val="24"/>
        </w:rPr>
      </w:pPr>
      <w:r w:rsidRPr="001F52E5">
        <w:rPr>
          <w:sz w:val="24"/>
          <w:szCs w:val="24"/>
        </w:rPr>
        <w:t>A review of international practice with regard to vessel arrival systems for anchorage management reveals that such systems are currently in place for locations including the River Schelde in Europe, the Turkish Straits/Bosporus in Europe, the Suez Canal in the Middle East/Africa and in Australia at the Port of Newcastle. Of these, the system operating at the Port of Newcastle is the most relevant to the management of anchorages in the World Heritage Area. The approaches used elsewhere in the world have been designed and are operated for tidal assistance (River Schelde), traffic separation (Turkish Straits) and transit convoy planning (Suez Canal) and are, therefore, not as relevant to the requirements of Queensland ports.</w:t>
      </w:r>
    </w:p>
    <w:p w:rsidR="001A657F" w:rsidRPr="001F52E5" w:rsidRDefault="001A657F" w:rsidP="001A657F">
      <w:pPr>
        <w:pStyle w:val="Body"/>
        <w:rPr>
          <w:sz w:val="24"/>
          <w:szCs w:val="24"/>
        </w:rPr>
      </w:pPr>
      <w:r w:rsidRPr="001F52E5">
        <w:rPr>
          <w:sz w:val="24"/>
          <w:szCs w:val="24"/>
        </w:rPr>
        <w:t>Some global oil companies (e.g. BP) and some global bulk agricultural traders (e.g. Cargill) have developed ship charter contracts to encourage shipping companies to slow-steam or optimise ship speeds between supply and delivery ports. These contracts aim to match scheduled arrival dates at berths with availability of cargo. This discourages the behaviour of ships racing to a load location, as can occur with some ships arriving in Queensland to load coal. The advantage of ship slow-steaming is not only economic (fuel cost savings) but is also environmental (reduced greenhouse gas emissions). These contractual developments between cargo-owners (exporters/importers) and shipping companies are independent of any port anchorage management and should support the operation of vessel arrival systems aimed at managing anchorage supply/demand and ship queues as well as providing environmental benefits (reduced anchorage area foot-prints and ship greenhouse gas emissions). Such developments applied to the global coal trade would be advantageous to managing the Australian seaborne coal export trade.</w:t>
      </w:r>
    </w:p>
    <w:p w:rsidR="001A657F" w:rsidRPr="001F52E5" w:rsidRDefault="001A657F" w:rsidP="001A657F">
      <w:pPr>
        <w:pStyle w:val="Heading3"/>
        <w:rPr>
          <w:sz w:val="24"/>
          <w:szCs w:val="24"/>
        </w:rPr>
      </w:pPr>
      <w:bookmarkStart w:id="506" w:name="_Toc343597292"/>
      <w:bookmarkStart w:id="507" w:name="_Toc362274339"/>
      <w:r w:rsidRPr="001F52E5">
        <w:rPr>
          <w:sz w:val="24"/>
          <w:szCs w:val="24"/>
        </w:rPr>
        <w:t>Australia</w:t>
      </w:r>
      <w:bookmarkEnd w:id="506"/>
      <w:bookmarkEnd w:id="507"/>
    </w:p>
    <w:p w:rsidR="001A657F" w:rsidRPr="001F52E5" w:rsidRDefault="001A657F" w:rsidP="001A657F">
      <w:pPr>
        <w:pStyle w:val="Body"/>
        <w:rPr>
          <w:sz w:val="24"/>
          <w:szCs w:val="24"/>
        </w:rPr>
      </w:pPr>
      <w:r w:rsidRPr="001F52E5">
        <w:rPr>
          <w:sz w:val="24"/>
          <w:szCs w:val="24"/>
        </w:rPr>
        <w:t>Although not specifically aimed at reducing environmental impacts associated with expanding anchorages, vessel arrival management systems may result in environmental benefits as an indirect consequence of reducing ship queues at anchor. The management, or scheduling, of the arrival of ships has a potential value-add benefit of helping to respond to the threat of climate change, a major threat to the Reef (</w:t>
      </w:r>
      <w:r w:rsidR="00C25544" w:rsidRPr="001F52E5">
        <w:rPr>
          <w:sz w:val="24"/>
          <w:szCs w:val="24"/>
        </w:rPr>
        <w:t>GBRMPA</w:t>
      </w:r>
      <w:r w:rsidRPr="001F52E5">
        <w:rPr>
          <w:sz w:val="24"/>
          <w:szCs w:val="24"/>
        </w:rPr>
        <w:t xml:space="preserve"> 2009), through a reduction in ship greenhouse gas emissions, as well as a reduction in other potentially harmful ship emissions (particulates, sulphur dioxide, etc.). </w:t>
      </w:r>
    </w:p>
    <w:p w:rsidR="001A657F" w:rsidRPr="001F52E5" w:rsidRDefault="001A657F" w:rsidP="001A657F">
      <w:pPr>
        <w:pStyle w:val="Body"/>
        <w:rPr>
          <w:sz w:val="24"/>
          <w:szCs w:val="24"/>
        </w:rPr>
      </w:pPr>
      <w:r w:rsidRPr="001F52E5">
        <w:rPr>
          <w:sz w:val="24"/>
          <w:szCs w:val="24"/>
        </w:rPr>
        <w:t>The management of vessel arrivals at a port should not be to the detriment of efficient terminal operations. For instance, if scheduling results in too few ships being available to load product, this would realise an economic cost and potentially also an environmental one.</w:t>
      </w:r>
    </w:p>
    <w:p w:rsidR="001A657F" w:rsidRPr="007F37C3" w:rsidRDefault="001A657F" w:rsidP="001A657F">
      <w:pPr>
        <w:pStyle w:val="Body"/>
        <w:rPr>
          <w:sz w:val="24"/>
          <w:szCs w:val="24"/>
        </w:rPr>
      </w:pPr>
      <w:r w:rsidRPr="007F37C3">
        <w:rPr>
          <w:sz w:val="24"/>
          <w:szCs w:val="24"/>
        </w:rPr>
        <w:t>Although there are a number of commercial and environmental benefits potentially associated with managing vessel arrivals at coal (and also iron ore) export ports, there are also some emerging concerns as to the flow-on impacts of ships behaviour en-route to the port and possible safety risks to both ships and the environment in other locations. These risk aspects have yet to be established and would require future investigation prior to the adoption of a vessel arrival system. A vessel arrival management system is currently being investigated in Western Australia for iron ore exports at Port Hedland, the world’s largest bulk export port and this process may provide, in future, some information of relevance. Identifying potential risks associated with adopting a vessel arrival system for Queensland ports is beyond the scope of this study. The focus here is to identify whether such a system is favourable from a cost benefits perspective as a management strategy under future anchorage demand requirements.</w:t>
      </w:r>
    </w:p>
    <w:p w:rsidR="001A657F" w:rsidRPr="007F37C3" w:rsidRDefault="001A657F" w:rsidP="001A657F">
      <w:pPr>
        <w:pStyle w:val="Body"/>
        <w:rPr>
          <w:sz w:val="24"/>
          <w:szCs w:val="24"/>
        </w:rPr>
      </w:pPr>
      <w:r w:rsidRPr="007F37C3">
        <w:rPr>
          <w:sz w:val="24"/>
          <w:szCs w:val="24"/>
        </w:rPr>
        <w:t xml:space="preserve">In Australia, the Port of Newcastle’s Vessel Arrival System (VAS) for coal ships provides a case study on the operation of such anchorage management systems of relevance to Queensland ports. It also highlights some issues, and provides some guidance, on how such a strategy could be applied to the management of anchorages at the main coal ports in Queensland if future demand is demonstrated to outstrip anchorage availability. </w:t>
      </w:r>
    </w:p>
    <w:p w:rsidR="001A657F" w:rsidRPr="00B41CFA" w:rsidRDefault="001A657F" w:rsidP="001A657F">
      <w:pPr>
        <w:pStyle w:val="Heading2"/>
        <w:rPr>
          <w:sz w:val="24"/>
        </w:rPr>
      </w:pPr>
      <w:bookmarkStart w:id="508" w:name="_Toc342402491"/>
      <w:bookmarkStart w:id="509" w:name="_Toc343597293"/>
      <w:bookmarkStart w:id="510" w:name="_Toc362274340"/>
      <w:r w:rsidRPr="00B41CFA">
        <w:rPr>
          <w:sz w:val="24"/>
        </w:rPr>
        <w:t>Port of Newcastle’s Vessel Arrival System (VAS)</w:t>
      </w:r>
      <w:bookmarkEnd w:id="508"/>
      <w:bookmarkEnd w:id="509"/>
      <w:bookmarkEnd w:id="510"/>
    </w:p>
    <w:p w:rsidR="001A657F" w:rsidRPr="007F37C3" w:rsidRDefault="001A657F" w:rsidP="001A657F">
      <w:pPr>
        <w:pStyle w:val="Body"/>
        <w:rPr>
          <w:sz w:val="24"/>
          <w:szCs w:val="24"/>
        </w:rPr>
      </w:pPr>
      <w:r w:rsidRPr="007F37C3">
        <w:rPr>
          <w:sz w:val="24"/>
          <w:szCs w:val="24"/>
        </w:rPr>
        <w:t>The following is a review of the Port of Newcastle’s Vessel Arrival System based on an examination of relevant literature, including submissions to regulators and government. The following also captures information from industry sourced during consultation.</w:t>
      </w:r>
    </w:p>
    <w:p w:rsidR="001A657F" w:rsidRPr="007F37C3" w:rsidRDefault="001A657F" w:rsidP="001A657F">
      <w:pPr>
        <w:pStyle w:val="Heading3"/>
        <w:rPr>
          <w:sz w:val="24"/>
          <w:szCs w:val="24"/>
        </w:rPr>
      </w:pPr>
      <w:bookmarkStart w:id="511" w:name="_Toc343597294"/>
      <w:bookmarkStart w:id="512" w:name="_Toc362274341"/>
      <w:r w:rsidRPr="007F37C3">
        <w:rPr>
          <w:sz w:val="24"/>
          <w:szCs w:val="24"/>
        </w:rPr>
        <w:t>History of the VAS at Newcastle</w:t>
      </w:r>
      <w:bookmarkEnd w:id="511"/>
      <w:bookmarkEnd w:id="512"/>
    </w:p>
    <w:p w:rsidR="001A657F" w:rsidRPr="007F37C3" w:rsidRDefault="001A657F" w:rsidP="001A657F">
      <w:pPr>
        <w:pStyle w:val="Body"/>
        <w:rPr>
          <w:sz w:val="24"/>
          <w:szCs w:val="24"/>
        </w:rPr>
      </w:pPr>
      <w:r w:rsidRPr="007F37C3">
        <w:rPr>
          <w:sz w:val="24"/>
          <w:szCs w:val="24"/>
        </w:rPr>
        <w:t xml:space="preserve">The Port of Newcastle’s VAS had its origins with record queues of ships in 2007 when numbers of ships at anchor reached over 80 with some ships waiting in excess of 30 days at anchor prior to berthing. Some coal ships entered into the behaviour of ‘sprinting’ the last part of the voyage to the Port of Newcastle to be better placed in a queue awaiting coal loading. As a consequence fuel costs and ship greenhouse gas emissions increased due to increased sailing speeds and increased fuel consumption. Vessels did not always achieve a priority position in the queue as a result of sprinting. In addition to those costs, the Newcastle anchorages are exposed to sudden storms and changes in sea conditions and in 2007 the coal ship “Pasha Bulker” grounded which provided the final impetus for adopting a change in the way vessel anchorage at this port was managed. </w:t>
      </w:r>
    </w:p>
    <w:p w:rsidR="001A657F" w:rsidRPr="007F37C3" w:rsidRDefault="001A657F" w:rsidP="001A657F">
      <w:pPr>
        <w:pStyle w:val="Body"/>
        <w:rPr>
          <w:sz w:val="24"/>
          <w:szCs w:val="24"/>
        </w:rPr>
      </w:pPr>
      <w:r w:rsidRPr="007F37C3">
        <w:rPr>
          <w:sz w:val="24"/>
          <w:szCs w:val="24"/>
        </w:rPr>
        <w:t>Following review of options and requirements a trial of a VAS began in 2009 at the Port of Newcastle. The trial resulted in the implementation of an enforced VAS system supported by legislation in 2010. The industry peak body</w:t>
      </w:r>
      <w:r w:rsidR="00936995" w:rsidRPr="007F37C3">
        <w:rPr>
          <w:sz w:val="24"/>
          <w:szCs w:val="24"/>
        </w:rPr>
        <w:t>,</w:t>
      </w:r>
      <w:r w:rsidRPr="007F37C3">
        <w:rPr>
          <w:sz w:val="24"/>
          <w:szCs w:val="24"/>
        </w:rPr>
        <w:t xml:space="preserve"> Shipping Australia Ltd</w:t>
      </w:r>
      <w:r w:rsidR="00936995" w:rsidRPr="007F37C3">
        <w:rPr>
          <w:sz w:val="24"/>
          <w:szCs w:val="24"/>
        </w:rPr>
        <w:t>,</w:t>
      </w:r>
      <w:r w:rsidRPr="007F37C3">
        <w:rPr>
          <w:sz w:val="24"/>
          <w:szCs w:val="24"/>
        </w:rPr>
        <w:t xml:space="preserve"> identified during consultation that the shipping community was originally sceptical of the benefits which would be realised by the VAS implementation. At the time the key driver of ship queues was believed to be a combination of the sale terms of the coal (i.e. sellers not controlling the shipping) and certain inefficiencies in the Hunter Valley Coal Supply Chain (HVCSC) in meeting market demand. </w:t>
      </w:r>
    </w:p>
    <w:p w:rsidR="001A657F" w:rsidRPr="00B41CFA" w:rsidRDefault="001A657F" w:rsidP="001A657F">
      <w:pPr>
        <w:pStyle w:val="Heading3"/>
        <w:rPr>
          <w:sz w:val="24"/>
        </w:rPr>
      </w:pPr>
      <w:bookmarkStart w:id="513" w:name="_Toc343597295"/>
      <w:bookmarkStart w:id="514" w:name="_Toc362274342"/>
      <w:r w:rsidRPr="00B41CFA">
        <w:rPr>
          <w:sz w:val="24"/>
        </w:rPr>
        <w:t>Operation of the VAS at Newcastle</w:t>
      </w:r>
      <w:bookmarkEnd w:id="513"/>
      <w:bookmarkEnd w:id="514"/>
    </w:p>
    <w:p w:rsidR="001A657F" w:rsidRPr="007F37C3" w:rsidRDefault="001A657F" w:rsidP="001A657F">
      <w:pPr>
        <w:pStyle w:val="Body"/>
        <w:rPr>
          <w:sz w:val="24"/>
          <w:szCs w:val="24"/>
        </w:rPr>
      </w:pPr>
      <w:r w:rsidRPr="007F37C3">
        <w:rPr>
          <w:sz w:val="24"/>
          <w:szCs w:val="24"/>
        </w:rPr>
        <w:t>The key aspects of the VAS as currently operated by Newcastle Port Corporation (NPC) are as follows:</w:t>
      </w:r>
    </w:p>
    <w:p w:rsidR="001A657F" w:rsidRPr="007F37C3" w:rsidRDefault="001A657F" w:rsidP="001A657F">
      <w:pPr>
        <w:pStyle w:val="Body"/>
        <w:numPr>
          <w:ilvl w:val="0"/>
          <w:numId w:val="29"/>
        </w:numPr>
        <w:rPr>
          <w:sz w:val="24"/>
          <w:szCs w:val="24"/>
        </w:rPr>
      </w:pPr>
      <w:r w:rsidRPr="007F37C3">
        <w:rPr>
          <w:sz w:val="24"/>
          <w:szCs w:val="24"/>
        </w:rPr>
        <w:t>Ships are limited to waiting at anchor to a maximum of 48 hours. For a ship to be allowed to be at anchor, it must have complied with (compulsory/legislated) arrival notification rules.</w:t>
      </w:r>
    </w:p>
    <w:p w:rsidR="001A657F" w:rsidRPr="007F37C3" w:rsidRDefault="001A657F" w:rsidP="001A657F">
      <w:pPr>
        <w:pStyle w:val="Body"/>
        <w:numPr>
          <w:ilvl w:val="0"/>
          <w:numId w:val="29"/>
        </w:numPr>
        <w:rPr>
          <w:sz w:val="24"/>
          <w:szCs w:val="24"/>
        </w:rPr>
      </w:pPr>
      <w:r w:rsidRPr="007F37C3">
        <w:rPr>
          <w:sz w:val="24"/>
          <w:szCs w:val="24"/>
        </w:rPr>
        <w:t>Ships which do not comply with anchoring rules, as a form of penalty, lose their place in the queue.</w:t>
      </w:r>
    </w:p>
    <w:p w:rsidR="001A657F" w:rsidRPr="007F37C3" w:rsidRDefault="001A657F" w:rsidP="001A657F">
      <w:pPr>
        <w:pStyle w:val="Body"/>
        <w:numPr>
          <w:ilvl w:val="0"/>
          <w:numId w:val="29"/>
        </w:numPr>
        <w:rPr>
          <w:sz w:val="24"/>
          <w:szCs w:val="24"/>
        </w:rPr>
      </w:pPr>
      <w:r w:rsidRPr="007F37C3">
        <w:rPr>
          <w:sz w:val="24"/>
          <w:szCs w:val="24"/>
        </w:rPr>
        <w:t xml:space="preserve">Ships are required to provide a notification of wanting to berth to load coal 14 days out from the Port of Newcastle. The Newcastle Port Corporation (NPC) track vessels to check conformity to rules and advised protocols. </w:t>
      </w:r>
      <w:r w:rsidR="001614B6" w:rsidRPr="007F37C3">
        <w:rPr>
          <w:sz w:val="24"/>
          <w:szCs w:val="24"/>
        </w:rPr>
        <w:t>At seven days</w:t>
      </w:r>
      <w:r w:rsidRPr="007F37C3">
        <w:rPr>
          <w:sz w:val="24"/>
          <w:szCs w:val="24"/>
        </w:rPr>
        <w:t xml:space="preserve"> out, the ship will be provided with a notified arrival time that aligns with when the ship is expected to come to anchor.</w:t>
      </w:r>
    </w:p>
    <w:p w:rsidR="001A657F" w:rsidRPr="007F37C3" w:rsidRDefault="001A657F" w:rsidP="001A657F">
      <w:pPr>
        <w:pStyle w:val="Body"/>
        <w:numPr>
          <w:ilvl w:val="0"/>
          <w:numId w:val="29"/>
        </w:numPr>
        <w:rPr>
          <w:sz w:val="24"/>
          <w:szCs w:val="24"/>
        </w:rPr>
      </w:pPr>
      <w:r w:rsidRPr="007F37C3">
        <w:rPr>
          <w:sz w:val="24"/>
          <w:szCs w:val="24"/>
        </w:rPr>
        <w:t>NPC are aware that ship masters may be tempted to anchor elsewhere along the coast in Australia and in order to avoid this situation ships are effectively queued while in transit to the Port of Newcastle.</w:t>
      </w:r>
    </w:p>
    <w:p w:rsidR="001A657F" w:rsidRPr="007F37C3" w:rsidRDefault="001A657F" w:rsidP="001A657F">
      <w:pPr>
        <w:pStyle w:val="Body"/>
        <w:rPr>
          <w:sz w:val="24"/>
          <w:szCs w:val="24"/>
        </w:rPr>
      </w:pPr>
      <w:r w:rsidRPr="007F37C3">
        <w:rPr>
          <w:sz w:val="24"/>
          <w:szCs w:val="24"/>
        </w:rPr>
        <w:t xml:space="preserve">The operation of the VAS has resulted in reduced queues at anchor of coal ships, effectively reducing the demand for anchorages. The effect of reducing queuing has also been to reduce commercial penalties paid by coal exporters to buyers (ship waiting or “demurrage” costs). Shipping companies have benefited as a result of the reduced costs associated with slow-steaming (fuel savings), and less fuel consumption implies a reduction in ship emissions. </w:t>
      </w:r>
    </w:p>
    <w:p w:rsidR="001A657F" w:rsidRPr="007F37C3" w:rsidRDefault="001A657F" w:rsidP="001A657F">
      <w:pPr>
        <w:pStyle w:val="Body"/>
        <w:rPr>
          <w:sz w:val="24"/>
          <w:szCs w:val="24"/>
        </w:rPr>
      </w:pPr>
      <w:r w:rsidRPr="007F37C3">
        <w:rPr>
          <w:sz w:val="24"/>
          <w:szCs w:val="24"/>
        </w:rPr>
        <w:t xml:space="preserve">There are, however, some concerns by Australian marine safety authorities that behaviours adopted by ships on route to the Port of Newcastle like slow-steaming, idling, or anchoring outside of Australia may decrease the ability of Australian marine safety authorities to communicate and respond to these ships if problems (safety incidents) develop. </w:t>
      </w:r>
    </w:p>
    <w:p w:rsidR="001A657F" w:rsidRPr="00B41CFA" w:rsidRDefault="001A657F" w:rsidP="001A657F">
      <w:pPr>
        <w:pStyle w:val="Heading3"/>
        <w:rPr>
          <w:sz w:val="24"/>
        </w:rPr>
      </w:pPr>
      <w:bookmarkStart w:id="515" w:name="_Ref342398367"/>
      <w:bookmarkStart w:id="516" w:name="_Toc342402492"/>
      <w:bookmarkStart w:id="517" w:name="_Toc343597296"/>
      <w:bookmarkStart w:id="518" w:name="_Toc362274343"/>
      <w:r w:rsidRPr="00B41CFA">
        <w:rPr>
          <w:sz w:val="24"/>
        </w:rPr>
        <w:t>Potential opportunities and issues for Queensland coal ports</w:t>
      </w:r>
      <w:bookmarkEnd w:id="515"/>
      <w:bookmarkEnd w:id="516"/>
      <w:bookmarkEnd w:id="517"/>
      <w:bookmarkEnd w:id="518"/>
    </w:p>
    <w:p w:rsidR="001A657F" w:rsidRPr="007F37C3" w:rsidRDefault="001A657F" w:rsidP="001A657F">
      <w:pPr>
        <w:pStyle w:val="Body"/>
        <w:rPr>
          <w:sz w:val="24"/>
          <w:szCs w:val="24"/>
        </w:rPr>
      </w:pPr>
      <w:r w:rsidRPr="007F37C3">
        <w:rPr>
          <w:sz w:val="24"/>
          <w:szCs w:val="24"/>
        </w:rPr>
        <w:t>The possible application of a Newcastle-type VAS, if required, offers the main Queensland coal ports and the environment a number of opportunities:</w:t>
      </w:r>
    </w:p>
    <w:p w:rsidR="001A657F" w:rsidRPr="007F37C3" w:rsidRDefault="001A657F" w:rsidP="001A657F">
      <w:pPr>
        <w:pStyle w:val="Body"/>
        <w:numPr>
          <w:ilvl w:val="0"/>
          <w:numId w:val="30"/>
        </w:numPr>
        <w:rPr>
          <w:sz w:val="24"/>
          <w:szCs w:val="24"/>
        </w:rPr>
      </w:pPr>
      <w:r w:rsidRPr="007F37C3">
        <w:rPr>
          <w:sz w:val="24"/>
          <w:szCs w:val="24"/>
        </w:rPr>
        <w:t>Instead of having to expand anchorages to meet demand, with possible subsequent incremental negative environmental impacts, anchorage demand can be contained to existing areas.</w:t>
      </w:r>
    </w:p>
    <w:p w:rsidR="001A657F" w:rsidRPr="007F37C3" w:rsidRDefault="001A657F" w:rsidP="001A657F">
      <w:pPr>
        <w:pStyle w:val="Body"/>
        <w:numPr>
          <w:ilvl w:val="0"/>
          <w:numId w:val="30"/>
        </w:numPr>
        <w:rPr>
          <w:sz w:val="24"/>
          <w:szCs w:val="24"/>
        </w:rPr>
      </w:pPr>
      <w:r w:rsidRPr="007F37C3">
        <w:rPr>
          <w:sz w:val="24"/>
          <w:szCs w:val="24"/>
        </w:rPr>
        <w:t>Economic benefits for coal exporters (less demurrage) and shipowners (reduced fuel costs and improved ship productivity).</w:t>
      </w:r>
    </w:p>
    <w:p w:rsidR="001A657F" w:rsidRPr="007F37C3" w:rsidRDefault="001A657F" w:rsidP="001A657F">
      <w:pPr>
        <w:pStyle w:val="Body"/>
        <w:numPr>
          <w:ilvl w:val="0"/>
          <w:numId w:val="30"/>
        </w:numPr>
        <w:rPr>
          <w:sz w:val="24"/>
          <w:szCs w:val="24"/>
        </w:rPr>
      </w:pPr>
      <w:r w:rsidRPr="007F37C3">
        <w:rPr>
          <w:sz w:val="24"/>
          <w:szCs w:val="24"/>
        </w:rPr>
        <w:t>Reduced ship fuel related greenhouse gas and other emissions.</w:t>
      </w:r>
    </w:p>
    <w:p w:rsidR="001A657F" w:rsidRPr="007F37C3" w:rsidRDefault="001A657F" w:rsidP="001A657F">
      <w:pPr>
        <w:pStyle w:val="Body"/>
        <w:rPr>
          <w:sz w:val="24"/>
          <w:szCs w:val="24"/>
        </w:rPr>
      </w:pPr>
      <w:r w:rsidRPr="007F37C3">
        <w:rPr>
          <w:sz w:val="24"/>
          <w:szCs w:val="24"/>
        </w:rPr>
        <w:t>The main issues of implementing a Newcastle-type VAS concern:</w:t>
      </w:r>
    </w:p>
    <w:p w:rsidR="001A657F" w:rsidRPr="007F37C3" w:rsidRDefault="001A657F" w:rsidP="001A657F">
      <w:pPr>
        <w:pStyle w:val="Body"/>
        <w:numPr>
          <w:ilvl w:val="0"/>
          <w:numId w:val="31"/>
        </w:numPr>
        <w:rPr>
          <w:sz w:val="24"/>
          <w:szCs w:val="24"/>
        </w:rPr>
      </w:pPr>
      <w:r w:rsidRPr="007F37C3">
        <w:rPr>
          <w:sz w:val="24"/>
          <w:szCs w:val="24"/>
        </w:rPr>
        <w:t>Potential flow-on risks to ship safety and the environment in other locations outside of the coal ports and potentially across jurisdictional borders. It is likely that multi-jurisdictional arrangements would be needed to mitigate this risk and avoid simply transferring it.</w:t>
      </w:r>
    </w:p>
    <w:p w:rsidR="001A657F" w:rsidRPr="007F37C3" w:rsidRDefault="001A657F" w:rsidP="001A657F">
      <w:pPr>
        <w:pStyle w:val="Body"/>
        <w:numPr>
          <w:ilvl w:val="0"/>
          <w:numId w:val="31"/>
        </w:numPr>
        <w:rPr>
          <w:sz w:val="24"/>
          <w:szCs w:val="24"/>
        </w:rPr>
      </w:pPr>
      <w:r w:rsidRPr="007F37C3">
        <w:rPr>
          <w:sz w:val="24"/>
          <w:szCs w:val="24"/>
        </w:rPr>
        <w:t>Queensland’s complexity of coal ports are owned/managed by different entities and include ports handling coal ships in addition to other trades. This is likely not to be a severe impediment, but rather an issue of cost and governance.</w:t>
      </w:r>
    </w:p>
    <w:p w:rsidR="001A657F" w:rsidRPr="007F37C3" w:rsidRDefault="001A657F" w:rsidP="001A657F">
      <w:pPr>
        <w:pStyle w:val="Body"/>
        <w:numPr>
          <w:ilvl w:val="0"/>
          <w:numId w:val="31"/>
        </w:numPr>
        <w:rPr>
          <w:sz w:val="24"/>
          <w:szCs w:val="24"/>
        </w:rPr>
      </w:pPr>
      <w:r w:rsidRPr="007F37C3">
        <w:rPr>
          <w:sz w:val="24"/>
          <w:szCs w:val="24"/>
        </w:rPr>
        <w:t xml:space="preserve">Likely need for regulatory approval and legislation. This is a one-time but detailed process which would involve a number of government and management authorities. </w:t>
      </w:r>
    </w:p>
    <w:p w:rsidR="001A657F" w:rsidRPr="007F37C3" w:rsidRDefault="001A657F" w:rsidP="001A657F">
      <w:pPr>
        <w:pStyle w:val="Body"/>
        <w:numPr>
          <w:ilvl w:val="0"/>
          <w:numId w:val="31"/>
        </w:numPr>
        <w:rPr>
          <w:sz w:val="24"/>
          <w:szCs w:val="24"/>
        </w:rPr>
      </w:pPr>
      <w:r w:rsidRPr="007F37C3">
        <w:rPr>
          <w:sz w:val="24"/>
          <w:szCs w:val="24"/>
        </w:rPr>
        <w:t>Cost of managing a VAS for one or more ports. The existence of the ship monitoring systems operated for the Reef may provide some capability required for a VAS; this would require further investigation if a VAS option were to be considered for implementation.</w:t>
      </w:r>
    </w:p>
    <w:p w:rsidR="004D5799" w:rsidRDefault="001A657F" w:rsidP="004174B4">
      <w:pPr>
        <w:pStyle w:val="Body"/>
        <w:rPr>
          <w:b/>
        </w:rPr>
      </w:pPr>
      <w:r w:rsidRPr="007F37C3">
        <w:rPr>
          <w:sz w:val="24"/>
          <w:szCs w:val="24"/>
        </w:rPr>
        <w:t>On balance, a VAS for the management of anchorages appears to offer improvements over the current practice of expanding anchorage areas, but it also carries risks in terms of possible flow-on impacts to ship safety, although this has yet to be evidenced. A VAS remains a relevant anchorage management option and has been assessed within the CBA modelling described in the following section.</w:t>
      </w:r>
      <w:r w:rsidR="004D5799">
        <w:br w:type="page"/>
      </w:r>
    </w:p>
    <w:p w:rsidR="001A657F" w:rsidRDefault="001A657F" w:rsidP="001A657F">
      <w:pPr>
        <w:pStyle w:val="Heading1"/>
      </w:pPr>
      <w:bookmarkStart w:id="519" w:name="_Toc343597439"/>
      <w:bookmarkStart w:id="520" w:name="_Ref347736458"/>
      <w:bookmarkStart w:id="521" w:name="_Ref358819684"/>
      <w:bookmarkStart w:id="522" w:name="_Ref358819953"/>
      <w:bookmarkStart w:id="523" w:name="_Toc362274344"/>
      <w:r>
        <w:t>economic appraisal</w:t>
      </w:r>
      <w:bookmarkEnd w:id="519"/>
      <w:bookmarkEnd w:id="520"/>
      <w:bookmarkEnd w:id="521"/>
      <w:bookmarkEnd w:id="522"/>
      <w:bookmarkEnd w:id="523"/>
    </w:p>
    <w:p w:rsidR="001A657F" w:rsidRPr="00B41CFA" w:rsidRDefault="001A657F" w:rsidP="001A657F">
      <w:pPr>
        <w:pStyle w:val="Heading2"/>
        <w:rPr>
          <w:sz w:val="24"/>
        </w:rPr>
      </w:pPr>
      <w:bookmarkStart w:id="524" w:name="_Toc342402500"/>
      <w:bookmarkStart w:id="525" w:name="_Toc343597440"/>
      <w:bookmarkStart w:id="526" w:name="_Toc362274345"/>
      <w:r w:rsidRPr="00B41CFA">
        <w:rPr>
          <w:sz w:val="24"/>
        </w:rPr>
        <w:t>Background</w:t>
      </w:r>
      <w:bookmarkEnd w:id="524"/>
      <w:bookmarkEnd w:id="525"/>
      <w:bookmarkEnd w:id="526"/>
    </w:p>
    <w:p w:rsidR="001A657F" w:rsidRPr="007F37C3" w:rsidRDefault="001A657F" w:rsidP="001A657F">
      <w:pPr>
        <w:pStyle w:val="Body"/>
        <w:rPr>
          <w:sz w:val="24"/>
          <w:szCs w:val="24"/>
        </w:rPr>
      </w:pPr>
      <w:r w:rsidRPr="007F37C3">
        <w:rPr>
          <w:sz w:val="24"/>
          <w:szCs w:val="24"/>
        </w:rPr>
        <w:t xml:space="preserve">This section draws together, using a CBA framework, the various findings from GHD (2012), targeted stakeholder consultation information on social issues for each of the five main ports in the study area as presented in section </w:t>
      </w:r>
      <w:r w:rsidR="00CD38ED" w:rsidRPr="007F37C3">
        <w:rPr>
          <w:sz w:val="24"/>
          <w:szCs w:val="24"/>
        </w:rPr>
        <w:fldChar w:fldCharType="begin"/>
      </w:r>
      <w:r w:rsidRPr="007F37C3">
        <w:rPr>
          <w:sz w:val="24"/>
          <w:szCs w:val="24"/>
        </w:rPr>
        <w:instrText xml:space="preserve"> REF _Ref347736590 \r \h </w:instrText>
      </w:r>
      <w:r w:rsidR="007F37C3">
        <w:rPr>
          <w:sz w:val="24"/>
          <w:szCs w:val="24"/>
        </w:rPr>
        <w:instrText xml:space="preserve"> \* MERGEFORMAT </w:instrText>
      </w:r>
      <w:r w:rsidR="00CD38ED" w:rsidRPr="007F37C3">
        <w:rPr>
          <w:sz w:val="24"/>
          <w:szCs w:val="24"/>
        </w:rPr>
      </w:r>
      <w:r w:rsidR="00CD38ED" w:rsidRPr="007F37C3">
        <w:rPr>
          <w:sz w:val="24"/>
          <w:szCs w:val="24"/>
        </w:rPr>
        <w:fldChar w:fldCharType="separate"/>
      </w:r>
      <w:r w:rsidR="005F6E51">
        <w:rPr>
          <w:sz w:val="24"/>
          <w:szCs w:val="24"/>
        </w:rPr>
        <w:t>3</w:t>
      </w:r>
      <w:r w:rsidR="00CD38ED" w:rsidRPr="007F37C3">
        <w:rPr>
          <w:sz w:val="24"/>
          <w:szCs w:val="24"/>
        </w:rPr>
        <w:fldChar w:fldCharType="end"/>
      </w:r>
      <w:r w:rsidRPr="007F37C3">
        <w:rPr>
          <w:sz w:val="24"/>
          <w:szCs w:val="24"/>
        </w:rPr>
        <w:t xml:space="preserve">, the forecasts of future anchorage demand presented in section </w:t>
      </w:r>
      <w:r w:rsidR="00CD38ED" w:rsidRPr="007F37C3">
        <w:rPr>
          <w:sz w:val="24"/>
          <w:szCs w:val="24"/>
        </w:rPr>
        <w:fldChar w:fldCharType="begin"/>
      </w:r>
      <w:r w:rsidRPr="007F37C3">
        <w:rPr>
          <w:sz w:val="24"/>
          <w:szCs w:val="24"/>
        </w:rPr>
        <w:instrText xml:space="preserve"> REF _Ref347764805 \r \h </w:instrText>
      </w:r>
      <w:r w:rsidR="007F37C3">
        <w:rPr>
          <w:sz w:val="24"/>
          <w:szCs w:val="24"/>
        </w:rPr>
        <w:instrText xml:space="preserve"> \* MERGEFORMAT </w:instrText>
      </w:r>
      <w:r w:rsidR="00CD38ED" w:rsidRPr="007F37C3">
        <w:rPr>
          <w:sz w:val="24"/>
          <w:szCs w:val="24"/>
        </w:rPr>
      </w:r>
      <w:r w:rsidR="00CD38ED" w:rsidRPr="007F37C3">
        <w:rPr>
          <w:sz w:val="24"/>
          <w:szCs w:val="24"/>
        </w:rPr>
        <w:fldChar w:fldCharType="separate"/>
      </w:r>
      <w:r w:rsidR="005F6E51">
        <w:rPr>
          <w:sz w:val="24"/>
          <w:szCs w:val="24"/>
        </w:rPr>
        <w:t>4</w:t>
      </w:r>
      <w:r w:rsidR="00CD38ED" w:rsidRPr="007F37C3">
        <w:rPr>
          <w:sz w:val="24"/>
          <w:szCs w:val="24"/>
        </w:rPr>
        <w:fldChar w:fldCharType="end"/>
      </w:r>
      <w:r w:rsidRPr="007F37C3">
        <w:rPr>
          <w:sz w:val="24"/>
          <w:szCs w:val="24"/>
        </w:rPr>
        <w:t xml:space="preserve"> and the results from examination of the relevance of various ship anchorage management options presented in section </w:t>
      </w:r>
      <w:r w:rsidR="00CD38ED" w:rsidRPr="007F37C3">
        <w:rPr>
          <w:sz w:val="24"/>
          <w:szCs w:val="24"/>
        </w:rPr>
        <w:fldChar w:fldCharType="begin"/>
      </w:r>
      <w:r w:rsidRPr="007F37C3">
        <w:rPr>
          <w:sz w:val="24"/>
          <w:szCs w:val="24"/>
        </w:rPr>
        <w:instrText xml:space="preserve"> REF _Ref347764960 \r \h </w:instrText>
      </w:r>
      <w:r w:rsidR="007F37C3">
        <w:rPr>
          <w:sz w:val="24"/>
          <w:szCs w:val="24"/>
        </w:rPr>
        <w:instrText xml:space="preserve"> \* MERGEFORMAT </w:instrText>
      </w:r>
      <w:r w:rsidR="00CD38ED" w:rsidRPr="007F37C3">
        <w:rPr>
          <w:sz w:val="24"/>
          <w:szCs w:val="24"/>
        </w:rPr>
      </w:r>
      <w:r w:rsidR="00CD38ED" w:rsidRPr="007F37C3">
        <w:rPr>
          <w:sz w:val="24"/>
          <w:szCs w:val="24"/>
        </w:rPr>
        <w:fldChar w:fldCharType="separate"/>
      </w:r>
      <w:r w:rsidR="005F6E51">
        <w:rPr>
          <w:sz w:val="24"/>
          <w:szCs w:val="24"/>
        </w:rPr>
        <w:t>5</w:t>
      </w:r>
      <w:r w:rsidR="00CD38ED" w:rsidRPr="007F37C3">
        <w:rPr>
          <w:sz w:val="24"/>
          <w:szCs w:val="24"/>
        </w:rPr>
        <w:fldChar w:fldCharType="end"/>
      </w:r>
      <w:r w:rsidRPr="007F37C3">
        <w:rPr>
          <w:sz w:val="24"/>
          <w:szCs w:val="24"/>
        </w:rPr>
        <w:t>.</w:t>
      </w:r>
    </w:p>
    <w:p w:rsidR="001A657F" w:rsidRPr="007F37C3" w:rsidRDefault="001A657F" w:rsidP="001A657F">
      <w:pPr>
        <w:pStyle w:val="Body"/>
        <w:rPr>
          <w:sz w:val="24"/>
          <w:szCs w:val="24"/>
        </w:rPr>
      </w:pPr>
      <w:r w:rsidRPr="007F37C3">
        <w:rPr>
          <w:sz w:val="24"/>
          <w:szCs w:val="24"/>
        </w:rPr>
        <w:t xml:space="preserve">As noted under section </w:t>
      </w:r>
      <w:r w:rsidR="00222CAF">
        <w:rPr>
          <w:sz w:val="24"/>
          <w:szCs w:val="24"/>
        </w:rPr>
        <w:fldChar w:fldCharType="begin"/>
      </w:r>
      <w:r w:rsidR="00222CAF">
        <w:rPr>
          <w:sz w:val="24"/>
          <w:szCs w:val="24"/>
        </w:rPr>
        <w:instrText xml:space="preserve"> REF _Ref362438794 \n \h </w:instrText>
      </w:r>
      <w:r w:rsidR="00222CAF">
        <w:rPr>
          <w:sz w:val="24"/>
          <w:szCs w:val="24"/>
        </w:rPr>
      </w:r>
      <w:r w:rsidR="00222CAF">
        <w:rPr>
          <w:sz w:val="24"/>
          <w:szCs w:val="24"/>
        </w:rPr>
        <w:fldChar w:fldCharType="separate"/>
      </w:r>
      <w:r w:rsidR="00222CAF">
        <w:rPr>
          <w:sz w:val="24"/>
          <w:szCs w:val="24"/>
        </w:rPr>
        <w:t>2</w:t>
      </w:r>
      <w:r w:rsidR="00222CAF">
        <w:rPr>
          <w:sz w:val="24"/>
          <w:szCs w:val="24"/>
        </w:rPr>
        <w:fldChar w:fldCharType="end"/>
      </w:r>
      <w:r w:rsidRPr="007F37C3">
        <w:rPr>
          <w:sz w:val="24"/>
          <w:szCs w:val="24"/>
        </w:rPr>
        <w:t>, a number of steps are followed in the CBA modelling. The first step is to use the forecast demand for ship anchorages to determine whether an expansion in current ship anchorage area is required at a port to meet future demand. If future demand does outstrip available anchorage, the CBA model then evaluate</w:t>
      </w:r>
      <w:r w:rsidR="00B43C70" w:rsidRPr="007F37C3">
        <w:rPr>
          <w:sz w:val="24"/>
          <w:szCs w:val="24"/>
        </w:rPr>
        <w:t>s</w:t>
      </w:r>
      <w:r w:rsidRPr="007F37C3">
        <w:rPr>
          <w:sz w:val="24"/>
          <w:szCs w:val="24"/>
        </w:rPr>
        <w:t xml:space="preserve"> which anchorage management options are optimal for avoiding the need for future expansion of the ship anchorage area. For those ports where an expansion is not identified to be required under future anchorage demand, the CBA model considers whether improving the current management would provide relevant benefits. In this regard, model outcomes can include implementing designated ship anchorage areas where none exist if net environmental gain is identified. Note that the benefits of changing management strategies are only considered where demand outstrips available anchorage.</w:t>
      </w:r>
    </w:p>
    <w:p w:rsidR="001A657F" w:rsidRPr="00B41CFA" w:rsidRDefault="001A657F" w:rsidP="001A657F">
      <w:pPr>
        <w:pStyle w:val="Heading2"/>
        <w:rPr>
          <w:sz w:val="24"/>
        </w:rPr>
      </w:pPr>
      <w:bookmarkStart w:id="527" w:name="_Toc342402501"/>
      <w:bookmarkStart w:id="528" w:name="_Toc343597441"/>
      <w:bookmarkStart w:id="529" w:name="_Toc362274346"/>
      <w:r w:rsidRPr="00B41CFA">
        <w:rPr>
          <w:sz w:val="24"/>
        </w:rPr>
        <w:t>Description of the CBA model</w:t>
      </w:r>
      <w:bookmarkEnd w:id="527"/>
      <w:bookmarkEnd w:id="528"/>
      <w:bookmarkEnd w:id="529"/>
    </w:p>
    <w:p w:rsidR="001A657F" w:rsidRPr="007F37C3" w:rsidRDefault="001A657F" w:rsidP="001A657F">
      <w:pPr>
        <w:pStyle w:val="Body"/>
        <w:rPr>
          <w:sz w:val="24"/>
          <w:szCs w:val="24"/>
        </w:rPr>
      </w:pPr>
      <w:r w:rsidRPr="007F37C3">
        <w:rPr>
          <w:sz w:val="24"/>
          <w:szCs w:val="24"/>
        </w:rPr>
        <w:t xml:space="preserve">An Excel-based CBA model was developed for the comparison of current anchoring practices (the Base Case) with alternative anchorage management options under future anchorage demand. </w:t>
      </w:r>
      <w:r w:rsidR="00A34764" w:rsidRPr="00A34764">
        <w:rPr>
          <w:sz w:val="24"/>
          <w:szCs w:val="24"/>
          <w:highlight w:val="yellow"/>
        </w:rPr>
        <w:fldChar w:fldCharType="begin"/>
      </w:r>
      <w:r w:rsidR="00A34764" w:rsidRPr="00A34764">
        <w:rPr>
          <w:sz w:val="24"/>
          <w:szCs w:val="24"/>
        </w:rPr>
        <w:instrText xml:space="preserve"> REF _Ref358888566 \h </w:instrText>
      </w:r>
      <w:r w:rsidR="00A34764" w:rsidRPr="00A34764">
        <w:rPr>
          <w:sz w:val="24"/>
          <w:szCs w:val="24"/>
          <w:highlight w:val="yellow"/>
        </w:rPr>
        <w:instrText xml:space="preserve"> \* MERGEFORMAT </w:instrText>
      </w:r>
      <w:r w:rsidR="00A34764" w:rsidRPr="00A34764">
        <w:rPr>
          <w:sz w:val="24"/>
          <w:szCs w:val="24"/>
          <w:highlight w:val="yellow"/>
        </w:rPr>
      </w:r>
      <w:r w:rsidR="00A34764" w:rsidRPr="00A34764">
        <w:rPr>
          <w:sz w:val="24"/>
          <w:szCs w:val="24"/>
          <w:highlight w:val="yellow"/>
        </w:rPr>
        <w:fldChar w:fldCharType="separate"/>
      </w:r>
      <w:r w:rsidR="00A34764" w:rsidRPr="00A34764">
        <w:rPr>
          <w:sz w:val="24"/>
          <w:szCs w:val="24"/>
        </w:rPr>
        <w:t>Appendix A</w:t>
      </w:r>
      <w:r w:rsidR="00A34764" w:rsidRPr="00A34764">
        <w:rPr>
          <w:sz w:val="24"/>
          <w:szCs w:val="24"/>
          <w:highlight w:val="yellow"/>
        </w:rPr>
        <w:fldChar w:fldCharType="end"/>
      </w:r>
      <w:r w:rsidRPr="007F37C3">
        <w:rPr>
          <w:sz w:val="24"/>
          <w:szCs w:val="24"/>
        </w:rPr>
        <w:t xml:space="preserve"> provides an overview of the model, details assumptions used in the modellin</w:t>
      </w:r>
      <w:r w:rsidR="00C37214">
        <w:rPr>
          <w:sz w:val="24"/>
          <w:szCs w:val="24"/>
        </w:rPr>
        <w:t xml:space="preserve">g, and provides model outputs. </w:t>
      </w:r>
      <w:r w:rsidRPr="007F37C3">
        <w:rPr>
          <w:sz w:val="24"/>
          <w:szCs w:val="24"/>
        </w:rPr>
        <w:t>A beneficial result of the model would be one which avoids the physical expansion of the current anchorage area and provides net gains to society.</w:t>
      </w:r>
    </w:p>
    <w:p w:rsidR="001A657F" w:rsidRPr="007F37C3" w:rsidRDefault="001A657F" w:rsidP="001A657F">
      <w:pPr>
        <w:pStyle w:val="Body"/>
        <w:rPr>
          <w:sz w:val="24"/>
          <w:szCs w:val="24"/>
        </w:rPr>
      </w:pPr>
      <w:r w:rsidRPr="007F37C3">
        <w:rPr>
          <w:sz w:val="24"/>
          <w:szCs w:val="24"/>
        </w:rPr>
        <w:t>The options that were incorporated into the model (and hence were quantified and monetised in the modelling) comprised:</w:t>
      </w:r>
    </w:p>
    <w:p w:rsidR="001A657F" w:rsidRPr="007F37C3" w:rsidRDefault="001A657F" w:rsidP="001A657F">
      <w:pPr>
        <w:pStyle w:val="Bullet"/>
        <w:rPr>
          <w:sz w:val="24"/>
          <w:szCs w:val="24"/>
        </w:rPr>
      </w:pPr>
      <w:r w:rsidRPr="007F37C3">
        <w:rPr>
          <w:sz w:val="24"/>
          <w:szCs w:val="24"/>
        </w:rPr>
        <w:t>Current practices assuming organised designated anchoring (the defa</w:t>
      </w:r>
      <w:r w:rsidR="00D41D3C">
        <w:rPr>
          <w:sz w:val="24"/>
          <w:szCs w:val="24"/>
        </w:rPr>
        <w:t>ult Base Case)</w:t>
      </w:r>
    </w:p>
    <w:p w:rsidR="001A657F" w:rsidRPr="007F37C3" w:rsidRDefault="001A657F" w:rsidP="001A657F">
      <w:pPr>
        <w:pStyle w:val="Bullet"/>
        <w:rPr>
          <w:sz w:val="24"/>
          <w:szCs w:val="24"/>
        </w:rPr>
      </w:pPr>
      <w:r w:rsidRPr="007F37C3">
        <w:rPr>
          <w:sz w:val="24"/>
          <w:szCs w:val="24"/>
        </w:rPr>
        <w:t>Improving current practices</w:t>
      </w:r>
    </w:p>
    <w:p w:rsidR="001A657F" w:rsidRPr="007F37C3" w:rsidRDefault="001A657F" w:rsidP="001A657F">
      <w:pPr>
        <w:pStyle w:val="Bullet"/>
        <w:rPr>
          <w:sz w:val="24"/>
          <w:szCs w:val="24"/>
        </w:rPr>
      </w:pPr>
      <w:r w:rsidRPr="007F37C3">
        <w:rPr>
          <w:sz w:val="24"/>
          <w:szCs w:val="24"/>
        </w:rPr>
        <w:t>“All-at-port”</w:t>
      </w:r>
    </w:p>
    <w:p w:rsidR="001A657F" w:rsidRPr="007F37C3" w:rsidRDefault="001A657F" w:rsidP="001A657F">
      <w:pPr>
        <w:pStyle w:val="Bullet"/>
        <w:rPr>
          <w:sz w:val="24"/>
          <w:szCs w:val="24"/>
        </w:rPr>
      </w:pPr>
      <w:r w:rsidRPr="007F37C3">
        <w:rPr>
          <w:sz w:val="24"/>
          <w:szCs w:val="24"/>
        </w:rPr>
        <w:t xml:space="preserve">“Fixed-moored” </w:t>
      </w:r>
    </w:p>
    <w:p w:rsidR="001A657F" w:rsidRPr="007F37C3" w:rsidRDefault="001A657F" w:rsidP="001A657F">
      <w:pPr>
        <w:pStyle w:val="Bullet"/>
        <w:rPr>
          <w:sz w:val="24"/>
          <w:szCs w:val="24"/>
        </w:rPr>
      </w:pPr>
      <w:r w:rsidRPr="007F37C3">
        <w:rPr>
          <w:sz w:val="24"/>
          <w:szCs w:val="24"/>
        </w:rPr>
        <w:t>“Scheduled arrivals with designated anchorages”</w:t>
      </w:r>
    </w:p>
    <w:p w:rsidR="001A657F" w:rsidRPr="007F37C3" w:rsidRDefault="001A657F" w:rsidP="001A657F">
      <w:pPr>
        <w:pStyle w:val="Bullet"/>
        <w:rPr>
          <w:sz w:val="24"/>
          <w:szCs w:val="24"/>
        </w:rPr>
      </w:pPr>
      <w:r w:rsidRPr="007F37C3">
        <w:rPr>
          <w:sz w:val="24"/>
          <w:szCs w:val="24"/>
        </w:rPr>
        <w:t>“Demand management anchorage pricing”.</w:t>
      </w:r>
    </w:p>
    <w:p w:rsidR="001A657F" w:rsidRPr="007F37C3" w:rsidRDefault="001A657F" w:rsidP="00905CF3">
      <w:pPr>
        <w:pStyle w:val="Bullet"/>
        <w:numPr>
          <w:ilvl w:val="0"/>
          <w:numId w:val="0"/>
        </w:numPr>
        <w:rPr>
          <w:sz w:val="24"/>
          <w:szCs w:val="24"/>
        </w:rPr>
      </w:pPr>
      <w:r w:rsidRPr="007F37C3">
        <w:rPr>
          <w:sz w:val="24"/>
          <w:szCs w:val="24"/>
        </w:rPr>
        <w:t>The modelling process considers whether a combination of any of these options would benefit anchorage management.</w:t>
      </w:r>
    </w:p>
    <w:p w:rsidR="001A657F" w:rsidRPr="007F37C3" w:rsidRDefault="001A657F" w:rsidP="001A657F">
      <w:pPr>
        <w:pStyle w:val="Body"/>
        <w:rPr>
          <w:sz w:val="24"/>
          <w:szCs w:val="24"/>
        </w:rPr>
      </w:pPr>
      <w:r w:rsidRPr="007F37C3">
        <w:rPr>
          <w:sz w:val="24"/>
          <w:szCs w:val="24"/>
        </w:rPr>
        <w:t>The CBA model design captured possible estimated costs and benefits relating to:</w:t>
      </w:r>
    </w:p>
    <w:p w:rsidR="001A657F" w:rsidRPr="007F37C3" w:rsidRDefault="001A657F" w:rsidP="001A657F">
      <w:pPr>
        <w:pStyle w:val="Bullet"/>
        <w:rPr>
          <w:sz w:val="24"/>
          <w:szCs w:val="24"/>
        </w:rPr>
      </w:pPr>
      <w:r w:rsidRPr="007F37C3">
        <w:rPr>
          <w:sz w:val="24"/>
          <w:szCs w:val="24"/>
        </w:rPr>
        <w:t>The amount of physical increase in anchorage area that may be required in the future based on forecast ship calls using anchorages for the next 30 years.</w:t>
      </w:r>
    </w:p>
    <w:p w:rsidR="001A657F" w:rsidRPr="007F37C3" w:rsidRDefault="001A657F" w:rsidP="001A657F">
      <w:pPr>
        <w:pStyle w:val="Bullet"/>
        <w:rPr>
          <w:sz w:val="24"/>
          <w:szCs w:val="24"/>
        </w:rPr>
      </w:pPr>
      <w:r w:rsidRPr="007F37C3">
        <w:rPr>
          <w:sz w:val="24"/>
          <w:szCs w:val="24"/>
        </w:rPr>
        <w:t>The capital and operating costs associated with the options, for example, installation and management of fixed offshore moorings</w:t>
      </w:r>
      <w:r w:rsidR="0047666F" w:rsidRPr="007F37C3">
        <w:rPr>
          <w:sz w:val="24"/>
          <w:szCs w:val="24"/>
        </w:rPr>
        <w:t xml:space="preserve"> or the development of ship-waiting berths in ports</w:t>
      </w:r>
      <w:r w:rsidRPr="007F37C3">
        <w:rPr>
          <w:sz w:val="24"/>
          <w:szCs w:val="24"/>
        </w:rPr>
        <w:t>.</w:t>
      </w:r>
    </w:p>
    <w:p w:rsidR="001A657F" w:rsidRPr="007F37C3" w:rsidRDefault="001A657F" w:rsidP="001A657F">
      <w:pPr>
        <w:pStyle w:val="Bullet"/>
        <w:rPr>
          <w:sz w:val="24"/>
          <w:szCs w:val="24"/>
        </w:rPr>
      </w:pPr>
      <w:r w:rsidRPr="007F37C3">
        <w:rPr>
          <w:sz w:val="24"/>
          <w:szCs w:val="24"/>
        </w:rPr>
        <w:t>The value of the potential environmental impacts of physically expanding the anchorage areas.</w:t>
      </w:r>
    </w:p>
    <w:p w:rsidR="001A657F" w:rsidRPr="007F37C3" w:rsidRDefault="001A657F" w:rsidP="001A657F">
      <w:pPr>
        <w:pStyle w:val="Bullet"/>
        <w:rPr>
          <w:sz w:val="24"/>
          <w:szCs w:val="24"/>
        </w:rPr>
      </w:pPr>
      <w:r w:rsidRPr="007F37C3">
        <w:rPr>
          <w:sz w:val="24"/>
          <w:szCs w:val="24"/>
        </w:rPr>
        <w:t>The value of the potential fisheries catch loss of the physically expanded anchorage area.</w:t>
      </w:r>
    </w:p>
    <w:p w:rsidR="001A657F" w:rsidRPr="007F37C3" w:rsidRDefault="001A657F" w:rsidP="001A657F">
      <w:pPr>
        <w:pStyle w:val="Bullet"/>
        <w:rPr>
          <w:sz w:val="24"/>
          <w:szCs w:val="24"/>
        </w:rPr>
      </w:pPr>
      <w:r w:rsidRPr="007F37C3">
        <w:rPr>
          <w:sz w:val="24"/>
          <w:szCs w:val="24"/>
        </w:rPr>
        <w:t>The daily cost of ship’s time when at anchor.</w:t>
      </w:r>
    </w:p>
    <w:p w:rsidR="001A657F" w:rsidRPr="007F37C3" w:rsidRDefault="001A657F" w:rsidP="001A657F">
      <w:pPr>
        <w:pStyle w:val="Bullet"/>
        <w:rPr>
          <w:sz w:val="24"/>
          <w:szCs w:val="24"/>
        </w:rPr>
      </w:pPr>
      <w:r w:rsidRPr="007F37C3">
        <w:rPr>
          <w:sz w:val="24"/>
          <w:szCs w:val="24"/>
        </w:rPr>
        <w:t>The fuel and greenhouse gas savings of ships slow-steaming.</w:t>
      </w:r>
    </w:p>
    <w:p w:rsidR="001A657F" w:rsidRPr="007F37C3" w:rsidRDefault="001A657F" w:rsidP="001A657F">
      <w:pPr>
        <w:pStyle w:val="Bullet"/>
        <w:rPr>
          <w:sz w:val="24"/>
          <w:szCs w:val="24"/>
        </w:rPr>
      </w:pPr>
      <w:r w:rsidRPr="007F37C3">
        <w:rPr>
          <w:sz w:val="24"/>
          <w:szCs w:val="24"/>
        </w:rPr>
        <w:t>Other user (reef tourism vessels and recreational boats) costs associated with potentially having to divert around areas due to physically expanded anchorages. This includes consideration of the loss of value of the tourism and recreational experience and value attached to ship-viewing from the shore (both negative and positive).</w:t>
      </w:r>
    </w:p>
    <w:p w:rsidR="001A657F" w:rsidRPr="007F37C3" w:rsidRDefault="001A657F" w:rsidP="001A657F">
      <w:pPr>
        <w:pStyle w:val="Bullet"/>
        <w:rPr>
          <w:sz w:val="24"/>
          <w:szCs w:val="24"/>
        </w:rPr>
      </w:pPr>
      <w:r w:rsidRPr="007F37C3">
        <w:rPr>
          <w:sz w:val="24"/>
          <w:szCs w:val="24"/>
        </w:rPr>
        <w:t>The cost of any increased incidence of ship-anchor related accidents in terms of incident response, fatalities and serious injuries.</w:t>
      </w:r>
    </w:p>
    <w:p w:rsidR="001A657F" w:rsidRPr="007F37C3" w:rsidRDefault="001A657F" w:rsidP="001A657F">
      <w:pPr>
        <w:pStyle w:val="Bullet"/>
        <w:rPr>
          <w:sz w:val="24"/>
          <w:szCs w:val="24"/>
        </w:rPr>
      </w:pPr>
      <w:r w:rsidRPr="007F37C3">
        <w:rPr>
          <w:sz w:val="24"/>
          <w:szCs w:val="24"/>
        </w:rPr>
        <w:t xml:space="preserve">The value of the commercial activity associated with the local provisioning of ships while at anchor. </w:t>
      </w:r>
    </w:p>
    <w:p w:rsidR="0047666F" w:rsidRPr="007F37C3" w:rsidRDefault="0047666F" w:rsidP="0047666F">
      <w:pPr>
        <w:pStyle w:val="Body"/>
        <w:rPr>
          <w:sz w:val="24"/>
          <w:szCs w:val="24"/>
        </w:rPr>
      </w:pPr>
      <w:r w:rsidRPr="007F37C3">
        <w:rPr>
          <w:sz w:val="24"/>
          <w:szCs w:val="24"/>
        </w:rPr>
        <w:t>The data used in support of these possible cost and benefits estimate was sourced from:</w:t>
      </w:r>
    </w:p>
    <w:p w:rsidR="0047666F" w:rsidRPr="007F37C3" w:rsidRDefault="0047666F" w:rsidP="0047666F">
      <w:pPr>
        <w:pStyle w:val="Bullet"/>
        <w:rPr>
          <w:sz w:val="24"/>
          <w:szCs w:val="24"/>
        </w:rPr>
      </w:pPr>
      <w:r w:rsidRPr="007F37C3">
        <w:rPr>
          <w:sz w:val="24"/>
          <w:szCs w:val="24"/>
        </w:rPr>
        <w:t xml:space="preserve">Future demand - PGM Environment 2012 study on </w:t>
      </w:r>
      <w:r w:rsidR="00230631" w:rsidRPr="007F37C3">
        <w:rPr>
          <w:sz w:val="24"/>
          <w:szCs w:val="24"/>
        </w:rPr>
        <w:t>GBRMPA</w:t>
      </w:r>
      <w:r w:rsidRPr="007F37C3">
        <w:rPr>
          <w:sz w:val="24"/>
          <w:szCs w:val="24"/>
        </w:rPr>
        <w:t xml:space="preserve"> port ship forecasts. This study is considered to provide the best industry data currently available.</w:t>
      </w:r>
    </w:p>
    <w:p w:rsidR="0047666F" w:rsidRPr="007F37C3" w:rsidRDefault="0047666F" w:rsidP="0047666F">
      <w:pPr>
        <w:pStyle w:val="Bullet"/>
        <w:rPr>
          <w:sz w:val="24"/>
          <w:szCs w:val="24"/>
        </w:rPr>
      </w:pPr>
      <w:r w:rsidRPr="007F37C3">
        <w:rPr>
          <w:sz w:val="24"/>
          <w:szCs w:val="24"/>
        </w:rPr>
        <w:t>The capital and operating costs associated with the options – GHD marine engineering group, using industry experience and currently up to date data regarding operational costs.</w:t>
      </w:r>
    </w:p>
    <w:p w:rsidR="0047666F" w:rsidRPr="007F37C3" w:rsidRDefault="0047666F" w:rsidP="0047666F">
      <w:pPr>
        <w:pStyle w:val="Bullet"/>
        <w:rPr>
          <w:sz w:val="24"/>
          <w:szCs w:val="24"/>
        </w:rPr>
      </w:pPr>
      <w:r w:rsidRPr="007F37C3">
        <w:rPr>
          <w:sz w:val="24"/>
          <w:szCs w:val="24"/>
        </w:rPr>
        <w:t>Potential environmental impact costs – Queensland government marine habitat values applied for loss of environment offset calculations. This data is currently used to identify the economic costs associated with loss of environmental assets and is, therefore, considered to be applicable to this project.</w:t>
      </w:r>
    </w:p>
    <w:p w:rsidR="0047666F" w:rsidRPr="007F37C3" w:rsidRDefault="0047666F" w:rsidP="0047666F">
      <w:pPr>
        <w:pStyle w:val="Bullet"/>
        <w:rPr>
          <w:sz w:val="24"/>
          <w:szCs w:val="24"/>
        </w:rPr>
      </w:pPr>
      <w:r w:rsidRPr="007F37C3">
        <w:rPr>
          <w:sz w:val="24"/>
          <w:szCs w:val="24"/>
        </w:rPr>
        <w:t>Potential fisheries catch loss costs – Australian government commercial fisheries catch value data. This is industry standard data which provides a proxy estimate of costs associated with loss of access to resource.</w:t>
      </w:r>
    </w:p>
    <w:p w:rsidR="0047666F" w:rsidRPr="007F37C3" w:rsidRDefault="0047666F" w:rsidP="0047666F">
      <w:pPr>
        <w:pStyle w:val="Bullet"/>
        <w:rPr>
          <w:sz w:val="24"/>
          <w:szCs w:val="24"/>
        </w:rPr>
      </w:pPr>
      <w:r w:rsidRPr="007F37C3">
        <w:rPr>
          <w:sz w:val="24"/>
          <w:szCs w:val="24"/>
        </w:rPr>
        <w:t xml:space="preserve">The daily cost of ship’s time when at anchor – Clarksons shipping databases using 10-year averages for relevant ship types. This is industry standard data. </w:t>
      </w:r>
    </w:p>
    <w:p w:rsidR="0047666F" w:rsidRPr="007F37C3" w:rsidRDefault="0047666F" w:rsidP="0047666F">
      <w:pPr>
        <w:pStyle w:val="Bullet"/>
        <w:rPr>
          <w:sz w:val="24"/>
          <w:szCs w:val="24"/>
        </w:rPr>
      </w:pPr>
      <w:r w:rsidRPr="007F37C3">
        <w:rPr>
          <w:sz w:val="24"/>
          <w:szCs w:val="24"/>
        </w:rPr>
        <w:t xml:space="preserve">The fuel and greenhouse gas savings of ships slow-steaming – Data sourced from Clarksons fuel cost databases (ship fuel consumptions and fuel costs), the Australian government, RightShip and the IMO. This is industry standard data. </w:t>
      </w:r>
    </w:p>
    <w:p w:rsidR="0047666F" w:rsidRPr="007F37C3" w:rsidRDefault="0047666F" w:rsidP="0047666F">
      <w:pPr>
        <w:pStyle w:val="Bullet"/>
        <w:rPr>
          <w:rFonts w:cs="Arial"/>
          <w:sz w:val="24"/>
          <w:szCs w:val="24"/>
        </w:rPr>
      </w:pPr>
      <w:r w:rsidRPr="007F37C3">
        <w:rPr>
          <w:sz w:val="24"/>
          <w:szCs w:val="24"/>
        </w:rPr>
        <w:t xml:space="preserve">Other user costs associated with potentially having to divert around areas due to physically expanded anchorages – some data available from reports released by James Cook University and the Reef and Rainforest Research Centre has informed information developed within GHD regarding the economics of users of the Reef. </w:t>
      </w:r>
    </w:p>
    <w:p w:rsidR="0047666F" w:rsidRPr="007F37C3" w:rsidRDefault="0047666F" w:rsidP="0047666F">
      <w:pPr>
        <w:pStyle w:val="Bullet"/>
        <w:rPr>
          <w:sz w:val="24"/>
          <w:szCs w:val="24"/>
        </w:rPr>
      </w:pPr>
      <w:r w:rsidRPr="007F37C3">
        <w:rPr>
          <w:sz w:val="24"/>
          <w:szCs w:val="24"/>
        </w:rPr>
        <w:t>The cost of accidents – Australian government (Austroads) values data (adjusted) and AMSA/GBRMPA incidents reporting. This is industry standard data.</w:t>
      </w:r>
    </w:p>
    <w:p w:rsidR="0047666F" w:rsidRPr="007F37C3" w:rsidRDefault="0047666F" w:rsidP="0047666F">
      <w:pPr>
        <w:pStyle w:val="Bullet"/>
        <w:rPr>
          <w:rFonts w:ascii="Calibri" w:hAnsi="Calibri" w:cs="Calibri"/>
          <w:color w:val="1F497D"/>
          <w:sz w:val="24"/>
          <w:szCs w:val="24"/>
        </w:rPr>
      </w:pPr>
      <w:r w:rsidRPr="007F37C3">
        <w:rPr>
          <w:sz w:val="24"/>
          <w:szCs w:val="24"/>
        </w:rPr>
        <w:t xml:space="preserve">The economics of local provisioning of ships while at anchor – GHD best estimates using currently available data. </w:t>
      </w:r>
    </w:p>
    <w:p w:rsidR="0047666F" w:rsidRPr="007F37C3" w:rsidRDefault="0047666F" w:rsidP="0047666F">
      <w:pPr>
        <w:pStyle w:val="Body"/>
        <w:rPr>
          <w:sz w:val="24"/>
          <w:szCs w:val="24"/>
        </w:rPr>
      </w:pPr>
      <w:r w:rsidRPr="007F37C3">
        <w:rPr>
          <w:sz w:val="24"/>
          <w:szCs w:val="24"/>
        </w:rPr>
        <w:t xml:space="preserve">Information used to support the model is considered to be best available, industry accepted, data. Where limited or no evidence is available to confirm predicted values data was not modelled. This principally related to an inability to confirm consistent costs associated with impacts to other users of anchorage areas as a result, for example, of diverting through or around an anchorage. The CBA model spreadsheet provided within Appendix Two provides commentary on the data sources used for each component/parameter and the confidence of these data. </w:t>
      </w:r>
    </w:p>
    <w:p w:rsidR="001A657F" w:rsidRPr="007F37C3" w:rsidRDefault="0047666F" w:rsidP="001A657F">
      <w:pPr>
        <w:pStyle w:val="Body"/>
        <w:rPr>
          <w:sz w:val="24"/>
          <w:szCs w:val="24"/>
        </w:rPr>
      </w:pPr>
      <w:r w:rsidRPr="007F37C3">
        <w:rPr>
          <w:sz w:val="24"/>
          <w:szCs w:val="24"/>
        </w:rPr>
        <w:t>T</w:t>
      </w:r>
      <w:r w:rsidR="001A657F" w:rsidRPr="007F37C3">
        <w:rPr>
          <w:sz w:val="24"/>
          <w:szCs w:val="24"/>
        </w:rPr>
        <w:t xml:space="preserve">he CBA model </w:t>
      </w:r>
      <w:r w:rsidRPr="007F37C3">
        <w:rPr>
          <w:sz w:val="24"/>
          <w:szCs w:val="24"/>
        </w:rPr>
        <w:t xml:space="preserve">output compared </w:t>
      </w:r>
      <w:r w:rsidR="001A657F" w:rsidRPr="007F37C3">
        <w:rPr>
          <w:sz w:val="24"/>
          <w:szCs w:val="24"/>
        </w:rPr>
        <w:t xml:space="preserve">the various modelled anchorage options against current practices in terms of NPV, which is a measure of the net social welfare gain of using a management option. This approach takes account of combined quantified and monetised commercial, economic, social and environmental impacts where these are supported by data. </w:t>
      </w:r>
    </w:p>
    <w:p w:rsidR="001A657F" w:rsidRPr="007F37C3" w:rsidRDefault="001A657F" w:rsidP="001A657F">
      <w:pPr>
        <w:pStyle w:val="Body"/>
        <w:rPr>
          <w:sz w:val="24"/>
          <w:szCs w:val="24"/>
        </w:rPr>
      </w:pPr>
      <w:r w:rsidRPr="007F37C3">
        <w:rPr>
          <w:sz w:val="24"/>
          <w:szCs w:val="24"/>
        </w:rPr>
        <w:t>Given the step-wise approach of the CBA model, if a port was identified as not requiring future expansion of an anchorage area</w:t>
      </w:r>
      <w:r w:rsidR="002A5614" w:rsidRPr="007F37C3">
        <w:rPr>
          <w:sz w:val="24"/>
          <w:szCs w:val="24"/>
        </w:rPr>
        <w:t>,</w:t>
      </w:r>
      <w:r w:rsidRPr="007F37C3">
        <w:rPr>
          <w:sz w:val="24"/>
          <w:szCs w:val="24"/>
        </w:rPr>
        <w:t xml:space="preserve"> then </w:t>
      </w:r>
      <w:r w:rsidR="002A5614" w:rsidRPr="007F37C3">
        <w:rPr>
          <w:sz w:val="24"/>
          <w:szCs w:val="24"/>
        </w:rPr>
        <w:t xml:space="preserve">the </w:t>
      </w:r>
      <w:r w:rsidRPr="007F37C3">
        <w:rPr>
          <w:sz w:val="24"/>
          <w:szCs w:val="24"/>
        </w:rPr>
        <w:t xml:space="preserve">applicability of different anchorage management options for avoiding the need for expansion </w:t>
      </w:r>
      <w:r w:rsidR="002A5614" w:rsidRPr="007F37C3">
        <w:rPr>
          <w:sz w:val="24"/>
          <w:szCs w:val="24"/>
        </w:rPr>
        <w:t>was</w:t>
      </w:r>
      <w:r w:rsidRPr="007F37C3">
        <w:rPr>
          <w:sz w:val="24"/>
          <w:szCs w:val="24"/>
        </w:rPr>
        <w:t xml:space="preserve"> not further evaluated by the CBA model. </w:t>
      </w:r>
    </w:p>
    <w:p w:rsidR="001A657F" w:rsidRPr="007F37C3" w:rsidRDefault="001A657F" w:rsidP="001A657F">
      <w:pPr>
        <w:pStyle w:val="Body"/>
        <w:rPr>
          <w:sz w:val="24"/>
          <w:szCs w:val="24"/>
        </w:rPr>
      </w:pPr>
      <w:r w:rsidRPr="007F37C3">
        <w:rPr>
          <w:sz w:val="24"/>
          <w:szCs w:val="24"/>
        </w:rPr>
        <w:t>For those ports w</w:t>
      </w:r>
      <w:r w:rsidR="002A5614" w:rsidRPr="007F37C3">
        <w:rPr>
          <w:sz w:val="24"/>
          <w:szCs w:val="24"/>
        </w:rPr>
        <w:t>h</w:t>
      </w:r>
      <w:r w:rsidRPr="007F37C3">
        <w:rPr>
          <w:sz w:val="24"/>
          <w:szCs w:val="24"/>
        </w:rPr>
        <w:t>ere existing anchorage areas are considered to be sufficient for future demand requirements, it may be possible to improve current practice where anchorages are currently undesignated. This may realise a net environmental gain. The anchorage areas assessed in this project have been conservatively defined in consultation with RHMs. Any reduction in anchorage areas beyond current minimum requirements (i.e. less than those currently identified) are likely to have operational, safety and economic impacts for both ports and commodity supply-chains. These effects would require additional analysis.</w:t>
      </w:r>
    </w:p>
    <w:p w:rsidR="001A657F" w:rsidRPr="007F37C3" w:rsidRDefault="001A657F" w:rsidP="001A657F">
      <w:pPr>
        <w:pStyle w:val="Body"/>
        <w:rPr>
          <w:sz w:val="24"/>
          <w:szCs w:val="24"/>
        </w:rPr>
      </w:pPr>
      <w:r w:rsidRPr="007F37C3">
        <w:rPr>
          <w:sz w:val="24"/>
          <w:szCs w:val="24"/>
        </w:rPr>
        <w:t xml:space="preserve">Findings for each of the ports from application of the CBA model are provided </w:t>
      </w:r>
      <w:r w:rsidR="004D5799" w:rsidRPr="007F37C3">
        <w:rPr>
          <w:sz w:val="24"/>
          <w:szCs w:val="24"/>
        </w:rPr>
        <w:t>below</w:t>
      </w:r>
      <w:r w:rsidRPr="007F37C3">
        <w:rPr>
          <w:sz w:val="24"/>
          <w:szCs w:val="24"/>
        </w:rPr>
        <w:t>.</w:t>
      </w:r>
    </w:p>
    <w:p w:rsidR="001A657F" w:rsidRPr="00B41CFA" w:rsidRDefault="001A657F" w:rsidP="001A657F">
      <w:pPr>
        <w:pStyle w:val="Heading2"/>
        <w:rPr>
          <w:sz w:val="24"/>
        </w:rPr>
      </w:pPr>
      <w:bookmarkStart w:id="530" w:name="_Toc343581985"/>
      <w:bookmarkStart w:id="531" w:name="_Toc343597442"/>
      <w:bookmarkStart w:id="532" w:name="_Toc343581986"/>
      <w:bookmarkStart w:id="533" w:name="_Toc343597443"/>
      <w:bookmarkStart w:id="534" w:name="_Toc342402502"/>
      <w:bookmarkStart w:id="535" w:name="_Toc343597444"/>
      <w:bookmarkStart w:id="536" w:name="_Toc362274347"/>
      <w:bookmarkEnd w:id="530"/>
      <w:bookmarkEnd w:id="531"/>
      <w:bookmarkEnd w:id="532"/>
      <w:bookmarkEnd w:id="533"/>
      <w:r w:rsidRPr="00B41CFA">
        <w:rPr>
          <w:sz w:val="24"/>
        </w:rPr>
        <w:t>Economic appraisal for the Port of Cairns</w:t>
      </w:r>
      <w:bookmarkEnd w:id="534"/>
      <w:bookmarkEnd w:id="535"/>
      <w:bookmarkEnd w:id="536"/>
    </w:p>
    <w:p w:rsidR="001A657F" w:rsidRPr="007F37C3" w:rsidRDefault="001A657F" w:rsidP="001A657F">
      <w:pPr>
        <w:pStyle w:val="Body"/>
        <w:rPr>
          <w:sz w:val="24"/>
          <w:szCs w:val="24"/>
        </w:rPr>
      </w:pPr>
      <w:r w:rsidRPr="007F37C3">
        <w:rPr>
          <w:sz w:val="24"/>
          <w:szCs w:val="24"/>
        </w:rPr>
        <w:t>Building off environmental impact assessment completed under phase 1 of this project (GHD 2012</w:t>
      </w:r>
      <w:r w:rsidR="0047666F" w:rsidRPr="007F37C3">
        <w:rPr>
          <w:sz w:val="24"/>
          <w:szCs w:val="24"/>
        </w:rPr>
        <w:t>a</w:t>
      </w:r>
      <w:r w:rsidRPr="007F37C3">
        <w:rPr>
          <w:sz w:val="24"/>
          <w:szCs w:val="24"/>
        </w:rPr>
        <w:t xml:space="preserve">), the CBA model input assumed that no incremental environmental gains could be realised from moving the existing anchorage at the Port of Cairns to an alternative location. Furthermore, it was forecast that the anchorage demand over the period 2012-2032 was able to be accommodated by the current anchorage area and practices. </w:t>
      </w:r>
      <w:r w:rsidR="0047666F" w:rsidRPr="007F37C3">
        <w:rPr>
          <w:sz w:val="24"/>
          <w:szCs w:val="24"/>
        </w:rPr>
        <w:t xml:space="preserve">The forecast demand for anchorages in Cairns is sensitive to future ship calls and the average time spent at anchor. The latter is a complex variable difficult to forecast. The Port of Cairns has established trade patterns and historical data used for the modelling from MSQ and future demand requirements reported by </w:t>
      </w:r>
      <w:r w:rsidR="005751BA" w:rsidRPr="007F37C3">
        <w:rPr>
          <w:sz w:val="24"/>
          <w:szCs w:val="24"/>
        </w:rPr>
        <w:t>PGM</w:t>
      </w:r>
      <w:r w:rsidR="0047666F" w:rsidRPr="007F37C3">
        <w:rPr>
          <w:sz w:val="24"/>
          <w:szCs w:val="24"/>
        </w:rPr>
        <w:t xml:space="preserve"> (2012), are considered to be the best available information at the time of reporting.</w:t>
      </w:r>
    </w:p>
    <w:p w:rsidR="001A657F" w:rsidRPr="007F37C3" w:rsidRDefault="001A657F" w:rsidP="001A657F">
      <w:pPr>
        <w:pStyle w:val="Body"/>
        <w:rPr>
          <w:sz w:val="24"/>
          <w:szCs w:val="24"/>
        </w:rPr>
      </w:pPr>
      <w:r w:rsidRPr="007F37C3">
        <w:rPr>
          <w:sz w:val="24"/>
          <w:szCs w:val="24"/>
        </w:rPr>
        <w:t xml:space="preserve">The CBA model assumptions determined that by 2032 only between </w:t>
      </w:r>
      <w:r w:rsidR="0000364E" w:rsidRPr="007F37C3">
        <w:rPr>
          <w:sz w:val="24"/>
          <w:szCs w:val="24"/>
        </w:rPr>
        <w:t>one</w:t>
      </w:r>
      <w:r w:rsidRPr="007F37C3">
        <w:rPr>
          <w:sz w:val="24"/>
          <w:szCs w:val="24"/>
        </w:rPr>
        <w:t xml:space="preserve"> and </w:t>
      </w:r>
      <w:r w:rsidR="0000364E" w:rsidRPr="007F37C3">
        <w:rPr>
          <w:sz w:val="24"/>
          <w:szCs w:val="24"/>
        </w:rPr>
        <w:t>two</w:t>
      </w:r>
      <w:r w:rsidRPr="007F37C3">
        <w:rPr>
          <w:sz w:val="24"/>
          <w:szCs w:val="24"/>
        </w:rPr>
        <w:t xml:space="preserve"> ships calling per day would require anchorage with an average waiting time at anchor of </w:t>
      </w:r>
      <w:r w:rsidR="0000364E" w:rsidRPr="007F37C3">
        <w:rPr>
          <w:sz w:val="24"/>
          <w:szCs w:val="24"/>
        </w:rPr>
        <w:t>approximately</w:t>
      </w:r>
      <w:r w:rsidRPr="007F37C3">
        <w:rPr>
          <w:sz w:val="24"/>
          <w:szCs w:val="24"/>
        </w:rPr>
        <w:t xml:space="preserve"> 12 hours. Given this, it was determined that the current capacity of </w:t>
      </w:r>
      <w:r w:rsidR="0000364E" w:rsidRPr="007F37C3">
        <w:rPr>
          <w:sz w:val="24"/>
          <w:szCs w:val="24"/>
        </w:rPr>
        <w:t>eight</w:t>
      </w:r>
      <w:r w:rsidRPr="007F37C3">
        <w:rPr>
          <w:sz w:val="24"/>
          <w:szCs w:val="24"/>
        </w:rPr>
        <w:t xml:space="preserve"> anchored ships did </w:t>
      </w:r>
      <w:r w:rsidR="0000364E" w:rsidRPr="007F37C3">
        <w:rPr>
          <w:sz w:val="24"/>
          <w:szCs w:val="24"/>
        </w:rPr>
        <w:t xml:space="preserve">not </w:t>
      </w:r>
      <w:r w:rsidRPr="007F37C3">
        <w:rPr>
          <w:sz w:val="24"/>
          <w:szCs w:val="24"/>
        </w:rPr>
        <w:t xml:space="preserve">require any expansion. As anchorages are already designated for the Port of Cairns and relocation of these did not indicate any benefits no improvements to the existing management arrangements were identified by the CBA modelling process. </w:t>
      </w:r>
    </w:p>
    <w:p w:rsidR="001A657F" w:rsidRPr="007F37C3" w:rsidRDefault="001A657F" w:rsidP="001A657F">
      <w:pPr>
        <w:pStyle w:val="Body"/>
        <w:rPr>
          <w:sz w:val="24"/>
          <w:szCs w:val="24"/>
        </w:rPr>
      </w:pPr>
      <w:r w:rsidRPr="007F37C3">
        <w:rPr>
          <w:sz w:val="24"/>
          <w:szCs w:val="24"/>
        </w:rPr>
        <w:t xml:space="preserve">As noted under section </w:t>
      </w:r>
      <w:r w:rsidR="00ED39F9" w:rsidRPr="007F37C3">
        <w:rPr>
          <w:sz w:val="24"/>
          <w:szCs w:val="24"/>
        </w:rPr>
        <w:fldChar w:fldCharType="begin"/>
      </w:r>
      <w:r w:rsidR="00ED39F9" w:rsidRPr="007F37C3">
        <w:rPr>
          <w:sz w:val="24"/>
          <w:szCs w:val="24"/>
        </w:rPr>
        <w:instrText xml:space="preserve"> REF _Ref347769254 \r \h  \* MERGEFORMAT </w:instrText>
      </w:r>
      <w:r w:rsidR="00ED39F9" w:rsidRPr="007F37C3">
        <w:rPr>
          <w:sz w:val="24"/>
          <w:szCs w:val="24"/>
        </w:rPr>
      </w:r>
      <w:r w:rsidR="00ED39F9" w:rsidRPr="007F37C3">
        <w:rPr>
          <w:sz w:val="24"/>
          <w:szCs w:val="24"/>
        </w:rPr>
        <w:fldChar w:fldCharType="separate"/>
      </w:r>
      <w:r w:rsidR="005F6E51">
        <w:rPr>
          <w:sz w:val="24"/>
          <w:szCs w:val="24"/>
        </w:rPr>
        <w:t>4.5</w:t>
      </w:r>
      <w:r w:rsidR="00ED39F9" w:rsidRPr="007F37C3">
        <w:rPr>
          <w:sz w:val="24"/>
          <w:szCs w:val="24"/>
        </w:rPr>
        <w:fldChar w:fldCharType="end"/>
      </w:r>
      <w:r w:rsidRPr="007F37C3">
        <w:rPr>
          <w:sz w:val="24"/>
          <w:szCs w:val="24"/>
        </w:rPr>
        <w:t xml:space="preserve">, there is a large diversity in the types of ships that call at the Port of Cairns. This forecast lack of need to expand anchorage capacity in Cairns and </w:t>
      </w:r>
      <w:r w:rsidR="0000364E" w:rsidRPr="007F37C3">
        <w:rPr>
          <w:sz w:val="24"/>
          <w:szCs w:val="24"/>
        </w:rPr>
        <w:t xml:space="preserve">the </w:t>
      </w:r>
      <w:r w:rsidRPr="007F37C3">
        <w:rPr>
          <w:sz w:val="24"/>
          <w:szCs w:val="24"/>
        </w:rPr>
        <w:t>maintain</w:t>
      </w:r>
      <w:r w:rsidR="0000364E" w:rsidRPr="007F37C3">
        <w:rPr>
          <w:sz w:val="24"/>
          <w:szCs w:val="24"/>
        </w:rPr>
        <w:t>ing of</w:t>
      </w:r>
      <w:r w:rsidRPr="007F37C3">
        <w:rPr>
          <w:sz w:val="24"/>
          <w:szCs w:val="24"/>
        </w:rPr>
        <w:t xml:space="preserve"> existing management is sensitive to demand predications being robust and planned expansions facilitating better access to the port. </w:t>
      </w:r>
    </w:p>
    <w:p w:rsidR="001A657F" w:rsidRPr="007F37C3" w:rsidRDefault="001A657F" w:rsidP="001A657F">
      <w:pPr>
        <w:pStyle w:val="Body"/>
        <w:rPr>
          <w:sz w:val="24"/>
          <w:szCs w:val="24"/>
        </w:rPr>
      </w:pPr>
      <w:r w:rsidRPr="007F37C3">
        <w:rPr>
          <w:sz w:val="24"/>
          <w:szCs w:val="24"/>
        </w:rPr>
        <w:t xml:space="preserve">Results of the Economic Appraisal completed by this project, therefore, suggest that the current practice of anchoring at the Port of Cairns within the designated areas is likely to produce the least cost for the desired net environmental outcome over the next 30 years. </w:t>
      </w:r>
    </w:p>
    <w:p w:rsidR="001A657F" w:rsidRPr="00B41CFA" w:rsidRDefault="001A657F" w:rsidP="001A657F">
      <w:pPr>
        <w:pStyle w:val="Heading2"/>
        <w:rPr>
          <w:sz w:val="24"/>
        </w:rPr>
      </w:pPr>
      <w:bookmarkStart w:id="537" w:name="_Toc342402503"/>
      <w:bookmarkStart w:id="538" w:name="_Toc343597447"/>
      <w:bookmarkStart w:id="539" w:name="_Toc362274348"/>
      <w:r w:rsidRPr="00B41CFA">
        <w:rPr>
          <w:sz w:val="24"/>
        </w:rPr>
        <w:t>Economic appraisal for the Port of Townsville</w:t>
      </w:r>
      <w:bookmarkEnd w:id="537"/>
      <w:bookmarkEnd w:id="538"/>
      <w:bookmarkEnd w:id="539"/>
    </w:p>
    <w:p w:rsidR="001A657F" w:rsidRPr="007F37C3" w:rsidRDefault="001A657F" w:rsidP="001A657F">
      <w:pPr>
        <w:pStyle w:val="Body"/>
        <w:rPr>
          <w:sz w:val="24"/>
          <w:szCs w:val="24"/>
        </w:rPr>
      </w:pPr>
      <w:r w:rsidRPr="007F37C3">
        <w:rPr>
          <w:sz w:val="24"/>
          <w:szCs w:val="24"/>
        </w:rPr>
        <w:t>Building off environmental impact assessment completed under phase 1 of this project (refer GHD 2012</w:t>
      </w:r>
      <w:r w:rsidR="0047666F" w:rsidRPr="007F37C3">
        <w:rPr>
          <w:sz w:val="24"/>
          <w:szCs w:val="24"/>
        </w:rPr>
        <w:t>a</w:t>
      </w:r>
      <w:r w:rsidRPr="007F37C3">
        <w:rPr>
          <w:sz w:val="24"/>
          <w:szCs w:val="24"/>
        </w:rPr>
        <w:t xml:space="preserve">), the CBA model input assumed that no incremental environmental gains could be realised from using anchorages located elsewhere at the Port of Townsville than those assessed herein. Furthermore, it was forecast that the anchorage demand over the period 2012-2032 was able to be accommodated by the area assessed with the improved practice of implementing organised designated areas for anchorage. The CBA model assumptions determined that by 2032 only around </w:t>
      </w:r>
      <w:r w:rsidR="004D5799" w:rsidRPr="007F37C3">
        <w:rPr>
          <w:sz w:val="24"/>
          <w:szCs w:val="24"/>
        </w:rPr>
        <w:t xml:space="preserve">two </w:t>
      </w:r>
      <w:r w:rsidRPr="007F37C3">
        <w:rPr>
          <w:sz w:val="24"/>
          <w:szCs w:val="24"/>
        </w:rPr>
        <w:t xml:space="preserve">ships calling per day would require anchorage and, with an assumed average waiting time at anchor of </w:t>
      </w:r>
      <w:r w:rsidR="004D5799" w:rsidRPr="007F37C3">
        <w:rPr>
          <w:sz w:val="24"/>
          <w:szCs w:val="24"/>
        </w:rPr>
        <w:t xml:space="preserve">three </w:t>
      </w:r>
      <w:r w:rsidRPr="007F37C3">
        <w:rPr>
          <w:sz w:val="24"/>
          <w:szCs w:val="24"/>
        </w:rPr>
        <w:t xml:space="preserve">days, these ships could be accommodated in the current anchorage area (or an equivalent designated area). </w:t>
      </w:r>
      <w:r w:rsidR="0047666F" w:rsidRPr="007F37C3">
        <w:rPr>
          <w:sz w:val="24"/>
          <w:szCs w:val="24"/>
        </w:rPr>
        <w:t xml:space="preserve">The forecast demand for anchorages in Townsville is sensitive to future ship calls and the average time spent at anchor. The latter is a complex variable difficult to forecast. The Port of Townsville has established trade patterns and historical data used for the modelling from MSQ and future demand requirements reported by </w:t>
      </w:r>
      <w:r w:rsidR="005751BA" w:rsidRPr="007F37C3">
        <w:rPr>
          <w:sz w:val="24"/>
          <w:szCs w:val="24"/>
        </w:rPr>
        <w:t>PGM</w:t>
      </w:r>
      <w:r w:rsidR="0047666F" w:rsidRPr="007F37C3">
        <w:rPr>
          <w:sz w:val="24"/>
          <w:szCs w:val="24"/>
        </w:rPr>
        <w:t xml:space="preserve"> (2012), are considered to be the best available information at the time of reporting.</w:t>
      </w:r>
    </w:p>
    <w:p w:rsidR="001A657F" w:rsidRPr="007F37C3" w:rsidRDefault="001A657F" w:rsidP="001A657F">
      <w:pPr>
        <w:pStyle w:val="Body"/>
        <w:rPr>
          <w:sz w:val="24"/>
          <w:szCs w:val="24"/>
        </w:rPr>
      </w:pPr>
      <w:r w:rsidRPr="007F37C3">
        <w:rPr>
          <w:sz w:val="24"/>
          <w:szCs w:val="24"/>
        </w:rPr>
        <w:t xml:space="preserve">As noted under section </w:t>
      </w:r>
      <w:r w:rsidR="00CD38ED" w:rsidRPr="007F37C3">
        <w:rPr>
          <w:b/>
          <w:sz w:val="24"/>
          <w:szCs w:val="24"/>
        </w:rPr>
        <w:fldChar w:fldCharType="begin"/>
      </w:r>
      <w:r w:rsidRPr="007F37C3">
        <w:rPr>
          <w:sz w:val="24"/>
          <w:szCs w:val="24"/>
        </w:rPr>
        <w:instrText xml:space="preserve"> REF _Ref347770132 \r \h </w:instrText>
      </w:r>
      <w:r w:rsidR="007F37C3">
        <w:rPr>
          <w:b/>
          <w:sz w:val="24"/>
          <w:szCs w:val="24"/>
        </w:rPr>
        <w:instrText xml:space="preserve"> \* MERGEFORMAT </w:instrText>
      </w:r>
      <w:r w:rsidR="00CD38ED" w:rsidRPr="007F37C3">
        <w:rPr>
          <w:b/>
          <w:sz w:val="24"/>
          <w:szCs w:val="24"/>
        </w:rPr>
      </w:r>
      <w:r w:rsidR="00CD38ED" w:rsidRPr="007F37C3">
        <w:rPr>
          <w:b/>
          <w:sz w:val="24"/>
          <w:szCs w:val="24"/>
        </w:rPr>
        <w:fldChar w:fldCharType="separate"/>
      </w:r>
      <w:r w:rsidR="005F6E51">
        <w:rPr>
          <w:sz w:val="24"/>
          <w:szCs w:val="24"/>
        </w:rPr>
        <w:t>4.6</w:t>
      </w:r>
      <w:r w:rsidR="00CD38ED" w:rsidRPr="007F37C3">
        <w:rPr>
          <w:b/>
          <w:sz w:val="24"/>
          <w:szCs w:val="24"/>
        </w:rPr>
        <w:fldChar w:fldCharType="end"/>
      </w:r>
      <w:r w:rsidRPr="007F37C3">
        <w:rPr>
          <w:sz w:val="24"/>
          <w:szCs w:val="24"/>
        </w:rPr>
        <w:t xml:space="preserve">, there is a large diversity in the types of ships that call at the Port of Townsville. This forecast lack of need to expand anchorage capacity in Townsville and improve anchorage management by designating anchor drop points is sensitive to demand predications being robust and planned expansions facilitating better access to the port. </w:t>
      </w:r>
    </w:p>
    <w:p w:rsidR="001A657F" w:rsidRPr="007F37C3" w:rsidRDefault="001A657F" w:rsidP="001A657F">
      <w:pPr>
        <w:pStyle w:val="Body"/>
        <w:rPr>
          <w:sz w:val="24"/>
          <w:szCs w:val="24"/>
        </w:rPr>
      </w:pPr>
      <w:r w:rsidRPr="007F37C3">
        <w:rPr>
          <w:sz w:val="24"/>
          <w:szCs w:val="24"/>
        </w:rPr>
        <w:t xml:space="preserve">Results of the Economic Appraisal completed by this project, therefore, suggest that the current practice of anchoring at the Port of Townsville, with the improvement of implementing organised designated areas, is likely to produce the least cost for the desired net environmental outcome over the next 30 years. </w:t>
      </w:r>
    </w:p>
    <w:p w:rsidR="001A657F" w:rsidRPr="007F37C3" w:rsidRDefault="001A657F" w:rsidP="001A657F">
      <w:pPr>
        <w:pStyle w:val="Heading2"/>
        <w:rPr>
          <w:sz w:val="24"/>
          <w:szCs w:val="24"/>
        </w:rPr>
      </w:pPr>
      <w:bookmarkStart w:id="540" w:name="_Toc342402504"/>
      <w:bookmarkStart w:id="541" w:name="_Toc343597450"/>
      <w:bookmarkStart w:id="542" w:name="_Toc362274349"/>
      <w:r w:rsidRPr="007F37C3">
        <w:rPr>
          <w:sz w:val="24"/>
          <w:szCs w:val="24"/>
        </w:rPr>
        <w:t>Economic appraisal for the Port of Abbot Point</w:t>
      </w:r>
      <w:bookmarkEnd w:id="540"/>
      <w:bookmarkEnd w:id="541"/>
      <w:bookmarkEnd w:id="542"/>
    </w:p>
    <w:p w:rsidR="001A657F" w:rsidRPr="007F37C3" w:rsidRDefault="001A657F" w:rsidP="001A657F">
      <w:pPr>
        <w:pStyle w:val="Body"/>
        <w:rPr>
          <w:sz w:val="24"/>
          <w:szCs w:val="24"/>
        </w:rPr>
      </w:pPr>
      <w:r w:rsidRPr="007F37C3">
        <w:rPr>
          <w:sz w:val="24"/>
          <w:szCs w:val="24"/>
        </w:rPr>
        <w:t>Building off environmental impact assessment completed under phase 1 of this project (GHD 2012</w:t>
      </w:r>
      <w:r w:rsidR="0047666F" w:rsidRPr="007F37C3">
        <w:rPr>
          <w:sz w:val="24"/>
          <w:szCs w:val="24"/>
        </w:rPr>
        <w:t>a</w:t>
      </w:r>
      <w:r w:rsidRPr="007F37C3">
        <w:rPr>
          <w:sz w:val="24"/>
          <w:szCs w:val="24"/>
        </w:rPr>
        <w:t xml:space="preserve">), the CBA model input assumed that no incremental environmental gains could be realised from using anchorages located elsewhere at the Port of Abbot Point than those assessed herein. </w:t>
      </w:r>
      <w:r w:rsidR="0047666F" w:rsidRPr="007F37C3">
        <w:rPr>
          <w:sz w:val="24"/>
          <w:szCs w:val="24"/>
        </w:rPr>
        <w:t>Studies r</w:t>
      </w:r>
      <w:r w:rsidRPr="007F37C3">
        <w:rPr>
          <w:sz w:val="24"/>
          <w:szCs w:val="24"/>
        </w:rPr>
        <w:t>ecently completed for Abbot Point (</w:t>
      </w:r>
      <w:r w:rsidR="0047666F" w:rsidRPr="007F37C3">
        <w:rPr>
          <w:sz w:val="24"/>
          <w:szCs w:val="24"/>
        </w:rPr>
        <w:t>reported in GHD 2012b</w:t>
      </w:r>
      <w:r w:rsidRPr="007F37C3">
        <w:rPr>
          <w:sz w:val="24"/>
          <w:szCs w:val="24"/>
        </w:rPr>
        <w:t xml:space="preserve">) have noted a number of anchorage locations could be considered applicable to the management of future shipping requirements at the port. The anchorage area assessed by this </w:t>
      </w:r>
      <w:r w:rsidR="0047666F" w:rsidRPr="007F37C3">
        <w:rPr>
          <w:sz w:val="24"/>
          <w:szCs w:val="24"/>
        </w:rPr>
        <w:t xml:space="preserve">CBA </w:t>
      </w:r>
      <w:r w:rsidRPr="007F37C3">
        <w:rPr>
          <w:sz w:val="24"/>
          <w:szCs w:val="24"/>
        </w:rPr>
        <w:t xml:space="preserve">project is comparable to those outlined by </w:t>
      </w:r>
      <w:r w:rsidR="0047666F" w:rsidRPr="007F37C3">
        <w:rPr>
          <w:sz w:val="24"/>
          <w:szCs w:val="24"/>
        </w:rPr>
        <w:t xml:space="preserve">GHD (2012b) </w:t>
      </w:r>
      <w:r w:rsidR="005751BA" w:rsidRPr="007F37C3">
        <w:rPr>
          <w:sz w:val="24"/>
          <w:szCs w:val="24"/>
        </w:rPr>
        <w:t xml:space="preserve">and Eco Logical Australia and Open Lines (2012) </w:t>
      </w:r>
      <w:r w:rsidRPr="007F37C3">
        <w:rPr>
          <w:sz w:val="24"/>
          <w:szCs w:val="24"/>
        </w:rPr>
        <w:t>with regard to area and environment</w:t>
      </w:r>
      <w:r w:rsidR="0047666F" w:rsidRPr="007F37C3">
        <w:rPr>
          <w:sz w:val="24"/>
          <w:szCs w:val="24"/>
        </w:rPr>
        <w:t>. F</w:t>
      </w:r>
      <w:r w:rsidRPr="007F37C3">
        <w:rPr>
          <w:sz w:val="24"/>
          <w:szCs w:val="24"/>
        </w:rPr>
        <w:t xml:space="preserve">indings from this project are, therefore, </w:t>
      </w:r>
      <w:r w:rsidR="0047666F" w:rsidRPr="007F37C3">
        <w:rPr>
          <w:sz w:val="24"/>
          <w:szCs w:val="24"/>
        </w:rPr>
        <w:t xml:space="preserve">considered to be </w:t>
      </w:r>
      <w:r w:rsidRPr="007F37C3">
        <w:rPr>
          <w:sz w:val="24"/>
          <w:szCs w:val="24"/>
        </w:rPr>
        <w:t xml:space="preserve">robust to </w:t>
      </w:r>
      <w:r w:rsidR="0047666F" w:rsidRPr="007F37C3">
        <w:rPr>
          <w:sz w:val="24"/>
          <w:szCs w:val="24"/>
        </w:rPr>
        <w:t xml:space="preserve">the </w:t>
      </w:r>
      <w:r w:rsidRPr="007F37C3">
        <w:rPr>
          <w:sz w:val="24"/>
          <w:szCs w:val="24"/>
        </w:rPr>
        <w:t xml:space="preserve">adoption of any of the anchorage areas </w:t>
      </w:r>
      <w:r w:rsidR="0047666F" w:rsidRPr="007F37C3">
        <w:rPr>
          <w:sz w:val="24"/>
          <w:szCs w:val="24"/>
        </w:rPr>
        <w:t xml:space="preserve">reported in GHD (2012b) </w:t>
      </w:r>
      <w:r w:rsidRPr="007F37C3">
        <w:rPr>
          <w:sz w:val="24"/>
          <w:szCs w:val="24"/>
        </w:rPr>
        <w:t xml:space="preserve">in future. </w:t>
      </w:r>
    </w:p>
    <w:p w:rsidR="0047666F" w:rsidRPr="007F37C3" w:rsidRDefault="0047666F" w:rsidP="0047666F">
      <w:pPr>
        <w:pStyle w:val="Body"/>
        <w:rPr>
          <w:sz w:val="24"/>
          <w:szCs w:val="24"/>
        </w:rPr>
      </w:pPr>
      <w:bookmarkStart w:id="543" w:name="_Toc342402505"/>
      <w:bookmarkStart w:id="544" w:name="_Toc343597453"/>
      <w:r w:rsidRPr="007F37C3">
        <w:rPr>
          <w:sz w:val="24"/>
          <w:szCs w:val="24"/>
        </w:rPr>
        <w:t xml:space="preserve">It was forecast that the anchorage demand over the period 2012-2032 was able to be accommodated by the current anchorage area being used with the improved practice of implementing organised designated areas for anchorage. The CBA model assumptions determined that by 2032 around </w:t>
      </w:r>
      <w:r w:rsidR="004D5799" w:rsidRPr="007F37C3">
        <w:rPr>
          <w:sz w:val="24"/>
          <w:szCs w:val="24"/>
        </w:rPr>
        <w:t xml:space="preserve">three </w:t>
      </w:r>
      <w:r w:rsidRPr="007F37C3">
        <w:rPr>
          <w:sz w:val="24"/>
          <w:szCs w:val="24"/>
        </w:rPr>
        <w:t xml:space="preserve">to </w:t>
      </w:r>
      <w:r w:rsidR="004D5799" w:rsidRPr="007F37C3">
        <w:rPr>
          <w:sz w:val="24"/>
          <w:szCs w:val="24"/>
        </w:rPr>
        <w:t>four</w:t>
      </w:r>
      <w:r w:rsidRPr="007F37C3">
        <w:rPr>
          <w:sz w:val="24"/>
          <w:szCs w:val="24"/>
        </w:rPr>
        <w:t xml:space="preserve"> ships calling per day would be requiring anchorage. With an assumed average waiting time at anchor of </w:t>
      </w:r>
      <w:r w:rsidR="004D5799" w:rsidRPr="007F37C3">
        <w:rPr>
          <w:sz w:val="24"/>
          <w:szCs w:val="24"/>
        </w:rPr>
        <w:t>three</w:t>
      </w:r>
      <w:r w:rsidRPr="007F37C3">
        <w:rPr>
          <w:sz w:val="24"/>
          <w:szCs w:val="24"/>
        </w:rPr>
        <w:t xml:space="preserve"> days, these ships could be accommodated in the current anchorage area or an equivalent designated area. The forecast demand for anchorages at Abbot Point is, however, sensitive to future ship call numbers and average time spent at anchor. The latter is a complex variable difficult to forecast. With potential significant expansion planned for Abbot Point using historical MSQ data to predict future average wait times can be challenging. Data used for the modelling, particularly </w:t>
      </w:r>
      <w:r w:rsidR="005751BA" w:rsidRPr="007F37C3">
        <w:rPr>
          <w:sz w:val="24"/>
          <w:szCs w:val="24"/>
        </w:rPr>
        <w:t>PGM</w:t>
      </w:r>
      <w:r w:rsidRPr="007F37C3">
        <w:rPr>
          <w:sz w:val="24"/>
          <w:szCs w:val="24"/>
        </w:rPr>
        <w:t xml:space="preserve"> (2012), is however considered to be the best available information at the time of reporting. Improved management of anchorage arrangements would provide opportunity to reduce potential future impacts.</w:t>
      </w:r>
    </w:p>
    <w:p w:rsidR="0047666F" w:rsidRPr="007F37C3" w:rsidRDefault="0047666F" w:rsidP="0047666F">
      <w:pPr>
        <w:pStyle w:val="Body"/>
        <w:rPr>
          <w:sz w:val="24"/>
          <w:szCs w:val="24"/>
        </w:rPr>
      </w:pPr>
      <w:r w:rsidRPr="007F37C3">
        <w:rPr>
          <w:sz w:val="24"/>
          <w:szCs w:val="24"/>
        </w:rPr>
        <w:t>Results of the Economic Appraisal completed by this project suggest that the current practice of anchoring at the Port of Abbot Point, with the improvement of implementing organised designated areas, is likely to produce the least cost for the desired net environmental outcome over the next 30</w:t>
      </w:r>
      <w:r w:rsidR="00577218" w:rsidRPr="007F37C3">
        <w:rPr>
          <w:sz w:val="24"/>
          <w:szCs w:val="24"/>
        </w:rPr>
        <w:t> </w:t>
      </w:r>
      <w:r w:rsidRPr="007F37C3">
        <w:rPr>
          <w:sz w:val="24"/>
          <w:szCs w:val="24"/>
        </w:rPr>
        <w:t>years. As this port is a single commodity, coal export, facility there is opportunity to consider use of a VAS to facilitate management of anchorage use. Further investigation regarding the potential benefits would be required before that system was implemented, however, it may offer opportunity to reduce the spatial area used for vessel anchorage.</w:t>
      </w:r>
    </w:p>
    <w:p w:rsidR="001A657F" w:rsidRPr="00B41CFA" w:rsidRDefault="001A657F" w:rsidP="001A657F">
      <w:pPr>
        <w:pStyle w:val="Heading2"/>
        <w:rPr>
          <w:sz w:val="24"/>
        </w:rPr>
      </w:pPr>
      <w:bookmarkStart w:id="545" w:name="_Toc362274350"/>
      <w:r w:rsidRPr="00B41CFA">
        <w:rPr>
          <w:sz w:val="24"/>
        </w:rPr>
        <w:t>Economic appraisal for the Port of Hay Point</w:t>
      </w:r>
      <w:bookmarkEnd w:id="543"/>
      <w:bookmarkEnd w:id="544"/>
      <w:bookmarkEnd w:id="545"/>
    </w:p>
    <w:p w:rsidR="001A657F" w:rsidRPr="007F37C3" w:rsidRDefault="001A657F" w:rsidP="001A657F">
      <w:pPr>
        <w:pStyle w:val="Body"/>
        <w:rPr>
          <w:sz w:val="24"/>
          <w:szCs w:val="24"/>
        </w:rPr>
      </w:pPr>
      <w:r w:rsidRPr="007F37C3">
        <w:rPr>
          <w:sz w:val="24"/>
          <w:szCs w:val="24"/>
        </w:rPr>
        <w:t>Building off environmental impact assessment completed under phase 1 of this project (GHD 2012</w:t>
      </w:r>
      <w:r w:rsidR="0047666F" w:rsidRPr="007F37C3">
        <w:rPr>
          <w:sz w:val="24"/>
          <w:szCs w:val="24"/>
        </w:rPr>
        <w:t>a</w:t>
      </w:r>
      <w:r w:rsidRPr="007F37C3">
        <w:rPr>
          <w:sz w:val="24"/>
          <w:szCs w:val="24"/>
        </w:rPr>
        <w:t xml:space="preserve">), the CBA model input recognised there were </w:t>
      </w:r>
      <w:r w:rsidR="0047666F" w:rsidRPr="007F37C3">
        <w:rPr>
          <w:sz w:val="24"/>
          <w:szCs w:val="24"/>
        </w:rPr>
        <w:t>likely</w:t>
      </w:r>
      <w:r w:rsidRPr="007F37C3">
        <w:rPr>
          <w:sz w:val="24"/>
          <w:szCs w:val="24"/>
        </w:rPr>
        <w:t xml:space="preserve"> incremental environmental costs associated with moving or expanding the existing anchorage at the Port of Hay Point. Furthermore, the model predicted that the anchorage demand over the period 2012-2032 at Hay Point was not able to be accommodated by the current anchorage area, which supports around 100 designated anchorages. The existing anchorage area is predicted to require expansion by 2026 under a scenario of 5 ship calls per day requiring anchorage with an assumed average waiting time at anchor of 19 days</w:t>
      </w:r>
      <w:r w:rsidR="002914C2">
        <w:rPr>
          <w:sz w:val="24"/>
          <w:szCs w:val="24"/>
        </w:rPr>
        <w:t>, assuming no change in management arrangements are made</w:t>
      </w:r>
      <w:r w:rsidRPr="007F37C3">
        <w:rPr>
          <w:sz w:val="24"/>
          <w:szCs w:val="24"/>
        </w:rPr>
        <w:t xml:space="preserve">. </w:t>
      </w:r>
      <w:r w:rsidR="0047666F" w:rsidRPr="007F37C3">
        <w:rPr>
          <w:sz w:val="24"/>
          <w:szCs w:val="24"/>
        </w:rPr>
        <w:t xml:space="preserve">The forecast demand for anchorages at Hay Point is sensitive to future ship calls and the average time spent at anchor. While the latter is a complex variable difficult to forecast, the Port of Hay Point has established trade patterns. The historical data used for the modelling from MSQ, and future demand requirements reported by </w:t>
      </w:r>
      <w:r w:rsidR="005751BA" w:rsidRPr="007F37C3">
        <w:rPr>
          <w:sz w:val="24"/>
          <w:szCs w:val="24"/>
        </w:rPr>
        <w:t>PGM</w:t>
      </w:r>
      <w:r w:rsidR="0047666F" w:rsidRPr="007F37C3">
        <w:rPr>
          <w:sz w:val="24"/>
          <w:szCs w:val="24"/>
        </w:rPr>
        <w:t xml:space="preserve"> (2012), are considered to be the best available information at the time of reporting.</w:t>
      </w:r>
    </w:p>
    <w:p w:rsidR="001A657F" w:rsidRPr="007F37C3" w:rsidRDefault="001A657F" w:rsidP="001A657F">
      <w:pPr>
        <w:pStyle w:val="Body"/>
        <w:rPr>
          <w:sz w:val="24"/>
          <w:szCs w:val="24"/>
        </w:rPr>
      </w:pPr>
      <w:r w:rsidRPr="007F37C3">
        <w:rPr>
          <w:sz w:val="24"/>
          <w:szCs w:val="24"/>
        </w:rPr>
        <w:t xml:space="preserve">The CBA progressed to compare current practice (Base Case) management with four alternative anchorage management options of relevance to Hay Point. These included the “All-at-port”, “Fixed-moored”, “Scheduled arrivals with designated anchorages” and “Demand management pricing” options. Detail of the modelling assumptions and findings for the Port of Hay Point are provided in </w:t>
      </w:r>
      <w:r w:rsidR="00CD38ED" w:rsidRPr="00A34764">
        <w:rPr>
          <w:sz w:val="24"/>
          <w:szCs w:val="24"/>
          <w:highlight w:val="yellow"/>
        </w:rPr>
        <w:fldChar w:fldCharType="begin"/>
      </w:r>
      <w:r w:rsidRPr="00A34764">
        <w:rPr>
          <w:sz w:val="24"/>
          <w:szCs w:val="24"/>
        </w:rPr>
        <w:instrText xml:space="preserve"> REF _Ref343523780 \n \h </w:instrText>
      </w:r>
      <w:r w:rsidR="007F37C3" w:rsidRPr="00A34764">
        <w:rPr>
          <w:sz w:val="24"/>
          <w:szCs w:val="24"/>
          <w:highlight w:val="yellow"/>
        </w:rPr>
        <w:instrText xml:space="preserve"> \* MERGEFORMAT </w:instrText>
      </w:r>
      <w:r w:rsidR="00CD38ED" w:rsidRPr="00A34764">
        <w:rPr>
          <w:sz w:val="24"/>
          <w:szCs w:val="24"/>
          <w:highlight w:val="yellow"/>
        </w:rPr>
      </w:r>
      <w:r w:rsidR="00CD38ED" w:rsidRPr="00A34764">
        <w:rPr>
          <w:sz w:val="24"/>
          <w:szCs w:val="24"/>
          <w:highlight w:val="yellow"/>
        </w:rPr>
        <w:fldChar w:fldCharType="separate"/>
      </w:r>
      <w:r w:rsidR="00A34764" w:rsidRPr="00A34764">
        <w:rPr>
          <w:sz w:val="24"/>
          <w:szCs w:val="24"/>
        </w:rPr>
        <w:fldChar w:fldCharType="begin"/>
      </w:r>
      <w:r w:rsidR="00A34764" w:rsidRPr="00A34764">
        <w:rPr>
          <w:sz w:val="24"/>
          <w:szCs w:val="24"/>
          <w:highlight w:val="yellow"/>
        </w:rPr>
        <w:instrText xml:space="preserve"> REF _Ref358888566 \h </w:instrText>
      </w:r>
      <w:r w:rsidR="00A34764" w:rsidRPr="00A34764">
        <w:rPr>
          <w:sz w:val="24"/>
          <w:szCs w:val="24"/>
        </w:rPr>
        <w:instrText xml:space="preserve"> \* MERGEFORMAT </w:instrText>
      </w:r>
      <w:r w:rsidR="00A34764" w:rsidRPr="00A34764">
        <w:rPr>
          <w:sz w:val="24"/>
          <w:szCs w:val="24"/>
        </w:rPr>
      </w:r>
      <w:r w:rsidR="00A34764" w:rsidRPr="00A34764">
        <w:rPr>
          <w:sz w:val="24"/>
          <w:szCs w:val="24"/>
        </w:rPr>
        <w:fldChar w:fldCharType="separate"/>
      </w:r>
      <w:r w:rsidR="00A34764" w:rsidRPr="00A34764">
        <w:rPr>
          <w:sz w:val="24"/>
          <w:szCs w:val="24"/>
        </w:rPr>
        <w:t>Appendix A</w:t>
      </w:r>
      <w:r w:rsidR="00A34764" w:rsidRPr="00A34764">
        <w:rPr>
          <w:sz w:val="24"/>
          <w:szCs w:val="24"/>
        </w:rPr>
        <w:fldChar w:fldCharType="end"/>
      </w:r>
      <w:r w:rsidR="00CD38ED" w:rsidRPr="00A34764">
        <w:rPr>
          <w:sz w:val="24"/>
          <w:szCs w:val="24"/>
          <w:highlight w:val="yellow"/>
        </w:rPr>
        <w:fldChar w:fldCharType="end"/>
      </w:r>
      <w:r w:rsidRPr="00A34764">
        <w:rPr>
          <w:sz w:val="24"/>
          <w:szCs w:val="24"/>
        </w:rPr>
        <w:t>.</w:t>
      </w:r>
    </w:p>
    <w:p w:rsidR="001A657F" w:rsidRPr="007F37C3" w:rsidRDefault="001A657F" w:rsidP="001A657F">
      <w:pPr>
        <w:pStyle w:val="Body"/>
        <w:rPr>
          <w:sz w:val="24"/>
          <w:szCs w:val="24"/>
        </w:rPr>
      </w:pPr>
      <w:r w:rsidRPr="007F37C3">
        <w:rPr>
          <w:sz w:val="24"/>
          <w:szCs w:val="24"/>
        </w:rPr>
        <w:t xml:space="preserve">Results of the CBA modelling for the Port of Hay Point identify that the anchorage option of “Scheduled Arrivals with designated Anchorages” could provide the greatest net social welfare gain (NPV) for a period of the next 30 years. The main driver of the net gain is the estimated savings in ship fuel costs assumed when ships are scheduled. </w:t>
      </w:r>
    </w:p>
    <w:p w:rsidR="001A657F" w:rsidRPr="007F37C3" w:rsidRDefault="001A657F" w:rsidP="001A657F">
      <w:pPr>
        <w:pStyle w:val="Body"/>
        <w:rPr>
          <w:sz w:val="24"/>
          <w:szCs w:val="24"/>
        </w:rPr>
      </w:pPr>
      <w:r w:rsidRPr="007F37C3">
        <w:rPr>
          <w:sz w:val="24"/>
          <w:szCs w:val="24"/>
        </w:rPr>
        <w:t>The next best option, “Fixed-moored”, assumes that some gain is made in environmental values compared with the current practice of designated anchoring.</w:t>
      </w:r>
    </w:p>
    <w:p w:rsidR="001A657F" w:rsidRPr="007F37C3" w:rsidRDefault="001A657F" w:rsidP="001A657F">
      <w:pPr>
        <w:pStyle w:val="Body"/>
        <w:rPr>
          <w:sz w:val="24"/>
          <w:szCs w:val="24"/>
        </w:rPr>
      </w:pPr>
      <w:r w:rsidRPr="007F37C3">
        <w:rPr>
          <w:sz w:val="24"/>
          <w:szCs w:val="24"/>
        </w:rPr>
        <w:t>The “All-at-port” option is ranked third due to the relatively high level of investment required in constructing waiting-only jetties at the port.</w:t>
      </w:r>
    </w:p>
    <w:p w:rsidR="001A657F" w:rsidRPr="007F37C3" w:rsidRDefault="001A657F" w:rsidP="001A657F">
      <w:pPr>
        <w:pStyle w:val="Body"/>
        <w:rPr>
          <w:sz w:val="24"/>
          <w:szCs w:val="24"/>
        </w:rPr>
      </w:pPr>
      <w:r w:rsidRPr="007F37C3">
        <w:rPr>
          <w:sz w:val="24"/>
          <w:szCs w:val="24"/>
        </w:rPr>
        <w:t>The “Demand management pricing” option is ranked last due to the level of the additional cost penalties imposed on ship owners and the coal industry to obtain possible reductions in waiting times at anchor required to free-up sufficient capacity for increased future ship calls at the port.</w:t>
      </w:r>
    </w:p>
    <w:p w:rsidR="001A657F" w:rsidRPr="007F37C3" w:rsidRDefault="001A657F" w:rsidP="001A657F">
      <w:pPr>
        <w:pStyle w:val="Body"/>
        <w:rPr>
          <w:sz w:val="24"/>
          <w:szCs w:val="24"/>
        </w:rPr>
      </w:pPr>
      <w:r w:rsidRPr="007F37C3">
        <w:rPr>
          <w:sz w:val="24"/>
          <w:szCs w:val="24"/>
        </w:rPr>
        <w:t xml:space="preserve">Implementation of a VAS at the Port of Hay Point may also realise benefits for the Port of Abbot Point if a VAS was also considered for that location given the commonalities in management governing each location. </w:t>
      </w:r>
    </w:p>
    <w:p w:rsidR="001A657F" w:rsidRPr="00B41CFA" w:rsidRDefault="001A657F" w:rsidP="001A657F">
      <w:pPr>
        <w:pStyle w:val="Heading2"/>
        <w:rPr>
          <w:sz w:val="24"/>
        </w:rPr>
      </w:pPr>
      <w:bookmarkStart w:id="546" w:name="_Toc342402506"/>
      <w:bookmarkStart w:id="547" w:name="_Toc343597456"/>
      <w:bookmarkStart w:id="548" w:name="_Toc362274351"/>
      <w:r w:rsidRPr="00B41CFA">
        <w:rPr>
          <w:sz w:val="24"/>
        </w:rPr>
        <w:t>Economic appraisal for the Port of Gladstone</w:t>
      </w:r>
      <w:bookmarkEnd w:id="546"/>
      <w:bookmarkEnd w:id="547"/>
      <w:bookmarkEnd w:id="548"/>
    </w:p>
    <w:p w:rsidR="001A657F" w:rsidRPr="00D108B7" w:rsidRDefault="001A657F" w:rsidP="001A657F">
      <w:pPr>
        <w:pStyle w:val="Body"/>
        <w:rPr>
          <w:sz w:val="24"/>
          <w:szCs w:val="24"/>
        </w:rPr>
      </w:pPr>
      <w:r w:rsidRPr="00D108B7">
        <w:rPr>
          <w:sz w:val="24"/>
          <w:szCs w:val="24"/>
        </w:rPr>
        <w:t>Building off environmental impact assessment completed under phase 1 of this project (GHD 2012</w:t>
      </w:r>
      <w:r w:rsidR="0047666F" w:rsidRPr="00D108B7">
        <w:rPr>
          <w:sz w:val="24"/>
          <w:szCs w:val="24"/>
        </w:rPr>
        <w:t>a</w:t>
      </w:r>
      <w:r w:rsidRPr="00D108B7">
        <w:rPr>
          <w:sz w:val="24"/>
          <w:szCs w:val="24"/>
        </w:rPr>
        <w:t xml:space="preserve">), the CBA model input assumed that no incremental environmental gains could be realised from moving the existing designated anchorages to alternative locations. In fact, in the case of the inner anchorage, environmental losses could be realised. It was forecast that the anchorage demand over the period 2012-2032 was able to be accommodated by the current anchorage area and practice being used. The CBA model assumptions determined that by 2032 around </w:t>
      </w:r>
      <w:r w:rsidR="00482CA0" w:rsidRPr="00D108B7">
        <w:rPr>
          <w:sz w:val="24"/>
          <w:szCs w:val="24"/>
        </w:rPr>
        <w:t>seven</w:t>
      </w:r>
      <w:r w:rsidRPr="00D108B7">
        <w:rPr>
          <w:sz w:val="24"/>
          <w:szCs w:val="24"/>
        </w:rPr>
        <w:t xml:space="preserve"> ships calling per day would be requiring anchorage, and with an assumed average waiting time at anchor of </w:t>
      </w:r>
      <w:r w:rsidR="00482CA0" w:rsidRPr="00D108B7">
        <w:rPr>
          <w:sz w:val="24"/>
          <w:szCs w:val="24"/>
        </w:rPr>
        <w:t>four</w:t>
      </w:r>
      <w:r w:rsidRPr="00D108B7">
        <w:rPr>
          <w:sz w:val="24"/>
          <w:szCs w:val="24"/>
        </w:rPr>
        <w:t xml:space="preserve"> days, these ships could be accommodated in the current anchorage areas. However, the CBA model indicates that if average waiting times exceed </w:t>
      </w:r>
      <w:r w:rsidR="00482CA0" w:rsidRPr="00D108B7">
        <w:rPr>
          <w:sz w:val="24"/>
          <w:szCs w:val="24"/>
        </w:rPr>
        <w:t>four</w:t>
      </w:r>
      <w:r w:rsidRPr="00D108B7">
        <w:rPr>
          <w:sz w:val="24"/>
          <w:szCs w:val="24"/>
        </w:rPr>
        <w:t xml:space="preserve"> days then additional anchorages may be required.</w:t>
      </w:r>
      <w:r w:rsidR="00734781" w:rsidRPr="00D108B7">
        <w:rPr>
          <w:sz w:val="24"/>
          <w:szCs w:val="24"/>
        </w:rPr>
        <w:t xml:space="preserve"> The CBA model did not differentiate between the inner and outer anchorages, but assumed a combined area for analysis</w:t>
      </w:r>
      <w:r w:rsidR="00D108B7">
        <w:rPr>
          <w:sz w:val="24"/>
          <w:szCs w:val="24"/>
        </w:rPr>
        <w:t xml:space="preserve"> (refer s</w:t>
      </w:r>
      <w:r w:rsidR="00734781" w:rsidRPr="00D108B7">
        <w:rPr>
          <w:sz w:val="24"/>
          <w:szCs w:val="24"/>
        </w:rPr>
        <w:t xml:space="preserve">ection </w:t>
      </w:r>
      <w:r w:rsidR="00CD38ED" w:rsidRPr="00D108B7">
        <w:rPr>
          <w:sz w:val="24"/>
          <w:szCs w:val="24"/>
        </w:rPr>
        <w:fldChar w:fldCharType="begin"/>
      </w:r>
      <w:r w:rsidR="00734781" w:rsidRPr="00D108B7">
        <w:rPr>
          <w:sz w:val="24"/>
          <w:szCs w:val="24"/>
        </w:rPr>
        <w:instrText xml:space="preserve"> REF _Ref349901321 \r \h </w:instrText>
      </w:r>
      <w:r w:rsidR="00D108B7">
        <w:rPr>
          <w:sz w:val="24"/>
          <w:szCs w:val="24"/>
        </w:rPr>
        <w:instrText xml:space="preserve"> \* MERGEFORMAT </w:instrText>
      </w:r>
      <w:r w:rsidR="00CD38ED" w:rsidRPr="00D108B7">
        <w:rPr>
          <w:sz w:val="24"/>
          <w:szCs w:val="24"/>
        </w:rPr>
      </w:r>
      <w:r w:rsidR="00CD38ED" w:rsidRPr="00D108B7">
        <w:rPr>
          <w:sz w:val="24"/>
          <w:szCs w:val="24"/>
        </w:rPr>
        <w:fldChar w:fldCharType="separate"/>
      </w:r>
      <w:r w:rsidR="005F6E51">
        <w:rPr>
          <w:sz w:val="24"/>
          <w:szCs w:val="24"/>
        </w:rPr>
        <w:t>4.9.1</w:t>
      </w:r>
      <w:r w:rsidR="00CD38ED" w:rsidRPr="00D108B7">
        <w:rPr>
          <w:sz w:val="24"/>
          <w:szCs w:val="24"/>
        </w:rPr>
        <w:fldChar w:fldCharType="end"/>
      </w:r>
      <w:r w:rsidR="00734781" w:rsidRPr="00D108B7">
        <w:rPr>
          <w:sz w:val="24"/>
          <w:szCs w:val="24"/>
        </w:rPr>
        <w:t>). The combining of the two areas is not likely to impact the conclusions of the CBA model given the larger size of the outer area and ships currently using both areas.</w:t>
      </w:r>
    </w:p>
    <w:p w:rsidR="0047666F" w:rsidRPr="00D108B7" w:rsidRDefault="001A657F" w:rsidP="001A657F">
      <w:pPr>
        <w:pStyle w:val="Body"/>
        <w:rPr>
          <w:sz w:val="24"/>
          <w:szCs w:val="24"/>
        </w:rPr>
      </w:pPr>
      <w:r w:rsidRPr="00D108B7">
        <w:rPr>
          <w:sz w:val="24"/>
          <w:szCs w:val="24"/>
        </w:rPr>
        <w:t>Results of the Economic Appraisal completed by this project, therefore, suggest that the current practice of anchorage management at the Port of Gladstone is likely to produce the least economic cost for the desired net environmental outcome over the next 30</w:t>
      </w:r>
      <w:r w:rsidR="0047666F" w:rsidRPr="00D108B7">
        <w:rPr>
          <w:sz w:val="24"/>
          <w:szCs w:val="24"/>
        </w:rPr>
        <w:t xml:space="preserve"> years</w:t>
      </w:r>
      <w:r w:rsidRPr="00D108B7">
        <w:rPr>
          <w:sz w:val="24"/>
          <w:szCs w:val="24"/>
        </w:rPr>
        <w:t xml:space="preserve">. However, this finding is sensitive to the assumed (i.e. current) average waiting times of ships at anchor. </w:t>
      </w:r>
      <w:r w:rsidR="0047666F" w:rsidRPr="00D108B7">
        <w:rPr>
          <w:sz w:val="24"/>
          <w:szCs w:val="24"/>
        </w:rPr>
        <w:t xml:space="preserve">Historical data used for the modelling from MSQ and future demand requirements reported by </w:t>
      </w:r>
      <w:r w:rsidR="005751BA" w:rsidRPr="00D108B7">
        <w:rPr>
          <w:sz w:val="24"/>
          <w:szCs w:val="24"/>
        </w:rPr>
        <w:t>PGM</w:t>
      </w:r>
      <w:r w:rsidR="0047666F" w:rsidRPr="00D108B7">
        <w:rPr>
          <w:sz w:val="24"/>
          <w:szCs w:val="24"/>
        </w:rPr>
        <w:t xml:space="preserve"> (2012), are considered to be the best available information at the time of reporting.</w:t>
      </w:r>
    </w:p>
    <w:p w:rsidR="001A657F" w:rsidRPr="00D108B7" w:rsidRDefault="001A657F" w:rsidP="001A657F">
      <w:pPr>
        <w:pStyle w:val="Body"/>
        <w:rPr>
          <w:sz w:val="24"/>
          <w:szCs w:val="24"/>
        </w:rPr>
      </w:pPr>
      <w:r w:rsidRPr="00D108B7">
        <w:rPr>
          <w:sz w:val="24"/>
          <w:szCs w:val="24"/>
        </w:rPr>
        <w:t xml:space="preserve">Expansion of the existing designated anchorages would not be considered an environmentally beneficial solution to increased demand. If average waiting times increase in future then opportunities to improve anchorage management would need to be considered. This may include designating specific anchorages for coal vessels and adopting a partial VAS for those anchorages. </w:t>
      </w:r>
    </w:p>
    <w:p w:rsidR="001A657F" w:rsidRDefault="001A657F" w:rsidP="001A657F">
      <w:pPr>
        <w:pStyle w:val="Heading1"/>
      </w:pPr>
      <w:bookmarkStart w:id="549" w:name="_Toc343597459"/>
      <w:bookmarkStart w:id="550" w:name="_Toc362274352"/>
      <w:r>
        <w:t>CONCLUSIONS</w:t>
      </w:r>
      <w:bookmarkEnd w:id="549"/>
      <w:bookmarkEnd w:id="550"/>
    </w:p>
    <w:p w:rsidR="001A657F" w:rsidRPr="00B41CFA" w:rsidRDefault="001A657F" w:rsidP="001A657F">
      <w:pPr>
        <w:pStyle w:val="Heading2"/>
        <w:rPr>
          <w:sz w:val="24"/>
        </w:rPr>
      </w:pPr>
      <w:bookmarkStart w:id="551" w:name="_Toc342402509"/>
      <w:bookmarkStart w:id="552" w:name="_Toc343597461"/>
      <w:bookmarkStart w:id="553" w:name="_Toc362274353"/>
      <w:r w:rsidRPr="00B41CFA">
        <w:rPr>
          <w:sz w:val="24"/>
        </w:rPr>
        <w:t>Ship anchorage management options for the five main ports</w:t>
      </w:r>
      <w:bookmarkEnd w:id="551"/>
      <w:bookmarkEnd w:id="552"/>
      <w:bookmarkEnd w:id="553"/>
      <w:r w:rsidRPr="00B41CFA">
        <w:rPr>
          <w:sz w:val="24"/>
        </w:rPr>
        <w:t xml:space="preserve"> </w:t>
      </w:r>
    </w:p>
    <w:p w:rsidR="001A657F" w:rsidRPr="00D108B7" w:rsidRDefault="001A657F" w:rsidP="001A657F">
      <w:pPr>
        <w:pStyle w:val="Body"/>
        <w:rPr>
          <w:sz w:val="24"/>
          <w:szCs w:val="24"/>
        </w:rPr>
      </w:pPr>
      <w:r w:rsidRPr="00D108B7">
        <w:rPr>
          <w:sz w:val="24"/>
          <w:szCs w:val="24"/>
        </w:rPr>
        <w:t>The CBA modelling has estimated that only the Port of Hay Point has a definitive future requirement for the physical expansion of current anchorages (from around a current 100 organised ship anchorage locations to 129 by 2032). All other anchorage areas assessed are able to support future anchorage demand. Improvements in management at a number of locations are, however, considered appropriate for net societal gain as follows:</w:t>
      </w:r>
    </w:p>
    <w:p w:rsidR="001A657F" w:rsidRPr="00D108B7" w:rsidRDefault="001A657F" w:rsidP="001A657F">
      <w:pPr>
        <w:pStyle w:val="Body"/>
        <w:numPr>
          <w:ilvl w:val="0"/>
          <w:numId w:val="36"/>
        </w:numPr>
        <w:rPr>
          <w:sz w:val="24"/>
          <w:szCs w:val="24"/>
        </w:rPr>
      </w:pPr>
      <w:r w:rsidRPr="00D108B7">
        <w:rPr>
          <w:sz w:val="24"/>
          <w:szCs w:val="24"/>
        </w:rPr>
        <w:t>Port of Cairns – sufficient physical capacity such that there is no predicted need to expand the existing anchorage if planned improved channel and port access eventuates in the future.</w:t>
      </w:r>
    </w:p>
    <w:p w:rsidR="001A657F" w:rsidRPr="00D108B7" w:rsidRDefault="001A657F" w:rsidP="001A657F">
      <w:pPr>
        <w:pStyle w:val="Body"/>
        <w:numPr>
          <w:ilvl w:val="0"/>
          <w:numId w:val="36"/>
        </w:numPr>
        <w:rPr>
          <w:sz w:val="24"/>
          <w:szCs w:val="24"/>
        </w:rPr>
      </w:pPr>
      <w:r w:rsidRPr="00D108B7">
        <w:rPr>
          <w:sz w:val="24"/>
          <w:szCs w:val="24"/>
        </w:rPr>
        <w:t xml:space="preserve">Port of Townsville – sufficient physical capacity such that there is no predicted need to expand the assessed anchorage area particularly with the adoption of organised designated anchorage areas. As this is a mixed commodity port use of a VAS is not predicted to realise significant benefits. </w:t>
      </w:r>
    </w:p>
    <w:p w:rsidR="001A657F" w:rsidRPr="00D108B7" w:rsidRDefault="001A657F" w:rsidP="001A657F">
      <w:pPr>
        <w:pStyle w:val="Body"/>
        <w:numPr>
          <w:ilvl w:val="0"/>
          <w:numId w:val="36"/>
        </w:numPr>
        <w:rPr>
          <w:sz w:val="24"/>
          <w:szCs w:val="24"/>
        </w:rPr>
      </w:pPr>
      <w:r w:rsidRPr="00D108B7">
        <w:rPr>
          <w:sz w:val="24"/>
          <w:szCs w:val="24"/>
        </w:rPr>
        <w:t>Port of Abbot Point – sufficient physical capacity such that there is no predicted need to expand the existing anchorage with the adoption of organised designated anchorage areas. If a reduced area of anchorage than that assessed herein was desired, use of a VAS may be appropriate for this location.</w:t>
      </w:r>
    </w:p>
    <w:p w:rsidR="001A657F" w:rsidRPr="00D108B7" w:rsidRDefault="001A657F" w:rsidP="001A657F">
      <w:pPr>
        <w:pStyle w:val="Body"/>
        <w:numPr>
          <w:ilvl w:val="0"/>
          <w:numId w:val="36"/>
        </w:numPr>
        <w:rPr>
          <w:sz w:val="24"/>
          <w:szCs w:val="24"/>
        </w:rPr>
      </w:pPr>
      <w:r w:rsidRPr="00D108B7">
        <w:rPr>
          <w:sz w:val="24"/>
          <w:szCs w:val="24"/>
        </w:rPr>
        <w:t xml:space="preserve">Port of Gladstone – sufficient physical capacity such that there is no predicted need to expand the existing anchorages especially given growth of gas export trades results in the likelihood of scheduled arrivals from sea direct to berth. However, this is sensitive to the average waiting times of ships at anchor. If waiting times increase beyond </w:t>
      </w:r>
      <w:r w:rsidR="00577218" w:rsidRPr="00D108B7">
        <w:rPr>
          <w:sz w:val="24"/>
          <w:szCs w:val="24"/>
        </w:rPr>
        <w:t xml:space="preserve">four </w:t>
      </w:r>
      <w:r w:rsidRPr="00D108B7">
        <w:rPr>
          <w:sz w:val="24"/>
          <w:szCs w:val="24"/>
        </w:rPr>
        <w:t xml:space="preserve">days strategies to manage existing anchorages to avoid requirement to expand could include redesignating some anchorages as exclusive coal ship anchorages and adopting a VAS </w:t>
      </w:r>
      <w:r w:rsidR="00E4564D" w:rsidRPr="00D108B7">
        <w:rPr>
          <w:sz w:val="24"/>
          <w:szCs w:val="24"/>
        </w:rPr>
        <w:t xml:space="preserve">only </w:t>
      </w:r>
      <w:r w:rsidRPr="00D108B7">
        <w:rPr>
          <w:sz w:val="24"/>
          <w:szCs w:val="24"/>
        </w:rPr>
        <w:t>for those anchorages.</w:t>
      </w:r>
    </w:p>
    <w:p w:rsidR="001A657F" w:rsidRPr="00D108B7" w:rsidRDefault="001A657F" w:rsidP="001A657F">
      <w:pPr>
        <w:pStyle w:val="Body"/>
        <w:rPr>
          <w:sz w:val="24"/>
          <w:szCs w:val="24"/>
        </w:rPr>
      </w:pPr>
      <w:r w:rsidRPr="00D108B7">
        <w:rPr>
          <w:sz w:val="24"/>
          <w:szCs w:val="24"/>
        </w:rPr>
        <w:t xml:space="preserve">Unlike the other locations modelled, the anchorage at the Port of Hay Point is predicted to require expansion by around 30 per cent by 2032 unless more efficient use is made of current anchorages. Expansion of the existing anchorage would realise environmental and </w:t>
      </w:r>
      <w:r w:rsidR="0054771A" w:rsidRPr="00D108B7">
        <w:rPr>
          <w:sz w:val="24"/>
          <w:szCs w:val="24"/>
        </w:rPr>
        <w:t>socio-economic impacts</w:t>
      </w:r>
      <w:r w:rsidRPr="00D108B7">
        <w:rPr>
          <w:sz w:val="24"/>
          <w:szCs w:val="24"/>
        </w:rPr>
        <w:t xml:space="preserve"> and alternative anchorage management options to avoid expanding the anchorage area were considered through iterative modelling.</w:t>
      </w:r>
    </w:p>
    <w:p w:rsidR="001A657F" w:rsidRPr="00D108B7" w:rsidRDefault="001A657F" w:rsidP="001A657F">
      <w:pPr>
        <w:pStyle w:val="Body"/>
        <w:rPr>
          <w:sz w:val="24"/>
          <w:szCs w:val="24"/>
        </w:rPr>
      </w:pPr>
      <w:r w:rsidRPr="00D108B7">
        <w:rPr>
          <w:sz w:val="24"/>
          <w:szCs w:val="24"/>
        </w:rPr>
        <w:t>Out of the four ship anchorage management options of relevance to Hay Point the most preferred outcome for net societal gain, including net environmental gain, is achieved using scheduled arrivals (adopting a VAS) combined with organised anchorages. However, this result should be set in the context of emerging concerns relating to some potential flow-on impacts of scheduled arrivals that would require further evaluation prior to implementation of a VAS. Furthermore, the quantified benefits of scheduled arrivals, including savings in ship greenhouse gas emissions, are particularly sensitive to ship owners maintaining slow</w:t>
      </w:r>
      <w:r w:rsidR="007B667A" w:rsidRPr="00D108B7">
        <w:rPr>
          <w:sz w:val="24"/>
          <w:szCs w:val="24"/>
        </w:rPr>
        <w:t xml:space="preserve"> </w:t>
      </w:r>
      <w:r w:rsidRPr="00D108B7">
        <w:rPr>
          <w:sz w:val="24"/>
          <w:szCs w:val="24"/>
        </w:rPr>
        <w:t>steaming for a part of their voyage to the load port.</w:t>
      </w:r>
    </w:p>
    <w:p w:rsidR="001A657F" w:rsidRPr="00D108B7" w:rsidRDefault="001A657F" w:rsidP="001A657F">
      <w:pPr>
        <w:pStyle w:val="Body"/>
        <w:rPr>
          <w:sz w:val="24"/>
          <w:szCs w:val="24"/>
        </w:rPr>
      </w:pPr>
      <w:r w:rsidRPr="00D108B7">
        <w:rPr>
          <w:sz w:val="24"/>
          <w:szCs w:val="24"/>
        </w:rPr>
        <w:t>The CBA modelling also shows that the option of anchorage demand management pricing is highly costly to induce the desired effect of reducing average waiting times at anchor. The consequence of such an option would most likely be for ships to float at sea or anchor elsewhere to avoid paying for anchorages at levels equivalent to the daily cost of operating ships.</w:t>
      </w:r>
    </w:p>
    <w:p w:rsidR="001A657F" w:rsidRPr="00B41CFA" w:rsidRDefault="001A657F" w:rsidP="001A657F">
      <w:pPr>
        <w:pStyle w:val="Heading2"/>
        <w:rPr>
          <w:sz w:val="24"/>
        </w:rPr>
      </w:pPr>
      <w:bookmarkStart w:id="554" w:name="_Toc342402510"/>
      <w:bookmarkStart w:id="555" w:name="_Toc343597462"/>
      <w:bookmarkStart w:id="556" w:name="_Toc362274354"/>
      <w:r w:rsidRPr="00B41CFA">
        <w:rPr>
          <w:sz w:val="24"/>
        </w:rPr>
        <w:t>Implications of the Economic Appraisal results for future environmental management strategies at the five main ports</w:t>
      </w:r>
      <w:bookmarkEnd w:id="554"/>
      <w:bookmarkEnd w:id="555"/>
      <w:bookmarkEnd w:id="556"/>
    </w:p>
    <w:p w:rsidR="001A657F" w:rsidRPr="00D108B7" w:rsidRDefault="001A657F" w:rsidP="001A657F">
      <w:pPr>
        <w:pStyle w:val="Body"/>
        <w:rPr>
          <w:sz w:val="24"/>
          <w:szCs w:val="24"/>
        </w:rPr>
      </w:pPr>
      <w:r w:rsidRPr="00D108B7">
        <w:rPr>
          <w:sz w:val="24"/>
          <w:szCs w:val="24"/>
        </w:rPr>
        <w:t>This report provides findings of the CBA phase of this study. This is the second phase of work. The third and final phase of work which will be completed in early 2013 will use information developed within this phase of work and from the impact asse</w:t>
      </w:r>
      <w:r w:rsidR="00E4564D" w:rsidRPr="00D108B7">
        <w:rPr>
          <w:sz w:val="24"/>
          <w:szCs w:val="24"/>
        </w:rPr>
        <w:t>ssment phase of work to develop</w:t>
      </w:r>
      <w:r w:rsidRPr="00D108B7">
        <w:rPr>
          <w:sz w:val="24"/>
          <w:szCs w:val="24"/>
        </w:rPr>
        <w:t xml:space="preserve"> potential management strategies for the anchorages at the five main ports. This will cover:</w:t>
      </w:r>
    </w:p>
    <w:p w:rsidR="001A657F" w:rsidRPr="00D108B7" w:rsidRDefault="001A657F" w:rsidP="001A657F">
      <w:pPr>
        <w:pStyle w:val="Bullet"/>
        <w:rPr>
          <w:sz w:val="24"/>
          <w:szCs w:val="24"/>
        </w:rPr>
      </w:pPr>
      <w:r w:rsidRPr="00D108B7">
        <w:rPr>
          <w:sz w:val="24"/>
          <w:szCs w:val="24"/>
        </w:rPr>
        <w:t>Review of applicable legislation</w:t>
      </w:r>
      <w:r w:rsidR="00D108B7">
        <w:rPr>
          <w:sz w:val="24"/>
          <w:szCs w:val="24"/>
        </w:rPr>
        <w:t>.</w:t>
      </w:r>
    </w:p>
    <w:p w:rsidR="001A657F" w:rsidRPr="00D108B7" w:rsidRDefault="001A657F" w:rsidP="001A657F">
      <w:pPr>
        <w:pStyle w:val="Bullet"/>
        <w:rPr>
          <w:sz w:val="24"/>
          <w:szCs w:val="24"/>
        </w:rPr>
      </w:pPr>
      <w:r w:rsidRPr="00D108B7">
        <w:rPr>
          <w:sz w:val="24"/>
          <w:szCs w:val="24"/>
        </w:rPr>
        <w:t>Notarisation of the key environmental values and impacts and sensitivities</w:t>
      </w:r>
      <w:r w:rsidR="00D108B7">
        <w:rPr>
          <w:sz w:val="24"/>
          <w:szCs w:val="24"/>
        </w:rPr>
        <w:t>.</w:t>
      </w:r>
    </w:p>
    <w:p w:rsidR="001A657F" w:rsidRPr="00D108B7" w:rsidRDefault="001A657F" w:rsidP="001A657F">
      <w:pPr>
        <w:pStyle w:val="Bullet"/>
        <w:rPr>
          <w:sz w:val="24"/>
          <w:szCs w:val="24"/>
        </w:rPr>
      </w:pPr>
      <w:r w:rsidRPr="00D108B7">
        <w:rPr>
          <w:sz w:val="24"/>
          <w:szCs w:val="24"/>
        </w:rPr>
        <w:t>Identification of the relevant stakeholders for consultation and management of the implementati</w:t>
      </w:r>
      <w:r w:rsidR="00D108B7">
        <w:rPr>
          <w:sz w:val="24"/>
          <w:szCs w:val="24"/>
        </w:rPr>
        <w:t>on of any management strategies.</w:t>
      </w:r>
    </w:p>
    <w:p w:rsidR="001A657F" w:rsidRPr="00D108B7" w:rsidRDefault="00B63F81" w:rsidP="001A657F">
      <w:pPr>
        <w:pStyle w:val="Bullet"/>
        <w:rPr>
          <w:sz w:val="24"/>
          <w:szCs w:val="24"/>
        </w:rPr>
      </w:pPr>
      <w:r>
        <w:rPr>
          <w:sz w:val="24"/>
          <w:szCs w:val="24"/>
        </w:rPr>
        <w:t>Environmental management s</w:t>
      </w:r>
      <w:r w:rsidR="001A657F" w:rsidRPr="00D108B7">
        <w:rPr>
          <w:sz w:val="24"/>
          <w:szCs w:val="24"/>
        </w:rPr>
        <w:t>trategies incorporating principles and direction, objectives and targets, action plans, and an implementation and evaluation framework</w:t>
      </w:r>
      <w:r w:rsidR="00D108B7">
        <w:rPr>
          <w:sz w:val="24"/>
          <w:szCs w:val="24"/>
        </w:rPr>
        <w:t>.</w:t>
      </w:r>
    </w:p>
    <w:p w:rsidR="001A657F" w:rsidRPr="00D108B7" w:rsidRDefault="001A657F" w:rsidP="001A657F">
      <w:pPr>
        <w:pStyle w:val="Body"/>
        <w:rPr>
          <w:sz w:val="24"/>
          <w:szCs w:val="24"/>
        </w:rPr>
      </w:pPr>
      <w:r w:rsidRPr="00D108B7">
        <w:rPr>
          <w:sz w:val="24"/>
          <w:szCs w:val="24"/>
        </w:rPr>
        <w:t>The economic appraisal work has provided some direction for th</w:t>
      </w:r>
      <w:r w:rsidR="00B63F81">
        <w:rPr>
          <w:sz w:val="24"/>
          <w:szCs w:val="24"/>
        </w:rPr>
        <w:t>e development of Environmental management s</w:t>
      </w:r>
      <w:r w:rsidRPr="00D108B7">
        <w:rPr>
          <w:sz w:val="24"/>
          <w:szCs w:val="24"/>
        </w:rPr>
        <w:t>trategies for the five main ports. Key findings of importance in developing up relevant management strategies across the ports are that:</w:t>
      </w:r>
    </w:p>
    <w:p w:rsidR="00E4564D" w:rsidRPr="00D108B7" w:rsidRDefault="00E4564D" w:rsidP="00E4564D">
      <w:pPr>
        <w:pStyle w:val="Bullet"/>
        <w:rPr>
          <w:sz w:val="24"/>
          <w:szCs w:val="24"/>
        </w:rPr>
      </w:pPr>
      <w:r w:rsidRPr="00D108B7">
        <w:rPr>
          <w:sz w:val="24"/>
          <w:szCs w:val="24"/>
        </w:rPr>
        <w:t>The key port requiring future management intervention to avoid any physical expansions of anchorages will be the Port of Hay Point.</w:t>
      </w:r>
    </w:p>
    <w:p w:rsidR="00E4564D" w:rsidRPr="00D108B7" w:rsidRDefault="00E4564D" w:rsidP="00E4564D">
      <w:pPr>
        <w:pStyle w:val="Bullet"/>
        <w:rPr>
          <w:sz w:val="24"/>
          <w:szCs w:val="24"/>
        </w:rPr>
      </w:pPr>
      <w:r w:rsidRPr="00D108B7">
        <w:rPr>
          <w:sz w:val="24"/>
          <w:szCs w:val="24"/>
        </w:rPr>
        <w:t>Use of scheduled ship arrivals combined with designated anchorages is a cost effective management strategy for future demand requirements at the Port of Hay Point. Use of scheduled ship arrivals may also benefit management of anchorages at the Ports of Abbot Point and Gladstone.</w:t>
      </w:r>
    </w:p>
    <w:p w:rsidR="00E4564D" w:rsidRPr="00D108B7" w:rsidRDefault="00E4564D" w:rsidP="00E4564D">
      <w:pPr>
        <w:pStyle w:val="Bullet"/>
        <w:rPr>
          <w:sz w:val="24"/>
          <w:szCs w:val="24"/>
        </w:rPr>
      </w:pPr>
      <w:r w:rsidRPr="00D108B7">
        <w:rPr>
          <w:sz w:val="24"/>
          <w:szCs w:val="24"/>
        </w:rPr>
        <w:t xml:space="preserve">Adoption of any VAS would require further investigation on some emerging concerns regarding transfer of risk. It would also require investigation into the key requirements for successful adoption of such an approach, including with regard to legislative and management jurisdictional requirements, for implementation at any of the ports. </w:t>
      </w:r>
    </w:p>
    <w:p w:rsidR="00E4564D" w:rsidRPr="00D108B7" w:rsidRDefault="00E4564D" w:rsidP="00E4564D">
      <w:pPr>
        <w:pStyle w:val="Bullet"/>
        <w:rPr>
          <w:sz w:val="24"/>
          <w:szCs w:val="24"/>
        </w:rPr>
      </w:pPr>
      <w:r w:rsidRPr="00D108B7">
        <w:rPr>
          <w:sz w:val="24"/>
          <w:szCs w:val="24"/>
        </w:rPr>
        <w:t xml:space="preserve">Use of designated anchorages at Townsville and Abbot Point will avoid potential increase in environmental risk under increasing shipping forecasts. </w:t>
      </w:r>
    </w:p>
    <w:p w:rsidR="001A657F" w:rsidRPr="007017DA" w:rsidRDefault="00577218" w:rsidP="007017DA">
      <w:pPr>
        <w:rPr>
          <w:rFonts w:ascii="Arial" w:hAnsi="Arial"/>
          <w:b w:val="0"/>
          <w:color w:val="auto"/>
        </w:rPr>
      </w:pPr>
      <w:r>
        <w:br w:type="page"/>
      </w:r>
    </w:p>
    <w:p w:rsidR="001A657F" w:rsidRDefault="001A657F" w:rsidP="001A657F">
      <w:pPr>
        <w:pStyle w:val="Heading1"/>
      </w:pPr>
      <w:bookmarkStart w:id="557" w:name="_references"/>
      <w:bookmarkStart w:id="558" w:name="_Toc343597463"/>
      <w:bookmarkStart w:id="559" w:name="_Toc362274355"/>
      <w:bookmarkEnd w:id="557"/>
      <w:r>
        <w:t>references</w:t>
      </w:r>
      <w:bookmarkEnd w:id="558"/>
      <w:bookmarkEnd w:id="559"/>
    </w:p>
    <w:p w:rsidR="001A657F" w:rsidRPr="00C37214" w:rsidRDefault="001A657F" w:rsidP="001A657F">
      <w:pPr>
        <w:pStyle w:val="Body"/>
        <w:rPr>
          <w:sz w:val="24"/>
          <w:szCs w:val="24"/>
        </w:rPr>
      </w:pPr>
      <w:r w:rsidRPr="00C37214">
        <w:rPr>
          <w:sz w:val="24"/>
          <w:szCs w:val="24"/>
        </w:rPr>
        <w:t xml:space="preserve">Australian Government 2011, </w:t>
      </w:r>
      <w:r w:rsidRPr="00C37214">
        <w:rPr>
          <w:i/>
          <w:sz w:val="24"/>
          <w:szCs w:val="24"/>
        </w:rPr>
        <w:t>Securing a clean energy future - the Australian Government's Climate Change Plan</w:t>
      </w:r>
      <w:r w:rsidRPr="00C37214">
        <w:rPr>
          <w:sz w:val="24"/>
          <w:szCs w:val="24"/>
        </w:rPr>
        <w:t>, Commonwealth o</w:t>
      </w:r>
      <w:r w:rsidR="00010684" w:rsidRPr="00C37214">
        <w:rPr>
          <w:sz w:val="24"/>
          <w:szCs w:val="24"/>
        </w:rPr>
        <w:t xml:space="preserve">f Australia, viewed 8/10/2012, </w:t>
      </w:r>
      <w:hyperlink w:anchor="_references" w:history="1">
        <w:r w:rsidR="00010684" w:rsidRPr="00C37214">
          <w:rPr>
            <w:rStyle w:val="Hyperlink"/>
            <w:sz w:val="24"/>
            <w:szCs w:val="24"/>
          </w:rPr>
          <w:t>http://site.rightship.com/resources.ashx/downloads/43/fileName/3E1A79622E5C8AF19C58D5392B60722D/Calculating_and_Comparing_CO2_Emissions_from_Ships_-_Aug_2011.pdf</w:t>
        </w:r>
      </w:hyperlink>
      <w:r w:rsidR="00010684" w:rsidRPr="00C37214">
        <w:rPr>
          <w:sz w:val="24"/>
          <w:szCs w:val="24"/>
        </w:rPr>
        <w:t>.</w:t>
      </w:r>
    </w:p>
    <w:p w:rsidR="001A657F" w:rsidRPr="00C37214" w:rsidRDefault="001A657F" w:rsidP="001A657F">
      <w:pPr>
        <w:pStyle w:val="Body"/>
        <w:rPr>
          <w:sz w:val="24"/>
          <w:szCs w:val="24"/>
        </w:rPr>
      </w:pPr>
      <w:r w:rsidRPr="00C37214">
        <w:rPr>
          <w:sz w:val="24"/>
          <w:szCs w:val="24"/>
        </w:rPr>
        <w:t xml:space="preserve">Department of Agriculture, Fisheries and Forestry (DAFF) 2012, </w:t>
      </w:r>
      <w:r w:rsidRPr="00C37214">
        <w:rPr>
          <w:i/>
          <w:sz w:val="24"/>
          <w:szCs w:val="24"/>
        </w:rPr>
        <w:t>Coastal Habitat Resources Information Syst</w:t>
      </w:r>
      <w:r w:rsidR="00010684" w:rsidRPr="00C37214">
        <w:rPr>
          <w:i/>
          <w:sz w:val="24"/>
          <w:szCs w:val="24"/>
        </w:rPr>
        <w:t>em (CHRIS)</w:t>
      </w:r>
      <w:r w:rsidR="00010684" w:rsidRPr="00C37214">
        <w:rPr>
          <w:sz w:val="24"/>
          <w:szCs w:val="24"/>
        </w:rPr>
        <w:t xml:space="preserve">, viewed 08/10/2012, </w:t>
      </w:r>
      <w:hyperlink w:anchor="_references" w:history="1">
        <w:r w:rsidR="00010684" w:rsidRPr="00C37214">
          <w:rPr>
            <w:rStyle w:val="Hyperlink"/>
            <w:sz w:val="24"/>
            <w:szCs w:val="24"/>
          </w:rPr>
          <w:t>http://chrisweb.dpi.qld.gov.au/chris/</w:t>
        </w:r>
      </w:hyperlink>
      <w:r w:rsidRPr="00C37214">
        <w:rPr>
          <w:sz w:val="24"/>
          <w:szCs w:val="24"/>
        </w:rPr>
        <w:t>.</w:t>
      </w:r>
    </w:p>
    <w:p w:rsidR="001A657F" w:rsidRPr="00C37214" w:rsidRDefault="001A657F" w:rsidP="001A657F">
      <w:pPr>
        <w:pStyle w:val="Body"/>
        <w:rPr>
          <w:sz w:val="24"/>
          <w:szCs w:val="24"/>
        </w:rPr>
      </w:pPr>
      <w:r w:rsidRPr="00C37214">
        <w:rPr>
          <w:sz w:val="24"/>
          <w:szCs w:val="24"/>
        </w:rPr>
        <w:t xml:space="preserve">Department of State Development, Infrastructure and Planning (DSDIP) 2012, </w:t>
      </w:r>
      <w:r w:rsidRPr="00C37214">
        <w:rPr>
          <w:i/>
          <w:sz w:val="24"/>
          <w:szCs w:val="24"/>
        </w:rPr>
        <w:t>Great Barrier Reef Ports Strategy 2012–2022</w:t>
      </w:r>
      <w:r w:rsidRPr="00C37214">
        <w:rPr>
          <w:sz w:val="24"/>
          <w:szCs w:val="24"/>
        </w:rPr>
        <w:t>, Commonwealth of Australia.</w:t>
      </w:r>
    </w:p>
    <w:p w:rsidR="001A657F" w:rsidRPr="00C37214" w:rsidRDefault="001A657F" w:rsidP="001A657F">
      <w:pPr>
        <w:pStyle w:val="Body"/>
        <w:rPr>
          <w:sz w:val="24"/>
          <w:szCs w:val="24"/>
        </w:rPr>
      </w:pPr>
      <w:r w:rsidRPr="00C37214">
        <w:rPr>
          <w:sz w:val="24"/>
          <w:szCs w:val="24"/>
        </w:rPr>
        <w:t xml:space="preserve">Eco Logical Australia and Open Lines 2012, </w:t>
      </w:r>
      <w:r w:rsidRPr="00C37214">
        <w:rPr>
          <w:i/>
          <w:sz w:val="24"/>
          <w:szCs w:val="24"/>
        </w:rPr>
        <w:t>Abbot Point Cumulative Impact Assessment Part C – Impact Assessment Chapter 13 – Shipping</w:t>
      </w:r>
      <w:r w:rsidRPr="00C37214">
        <w:rPr>
          <w:sz w:val="24"/>
          <w:szCs w:val="24"/>
        </w:rPr>
        <w:t xml:space="preserve">, prepared for Abbot Point Working Group. </w:t>
      </w:r>
    </w:p>
    <w:p w:rsidR="001A657F" w:rsidRPr="00E260CF" w:rsidRDefault="001A657F" w:rsidP="001A657F">
      <w:pPr>
        <w:pStyle w:val="Body"/>
        <w:rPr>
          <w:sz w:val="24"/>
          <w:szCs w:val="24"/>
        </w:rPr>
      </w:pPr>
      <w:r w:rsidRPr="00E260CF">
        <w:rPr>
          <w:sz w:val="24"/>
          <w:szCs w:val="24"/>
        </w:rPr>
        <w:t xml:space="preserve">Environment Australia 2001, </w:t>
      </w:r>
      <w:r w:rsidRPr="00E260CF">
        <w:rPr>
          <w:i/>
          <w:sz w:val="24"/>
          <w:szCs w:val="24"/>
        </w:rPr>
        <w:t>A Directory of Important Wetlands in Australia</w:t>
      </w:r>
      <w:r w:rsidRPr="00E260CF">
        <w:rPr>
          <w:sz w:val="24"/>
          <w:szCs w:val="24"/>
        </w:rPr>
        <w:t>, Commonwealth of Australia.</w:t>
      </w:r>
    </w:p>
    <w:p w:rsidR="001A657F" w:rsidRPr="00E260CF" w:rsidRDefault="001A657F" w:rsidP="001A657F">
      <w:pPr>
        <w:pStyle w:val="Body"/>
        <w:rPr>
          <w:sz w:val="24"/>
          <w:szCs w:val="24"/>
        </w:rPr>
      </w:pPr>
      <w:r w:rsidRPr="00E260CF">
        <w:rPr>
          <w:sz w:val="24"/>
          <w:szCs w:val="24"/>
        </w:rPr>
        <w:t>GHD 2012</w:t>
      </w:r>
      <w:r w:rsidR="00E4564D" w:rsidRPr="00E260CF">
        <w:rPr>
          <w:sz w:val="24"/>
          <w:szCs w:val="24"/>
        </w:rPr>
        <w:t>a</w:t>
      </w:r>
      <w:r w:rsidRPr="00E260CF">
        <w:rPr>
          <w:sz w:val="24"/>
          <w:szCs w:val="24"/>
        </w:rPr>
        <w:t xml:space="preserve">, </w:t>
      </w:r>
      <w:r w:rsidRPr="00E260CF">
        <w:rPr>
          <w:i/>
          <w:sz w:val="24"/>
          <w:szCs w:val="24"/>
        </w:rPr>
        <w:t>Environmental Impact Assessment – Identification of Impacts and Proposed Management Strategies associated with Ship Anchorages in the Great Barrier Reef World Heritage Area</w:t>
      </w:r>
      <w:r w:rsidRPr="00E260CF">
        <w:rPr>
          <w:sz w:val="24"/>
          <w:szCs w:val="24"/>
        </w:rPr>
        <w:t>, prepared for the Great Barrier Reef Marine Park Authority.</w:t>
      </w:r>
    </w:p>
    <w:p w:rsidR="00E4564D" w:rsidRPr="00E260CF" w:rsidRDefault="00E4564D" w:rsidP="001A657F">
      <w:pPr>
        <w:pStyle w:val="Body"/>
        <w:rPr>
          <w:sz w:val="24"/>
          <w:szCs w:val="24"/>
        </w:rPr>
      </w:pPr>
      <w:r w:rsidRPr="00E260CF">
        <w:rPr>
          <w:sz w:val="24"/>
          <w:szCs w:val="24"/>
        </w:rPr>
        <w:t xml:space="preserve">GHD 2012b, </w:t>
      </w:r>
      <w:r w:rsidRPr="00E260CF">
        <w:rPr>
          <w:i/>
          <w:sz w:val="24"/>
          <w:szCs w:val="24"/>
        </w:rPr>
        <w:t>Terminals 0, 2 and 3, Abbot Point, Queensland, Public Environment Report</w:t>
      </w:r>
      <w:r w:rsidRPr="00E260CF">
        <w:rPr>
          <w:sz w:val="24"/>
          <w:szCs w:val="24"/>
        </w:rPr>
        <w:t>, report for North Queensland Bulk Ports Corporation Limited.</w:t>
      </w:r>
    </w:p>
    <w:p w:rsidR="001A657F" w:rsidRPr="00E260CF" w:rsidRDefault="001A657F" w:rsidP="001A657F">
      <w:pPr>
        <w:pStyle w:val="Body"/>
        <w:rPr>
          <w:sz w:val="24"/>
          <w:szCs w:val="24"/>
        </w:rPr>
      </w:pPr>
      <w:r w:rsidRPr="00E260CF">
        <w:rPr>
          <w:sz w:val="24"/>
          <w:szCs w:val="24"/>
        </w:rPr>
        <w:t xml:space="preserve">Great Barrier Reef Marine Park Authority (GBRMPA) 2009, </w:t>
      </w:r>
      <w:r w:rsidRPr="00E260CF">
        <w:rPr>
          <w:i/>
          <w:sz w:val="24"/>
          <w:szCs w:val="24"/>
        </w:rPr>
        <w:t>Great Barrier Reef Outlook Report 2009</w:t>
      </w:r>
      <w:r w:rsidRPr="00E260CF">
        <w:rPr>
          <w:sz w:val="24"/>
          <w:szCs w:val="24"/>
        </w:rPr>
        <w:t>, Commonwealth of Australia.</w:t>
      </w:r>
    </w:p>
    <w:p w:rsidR="001A657F" w:rsidRPr="00E260CF" w:rsidRDefault="001A657F" w:rsidP="001A657F">
      <w:pPr>
        <w:pStyle w:val="Body"/>
        <w:rPr>
          <w:sz w:val="24"/>
          <w:szCs w:val="24"/>
        </w:rPr>
      </w:pPr>
      <w:r w:rsidRPr="00E260CF">
        <w:rPr>
          <w:sz w:val="24"/>
          <w:szCs w:val="24"/>
        </w:rPr>
        <w:t xml:space="preserve">PGM Environment 2012, </w:t>
      </w:r>
      <w:r w:rsidRPr="00E260CF">
        <w:rPr>
          <w:i/>
          <w:sz w:val="24"/>
          <w:szCs w:val="24"/>
        </w:rPr>
        <w:t>Review of the environmental implications of existing and projected future shipping activities in the Great Barrier Reef region</w:t>
      </w:r>
      <w:r w:rsidR="00C37214">
        <w:rPr>
          <w:i/>
          <w:sz w:val="24"/>
          <w:szCs w:val="24"/>
        </w:rPr>
        <w:t>,</w:t>
      </w:r>
      <w:r w:rsidRPr="00E260CF">
        <w:rPr>
          <w:sz w:val="24"/>
          <w:szCs w:val="24"/>
        </w:rPr>
        <w:t xml:space="preserve"> </w:t>
      </w:r>
      <w:r w:rsidR="00C37214">
        <w:rPr>
          <w:sz w:val="24"/>
          <w:szCs w:val="24"/>
        </w:rPr>
        <w:t>d</w:t>
      </w:r>
      <w:r w:rsidRPr="00E260CF">
        <w:rPr>
          <w:sz w:val="24"/>
          <w:szCs w:val="24"/>
        </w:rPr>
        <w:t>raft report to BHP</w:t>
      </w:r>
      <w:r w:rsidR="00C37214">
        <w:rPr>
          <w:sz w:val="24"/>
          <w:szCs w:val="24"/>
        </w:rPr>
        <w:t xml:space="preserve"> </w:t>
      </w:r>
      <w:r w:rsidRPr="00E260CF">
        <w:rPr>
          <w:sz w:val="24"/>
          <w:szCs w:val="24"/>
        </w:rPr>
        <w:t>B</w:t>
      </w:r>
      <w:r w:rsidR="00C37214">
        <w:rPr>
          <w:sz w:val="24"/>
          <w:szCs w:val="24"/>
        </w:rPr>
        <w:t>illiton</w:t>
      </w:r>
      <w:r w:rsidRPr="00E260CF">
        <w:rPr>
          <w:sz w:val="24"/>
          <w:szCs w:val="24"/>
        </w:rPr>
        <w:t>.</w:t>
      </w:r>
    </w:p>
    <w:p w:rsidR="001A657F" w:rsidRPr="00C37214" w:rsidRDefault="001A657F" w:rsidP="001A657F">
      <w:pPr>
        <w:pStyle w:val="Body"/>
        <w:rPr>
          <w:sz w:val="24"/>
          <w:szCs w:val="24"/>
        </w:rPr>
      </w:pPr>
      <w:r w:rsidRPr="00E260CF">
        <w:rPr>
          <w:sz w:val="24"/>
          <w:szCs w:val="24"/>
        </w:rPr>
        <w:t xml:space="preserve">RightShip 2011, </w:t>
      </w:r>
      <w:r w:rsidRPr="00E260CF">
        <w:rPr>
          <w:i/>
          <w:sz w:val="24"/>
          <w:szCs w:val="24"/>
        </w:rPr>
        <w:t>Calculating and Comparing CO2 Emissions from Ships</w:t>
      </w:r>
      <w:r w:rsidR="00C37214">
        <w:rPr>
          <w:sz w:val="24"/>
          <w:szCs w:val="24"/>
        </w:rPr>
        <w:t xml:space="preserve">, RightShip Proprietary Limited. </w:t>
      </w:r>
    </w:p>
    <w:bookmarkEnd w:id="48"/>
    <w:bookmarkEnd w:id="49"/>
    <w:p w:rsidR="0041066E" w:rsidRDefault="0041066E">
      <w:pPr>
        <w:rPr>
          <w:rFonts w:ascii="Arial" w:hAnsi="Arial"/>
          <w:b w:val="0"/>
          <w:color w:val="auto"/>
        </w:rPr>
        <w:sectPr w:rsidR="0041066E" w:rsidSect="00B6174B">
          <w:headerReference w:type="default" r:id="rId78"/>
          <w:footerReference w:type="default" r:id="rId79"/>
          <w:pgSz w:w="11906" w:h="16838" w:code="9"/>
          <w:pgMar w:top="1418" w:right="1701" w:bottom="1701" w:left="1418" w:header="709" w:footer="709" w:gutter="0"/>
          <w:cols w:space="720"/>
          <w:docGrid w:linePitch="273"/>
        </w:sectPr>
      </w:pPr>
    </w:p>
    <w:p w:rsidR="00536953" w:rsidRPr="00A34764" w:rsidRDefault="00536953" w:rsidP="00A34764">
      <w:pPr>
        <w:pStyle w:val="Appendix"/>
        <w:pBdr>
          <w:bottom w:val="none" w:sz="0" w:space="0" w:color="auto"/>
        </w:pBdr>
        <w:spacing w:before="2640" w:after="120"/>
        <w:ind w:left="1590"/>
        <w:rPr>
          <w:b w:val="0"/>
        </w:rPr>
      </w:pPr>
      <w:bookmarkStart w:id="560" w:name="_Toc358899217"/>
      <w:bookmarkStart w:id="561" w:name="_Ref358888566"/>
      <w:bookmarkStart w:id="562" w:name="_Ref337566397"/>
      <w:bookmarkStart w:id="563" w:name="_Ref339968242"/>
      <w:bookmarkStart w:id="564" w:name="_Ref340044439"/>
      <w:r w:rsidRPr="00A34764">
        <w:rPr>
          <w:b w:val="0"/>
        </w:rPr>
        <w:t xml:space="preserve">Appendix </w:t>
      </w:r>
      <w:r w:rsidRPr="00A34764">
        <w:rPr>
          <w:b w:val="0"/>
        </w:rPr>
        <w:fldChar w:fldCharType="begin"/>
      </w:r>
      <w:r w:rsidRPr="00A34764">
        <w:rPr>
          <w:b w:val="0"/>
        </w:rPr>
        <w:instrText xml:space="preserve"> SEQ Appendix_ \* ALPHABETIC </w:instrText>
      </w:r>
      <w:r w:rsidRPr="00A34764">
        <w:rPr>
          <w:b w:val="0"/>
        </w:rPr>
        <w:fldChar w:fldCharType="separate"/>
      </w:r>
      <w:r w:rsidRPr="00A34764">
        <w:rPr>
          <w:b w:val="0"/>
        </w:rPr>
        <w:t>A</w:t>
      </w:r>
      <w:bookmarkEnd w:id="560"/>
      <w:r w:rsidRPr="00A34764">
        <w:rPr>
          <w:b w:val="0"/>
        </w:rPr>
        <w:fldChar w:fldCharType="end"/>
      </w:r>
      <w:bookmarkEnd w:id="561"/>
    </w:p>
    <w:bookmarkEnd w:id="562"/>
    <w:bookmarkEnd w:id="563"/>
    <w:bookmarkEnd w:id="564"/>
    <w:p w:rsidR="004E02F3" w:rsidRDefault="00536953" w:rsidP="004174B4">
      <w:pPr>
        <w:pStyle w:val="AppendixContents"/>
      </w:pPr>
      <w:r w:rsidRPr="00536953">
        <w:rPr>
          <w:sz w:val="40"/>
        </w:rPr>
        <w:t>CBA Model for Anchorage Options, Port of Hay Point (full analysis given expansion indicated)</w:t>
      </w:r>
      <w:r w:rsidR="004174B4">
        <w:rPr>
          <w:sz w:val="40"/>
        </w:rPr>
        <w:t xml:space="preserve"> </w:t>
      </w:r>
    </w:p>
    <w:p w:rsidR="00536953" w:rsidRDefault="00536953">
      <w:pPr>
        <w:pStyle w:val="Body"/>
        <w:sectPr w:rsidR="00536953" w:rsidSect="00B6174B">
          <w:headerReference w:type="default" r:id="rId80"/>
          <w:footerReference w:type="default" r:id="rId81"/>
          <w:pgSz w:w="11906" w:h="16838" w:code="9"/>
          <w:pgMar w:top="1418" w:right="1701" w:bottom="1701" w:left="1418" w:header="709" w:footer="709" w:gutter="0"/>
          <w:cols w:space="720"/>
          <w:docGrid w:linePitch="273"/>
        </w:sectPr>
      </w:pPr>
    </w:p>
    <w:p w:rsidR="007B3610" w:rsidRPr="007B3610" w:rsidRDefault="007238EB" w:rsidP="009C6995">
      <w:pPr>
        <w:pStyle w:val="Caption"/>
        <w:rPr>
          <w:b w:val="0"/>
          <w:sz w:val="24"/>
          <w:szCs w:val="24"/>
        </w:rPr>
      </w:pPr>
      <w:bookmarkStart w:id="565" w:name="_Toc535628729"/>
      <w:bookmarkStart w:id="566" w:name="_Toc13288203"/>
      <w:bookmarkStart w:id="567" w:name="_Toc13320843"/>
      <w:bookmarkStart w:id="568" w:name="_Toc13320844"/>
      <w:bookmarkStart w:id="569" w:name="_Toc13321317"/>
      <w:bookmarkStart w:id="570" w:name="_Toc13321318"/>
      <w:bookmarkStart w:id="571" w:name="_Toc13321370"/>
      <w:bookmarkStart w:id="572" w:name="_Toc13321371"/>
      <w:bookmarkStart w:id="573" w:name="_Toc13321406"/>
      <w:bookmarkStart w:id="574" w:name="_Toc13321407"/>
      <w:bookmarkStart w:id="575" w:name="_Ref342396423"/>
      <w:r>
        <w:rPr>
          <w:sz w:val="24"/>
          <w:szCs w:val="24"/>
        </w:rPr>
        <w:t xml:space="preserve">Table A-1: </w:t>
      </w:r>
      <w:r w:rsidR="007B3610" w:rsidRPr="007B3610">
        <w:rPr>
          <w:b w:val="0"/>
          <w:sz w:val="24"/>
          <w:szCs w:val="24"/>
        </w:rPr>
        <w:t>Model parameters</w:t>
      </w:r>
      <w:r w:rsidR="00260282">
        <w:rPr>
          <w:b w:val="0"/>
          <w:sz w:val="24"/>
          <w:szCs w:val="24"/>
        </w:rPr>
        <w:t xml:space="preserve"> used for the World Heritage Area</w:t>
      </w:r>
      <w:r w:rsidR="007B3610" w:rsidRPr="007B3610">
        <w:rPr>
          <w:b w:val="0"/>
          <w:sz w:val="24"/>
          <w:szCs w:val="24"/>
        </w:rPr>
        <w:t xml:space="preserve"> Ship Anchorage Management Options</w:t>
      </w:r>
      <w:r w:rsidR="00260282">
        <w:rPr>
          <w:b w:val="0"/>
          <w:sz w:val="24"/>
          <w:szCs w:val="24"/>
        </w:rPr>
        <w:t xml:space="preserve"> assessment (output of the </w:t>
      </w:r>
      <w:r w:rsidR="007B3610" w:rsidRPr="007B3610">
        <w:rPr>
          <w:b w:val="0"/>
          <w:sz w:val="24"/>
          <w:szCs w:val="24"/>
        </w:rPr>
        <w:t>Port of Hay Point</w:t>
      </w:r>
      <w:r w:rsidR="00260282">
        <w:rPr>
          <w:b w:val="0"/>
          <w:sz w:val="24"/>
          <w:szCs w:val="24"/>
        </w:rPr>
        <w:t xml:space="preserve"> example</w:t>
      </w:r>
      <w:r w:rsidR="007B3610" w:rsidRPr="007B3610">
        <w:rPr>
          <w:b w:val="0"/>
          <w:sz w:val="24"/>
          <w:szCs w:val="24"/>
        </w:rPr>
        <w:t>, run Dec</w:t>
      </w:r>
      <w:r w:rsidR="00260282">
        <w:rPr>
          <w:b w:val="0"/>
          <w:sz w:val="24"/>
          <w:szCs w:val="24"/>
        </w:rPr>
        <w:t>ember</w:t>
      </w:r>
      <w:r w:rsidR="007B3610" w:rsidRPr="007B3610">
        <w:rPr>
          <w:b w:val="0"/>
          <w:sz w:val="24"/>
          <w:szCs w:val="24"/>
        </w:rPr>
        <w:t xml:space="preserve"> 2012</w:t>
      </w:r>
      <w:r w:rsidR="00260282">
        <w:rPr>
          <w:b w:val="0"/>
          <w:sz w:val="24"/>
          <w:szCs w:val="24"/>
        </w:rPr>
        <w:t>).</w:t>
      </w:r>
    </w:p>
    <w:tbl>
      <w:tblPr>
        <w:tblW w:w="21042" w:type="dxa"/>
        <w:tblInd w:w="108" w:type="dxa"/>
        <w:tblLook w:val="04A0" w:firstRow="1" w:lastRow="0" w:firstColumn="1" w:lastColumn="0" w:noHBand="0" w:noVBand="1"/>
        <w:tblCaption w:val="Model parameters used for the World Heritage Area Ship Anchorage Management Options assessment (output of the Port of Hay Point example, run December 2012)."/>
        <w:tblDescription w:val="Different categories and sub-categories of model parameters for the ship anchorage at the Port of Hay Point. Columns represent assumptions of the category, the units, the input value, comment and source of data."/>
      </w:tblPr>
      <w:tblGrid>
        <w:gridCol w:w="1985"/>
        <w:gridCol w:w="6501"/>
        <w:gridCol w:w="1911"/>
        <w:gridCol w:w="1551"/>
        <w:gridCol w:w="6527"/>
        <w:gridCol w:w="2567"/>
      </w:tblGrid>
      <w:tr w:rsidR="000533C5" w:rsidRPr="003F0970" w:rsidTr="00260282">
        <w:trPr>
          <w:trHeight w:val="446"/>
          <w:tblHeader/>
        </w:trPr>
        <w:tc>
          <w:tcPr>
            <w:tcW w:w="1985" w:type="dxa"/>
            <w:tcBorders>
              <w:top w:val="single" w:sz="4" w:space="0" w:color="auto"/>
              <w:left w:val="nil"/>
              <w:bottom w:val="single" w:sz="4" w:space="0" w:color="auto"/>
              <w:right w:val="nil"/>
            </w:tcBorders>
            <w:shd w:val="clear" w:color="auto" w:fill="FFFFFF" w:themeFill="background1"/>
          </w:tcPr>
          <w:p w:rsidR="000533C5" w:rsidRPr="000533C5" w:rsidRDefault="000533C5" w:rsidP="000533C5">
            <w:pPr>
              <w:rPr>
                <w:rFonts w:ascii="Arial" w:hAnsi="Arial" w:cs="Arial"/>
                <w:b w:val="0"/>
                <w:color w:val="auto"/>
                <w:sz w:val="24"/>
                <w:szCs w:val="24"/>
                <w:lang w:eastAsia="en-AU"/>
              </w:rPr>
            </w:pPr>
          </w:p>
        </w:tc>
        <w:tc>
          <w:tcPr>
            <w:tcW w:w="6501" w:type="dxa"/>
            <w:tcBorders>
              <w:top w:val="single" w:sz="4" w:space="0" w:color="auto"/>
              <w:left w:val="nil"/>
              <w:bottom w:val="single" w:sz="4" w:space="0" w:color="auto"/>
              <w:right w:val="nil"/>
            </w:tcBorders>
            <w:shd w:val="clear" w:color="auto" w:fill="FFFFFF" w:themeFill="background1"/>
            <w:noWrap/>
            <w:vAlign w:val="bottom"/>
          </w:tcPr>
          <w:p w:rsidR="000533C5" w:rsidRPr="007B3610" w:rsidRDefault="000533C5" w:rsidP="000533C5">
            <w:pPr>
              <w:rPr>
                <w:rFonts w:ascii="Arial" w:hAnsi="Arial" w:cs="Arial"/>
                <w:color w:val="auto"/>
                <w:sz w:val="24"/>
                <w:szCs w:val="24"/>
                <w:lang w:eastAsia="en-AU"/>
              </w:rPr>
            </w:pPr>
            <w:r w:rsidRPr="007B3610">
              <w:rPr>
                <w:rFonts w:ascii="Arial" w:hAnsi="Arial" w:cs="Arial"/>
                <w:color w:val="auto"/>
                <w:sz w:val="24"/>
                <w:szCs w:val="24"/>
                <w:lang w:eastAsia="en-AU"/>
              </w:rPr>
              <w:t>Assumptions</w:t>
            </w:r>
          </w:p>
        </w:tc>
        <w:tc>
          <w:tcPr>
            <w:tcW w:w="1911" w:type="dxa"/>
            <w:tcBorders>
              <w:top w:val="single" w:sz="4" w:space="0" w:color="auto"/>
              <w:left w:val="nil"/>
              <w:bottom w:val="single" w:sz="4" w:space="0" w:color="auto"/>
              <w:right w:val="nil"/>
            </w:tcBorders>
            <w:shd w:val="clear" w:color="auto" w:fill="FFFFFF" w:themeFill="background1"/>
            <w:noWrap/>
            <w:vAlign w:val="bottom"/>
          </w:tcPr>
          <w:p w:rsidR="000533C5" w:rsidRPr="007B3610" w:rsidRDefault="000533C5" w:rsidP="000533C5">
            <w:pPr>
              <w:rPr>
                <w:rFonts w:ascii="Arial" w:hAnsi="Arial" w:cs="Arial"/>
                <w:color w:val="auto"/>
                <w:sz w:val="24"/>
                <w:szCs w:val="24"/>
                <w:lang w:eastAsia="en-AU"/>
              </w:rPr>
            </w:pPr>
            <w:r w:rsidRPr="007B3610">
              <w:rPr>
                <w:rFonts w:ascii="Arial" w:hAnsi="Arial" w:cs="Arial"/>
                <w:color w:val="auto"/>
                <w:sz w:val="24"/>
                <w:szCs w:val="24"/>
                <w:lang w:eastAsia="en-AU"/>
              </w:rPr>
              <w:t>Units</w:t>
            </w:r>
          </w:p>
        </w:tc>
        <w:tc>
          <w:tcPr>
            <w:tcW w:w="1551" w:type="dxa"/>
            <w:tcBorders>
              <w:top w:val="single" w:sz="4" w:space="0" w:color="auto"/>
              <w:left w:val="nil"/>
              <w:bottom w:val="single" w:sz="4" w:space="0" w:color="auto"/>
              <w:right w:val="nil"/>
            </w:tcBorders>
            <w:shd w:val="clear" w:color="auto" w:fill="FFFFFF" w:themeFill="background1"/>
            <w:noWrap/>
            <w:vAlign w:val="bottom"/>
          </w:tcPr>
          <w:p w:rsidR="000533C5" w:rsidRPr="007B3610" w:rsidRDefault="000533C5" w:rsidP="000533C5">
            <w:pPr>
              <w:jc w:val="center"/>
              <w:rPr>
                <w:rFonts w:ascii="Arial" w:hAnsi="Arial" w:cs="Arial"/>
                <w:color w:val="auto"/>
                <w:sz w:val="24"/>
                <w:szCs w:val="24"/>
                <w:lang w:eastAsia="en-AU"/>
              </w:rPr>
            </w:pPr>
            <w:r w:rsidRPr="007B3610">
              <w:rPr>
                <w:rFonts w:ascii="Arial" w:hAnsi="Arial" w:cs="Arial"/>
                <w:color w:val="auto"/>
                <w:sz w:val="24"/>
                <w:szCs w:val="24"/>
                <w:lang w:eastAsia="en-AU"/>
              </w:rPr>
              <w:t>Input Value</w:t>
            </w:r>
          </w:p>
        </w:tc>
        <w:tc>
          <w:tcPr>
            <w:tcW w:w="6527" w:type="dxa"/>
            <w:tcBorders>
              <w:top w:val="single" w:sz="4" w:space="0" w:color="auto"/>
              <w:left w:val="nil"/>
              <w:bottom w:val="single" w:sz="4" w:space="0" w:color="auto"/>
              <w:right w:val="single" w:sz="4" w:space="0" w:color="FFFFFF" w:themeColor="background1"/>
            </w:tcBorders>
            <w:shd w:val="clear" w:color="auto" w:fill="FFFFFF" w:themeFill="background1"/>
            <w:noWrap/>
            <w:vAlign w:val="bottom"/>
          </w:tcPr>
          <w:p w:rsidR="000533C5" w:rsidRPr="007B3610" w:rsidRDefault="000533C5" w:rsidP="000533C5">
            <w:pPr>
              <w:rPr>
                <w:rFonts w:ascii="Arial" w:hAnsi="Arial" w:cs="Arial"/>
                <w:color w:val="auto"/>
                <w:sz w:val="24"/>
                <w:szCs w:val="24"/>
                <w:lang w:eastAsia="en-AU"/>
              </w:rPr>
            </w:pPr>
            <w:r w:rsidRPr="007B3610">
              <w:rPr>
                <w:rFonts w:ascii="Arial" w:hAnsi="Arial" w:cs="Arial"/>
                <w:color w:val="auto"/>
                <w:sz w:val="24"/>
                <w:szCs w:val="24"/>
                <w:lang w:eastAsia="en-AU"/>
              </w:rPr>
              <w:t>Comment</w:t>
            </w:r>
          </w:p>
        </w:tc>
        <w:tc>
          <w:tcPr>
            <w:tcW w:w="2567" w:type="dxa"/>
            <w:tcBorders>
              <w:top w:val="single" w:sz="4" w:space="0" w:color="auto"/>
              <w:left w:val="single" w:sz="4" w:space="0" w:color="FFFFFF" w:themeColor="background1"/>
              <w:bottom w:val="single" w:sz="4" w:space="0" w:color="auto"/>
              <w:right w:val="nil"/>
            </w:tcBorders>
            <w:shd w:val="clear" w:color="auto" w:fill="FFFFFF" w:themeFill="background1"/>
            <w:vAlign w:val="bottom"/>
          </w:tcPr>
          <w:p w:rsidR="000533C5" w:rsidRPr="007B3610" w:rsidRDefault="000533C5" w:rsidP="000533C5">
            <w:pPr>
              <w:rPr>
                <w:rFonts w:ascii="Arial" w:hAnsi="Arial" w:cs="Arial"/>
                <w:color w:val="auto"/>
                <w:sz w:val="24"/>
                <w:szCs w:val="24"/>
                <w:lang w:eastAsia="en-AU"/>
              </w:rPr>
            </w:pPr>
            <w:r w:rsidRPr="007B3610">
              <w:rPr>
                <w:rFonts w:ascii="Arial" w:hAnsi="Arial" w:cs="Arial"/>
                <w:color w:val="auto"/>
                <w:sz w:val="24"/>
                <w:szCs w:val="24"/>
                <w:lang w:eastAsia="en-AU"/>
              </w:rPr>
              <w:t>Source</w:t>
            </w:r>
          </w:p>
        </w:tc>
      </w:tr>
      <w:tr w:rsidR="000533C5" w:rsidRPr="003F0970" w:rsidTr="00260282">
        <w:trPr>
          <w:trHeight w:val="396"/>
        </w:trPr>
        <w:tc>
          <w:tcPr>
            <w:tcW w:w="21042" w:type="dxa"/>
            <w:gridSpan w:val="6"/>
            <w:tcBorders>
              <w:top w:val="single" w:sz="4" w:space="0" w:color="auto"/>
              <w:left w:val="nil"/>
              <w:bottom w:val="single" w:sz="4" w:space="0" w:color="auto"/>
              <w:right w:val="single" w:sz="4" w:space="0" w:color="FFFFFF" w:themeColor="background1"/>
            </w:tcBorders>
            <w:shd w:val="clear" w:color="auto" w:fill="D9D9D9" w:themeFill="background1" w:themeFillShade="D9"/>
            <w:vAlign w:val="center"/>
          </w:tcPr>
          <w:p w:rsidR="000533C5" w:rsidRPr="007B3610" w:rsidRDefault="000533C5" w:rsidP="007B3610">
            <w:pPr>
              <w:rPr>
                <w:rFonts w:ascii="Arial" w:hAnsi="Arial" w:cs="Arial"/>
                <w:bCs/>
                <w:color w:val="auto"/>
                <w:sz w:val="24"/>
                <w:szCs w:val="24"/>
                <w:lang w:eastAsia="en-AU"/>
              </w:rPr>
            </w:pPr>
            <w:r w:rsidRPr="007B3610">
              <w:rPr>
                <w:rFonts w:ascii="Arial" w:hAnsi="Arial" w:cs="Arial"/>
                <w:bCs/>
                <w:color w:val="auto"/>
                <w:sz w:val="24"/>
                <w:szCs w:val="24"/>
                <w:lang w:eastAsia="en-AU"/>
              </w:rPr>
              <w:t>General</w:t>
            </w:r>
          </w:p>
        </w:tc>
      </w:tr>
      <w:tr w:rsidR="000533C5" w:rsidRPr="003F0970" w:rsidTr="000533C5">
        <w:trPr>
          <w:trHeight w:val="288"/>
        </w:trPr>
        <w:tc>
          <w:tcPr>
            <w:tcW w:w="1985" w:type="dxa"/>
            <w:vMerge w:val="restart"/>
            <w:tcBorders>
              <w:top w:val="nil"/>
              <w:left w:val="nil"/>
              <w:right w:val="nil"/>
            </w:tcBorders>
            <w:shd w:val="clear" w:color="auto" w:fill="FFFFFF" w:themeFill="background1"/>
          </w:tcPr>
          <w:p w:rsidR="000533C5" w:rsidRPr="000533C5" w:rsidRDefault="000533C5" w:rsidP="000533C5">
            <w:pPr>
              <w:rPr>
                <w:rFonts w:ascii="Arial" w:hAnsi="Arial" w:cs="Arial"/>
                <w:color w:val="auto"/>
                <w:sz w:val="24"/>
                <w:szCs w:val="24"/>
                <w:lang w:eastAsia="en-AU"/>
              </w:rPr>
            </w:pPr>
            <w:r w:rsidRPr="000533C5">
              <w:rPr>
                <w:rFonts w:ascii="Arial" w:hAnsi="Arial" w:cs="Arial"/>
                <w:b w:val="0"/>
                <w:bCs/>
                <w:color w:val="auto"/>
                <w:sz w:val="24"/>
                <w:szCs w:val="24"/>
                <w:lang w:eastAsia="en-AU"/>
              </w:rPr>
              <w:t>General</w:t>
            </w:r>
          </w:p>
        </w:tc>
        <w:tc>
          <w:tcPr>
            <w:tcW w:w="6501" w:type="dxa"/>
            <w:tcBorders>
              <w:top w:val="nil"/>
              <w:left w:val="nil"/>
              <w:bottom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Evaluation period (Years)</w:t>
            </w:r>
          </w:p>
        </w:tc>
        <w:tc>
          <w:tcPr>
            <w:tcW w:w="1911" w:type="dxa"/>
            <w:tcBorders>
              <w:top w:val="nil"/>
              <w:left w:val="nil"/>
              <w:bottom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Years</w:t>
            </w:r>
          </w:p>
        </w:tc>
        <w:tc>
          <w:tcPr>
            <w:tcW w:w="1551" w:type="dxa"/>
            <w:tcBorders>
              <w:top w:val="nil"/>
              <w:left w:val="nil"/>
              <w:bottom w:val="nil"/>
              <w:right w:val="nil"/>
            </w:tcBorders>
            <w:shd w:val="clear" w:color="auto" w:fill="FFFFFF" w:themeFill="background1"/>
            <w:noWrap/>
            <w:vAlign w:val="bottom"/>
            <w:hideMark/>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30</w:t>
            </w:r>
          </w:p>
        </w:tc>
        <w:tc>
          <w:tcPr>
            <w:tcW w:w="6527" w:type="dxa"/>
            <w:tcBorders>
              <w:top w:val="nil"/>
              <w:left w:val="nil"/>
              <w:bottom w:val="nil"/>
              <w:right w:val="single" w:sz="4" w:space="0" w:color="FFFFFF" w:themeColor="background1"/>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CBA evaluation period</w:t>
            </w:r>
          </w:p>
        </w:tc>
        <w:tc>
          <w:tcPr>
            <w:tcW w:w="2567" w:type="dxa"/>
            <w:tcBorders>
              <w:top w:val="nil"/>
              <w:left w:val="single" w:sz="4" w:space="0" w:color="FFFFFF" w:themeColor="background1"/>
              <w:bottom w:val="nil"/>
              <w:right w:val="nil"/>
            </w:tcBorders>
            <w:shd w:val="clear" w:color="auto" w:fill="FFFFFF" w:themeFill="background1"/>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tcBorders>
              <w:left w:val="nil"/>
              <w:right w:val="nil"/>
            </w:tcBorders>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tcBorders>
              <w:top w:val="nil"/>
              <w:left w:val="nil"/>
              <w:bottom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 xml:space="preserve">Year 1 </w:t>
            </w:r>
          </w:p>
        </w:tc>
        <w:tc>
          <w:tcPr>
            <w:tcW w:w="1911" w:type="dxa"/>
            <w:tcBorders>
              <w:top w:val="nil"/>
              <w:left w:val="nil"/>
              <w:bottom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Year</w:t>
            </w:r>
          </w:p>
        </w:tc>
        <w:tc>
          <w:tcPr>
            <w:tcW w:w="1551" w:type="dxa"/>
            <w:tcBorders>
              <w:top w:val="nil"/>
              <w:left w:val="nil"/>
              <w:bottom w:val="nil"/>
              <w:right w:val="nil"/>
            </w:tcBorders>
            <w:shd w:val="clear" w:color="auto" w:fill="FFFFFF" w:themeFill="background1"/>
            <w:noWrap/>
            <w:vAlign w:val="bottom"/>
            <w:hideMark/>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2012</w:t>
            </w:r>
          </w:p>
        </w:tc>
        <w:tc>
          <w:tcPr>
            <w:tcW w:w="6527" w:type="dxa"/>
            <w:tcBorders>
              <w:top w:val="nil"/>
              <w:left w:val="nil"/>
              <w:bottom w:val="nil"/>
              <w:right w:val="single" w:sz="4" w:space="0" w:color="FFFFFF" w:themeColor="background1"/>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Start year of CBA evaluation</w:t>
            </w:r>
          </w:p>
        </w:tc>
        <w:tc>
          <w:tcPr>
            <w:tcW w:w="2567" w:type="dxa"/>
            <w:tcBorders>
              <w:top w:val="nil"/>
              <w:left w:val="single" w:sz="4" w:space="0" w:color="FFFFFF" w:themeColor="background1"/>
              <w:bottom w:val="nil"/>
              <w:right w:val="nil"/>
            </w:tcBorders>
            <w:shd w:val="clear" w:color="auto" w:fill="FFFFFF" w:themeFill="background1"/>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tcBorders>
              <w:left w:val="nil"/>
              <w:right w:val="nil"/>
            </w:tcBorders>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tcBorders>
              <w:top w:val="nil"/>
              <w:left w:val="nil"/>
              <w:bottom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CBA Project Discount Rate (Real)</w:t>
            </w:r>
          </w:p>
        </w:tc>
        <w:tc>
          <w:tcPr>
            <w:tcW w:w="1911" w:type="dxa"/>
            <w:tcBorders>
              <w:top w:val="nil"/>
              <w:left w:val="nil"/>
              <w:bottom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 xml:space="preserve">Per cent </w:t>
            </w:r>
          </w:p>
        </w:tc>
        <w:tc>
          <w:tcPr>
            <w:tcW w:w="1551" w:type="dxa"/>
            <w:tcBorders>
              <w:top w:val="nil"/>
              <w:left w:val="nil"/>
              <w:bottom w:val="nil"/>
              <w:right w:val="nil"/>
            </w:tcBorders>
            <w:shd w:val="clear" w:color="auto" w:fill="FFFFFF" w:themeFill="background1"/>
            <w:noWrap/>
            <w:vAlign w:val="bottom"/>
            <w:hideMark/>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7.00%</w:t>
            </w:r>
          </w:p>
        </w:tc>
        <w:tc>
          <w:tcPr>
            <w:tcW w:w="6527" w:type="dxa"/>
            <w:tcBorders>
              <w:top w:val="nil"/>
              <w:left w:val="nil"/>
              <w:bottom w:val="nil"/>
              <w:right w:val="single" w:sz="4" w:space="0" w:color="FFFFFF" w:themeColor="background1"/>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Typical Government/Treasury used level (real means net of inflation)</w:t>
            </w:r>
          </w:p>
        </w:tc>
        <w:tc>
          <w:tcPr>
            <w:tcW w:w="2567" w:type="dxa"/>
            <w:tcBorders>
              <w:top w:val="nil"/>
              <w:left w:val="single" w:sz="4" w:space="0" w:color="FFFFFF" w:themeColor="background1"/>
              <w:bottom w:val="nil"/>
              <w:right w:val="nil"/>
            </w:tcBorders>
            <w:shd w:val="clear" w:color="auto" w:fill="FFFFFF" w:themeFill="background1"/>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76"/>
        </w:trPr>
        <w:tc>
          <w:tcPr>
            <w:tcW w:w="1985" w:type="dxa"/>
            <w:vMerge/>
            <w:tcBorders>
              <w:left w:val="nil"/>
              <w:right w:val="nil"/>
            </w:tcBorders>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tcBorders>
              <w:top w:val="nil"/>
              <w:left w:val="nil"/>
              <w:bottom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CAPEX annual cost escalation rate</w:t>
            </w:r>
          </w:p>
        </w:tc>
        <w:tc>
          <w:tcPr>
            <w:tcW w:w="1911" w:type="dxa"/>
            <w:tcBorders>
              <w:top w:val="nil"/>
              <w:left w:val="nil"/>
              <w:bottom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 xml:space="preserve">Per cent </w:t>
            </w:r>
          </w:p>
        </w:tc>
        <w:tc>
          <w:tcPr>
            <w:tcW w:w="1551" w:type="dxa"/>
            <w:tcBorders>
              <w:top w:val="nil"/>
              <w:left w:val="nil"/>
              <w:bottom w:val="nil"/>
              <w:right w:val="nil"/>
            </w:tcBorders>
            <w:shd w:val="clear" w:color="auto" w:fill="FFFFFF" w:themeFill="background1"/>
            <w:noWrap/>
            <w:vAlign w:val="bottom"/>
            <w:hideMark/>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0.0%</w:t>
            </w:r>
          </w:p>
        </w:tc>
        <w:tc>
          <w:tcPr>
            <w:tcW w:w="6527" w:type="dxa"/>
            <w:tcBorders>
              <w:top w:val="nil"/>
              <w:left w:val="nil"/>
              <w:bottom w:val="nil"/>
              <w:right w:val="single" w:sz="4" w:space="0" w:color="FFFFFF" w:themeColor="background1"/>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Future CAPEX value if nominal calculation</w:t>
            </w:r>
          </w:p>
        </w:tc>
        <w:tc>
          <w:tcPr>
            <w:tcW w:w="2567" w:type="dxa"/>
            <w:tcBorders>
              <w:top w:val="nil"/>
              <w:left w:val="single" w:sz="4" w:space="0" w:color="FFFFFF" w:themeColor="background1"/>
              <w:bottom w:val="nil"/>
              <w:right w:val="nil"/>
            </w:tcBorders>
            <w:shd w:val="clear" w:color="auto" w:fill="FFFFFF" w:themeFill="background1"/>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76"/>
        </w:trPr>
        <w:tc>
          <w:tcPr>
            <w:tcW w:w="1985" w:type="dxa"/>
            <w:vMerge/>
            <w:tcBorders>
              <w:left w:val="nil"/>
              <w:right w:val="nil"/>
            </w:tcBorders>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tcBorders>
              <w:top w:val="nil"/>
              <w:left w:val="nil"/>
              <w:bottom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Costs &amp; Benefits annual escalation rate</w:t>
            </w:r>
          </w:p>
        </w:tc>
        <w:tc>
          <w:tcPr>
            <w:tcW w:w="1911" w:type="dxa"/>
            <w:tcBorders>
              <w:top w:val="nil"/>
              <w:left w:val="nil"/>
              <w:bottom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 xml:space="preserve">Per cent </w:t>
            </w:r>
          </w:p>
        </w:tc>
        <w:tc>
          <w:tcPr>
            <w:tcW w:w="1551" w:type="dxa"/>
            <w:tcBorders>
              <w:top w:val="nil"/>
              <w:left w:val="nil"/>
              <w:bottom w:val="nil"/>
              <w:right w:val="nil"/>
            </w:tcBorders>
            <w:shd w:val="clear" w:color="auto" w:fill="FFFFFF" w:themeFill="background1"/>
            <w:noWrap/>
            <w:vAlign w:val="bottom"/>
            <w:hideMark/>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0.0%</w:t>
            </w:r>
          </w:p>
        </w:tc>
        <w:tc>
          <w:tcPr>
            <w:tcW w:w="6527" w:type="dxa"/>
            <w:tcBorders>
              <w:top w:val="nil"/>
              <w:left w:val="nil"/>
              <w:bottom w:val="nil"/>
              <w:right w:val="single" w:sz="4" w:space="0" w:color="FFFFFF" w:themeColor="background1"/>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Future values if nominal calculation</w:t>
            </w:r>
          </w:p>
        </w:tc>
        <w:tc>
          <w:tcPr>
            <w:tcW w:w="2567" w:type="dxa"/>
            <w:tcBorders>
              <w:top w:val="nil"/>
              <w:left w:val="single" w:sz="4" w:space="0" w:color="FFFFFF" w:themeColor="background1"/>
              <w:bottom w:val="nil"/>
              <w:right w:val="nil"/>
            </w:tcBorders>
            <w:shd w:val="clear" w:color="auto" w:fill="FFFFFF" w:themeFill="background1"/>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76"/>
        </w:trPr>
        <w:tc>
          <w:tcPr>
            <w:tcW w:w="1985" w:type="dxa"/>
            <w:vMerge/>
            <w:tcBorders>
              <w:left w:val="nil"/>
              <w:right w:val="nil"/>
            </w:tcBorders>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tcBorders>
              <w:top w:val="nil"/>
              <w:left w:val="nil"/>
              <w:bottom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Exchange Rate, 1 US$ =</w:t>
            </w:r>
          </w:p>
        </w:tc>
        <w:tc>
          <w:tcPr>
            <w:tcW w:w="1911" w:type="dxa"/>
            <w:tcBorders>
              <w:top w:val="nil"/>
              <w:left w:val="nil"/>
              <w:bottom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w:t>
            </w:r>
          </w:p>
        </w:tc>
        <w:tc>
          <w:tcPr>
            <w:tcW w:w="1551" w:type="dxa"/>
            <w:tcBorders>
              <w:top w:val="nil"/>
              <w:left w:val="nil"/>
              <w:bottom w:val="nil"/>
              <w:right w:val="nil"/>
            </w:tcBorders>
            <w:shd w:val="clear" w:color="auto" w:fill="FFFFFF" w:themeFill="background1"/>
            <w:noWrap/>
            <w:vAlign w:val="bottom"/>
            <w:hideMark/>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1.00</w:t>
            </w:r>
          </w:p>
        </w:tc>
        <w:tc>
          <w:tcPr>
            <w:tcW w:w="6527" w:type="dxa"/>
            <w:tcBorders>
              <w:top w:val="nil"/>
              <w:left w:val="nil"/>
              <w:bottom w:val="nil"/>
              <w:right w:val="single" w:sz="4" w:space="0" w:color="FFFFFF" w:themeColor="background1"/>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Converts ship and fuel US$ costs to A$</w:t>
            </w:r>
          </w:p>
        </w:tc>
        <w:tc>
          <w:tcPr>
            <w:tcW w:w="2567" w:type="dxa"/>
            <w:tcBorders>
              <w:top w:val="nil"/>
              <w:left w:val="single" w:sz="4" w:space="0" w:color="FFFFFF" w:themeColor="background1"/>
              <w:bottom w:val="nil"/>
              <w:right w:val="nil"/>
            </w:tcBorders>
            <w:shd w:val="clear" w:color="auto" w:fill="FFFFFF" w:themeFill="background1"/>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 analysis</w:t>
            </w:r>
          </w:p>
        </w:tc>
      </w:tr>
      <w:tr w:rsidR="000533C5" w:rsidRPr="003F0970" w:rsidTr="000533C5">
        <w:trPr>
          <w:trHeight w:val="276"/>
        </w:trPr>
        <w:tc>
          <w:tcPr>
            <w:tcW w:w="1985" w:type="dxa"/>
            <w:vMerge/>
            <w:tcBorders>
              <w:left w:val="nil"/>
              <w:right w:val="nil"/>
            </w:tcBorders>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tcBorders>
              <w:top w:val="nil"/>
              <w:left w:val="nil"/>
              <w:bottom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 xml:space="preserve">Cost of Ship Fuel </w:t>
            </w:r>
          </w:p>
        </w:tc>
        <w:tc>
          <w:tcPr>
            <w:tcW w:w="1911" w:type="dxa"/>
            <w:tcBorders>
              <w:top w:val="nil"/>
              <w:left w:val="nil"/>
              <w:bottom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US$/T</w:t>
            </w:r>
          </w:p>
        </w:tc>
        <w:tc>
          <w:tcPr>
            <w:tcW w:w="1551" w:type="dxa"/>
            <w:tcBorders>
              <w:top w:val="nil"/>
              <w:left w:val="nil"/>
              <w:bottom w:val="nil"/>
              <w:right w:val="nil"/>
            </w:tcBorders>
            <w:shd w:val="clear" w:color="auto" w:fill="FFFFFF" w:themeFill="background1"/>
            <w:noWrap/>
            <w:vAlign w:val="bottom"/>
            <w:hideMark/>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$670</w:t>
            </w:r>
          </w:p>
        </w:tc>
        <w:tc>
          <w:tcPr>
            <w:tcW w:w="6527" w:type="dxa"/>
            <w:tcBorders>
              <w:top w:val="nil"/>
              <w:left w:val="nil"/>
              <w:bottom w:val="nil"/>
              <w:right w:val="single" w:sz="4" w:space="0" w:color="FFFFFF" w:themeColor="background1"/>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Singapore IFO 380 cst (heavy) fuel oil, average for 2012</w:t>
            </w:r>
          </w:p>
        </w:tc>
        <w:tc>
          <w:tcPr>
            <w:tcW w:w="2567" w:type="dxa"/>
            <w:tcBorders>
              <w:top w:val="nil"/>
              <w:left w:val="single" w:sz="4" w:space="0" w:color="FFFFFF" w:themeColor="background1"/>
              <w:bottom w:val="nil"/>
              <w:right w:val="nil"/>
            </w:tcBorders>
            <w:shd w:val="clear" w:color="auto" w:fill="FFFFFF" w:themeFill="background1"/>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Clarksons SIN</w:t>
            </w:r>
          </w:p>
        </w:tc>
      </w:tr>
      <w:tr w:rsidR="000533C5" w:rsidRPr="003F0970" w:rsidTr="000533C5">
        <w:trPr>
          <w:trHeight w:val="276"/>
        </w:trPr>
        <w:tc>
          <w:tcPr>
            <w:tcW w:w="1985" w:type="dxa"/>
            <w:vMerge/>
            <w:tcBorders>
              <w:left w:val="nil"/>
              <w:bottom w:val="single" w:sz="4" w:space="0" w:color="auto"/>
              <w:right w:val="nil"/>
            </w:tcBorders>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tcBorders>
              <w:top w:val="nil"/>
              <w:left w:val="nil"/>
              <w:bottom w:val="single" w:sz="4" w:space="0" w:color="auto"/>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 xml:space="preserve">Cost of Fishing &amp; Reef Tourism Vessel Fuel (MDO/MGO) </w:t>
            </w:r>
          </w:p>
        </w:tc>
        <w:tc>
          <w:tcPr>
            <w:tcW w:w="1911" w:type="dxa"/>
            <w:tcBorders>
              <w:top w:val="nil"/>
              <w:left w:val="nil"/>
              <w:bottom w:val="single" w:sz="4" w:space="0" w:color="auto"/>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A$/litre</w:t>
            </w:r>
          </w:p>
        </w:tc>
        <w:tc>
          <w:tcPr>
            <w:tcW w:w="1551" w:type="dxa"/>
            <w:tcBorders>
              <w:top w:val="nil"/>
              <w:left w:val="nil"/>
              <w:bottom w:val="single" w:sz="4" w:space="0" w:color="auto"/>
              <w:right w:val="nil"/>
            </w:tcBorders>
            <w:shd w:val="clear" w:color="auto" w:fill="FFFFFF" w:themeFill="background1"/>
            <w:noWrap/>
            <w:vAlign w:val="bottom"/>
            <w:hideMark/>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$0.96</w:t>
            </w:r>
          </w:p>
        </w:tc>
        <w:tc>
          <w:tcPr>
            <w:tcW w:w="6527" w:type="dxa"/>
            <w:tcBorders>
              <w:top w:val="nil"/>
              <w:left w:val="nil"/>
              <w:bottom w:val="single" w:sz="4" w:space="0" w:color="auto"/>
              <w:right w:val="single" w:sz="4" w:space="0" w:color="FFFFFF" w:themeColor="background1"/>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Singapore MDO=Marine Diesel Oil / MGO=Marine Gas Oil, average for 2012</w:t>
            </w:r>
          </w:p>
        </w:tc>
        <w:tc>
          <w:tcPr>
            <w:tcW w:w="2567" w:type="dxa"/>
            <w:tcBorders>
              <w:top w:val="nil"/>
              <w:left w:val="single" w:sz="4" w:space="0" w:color="FFFFFF" w:themeColor="background1"/>
              <w:bottom w:val="single" w:sz="4" w:space="0" w:color="auto"/>
              <w:right w:val="nil"/>
            </w:tcBorders>
            <w:shd w:val="clear" w:color="auto" w:fill="FFFFFF" w:themeFill="background1"/>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Clarksons SIN</w:t>
            </w:r>
          </w:p>
        </w:tc>
      </w:tr>
      <w:tr w:rsidR="000533C5" w:rsidRPr="003F0970" w:rsidTr="007B3610">
        <w:trPr>
          <w:trHeight w:val="397"/>
        </w:trPr>
        <w:tc>
          <w:tcPr>
            <w:tcW w:w="21042" w:type="dxa"/>
            <w:gridSpan w:val="6"/>
            <w:tcBorders>
              <w:top w:val="single" w:sz="4" w:space="0" w:color="auto"/>
              <w:left w:val="nil"/>
              <w:bottom w:val="single" w:sz="4" w:space="0" w:color="auto"/>
              <w:right w:val="single" w:sz="4" w:space="0" w:color="FFFFFF" w:themeColor="background1"/>
            </w:tcBorders>
            <w:shd w:val="clear" w:color="auto" w:fill="D9D9D9" w:themeFill="background1" w:themeFillShade="D9"/>
            <w:vAlign w:val="center"/>
          </w:tcPr>
          <w:p w:rsidR="000533C5" w:rsidRPr="007B3610" w:rsidRDefault="000533C5" w:rsidP="007B3610">
            <w:pPr>
              <w:rPr>
                <w:rFonts w:ascii="Arial" w:hAnsi="Arial" w:cs="Arial"/>
                <w:bCs/>
                <w:color w:val="auto"/>
                <w:sz w:val="24"/>
                <w:szCs w:val="24"/>
                <w:lang w:eastAsia="en-AU"/>
              </w:rPr>
            </w:pPr>
            <w:r w:rsidRPr="007B3610">
              <w:rPr>
                <w:rFonts w:ascii="Arial" w:hAnsi="Arial" w:cs="Arial"/>
                <w:bCs/>
                <w:color w:val="auto"/>
                <w:sz w:val="24"/>
                <w:szCs w:val="24"/>
                <w:lang w:eastAsia="en-AU"/>
              </w:rPr>
              <w:t>Ship anchorages</w:t>
            </w:r>
            <w:r w:rsidRPr="007B3610">
              <w:rPr>
                <w:rFonts w:ascii="Arial" w:hAnsi="Arial" w:cs="Arial"/>
                <w:color w:val="auto"/>
                <w:sz w:val="24"/>
                <w:szCs w:val="24"/>
                <w:lang w:eastAsia="en-AU"/>
              </w:rPr>
              <w:t> </w:t>
            </w:r>
          </w:p>
        </w:tc>
      </w:tr>
      <w:tr w:rsidR="000533C5" w:rsidRPr="003F0970" w:rsidTr="000533C5">
        <w:trPr>
          <w:trHeight w:val="288"/>
        </w:trPr>
        <w:tc>
          <w:tcPr>
            <w:tcW w:w="1985" w:type="dxa"/>
            <w:vMerge w:val="restart"/>
            <w:tcBorders>
              <w:top w:val="nil"/>
              <w:left w:val="nil"/>
              <w:right w:val="nil"/>
            </w:tcBorders>
            <w:shd w:val="clear" w:color="auto" w:fill="FFFFFF" w:themeFill="background1"/>
          </w:tcPr>
          <w:p w:rsidR="000533C5" w:rsidRPr="000533C5" w:rsidRDefault="000533C5" w:rsidP="000533C5">
            <w:pPr>
              <w:rPr>
                <w:rFonts w:ascii="Arial" w:hAnsi="Arial" w:cs="Arial"/>
                <w:color w:val="auto"/>
                <w:sz w:val="24"/>
                <w:szCs w:val="24"/>
                <w:lang w:eastAsia="en-AU"/>
              </w:rPr>
            </w:pPr>
            <w:r w:rsidRPr="000533C5">
              <w:rPr>
                <w:rFonts w:ascii="Arial" w:hAnsi="Arial" w:cs="Arial"/>
                <w:b w:val="0"/>
                <w:bCs/>
                <w:color w:val="auto"/>
                <w:sz w:val="24"/>
                <w:szCs w:val="24"/>
                <w:lang w:eastAsia="en-AU"/>
              </w:rPr>
              <w:t>Current anchoring assumptions (Year 0)</w:t>
            </w:r>
          </w:p>
        </w:tc>
        <w:tc>
          <w:tcPr>
            <w:tcW w:w="6501" w:type="dxa"/>
            <w:tcBorders>
              <w:top w:val="nil"/>
              <w:left w:val="nil"/>
              <w:bottom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Max. (Equiv.) Designated Anchor Locations - Capesize ships</w:t>
            </w:r>
          </w:p>
        </w:tc>
        <w:tc>
          <w:tcPr>
            <w:tcW w:w="1911" w:type="dxa"/>
            <w:tcBorders>
              <w:top w:val="nil"/>
              <w:left w:val="nil"/>
              <w:bottom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Number ships</w:t>
            </w:r>
          </w:p>
        </w:tc>
        <w:tc>
          <w:tcPr>
            <w:tcW w:w="1551" w:type="dxa"/>
            <w:tcBorders>
              <w:top w:val="nil"/>
              <w:left w:val="nil"/>
              <w:bottom w:val="nil"/>
              <w:right w:val="nil"/>
            </w:tcBorders>
            <w:shd w:val="clear" w:color="auto" w:fill="FFFFFF" w:themeFill="background1"/>
            <w:noWrap/>
            <w:vAlign w:val="bottom"/>
            <w:hideMark/>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50</w:t>
            </w:r>
          </w:p>
        </w:tc>
        <w:tc>
          <w:tcPr>
            <w:tcW w:w="6527" w:type="dxa"/>
            <w:tcBorders>
              <w:top w:val="nil"/>
              <w:left w:val="nil"/>
              <w:bottom w:val="nil"/>
              <w:right w:val="single" w:sz="4" w:space="0" w:color="FFFFFF" w:themeColor="background1"/>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Based on organised designated anchor locations</w:t>
            </w:r>
          </w:p>
        </w:tc>
        <w:tc>
          <w:tcPr>
            <w:tcW w:w="2567" w:type="dxa"/>
            <w:tcBorders>
              <w:top w:val="nil"/>
              <w:left w:val="single" w:sz="4" w:space="0" w:color="FFFFFF" w:themeColor="background1"/>
              <w:bottom w:val="nil"/>
              <w:right w:val="nil"/>
            </w:tcBorders>
            <w:shd w:val="clear" w:color="auto" w:fill="FFFFFF" w:themeFill="background1"/>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 estimates</w:t>
            </w:r>
          </w:p>
        </w:tc>
      </w:tr>
      <w:tr w:rsidR="000533C5" w:rsidRPr="003F0970" w:rsidTr="000533C5">
        <w:trPr>
          <w:trHeight w:val="288"/>
        </w:trPr>
        <w:tc>
          <w:tcPr>
            <w:tcW w:w="1985" w:type="dxa"/>
            <w:vMerge/>
            <w:tcBorders>
              <w:left w:val="nil"/>
              <w:right w:val="nil"/>
            </w:tcBorders>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tcBorders>
              <w:top w:val="nil"/>
              <w:left w:val="nil"/>
              <w:bottom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Max. (Equiv.) Designated Anchor Locations - Panamax ships</w:t>
            </w:r>
          </w:p>
        </w:tc>
        <w:tc>
          <w:tcPr>
            <w:tcW w:w="1911" w:type="dxa"/>
            <w:tcBorders>
              <w:top w:val="nil"/>
              <w:left w:val="nil"/>
              <w:bottom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Number ships</w:t>
            </w:r>
          </w:p>
        </w:tc>
        <w:tc>
          <w:tcPr>
            <w:tcW w:w="1551" w:type="dxa"/>
            <w:tcBorders>
              <w:top w:val="nil"/>
              <w:left w:val="nil"/>
              <w:bottom w:val="nil"/>
              <w:right w:val="nil"/>
            </w:tcBorders>
            <w:shd w:val="clear" w:color="auto" w:fill="FFFFFF" w:themeFill="background1"/>
            <w:noWrap/>
            <w:vAlign w:val="bottom"/>
            <w:hideMark/>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50</w:t>
            </w:r>
          </w:p>
        </w:tc>
        <w:tc>
          <w:tcPr>
            <w:tcW w:w="6527" w:type="dxa"/>
            <w:tcBorders>
              <w:top w:val="nil"/>
              <w:left w:val="nil"/>
              <w:bottom w:val="nil"/>
              <w:right w:val="single" w:sz="4" w:space="0" w:color="FFFFFF" w:themeColor="background1"/>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Based on organised designated anchor locations</w:t>
            </w:r>
          </w:p>
        </w:tc>
        <w:tc>
          <w:tcPr>
            <w:tcW w:w="2567" w:type="dxa"/>
            <w:tcBorders>
              <w:top w:val="nil"/>
              <w:left w:val="single" w:sz="4" w:space="0" w:color="FFFFFF" w:themeColor="background1"/>
              <w:bottom w:val="nil"/>
              <w:right w:val="nil"/>
            </w:tcBorders>
            <w:shd w:val="clear" w:color="auto" w:fill="FFFFFF" w:themeFill="background1"/>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 estimates</w:t>
            </w:r>
          </w:p>
        </w:tc>
      </w:tr>
      <w:tr w:rsidR="000533C5" w:rsidRPr="003F0970" w:rsidTr="000533C5">
        <w:trPr>
          <w:trHeight w:val="288"/>
        </w:trPr>
        <w:tc>
          <w:tcPr>
            <w:tcW w:w="1985" w:type="dxa"/>
            <w:vMerge/>
            <w:tcBorders>
              <w:left w:val="nil"/>
              <w:right w:val="nil"/>
            </w:tcBorders>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tcBorders>
              <w:top w:val="nil"/>
              <w:left w:val="nil"/>
              <w:bottom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Max. (Equiv.) Designated Anchor Locations - Other ships</w:t>
            </w:r>
          </w:p>
        </w:tc>
        <w:tc>
          <w:tcPr>
            <w:tcW w:w="1911" w:type="dxa"/>
            <w:tcBorders>
              <w:top w:val="nil"/>
              <w:left w:val="nil"/>
              <w:bottom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Number ships</w:t>
            </w:r>
          </w:p>
        </w:tc>
        <w:tc>
          <w:tcPr>
            <w:tcW w:w="1551" w:type="dxa"/>
            <w:tcBorders>
              <w:top w:val="nil"/>
              <w:left w:val="nil"/>
              <w:bottom w:val="nil"/>
              <w:right w:val="nil"/>
            </w:tcBorders>
            <w:shd w:val="clear" w:color="auto" w:fill="FFFFFF" w:themeFill="background1"/>
            <w:noWrap/>
            <w:vAlign w:val="bottom"/>
            <w:hideMark/>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w:t>
            </w:r>
          </w:p>
        </w:tc>
        <w:tc>
          <w:tcPr>
            <w:tcW w:w="6527" w:type="dxa"/>
            <w:tcBorders>
              <w:top w:val="nil"/>
              <w:left w:val="nil"/>
              <w:bottom w:val="nil"/>
              <w:right w:val="single" w:sz="4" w:space="0" w:color="FFFFFF" w:themeColor="background1"/>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Based on organised designated anchor locations</w:t>
            </w:r>
          </w:p>
        </w:tc>
        <w:tc>
          <w:tcPr>
            <w:tcW w:w="2567" w:type="dxa"/>
            <w:tcBorders>
              <w:top w:val="nil"/>
              <w:left w:val="single" w:sz="4" w:space="0" w:color="FFFFFF" w:themeColor="background1"/>
              <w:bottom w:val="nil"/>
              <w:right w:val="nil"/>
            </w:tcBorders>
            <w:shd w:val="clear" w:color="auto" w:fill="FFFFFF" w:themeFill="background1"/>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 estimates</w:t>
            </w:r>
          </w:p>
        </w:tc>
      </w:tr>
      <w:tr w:rsidR="000533C5" w:rsidRPr="003F0970" w:rsidTr="000533C5">
        <w:trPr>
          <w:trHeight w:val="288"/>
        </w:trPr>
        <w:tc>
          <w:tcPr>
            <w:tcW w:w="1985" w:type="dxa"/>
            <w:vMerge/>
            <w:tcBorders>
              <w:left w:val="nil"/>
              <w:right w:val="nil"/>
            </w:tcBorders>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tcBorders>
              <w:top w:val="nil"/>
              <w:left w:val="nil"/>
              <w:bottom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minimum area using organised designated</w:t>
            </w:r>
          </w:p>
        </w:tc>
        <w:tc>
          <w:tcPr>
            <w:tcW w:w="1911" w:type="dxa"/>
            <w:tcBorders>
              <w:top w:val="nil"/>
              <w:left w:val="nil"/>
              <w:bottom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Hectares</w:t>
            </w:r>
          </w:p>
        </w:tc>
        <w:tc>
          <w:tcPr>
            <w:tcW w:w="1551" w:type="dxa"/>
            <w:tcBorders>
              <w:top w:val="nil"/>
              <w:left w:val="nil"/>
              <w:bottom w:val="nil"/>
              <w:right w:val="nil"/>
            </w:tcBorders>
            <w:shd w:val="clear" w:color="auto" w:fill="FFFFFF" w:themeFill="background1"/>
            <w:noWrap/>
            <w:vAlign w:val="bottom"/>
            <w:hideMark/>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12,500</w:t>
            </w:r>
          </w:p>
        </w:tc>
        <w:tc>
          <w:tcPr>
            <w:tcW w:w="6527" w:type="dxa"/>
            <w:tcBorders>
              <w:top w:val="nil"/>
              <w:left w:val="nil"/>
              <w:bottom w:val="nil"/>
              <w:right w:val="single" w:sz="4" w:space="0" w:color="FFFFFF" w:themeColor="background1"/>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Based on organised designated anchor locations</w:t>
            </w:r>
          </w:p>
        </w:tc>
        <w:tc>
          <w:tcPr>
            <w:tcW w:w="2567" w:type="dxa"/>
            <w:tcBorders>
              <w:top w:val="nil"/>
              <w:left w:val="single" w:sz="4" w:space="0" w:color="FFFFFF" w:themeColor="background1"/>
              <w:bottom w:val="nil"/>
              <w:right w:val="nil"/>
            </w:tcBorders>
            <w:shd w:val="clear" w:color="auto" w:fill="FFFFFF" w:themeFill="background1"/>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 estimates</w:t>
            </w:r>
          </w:p>
        </w:tc>
      </w:tr>
      <w:tr w:rsidR="000533C5" w:rsidRPr="003F0970" w:rsidTr="000533C5">
        <w:trPr>
          <w:trHeight w:val="288"/>
        </w:trPr>
        <w:tc>
          <w:tcPr>
            <w:tcW w:w="1985" w:type="dxa"/>
            <w:vMerge/>
            <w:tcBorders>
              <w:left w:val="nil"/>
              <w:bottom w:val="single" w:sz="4" w:space="0" w:color="auto"/>
              <w:right w:val="nil"/>
            </w:tcBorders>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tcBorders>
              <w:top w:val="nil"/>
              <w:left w:val="nil"/>
              <w:bottom w:val="single" w:sz="4" w:space="0" w:color="auto"/>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Currently Designated Anchor Locations</w:t>
            </w:r>
          </w:p>
        </w:tc>
        <w:tc>
          <w:tcPr>
            <w:tcW w:w="1911" w:type="dxa"/>
            <w:tcBorders>
              <w:top w:val="nil"/>
              <w:left w:val="nil"/>
              <w:bottom w:val="single" w:sz="4" w:space="0" w:color="auto"/>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Yes/No</w:t>
            </w:r>
          </w:p>
        </w:tc>
        <w:tc>
          <w:tcPr>
            <w:tcW w:w="1551" w:type="dxa"/>
            <w:tcBorders>
              <w:top w:val="nil"/>
              <w:left w:val="nil"/>
              <w:bottom w:val="single" w:sz="4" w:space="0" w:color="auto"/>
              <w:right w:val="nil"/>
            </w:tcBorders>
            <w:shd w:val="clear" w:color="auto" w:fill="FFFFFF" w:themeFill="background1"/>
            <w:noWrap/>
            <w:vAlign w:val="bottom"/>
            <w:hideMark/>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No</w:t>
            </w:r>
          </w:p>
        </w:tc>
        <w:tc>
          <w:tcPr>
            <w:tcW w:w="6527" w:type="dxa"/>
            <w:tcBorders>
              <w:top w:val="nil"/>
              <w:left w:val="nil"/>
              <w:bottom w:val="single" w:sz="4" w:space="0" w:color="auto"/>
              <w:right w:val="single" w:sz="4" w:space="0" w:color="FFFFFF" w:themeColor="background1"/>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Current method of using anchorages - designated locations or variable within</w:t>
            </w:r>
          </w:p>
        </w:tc>
        <w:tc>
          <w:tcPr>
            <w:tcW w:w="2567" w:type="dxa"/>
            <w:tcBorders>
              <w:top w:val="nil"/>
              <w:left w:val="single" w:sz="4" w:space="0" w:color="FFFFFF" w:themeColor="background1"/>
              <w:bottom w:val="single" w:sz="4" w:space="0" w:color="auto"/>
              <w:right w:val="nil"/>
            </w:tcBorders>
            <w:shd w:val="clear" w:color="auto" w:fill="FFFFFF" w:themeFill="background1"/>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val="restart"/>
            <w:tcBorders>
              <w:top w:val="single" w:sz="4" w:space="0" w:color="auto"/>
              <w:left w:val="nil"/>
              <w:right w:val="nil"/>
            </w:tcBorders>
            <w:shd w:val="clear" w:color="auto" w:fill="FFFFFF" w:themeFill="background1"/>
          </w:tcPr>
          <w:p w:rsidR="000533C5" w:rsidRPr="000533C5" w:rsidRDefault="000533C5" w:rsidP="000533C5">
            <w:pPr>
              <w:rPr>
                <w:rFonts w:ascii="Arial" w:hAnsi="Arial" w:cs="Arial"/>
                <w:color w:val="auto"/>
                <w:sz w:val="24"/>
                <w:szCs w:val="24"/>
                <w:lang w:eastAsia="en-AU"/>
              </w:rPr>
            </w:pPr>
            <w:r w:rsidRPr="000533C5">
              <w:rPr>
                <w:rFonts w:ascii="Arial" w:hAnsi="Arial" w:cs="Arial"/>
                <w:b w:val="0"/>
                <w:bCs/>
                <w:color w:val="auto"/>
                <w:sz w:val="24"/>
                <w:szCs w:val="24"/>
                <w:lang w:eastAsia="en-AU"/>
              </w:rPr>
              <w:t>Other anchorage assumptions</w:t>
            </w:r>
          </w:p>
        </w:tc>
        <w:tc>
          <w:tcPr>
            <w:tcW w:w="6501" w:type="dxa"/>
            <w:tcBorders>
              <w:top w:val="single" w:sz="4" w:space="0" w:color="auto"/>
              <w:left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 xml:space="preserve">Minimum area required per anchored Capesize ship </w:t>
            </w:r>
          </w:p>
        </w:tc>
        <w:tc>
          <w:tcPr>
            <w:tcW w:w="1911" w:type="dxa"/>
            <w:tcBorders>
              <w:top w:val="single" w:sz="4" w:space="0" w:color="auto"/>
              <w:left w:val="nil"/>
              <w:righ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Hectares</w:t>
            </w:r>
          </w:p>
        </w:tc>
        <w:tc>
          <w:tcPr>
            <w:tcW w:w="1551" w:type="dxa"/>
            <w:tcBorders>
              <w:top w:val="single" w:sz="4" w:space="0" w:color="auto"/>
              <w:left w:val="nil"/>
              <w:right w:val="nil"/>
            </w:tcBorders>
            <w:shd w:val="clear" w:color="auto" w:fill="FFFFFF" w:themeFill="background1"/>
            <w:noWrap/>
            <w:vAlign w:val="bottom"/>
            <w:hideMark/>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125</w:t>
            </w:r>
          </w:p>
        </w:tc>
        <w:tc>
          <w:tcPr>
            <w:tcW w:w="6527" w:type="dxa"/>
            <w:tcBorders>
              <w:top w:val="single" w:sz="4" w:space="0" w:color="auto"/>
              <w:left w:val="nil"/>
              <w:right w:val="single" w:sz="4" w:space="0" w:color="FFFFFF" w:themeColor="background1"/>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for both Capesize and Panamax requirements</w:t>
            </w:r>
          </w:p>
        </w:tc>
        <w:tc>
          <w:tcPr>
            <w:tcW w:w="2567" w:type="dxa"/>
            <w:tcBorders>
              <w:top w:val="single" w:sz="4" w:space="0" w:color="auto"/>
              <w:left w:val="single" w:sz="4" w:space="0" w:color="FFFFFF" w:themeColor="background1"/>
              <w:right w:val="nil"/>
            </w:tcBorders>
            <w:shd w:val="clear" w:color="auto" w:fill="FFFFFF" w:themeFill="background1"/>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 estimates</w:t>
            </w:r>
          </w:p>
        </w:tc>
      </w:tr>
      <w:tr w:rsidR="000533C5" w:rsidRPr="003F0970" w:rsidTr="000533C5">
        <w:trPr>
          <w:trHeight w:val="288"/>
        </w:trPr>
        <w:tc>
          <w:tcPr>
            <w:tcW w:w="1985" w:type="dxa"/>
            <w:vMerge/>
            <w:tcBorders>
              <w:left w:val="nil"/>
            </w:tcBorders>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tcBorders>
              <w:top w:val="nil"/>
              <w:left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 xml:space="preserve">Minimum area required per anchored Panamax ship </w:t>
            </w:r>
          </w:p>
        </w:tc>
        <w:tc>
          <w:tcPr>
            <w:tcW w:w="1911" w:type="dxa"/>
            <w:tcBorders>
              <w:top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Hectares</w:t>
            </w:r>
          </w:p>
        </w:tc>
        <w:tc>
          <w:tcPr>
            <w:tcW w:w="1551" w:type="dxa"/>
            <w:tcBorders>
              <w:top w:val="nil"/>
            </w:tcBorders>
            <w:shd w:val="clear" w:color="auto" w:fill="FFFFFF" w:themeFill="background1"/>
            <w:noWrap/>
            <w:vAlign w:val="bottom"/>
            <w:hideMark/>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125</w:t>
            </w:r>
          </w:p>
        </w:tc>
        <w:tc>
          <w:tcPr>
            <w:tcW w:w="6527" w:type="dxa"/>
            <w:tcBorders>
              <w:top w:val="nil"/>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for both Capesize and Panamax requirements</w:t>
            </w:r>
          </w:p>
        </w:tc>
        <w:tc>
          <w:tcPr>
            <w:tcW w:w="2567" w:type="dxa"/>
            <w:tcBorders>
              <w:top w:val="nil"/>
              <w:right w:val="nil"/>
            </w:tcBorders>
            <w:shd w:val="clear" w:color="auto" w:fill="FFFFFF" w:themeFill="background1"/>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 estimates</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 xml:space="preserve">Minimum area required per anchored Other ship </w:t>
            </w:r>
          </w:p>
        </w:tc>
        <w:tc>
          <w:tcPr>
            <w:tcW w:w="1911" w:type="dxa"/>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Hectares</w:t>
            </w:r>
          </w:p>
        </w:tc>
        <w:tc>
          <w:tcPr>
            <w:tcW w:w="1551" w:type="dxa"/>
            <w:shd w:val="clear" w:color="auto" w:fill="FFFFFF" w:themeFill="background1"/>
            <w:noWrap/>
            <w:vAlign w:val="bottom"/>
            <w:hideMark/>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125</w:t>
            </w:r>
          </w:p>
        </w:tc>
        <w:tc>
          <w:tcPr>
            <w:tcW w:w="6527" w:type="dxa"/>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for both Capesize and Panamax requirements</w:t>
            </w:r>
          </w:p>
        </w:tc>
        <w:tc>
          <w:tcPr>
            <w:tcW w:w="2567" w:type="dxa"/>
            <w:shd w:val="clear" w:color="auto" w:fill="FFFFFF" w:themeFill="background1"/>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 estimates</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Contingency anchorages in addition to arrivals demand</w:t>
            </w:r>
          </w:p>
        </w:tc>
        <w:tc>
          <w:tcPr>
            <w:tcW w:w="1911" w:type="dxa"/>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Per cent</w:t>
            </w:r>
          </w:p>
        </w:tc>
        <w:tc>
          <w:tcPr>
            <w:tcW w:w="1551" w:type="dxa"/>
            <w:shd w:val="clear" w:color="auto" w:fill="FFFFFF" w:themeFill="background1"/>
            <w:noWrap/>
            <w:vAlign w:val="bottom"/>
            <w:hideMark/>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5%</w:t>
            </w:r>
          </w:p>
        </w:tc>
        <w:tc>
          <w:tcPr>
            <w:tcW w:w="6527" w:type="dxa"/>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To cater for port removals, anchoring on departure (assume Capesized anchorages)</w:t>
            </w:r>
          </w:p>
        </w:tc>
        <w:tc>
          <w:tcPr>
            <w:tcW w:w="2567" w:type="dxa"/>
            <w:shd w:val="clear" w:color="auto" w:fill="FFFFFF" w:themeFill="background1"/>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 estimates</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Fixed Offshore Mooring - CAPEX/unit</w:t>
            </w:r>
          </w:p>
        </w:tc>
        <w:tc>
          <w:tcPr>
            <w:tcW w:w="1911" w:type="dxa"/>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w:t>
            </w:r>
          </w:p>
        </w:tc>
        <w:tc>
          <w:tcPr>
            <w:tcW w:w="1551" w:type="dxa"/>
            <w:shd w:val="clear" w:color="auto" w:fill="FFFFFF" w:themeFill="background1"/>
            <w:noWrap/>
            <w:vAlign w:val="bottom"/>
            <w:hideMark/>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$1,000,000</w:t>
            </w:r>
          </w:p>
        </w:tc>
        <w:tc>
          <w:tcPr>
            <w:tcW w:w="6527" w:type="dxa"/>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CAPEX of a simple single point mooring (or SBM)</w:t>
            </w:r>
          </w:p>
        </w:tc>
        <w:tc>
          <w:tcPr>
            <w:tcW w:w="2567" w:type="dxa"/>
            <w:shd w:val="clear" w:color="auto" w:fill="FFFFFF" w:themeFill="background1"/>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 estimates</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Fixed Offshore Mooring - OPEX/year/unit</w:t>
            </w:r>
          </w:p>
        </w:tc>
        <w:tc>
          <w:tcPr>
            <w:tcW w:w="1911" w:type="dxa"/>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Per cent</w:t>
            </w:r>
          </w:p>
        </w:tc>
        <w:tc>
          <w:tcPr>
            <w:tcW w:w="1551" w:type="dxa"/>
            <w:shd w:val="clear" w:color="auto" w:fill="FFFFFF" w:themeFill="background1"/>
            <w:noWrap/>
            <w:vAlign w:val="bottom"/>
            <w:hideMark/>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2%</w:t>
            </w:r>
          </w:p>
        </w:tc>
        <w:tc>
          <w:tcPr>
            <w:tcW w:w="6527" w:type="dxa"/>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Operating Expenditure - maintenance and management cost</w:t>
            </w:r>
          </w:p>
        </w:tc>
        <w:tc>
          <w:tcPr>
            <w:tcW w:w="2567" w:type="dxa"/>
            <w:shd w:val="clear" w:color="auto" w:fill="auto"/>
          </w:tcPr>
          <w:p w:rsidR="000533C5" w:rsidRPr="007B3610" w:rsidRDefault="000533C5" w:rsidP="000533C5">
            <w:pPr>
              <w:spacing w:after="200" w:line="276" w:lineRule="auto"/>
              <w:rPr>
                <w:rFonts w:ascii="Arial" w:hAnsi="Arial" w:cs="Arial"/>
                <w:b w:val="0"/>
                <w:color w:val="auto"/>
                <w:sz w:val="24"/>
                <w:szCs w:val="24"/>
              </w:rPr>
            </w:pPr>
            <w:r w:rsidRPr="007B3610">
              <w:rPr>
                <w:rFonts w:ascii="Arial" w:hAnsi="Arial" w:cs="Arial"/>
                <w:b w:val="0"/>
                <w:color w:val="auto"/>
                <w:sz w:val="24"/>
                <w:szCs w:val="24"/>
              </w:rPr>
              <w:t>GHD estimates</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Per cent of Daily Ship Op Cost for 1-day wait reduction</w:t>
            </w:r>
          </w:p>
        </w:tc>
        <w:tc>
          <w:tcPr>
            <w:tcW w:w="1911" w:type="dxa"/>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Per cent</w:t>
            </w:r>
          </w:p>
        </w:tc>
        <w:tc>
          <w:tcPr>
            <w:tcW w:w="1551" w:type="dxa"/>
            <w:shd w:val="clear" w:color="auto" w:fill="FFFFFF" w:themeFill="background1"/>
            <w:noWrap/>
            <w:vAlign w:val="bottom"/>
            <w:hideMark/>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100%</w:t>
            </w:r>
          </w:p>
        </w:tc>
        <w:tc>
          <w:tcPr>
            <w:tcW w:w="6527" w:type="dxa"/>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required pricing level for ship owner to avoid waiting at anchor</w:t>
            </w:r>
          </w:p>
        </w:tc>
        <w:tc>
          <w:tcPr>
            <w:tcW w:w="2567" w:type="dxa"/>
            <w:shd w:val="clear" w:color="auto" w:fill="auto"/>
          </w:tcPr>
          <w:p w:rsidR="000533C5" w:rsidRPr="007B3610" w:rsidRDefault="000533C5" w:rsidP="000533C5">
            <w:pPr>
              <w:spacing w:after="200" w:line="276" w:lineRule="auto"/>
              <w:rPr>
                <w:rFonts w:ascii="Arial" w:hAnsi="Arial" w:cs="Arial"/>
                <w:b w:val="0"/>
                <w:color w:val="auto"/>
                <w:sz w:val="24"/>
                <w:szCs w:val="24"/>
              </w:rPr>
            </w:pPr>
            <w:r w:rsidRPr="007B3610">
              <w:rPr>
                <w:rFonts w:ascii="Arial" w:hAnsi="Arial" w:cs="Arial"/>
                <w:b w:val="0"/>
                <w:color w:val="auto"/>
                <w:sz w:val="24"/>
                <w:szCs w:val="24"/>
              </w:rPr>
              <w:t>GHD</w:t>
            </w:r>
          </w:p>
        </w:tc>
      </w:tr>
      <w:tr w:rsidR="000533C5" w:rsidRPr="003F0970" w:rsidTr="000533C5">
        <w:trPr>
          <w:trHeight w:val="288"/>
        </w:trPr>
        <w:tc>
          <w:tcPr>
            <w:tcW w:w="1985" w:type="dxa"/>
            <w:vMerge/>
            <w:tcBorders>
              <w:bottom w:val="single" w:sz="4" w:space="0" w:color="auto"/>
            </w:tcBorders>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tcBorders>
              <w:bottom w:val="single" w:sz="4" w:space="0" w:color="auto"/>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Maximum achievable wait reduction thru Anchor Pricing</w:t>
            </w:r>
          </w:p>
        </w:tc>
        <w:tc>
          <w:tcPr>
            <w:tcW w:w="1911" w:type="dxa"/>
            <w:tcBorders>
              <w:bottom w:val="single" w:sz="4" w:space="0" w:color="auto"/>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Days</w:t>
            </w:r>
          </w:p>
        </w:tc>
        <w:tc>
          <w:tcPr>
            <w:tcW w:w="1551" w:type="dxa"/>
            <w:tcBorders>
              <w:bottom w:val="single" w:sz="4" w:space="0" w:color="auto"/>
            </w:tcBorders>
            <w:shd w:val="clear" w:color="auto" w:fill="FFFFFF" w:themeFill="background1"/>
            <w:noWrap/>
            <w:vAlign w:val="bottom"/>
            <w:hideMark/>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7</w:t>
            </w:r>
          </w:p>
        </w:tc>
        <w:tc>
          <w:tcPr>
            <w:tcW w:w="6527" w:type="dxa"/>
            <w:tcBorders>
              <w:bottom w:val="single" w:sz="4" w:space="0" w:color="auto"/>
            </w:tcBorders>
            <w:shd w:val="clear" w:color="auto" w:fill="FFFFFF" w:themeFill="background1"/>
            <w:noWrap/>
            <w:vAlign w:val="bottom"/>
            <w:hideMark/>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maximum effect of anchor penalty pricing</w:t>
            </w:r>
          </w:p>
        </w:tc>
        <w:tc>
          <w:tcPr>
            <w:tcW w:w="2567" w:type="dxa"/>
            <w:tcBorders>
              <w:bottom w:val="single" w:sz="4" w:space="0" w:color="auto"/>
            </w:tcBorders>
            <w:shd w:val="clear" w:color="auto" w:fill="auto"/>
          </w:tcPr>
          <w:p w:rsidR="000533C5" w:rsidRPr="007B3610" w:rsidRDefault="000533C5" w:rsidP="000533C5">
            <w:pPr>
              <w:spacing w:after="200" w:line="276" w:lineRule="auto"/>
              <w:rPr>
                <w:rFonts w:ascii="Arial" w:hAnsi="Arial" w:cs="Arial"/>
                <w:b w:val="0"/>
                <w:color w:val="auto"/>
                <w:sz w:val="24"/>
                <w:szCs w:val="24"/>
              </w:rPr>
            </w:pPr>
            <w:r w:rsidRPr="007B3610">
              <w:rPr>
                <w:rFonts w:ascii="Arial" w:hAnsi="Arial" w:cs="Arial"/>
                <w:b w:val="0"/>
                <w:color w:val="auto"/>
                <w:sz w:val="24"/>
                <w:szCs w:val="24"/>
              </w:rPr>
              <w:t>GHD</w:t>
            </w:r>
          </w:p>
        </w:tc>
      </w:tr>
      <w:tr w:rsidR="000533C5" w:rsidRPr="003F0970" w:rsidTr="007B3610">
        <w:trPr>
          <w:trHeight w:val="397"/>
        </w:trPr>
        <w:tc>
          <w:tcPr>
            <w:tcW w:w="21042" w:type="dxa"/>
            <w:gridSpan w:val="6"/>
            <w:tcBorders>
              <w:top w:val="single" w:sz="4" w:space="0" w:color="auto"/>
              <w:bottom w:val="single" w:sz="4" w:space="0" w:color="auto"/>
            </w:tcBorders>
            <w:shd w:val="clear" w:color="auto" w:fill="D9D9D9" w:themeFill="background1" w:themeFillShade="D9"/>
            <w:vAlign w:val="center"/>
          </w:tcPr>
          <w:p w:rsidR="000533C5" w:rsidRPr="007B3610" w:rsidRDefault="000533C5" w:rsidP="007B3610">
            <w:pPr>
              <w:rPr>
                <w:rFonts w:ascii="Arial" w:hAnsi="Arial" w:cs="Arial"/>
                <w:color w:val="auto"/>
                <w:sz w:val="24"/>
                <w:szCs w:val="24"/>
              </w:rPr>
            </w:pPr>
            <w:r w:rsidRPr="007B3610">
              <w:rPr>
                <w:rFonts w:ascii="Arial" w:hAnsi="Arial" w:cs="Arial"/>
                <w:bCs/>
                <w:color w:val="auto"/>
                <w:sz w:val="24"/>
                <w:szCs w:val="24"/>
                <w:lang w:eastAsia="en-AU"/>
              </w:rPr>
              <w:t>Other commercial maritime</w:t>
            </w:r>
          </w:p>
        </w:tc>
      </w:tr>
      <w:tr w:rsidR="000533C5" w:rsidRPr="003F0970" w:rsidTr="000533C5">
        <w:trPr>
          <w:trHeight w:val="288"/>
        </w:trPr>
        <w:tc>
          <w:tcPr>
            <w:tcW w:w="1985" w:type="dxa"/>
            <w:vMerge w:val="restart"/>
            <w:shd w:val="clear" w:color="auto" w:fill="FFFFFF" w:themeFill="background1"/>
          </w:tcPr>
          <w:p w:rsidR="000533C5" w:rsidRPr="000533C5" w:rsidRDefault="000533C5" w:rsidP="000533C5">
            <w:pPr>
              <w:rPr>
                <w:rFonts w:ascii="Arial" w:hAnsi="Arial" w:cs="Arial"/>
                <w:color w:val="auto"/>
                <w:sz w:val="24"/>
                <w:szCs w:val="24"/>
                <w:lang w:eastAsia="en-AU"/>
              </w:rPr>
            </w:pPr>
            <w:r w:rsidRPr="000533C5">
              <w:rPr>
                <w:rFonts w:ascii="Arial" w:hAnsi="Arial" w:cs="Arial"/>
                <w:b w:val="0"/>
                <w:bCs/>
                <w:color w:val="auto"/>
                <w:sz w:val="24"/>
                <w:szCs w:val="24"/>
                <w:lang w:eastAsia="en-AU"/>
              </w:rPr>
              <w:t>Port assumptions</w:t>
            </w: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Ship Waiting Berth (Capesize equiv.) - CAPEX/berth</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$10,000,000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Total cost for jetty/wharf (if inner harbour berth upgrade then $10 mln./berth)</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 estimates</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Ship Waiting Berth - OPEX/year/berth (% of CAPEX)</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Per cent</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2%</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Maintenance/management costs</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 estimates</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Waste Reception/Disposal Facilities - CAPEX as % of Berth</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Per cent</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 xml:space="preserve">Total design and construction costs </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 estimates</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Waste Reception/Disposal Facilities - OPEX/yr. (% CAPEX)</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Per cent</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5%</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Maintenance/management/disposal costs</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 estimates</w:t>
            </w:r>
          </w:p>
        </w:tc>
      </w:tr>
      <w:tr w:rsidR="000533C5" w:rsidRPr="003F0970" w:rsidTr="000533C5">
        <w:trPr>
          <w:trHeight w:val="288"/>
        </w:trPr>
        <w:tc>
          <w:tcPr>
            <w:tcW w:w="1985" w:type="dxa"/>
            <w:vMerge w:val="restart"/>
            <w:tcBorders>
              <w:top w:val="single" w:sz="4" w:space="0" w:color="auto"/>
            </w:tcBorders>
            <w:shd w:val="clear" w:color="auto" w:fill="FFFFFF" w:themeFill="background1"/>
          </w:tcPr>
          <w:p w:rsidR="000533C5" w:rsidRPr="000533C5" w:rsidRDefault="000533C5" w:rsidP="000533C5">
            <w:pPr>
              <w:rPr>
                <w:rFonts w:ascii="Arial" w:hAnsi="Arial" w:cs="Arial"/>
                <w:color w:val="auto"/>
                <w:sz w:val="24"/>
                <w:szCs w:val="24"/>
                <w:lang w:eastAsia="en-AU"/>
              </w:rPr>
            </w:pPr>
            <w:r w:rsidRPr="000533C5">
              <w:rPr>
                <w:rFonts w:ascii="Arial" w:hAnsi="Arial" w:cs="Arial"/>
                <w:b w:val="0"/>
                <w:bCs/>
                <w:color w:val="auto"/>
                <w:sz w:val="24"/>
                <w:szCs w:val="24"/>
                <w:lang w:eastAsia="en-AU"/>
              </w:rPr>
              <w:t>Ship assumptions</w:t>
            </w:r>
          </w:p>
        </w:tc>
        <w:tc>
          <w:tcPr>
            <w:tcW w:w="6501" w:type="dxa"/>
            <w:tcBorders>
              <w:top w:val="single" w:sz="4" w:space="0" w:color="auto"/>
            </w:tcBorders>
            <w:shd w:val="clear" w:color="auto" w:fill="FFFFFF" w:themeFill="background1"/>
            <w:noWrap/>
            <w:vAlign w:val="bottom"/>
          </w:tcPr>
          <w:p w:rsidR="000533C5" w:rsidRPr="007B3610" w:rsidRDefault="000533C5" w:rsidP="000533C5">
            <w:pPr>
              <w:jc w:val="both"/>
              <w:rPr>
                <w:rFonts w:ascii="Arial" w:hAnsi="Arial" w:cs="Arial"/>
                <w:b w:val="0"/>
                <w:color w:val="auto"/>
                <w:sz w:val="24"/>
                <w:szCs w:val="24"/>
                <w:lang w:eastAsia="en-AU"/>
              </w:rPr>
            </w:pPr>
            <w:r w:rsidRPr="007B3610">
              <w:rPr>
                <w:rFonts w:ascii="Arial" w:hAnsi="Arial" w:cs="Arial"/>
                <w:b w:val="0"/>
                <w:color w:val="auto"/>
                <w:sz w:val="24"/>
                <w:szCs w:val="24"/>
                <w:lang w:eastAsia="en-AU"/>
              </w:rPr>
              <w:t>Average 10-year Operating Cost Capesize bulker</w:t>
            </w:r>
          </w:p>
        </w:tc>
        <w:tc>
          <w:tcPr>
            <w:tcW w:w="1911"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US$/day</w:t>
            </w:r>
          </w:p>
        </w:tc>
        <w:tc>
          <w:tcPr>
            <w:tcW w:w="1551" w:type="dxa"/>
            <w:tcBorders>
              <w:top w:val="single" w:sz="4" w:space="0" w:color="auto"/>
            </w:tcBorders>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$45,100</w:t>
            </w:r>
          </w:p>
        </w:tc>
        <w:tc>
          <w:tcPr>
            <w:tcW w:w="6527"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Based on 10 year average (2003-2012) 6-month time charter rates for 150,000 dwt</w:t>
            </w:r>
          </w:p>
        </w:tc>
        <w:tc>
          <w:tcPr>
            <w:tcW w:w="2567" w:type="dxa"/>
            <w:tcBorders>
              <w:top w:val="single" w:sz="4" w:space="0" w:color="auto"/>
            </w:tcBorders>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Clarksons/GHD analysis</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Average 10-year Operating Cost Panamax bulker</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US$/day</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$21,600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Based on 10 year average (2003-2012) 6-month time charter rates</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Clarksons/GHD analysis</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Average 10-year Operating Cost Other vessels</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US$/day</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zero since only applied to bulk carriers (coal ships) for options</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Capesize bulker Fuel Saving at sea when scheduled</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T/day</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7</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Based on 25% saving of typical 55 T/day loaded x 50% for in ballast at 14 knots</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Clarksons/GHD analysis</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Panamax bulker Fuel Saving at sea when scheduled</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T/day</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4</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Based on 25% saving of typical 32 T/day loaded x 50% for in ballast at 14 knots</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Clarksons/GHD analysis</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Other Vessel Fuel Saving at sea when scheduled</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T/day</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zero since only applied to bulk carriers (coal ships) for options</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Capesize bulker Days of Saved Fuel at sea</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Days</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7</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as a result of scheduled arrivals option</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Panamax bulker Days of Saved Fuel at sea</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Days</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7</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as a result of scheduled arrivals option</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Other Vessel Days of Saved Fuel at sea</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Days</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zero since only applied to bulk carriers (coal ships) for options</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Implementation Cost of Port Vessel Arrival System</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$1,000,000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One-time implementation cost (based on Newcastle Port example)</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 estimates</w:t>
            </w:r>
          </w:p>
        </w:tc>
      </w:tr>
      <w:tr w:rsidR="000533C5" w:rsidRPr="003F0970" w:rsidTr="000533C5">
        <w:trPr>
          <w:trHeight w:val="288"/>
        </w:trPr>
        <w:tc>
          <w:tcPr>
            <w:tcW w:w="1985" w:type="dxa"/>
            <w:vMerge/>
            <w:tcBorders>
              <w:bottom w:val="single" w:sz="4" w:space="0" w:color="auto"/>
            </w:tcBorders>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Ongoing Cost of Port Vessel Arrival System (% CAPEX)</w:t>
            </w:r>
          </w:p>
        </w:tc>
        <w:tc>
          <w:tcPr>
            <w:tcW w:w="1911"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Per cent</w:t>
            </w:r>
          </w:p>
        </w:tc>
        <w:tc>
          <w:tcPr>
            <w:tcW w:w="1551" w:type="dxa"/>
            <w:tcBorders>
              <w:bottom w:val="single" w:sz="4" w:space="0" w:color="auto"/>
            </w:tcBorders>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10%</w:t>
            </w:r>
          </w:p>
        </w:tc>
        <w:tc>
          <w:tcPr>
            <w:tcW w:w="6527"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Running/management cost (based on Newcastle Port example)</w:t>
            </w:r>
          </w:p>
        </w:tc>
        <w:tc>
          <w:tcPr>
            <w:tcW w:w="2567" w:type="dxa"/>
            <w:tcBorders>
              <w:bottom w:val="single" w:sz="4" w:space="0" w:color="auto"/>
            </w:tcBorders>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 estimates</w:t>
            </w:r>
          </w:p>
        </w:tc>
      </w:tr>
      <w:tr w:rsidR="000533C5" w:rsidRPr="003F0970" w:rsidTr="007B3610">
        <w:trPr>
          <w:trHeight w:val="397"/>
        </w:trPr>
        <w:tc>
          <w:tcPr>
            <w:tcW w:w="21042" w:type="dxa"/>
            <w:gridSpan w:val="6"/>
            <w:tcBorders>
              <w:top w:val="single" w:sz="4" w:space="0" w:color="auto"/>
              <w:bottom w:val="single" w:sz="4" w:space="0" w:color="auto"/>
            </w:tcBorders>
            <w:shd w:val="clear" w:color="auto" w:fill="D9D9D9" w:themeFill="background1" w:themeFillShade="D9"/>
            <w:vAlign w:val="center"/>
          </w:tcPr>
          <w:p w:rsidR="000533C5" w:rsidRPr="007B3610" w:rsidRDefault="000533C5" w:rsidP="007B3610">
            <w:pPr>
              <w:rPr>
                <w:rFonts w:ascii="Arial" w:hAnsi="Arial" w:cs="Arial"/>
                <w:color w:val="auto"/>
                <w:sz w:val="24"/>
                <w:szCs w:val="24"/>
                <w:lang w:eastAsia="en-AU"/>
              </w:rPr>
            </w:pPr>
            <w:r w:rsidRPr="007B3610">
              <w:rPr>
                <w:rFonts w:ascii="Arial" w:hAnsi="Arial" w:cs="Arial"/>
                <w:bCs/>
                <w:color w:val="auto"/>
                <w:sz w:val="24"/>
                <w:szCs w:val="24"/>
                <w:lang w:eastAsia="en-AU"/>
              </w:rPr>
              <w:t>Environment</w:t>
            </w:r>
          </w:p>
        </w:tc>
      </w:tr>
      <w:tr w:rsidR="000533C5" w:rsidRPr="003F0970" w:rsidTr="000533C5">
        <w:trPr>
          <w:trHeight w:val="288"/>
        </w:trPr>
        <w:tc>
          <w:tcPr>
            <w:tcW w:w="1985" w:type="dxa"/>
            <w:vMerge w:val="restart"/>
            <w:shd w:val="clear" w:color="auto" w:fill="FFFFFF" w:themeFill="background1"/>
          </w:tcPr>
          <w:p w:rsidR="000533C5" w:rsidRPr="000533C5" w:rsidRDefault="000533C5" w:rsidP="000533C5">
            <w:pPr>
              <w:rPr>
                <w:rFonts w:ascii="Arial" w:hAnsi="Arial" w:cs="Arial"/>
                <w:color w:val="auto"/>
                <w:sz w:val="24"/>
                <w:szCs w:val="24"/>
                <w:lang w:eastAsia="en-AU"/>
              </w:rPr>
            </w:pPr>
            <w:r w:rsidRPr="000533C5">
              <w:rPr>
                <w:rFonts w:ascii="Arial" w:hAnsi="Arial" w:cs="Arial"/>
                <w:b w:val="0"/>
                <w:bCs/>
                <w:color w:val="auto"/>
                <w:sz w:val="24"/>
                <w:szCs w:val="24"/>
                <w:lang w:eastAsia="en-AU"/>
              </w:rPr>
              <w:t>Expanded anchorage area assumptions</w:t>
            </w: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Share of Expanded area with Environmental values</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Per cent</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100%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conservatively all of value reflecting offset approach to calculating cost</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Share of Area with value directly lost by anchoring</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Per cent</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100%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conservatively all of lost reflecting offset approach to calculating cost</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Share of Area with value directly lost by Fixed Mooring</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Per cent</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80%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as consequence of installing Fixed Offshore Mooring structures</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Value of Area directly lost (one-time)</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A$/hectare</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$50,000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lost in year of expansion, value based on Queensland marine values</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tcBorders>
              <w:bottom w:val="single" w:sz="4" w:space="0" w:color="auto"/>
            </w:tcBorders>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Value of Area directly lost (ongoing)</w:t>
            </w:r>
          </w:p>
        </w:tc>
        <w:tc>
          <w:tcPr>
            <w:tcW w:w="1911"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A$/hectare/year</w:t>
            </w:r>
          </w:p>
        </w:tc>
        <w:tc>
          <w:tcPr>
            <w:tcW w:w="1551" w:type="dxa"/>
            <w:tcBorders>
              <w:bottom w:val="single" w:sz="4" w:space="0" w:color="auto"/>
            </w:tcBorders>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$50,000</w:t>
            </w:r>
          </w:p>
        </w:tc>
        <w:tc>
          <w:tcPr>
            <w:tcW w:w="6527"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lost over next 19 years, based on Queensland approach (i.e. max. 20 years)</w:t>
            </w:r>
          </w:p>
        </w:tc>
        <w:tc>
          <w:tcPr>
            <w:tcW w:w="2567" w:type="dxa"/>
            <w:tcBorders>
              <w:bottom w:val="single" w:sz="4" w:space="0" w:color="auto"/>
            </w:tcBorders>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val="restart"/>
            <w:tcBorders>
              <w:top w:val="single" w:sz="4" w:space="0" w:color="auto"/>
            </w:tcBorders>
            <w:shd w:val="clear" w:color="auto" w:fill="FFFFFF" w:themeFill="background1"/>
          </w:tcPr>
          <w:p w:rsidR="000533C5" w:rsidRPr="000533C5" w:rsidRDefault="000533C5" w:rsidP="000533C5">
            <w:pPr>
              <w:rPr>
                <w:rFonts w:ascii="Arial" w:hAnsi="Arial" w:cs="Arial"/>
                <w:color w:val="auto"/>
                <w:sz w:val="24"/>
                <w:szCs w:val="24"/>
                <w:lang w:eastAsia="en-AU"/>
              </w:rPr>
            </w:pPr>
            <w:r w:rsidRPr="000533C5">
              <w:rPr>
                <w:rFonts w:ascii="Arial" w:hAnsi="Arial" w:cs="Arial"/>
                <w:b w:val="0"/>
                <w:bCs/>
                <w:color w:val="auto"/>
                <w:sz w:val="24"/>
                <w:szCs w:val="24"/>
                <w:lang w:eastAsia="en-AU"/>
              </w:rPr>
              <w:t>Vessel-related assumptions</w:t>
            </w:r>
          </w:p>
        </w:tc>
        <w:tc>
          <w:tcPr>
            <w:tcW w:w="6501"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Ship Fuel Greenhouse Gas Emissions/T of Fuel used</w:t>
            </w:r>
          </w:p>
        </w:tc>
        <w:tc>
          <w:tcPr>
            <w:tcW w:w="1911"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T-CO2</w:t>
            </w:r>
          </w:p>
        </w:tc>
        <w:tc>
          <w:tcPr>
            <w:tcW w:w="1551" w:type="dxa"/>
            <w:tcBorders>
              <w:top w:val="single" w:sz="4" w:space="0" w:color="auto"/>
            </w:tcBorders>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3.11</w:t>
            </w:r>
          </w:p>
        </w:tc>
        <w:tc>
          <w:tcPr>
            <w:tcW w:w="6527"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Based on Heavy Fuel Oil</w:t>
            </w:r>
          </w:p>
        </w:tc>
        <w:tc>
          <w:tcPr>
            <w:tcW w:w="2567" w:type="dxa"/>
            <w:tcBorders>
              <w:top w:val="single" w:sz="4" w:space="0" w:color="auto"/>
            </w:tcBorders>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RightShip/IMO</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Cost of Ship Fuel Greenhouse Gas Emissions</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A$/T</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$23</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Weighted for mix of CO2, SO2 and particulates etc. per tonne eqyuivalent</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Australian Government</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Average non-air Pollution by ship per anchor visit</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Kg</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Rubbish and other pollutants weighted by occurrence</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Cost of cleaning-up non-air Vessel Pollution</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A$/Kg</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$5</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mix of commercial &amp; volunteer (leisure-time)</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Fishing Vessel Fuel Greenh. Emissions/T of Fuel used</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T-CO2</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3.21</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Based on Diesel Oil</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RightShip/IMO</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Reef Tour Vessel Fuel Greenh. Gas Emissions/T of Fuel used</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T-CO2</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3.21</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Based on Diesel Oil</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RightShip/IMO</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Recreational Boat Fuel Greenh. Gas Emissions/T of Fuel used</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T-CO2</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3.21</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Based on Diesel Oil</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RightShip/IMO</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Conversion factor, 1 Tonne of MDO/MGO = Litres</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Litres</w:t>
            </w:r>
          </w:p>
        </w:tc>
        <w:tc>
          <w:tcPr>
            <w:tcW w:w="1551" w:type="dxa"/>
            <w:shd w:val="clear" w:color="auto" w:fill="FFFFFF" w:themeFill="background1"/>
            <w:noWrap/>
            <w:vAlign w:val="bottom"/>
          </w:tcPr>
          <w:p w:rsidR="000533C5" w:rsidRPr="007B3610" w:rsidRDefault="00940C20" w:rsidP="000533C5">
            <w:pPr>
              <w:jc w:val="center"/>
              <w:rPr>
                <w:rFonts w:ascii="Arial" w:hAnsi="Arial" w:cs="Arial"/>
                <w:b w:val="0"/>
                <w:color w:val="auto"/>
                <w:sz w:val="24"/>
                <w:szCs w:val="24"/>
                <w:lang w:eastAsia="en-AU"/>
              </w:rPr>
            </w:pPr>
            <w:r>
              <w:rPr>
                <w:rFonts w:ascii="Arial" w:hAnsi="Arial" w:cs="Arial"/>
                <w:b w:val="0"/>
                <w:color w:val="auto"/>
                <w:sz w:val="24"/>
                <w:szCs w:val="24"/>
                <w:lang w:eastAsia="en-AU"/>
              </w:rPr>
              <w:t>1</w:t>
            </w:r>
            <w:r w:rsidR="000533C5" w:rsidRPr="007B3610">
              <w:rPr>
                <w:rFonts w:ascii="Arial" w:hAnsi="Arial" w:cs="Arial"/>
                <w:b w:val="0"/>
                <w:color w:val="auto"/>
                <w:sz w:val="24"/>
                <w:szCs w:val="24"/>
                <w:lang w:eastAsia="en-AU"/>
              </w:rPr>
              <w:t>130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Used to convert litres of fuel to tonnes of fuel</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tcBorders>
              <w:bottom w:val="single" w:sz="4" w:space="0" w:color="auto"/>
            </w:tcBorders>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Cost of Non-trading Vessel Fuel Emissions (weighted)</w:t>
            </w:r>
          </w:p>
        </w:tc>
        <w:tc>
          <w:tcPr>
            <w:tcW w:w="1911"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A$/T-CO2</w:t>
            </w:r>
          </w:p>
        </w:tc>
        <w:tc>
          <w:tcPr>
            <w:tcW w:w="1551" w:type="dxa"/>
            <w:tcBorders>
              <w:bottom w:val="single" w:sz="4" w:space="0" w:color="auto"/>
            </w:tcBorders>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$23</w:t>
            </w:r>
          </w:p>
        </w:tc>
        <w:tc>
          <w:tcPr>
            <w:tcW w:w="6527"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Fixed 2012-2015 CO2 price per Australian Govt. scheme (assumed future price)</w:t>
            </w:r>
          </w:p>
        </w:tc>
        <w:tc>
          <w:tcPr>
            <w:tcW w:w="2567" w:type="dxa"/>
            <w:tcBorders>
              <w:bottom w:val="single" w:sz="4" w:space="0" w:color="auto"/>
            </w:tcBorders>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Australian Government</w:t>
            </w:r>
          </w:p>
        </w:tc>
      </w:tr>
      <w:tr w:rsidR="000533C5" w:rsidRPr="003F0970" w:rsidTr="007B3610">
        <w:trPr>
          <w:trHeight w:val="397"/>
        </w:trPr>
        <w:tc>
          <w:tcPr>
            <w:tcW w:w="21042" w:type="dxa"/>
            <w:gridSpan w:val="6"/>
            <w:tcBorders>
              <w:top w:val="single" w:sz="4" w:space="0" w:color="auto"/>
              <w:bottom w:val="single" w:sz="4" w:space="0" w:color="auto"/>
            </w:tcBorders>
            <w:shd w:val="clear" w:color="auto" w:fill="D9D9D9" w:themeFill="background1" w:themeFillShade="D9"/>
            <w:vAlign w:val="center"/>
          </w:tcPr>
          <w:p w:rsidR="000533C5" w:rsidRPr="007B3610" w:rsidRDefault="000533C5" w:rsidP="007B3610">
            <w:pPr>
              <w:rPr>
                <w:rFonts w:ascii="Arial" w:hAnsi="Arial" w:cs="Arial"/>
                <w:color w:val="auto"/>
                <w:sz w:val="24"/>
                <w:szCs w:val="24"/>
                <w:lang w:eastAsia="en-AU"/>
              </w:rPr>
            </w:pPr>
            <w:r w:rsidRPr="007B3610">
              <w:rPr>
                <w:rFonts w:ascii="Arial" w:hAnsi="Arial" w:cs="Arial"/>
                <w:bCs/>
                <w:color w:val="auto"/>
                <w:sz w:val="24"/>
                <w:szCs w:val="24"/>
                <w:lang w:eastAsia="en-AU"/>
              </w:rPr>
              <w:t>Other anchorage users</w:t>
            </w:r>
          </w:p>
        </w:tc>
      </w:tr>
      <w:tr w:rsidR="000533C5" w:rsidRPr="003F0970" w:rsidTr="000533C5">
        <w:trPr>
          <w:trHeight w:val="288"/>
        </w:trPr>
        <w:tc>
          <w:tcPr>
            <w:tcW w:w="1985" w:type="dxa"/>
            <w:vMerge w:val="restart"/>
            <w:tcBorders>
              <w:top w:val="single" w:sz="4" w:space="0" w:color="auto"/>
            </w:tcBorders>
            <w:shd w:val="clear" w:color="auto" w:fill="FFFFFF" w:themeFill="background1"/>
          </w:tcPr>
          <w:p w:rsidR="000533C5" w:rsidRPr="000533C5" w:rsidRDefault="000533C5" w:rsidP="000533C5">
            <w:pPr>
              <w:rPr>
                <w:rFonts w:ascii="Arial" w:hAnsi="Arial" w:cs="Arial"/>
                <w:color w:val="auto"/>
                <w:sz w:val="24"/>
                <w:szCs w:val="24"/>
                <w:lang w:eastAsia="en-AU"/>
              </w:rPr>
            </w:pPr>
            <w:r w:rsidRPr="000533C5">
              <w:rPr>
                <w:rFonts w:ascii="Arial" w:hAnsi="Arial" w:cs="Arial"/>
                <w:b w:val="0"/>
                <w:bCs/>
                <w:color w:val="auto"/>
                <w:sz w:val="24"/>
                <w:szCs w:val="24"/>
                <w:lang w:eastAsia="en-AU"/>
              </w:rPr>
              <w:t>Commercial fishing assumptions</w:t>
            </w:r>
          </w:p>
        </w:tc>
        <w:tc>
          <w:tcPr>
            <w:tcW w:w="6501"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Average 10-year Operating Cost Fishing Vessels</w:t>
            </w:r>
          </w:p>
        </w:tc>
        <w:tc>
          <w:tcPr>
            <w:tcW w:w="1911"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A$/day</w:t>
            </w:r>
          </w:p>
        </w:tc>
        <w:tc>
          <w:tcPr>
            <w:tcW w:w="1551" w:type="dxa"/>
            <w:tcBorders>
              <w:top w:val="single" w:sz="4" w:space="0" w:color="auto"/>
            </w:tcBorders>
            <w:shd w:val="clear" w:color="auto" w:fill="FFFFFF" w:themeFill="background1"/>
            <w:noWrap/>
            <w:vAlign w:val="bottom"/>
          </w:tcPr>
          <w:p w:rsidR="000533C5" w:rsidRPr="007B3610" w:rsidRDefault="00940C20" w:rsidP="000533C5">
            <w:pPr>
              <w:jc w:val="center"/>
              <w:rPr>
                <w:rFonts w:ascii="Arial" w:hAnsi="Arial" w:cs="Arial"/>
                <w:b w:val="0"/>
                <w:color w:val="auto"/>
                <w:sz w:val="24"/>
                <w:szCs w:val="24"/>
                <w:lang w:eastAsia="en-AU"/>
              </w:rPr>
            </w:pPr>
            <w:r>
              <w:rPr>
                <w:rFonts w:ascii="Arial" w:hAnsi="Arial" w:cs="Arial"/>
                <w:b w:val="0"/>
                <w:color w:val="auto"/>
                <w:sz w:val="24"/>
                <w:szCs w:val="24"/>
                <w:lang w:eastAsia="en-AU"/>
              </w:rPr>
              <w:t>$1</w:t>
            </w:r>
            <w:r w:rsidR="000533C5" w:rsidRPr="007B3610">
              <w:rPr>
                <w:rFonts w:ascii="Arial" w:hAnsi="Arial" w:cs="Arial"/>
                <w:b w:val="0"/>
                <w:color w:val="auto"/>
                <w:sz w:val="24"/>
                <w:szCs w:val="24"/>
                <w:lang w:eastAsia="en-AU"/>
              </w:rPr>
              <w:t>000</w:t>
            </w:r>
          </w:p>
        </w:tc>
        <w:tc>
          <w:tcPr>
            <w:tcW w:w="6527"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w:t>
            </w:r>
          </w:p>
        </w:tc>
        <w:tc>
          <w:tcPr>
            <w:tcW w:w="2567" w:type="dxa"/>
            <w:tcBorders>
              <w:top w:val="single" w:sz="4" w:space="0" w:color="auto"/>
            </w:tcBorders>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Average Fishing Vessel Fuel Consumption at Sea</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Litres/hour</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94</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When transiting anchorage areas</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Average Diversion Time thru expanded anchorage</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Hours</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0.5</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Extra voyage time caused by expanded anchorage areas</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Commercial Fishing Trips through expanded anchorage</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Number/year</w:t>
            </w:r>
          </w:p>
        </w:tc>
        <w:tc>
          <w:tcPr>
            <w:tcW w:w="1551" w:type="dxa"/>
            <w:shd w:val="clear" w:color="auto" w:fill="FFFFFF" w:themeFill="background1"/>
            <w:noWrap/>
            <w:vAlign w:val="bottom"/>
          </w:tcPr>
          <w:p w:rsidR="000533C5" w:rsidRPr="007B3610" w:rsidRDefault="00940C20" w:rsidP="000533C5">
            <w:pPr>
              <w:jc w:val="center"/>
              <w:rPr>
                <w:rFonts w:ascii="Arial" w:hAnsi="Arial" w:cs="Arial"/>
                <w:b w:val="0"/>
                <w:color w:val="auto"/>
                <w:sz w:val="24"/>
                <w:szCs w:val="24"/>
                <w:lang w:eastAsia="en-AU"/>
              </w:rPr>
            </w:pPr>
            <w:r>
              <w:rPr>
                <w:rFonts w:ascii="Arial" w:hAnsi="Arial" w:cs="Arial"/>
                <w:b w:val="0"/>
                <w:color w:val="auto"/>
                <w:sz w:val="24"/>
                <w:szCs w:val="24"/>
                <w:lang w:eastAsia="en-AU"/>
              </w:rPr>
              <w:t>1</w:t>
            </w:r>
            <w:r w:rsidR="000533C5" w:rsidRPr="007B3610">
              <w:rPr>
                <w:rFonts w:ascii="Arial" w:hAnsi="Arial" w:cs="Arial"/>
                <w:b w:val="0"/>
                <w:color w:val="auto"/>
                <w:sz w:val="24"/>
                <w:szCs w:val="24"/>
                <w:lang w:eastAsia="en-AU"/>
              </w:rPr>
              <w:t>000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 xml:space="preserve">Assumed To/from other fishing grounds </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Loss of Catch in expanded anchorage area</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Kg/hectare/year</w:t>
            </w:r>
          </w:p>
        </w:tc>
        <w:tc>
          <w:tcPr>
            <w:tcW w:w="1551" w:type="dxa"/>
            <w:shd w:val="clear" w:color="auto" w:fill="FFFFFF" w:themeFill="background1"/>
            <w:noWrap/>
            <w:vAlign w:val="bottom"/>
          </w:tcPr>
          <w:p w:rsidR="000533C5" w:rsidRPr="007B3610" w:rsidRDefault="00940C20" w:rsidP="000533C5">
            <w:pPr>
              <w:jc w:val="center"/>
              <w:rPr>
                <w:rFonts w:ascii="Arial" w:hAnsi="Arial" w:cs="Arial"/>
                <w:b w:val="0"/>
                <w:color w:val="auto"/>
                <w:sz w:val="24"/>
                <w:szCs w:val="24"/>
                <w:lang w:eastAsia="en-AU"/>
              </w:rPr>
            </w:pPr>
            <w:r>
              <w:rPr>
                <w:rFonts w:ascii="Arial" w:hAnsi="Arial" w:cs="Arial"/>
                <w:b w:val="0"/>
                <w:color w:val="auto"/>
                <w:sz w:val="24"/>
                <w:szCs w:val="24"/>
                <w:lang w:eastAsia="en-AU"/>
              </w:rPr>
              <w:t>1</w:t>
            </w:r>
            <w:r w:rsidR="000533C5" w:rsidRPr="007B3610">
              <w:rPr>
                <w:rFonts w:ascii="Arial" w:hAnsi="Arial" w:cs="Arial"/>
                <w:b w:val="0"/>
                <w:color w:val="auto"/>
                <w:sz w:val="24"/>
                <w:szCs w:val="24"/>
                <w:lang w:eastAsia="en-AU"/>
              </w:rPr>
              <w:t>000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Loss of catch caused by anchoring in expanded anchorage areas</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ABARE/GHD analysis</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Average Value of Catch lost</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A$/Kg</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value of Loss of catch caused by anchoring in expanded anchorage areas</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ABARE/GHD analysis</w:t>
            </w:r>
          </w:p>
        </w:tc>
      </w:tr>
      <w:tr w:rsidR="000533C5" w:rsidRPr="003F0970" w:rsidTr="000533C5">
        <w:trPr>
          <w:trHeight w:val="288"/>
        </w:trPr>
        <w:tc>
          <w:tcPr>
            <w:tcW w:w="1985" w:type="dxa"/>
            <w:vMerge w:val="restart"/>
            <w:tcBorders>
              <w:top w:val="single" w:sz="4" w:space="0" w:color="auto"/>
            </w:tcBorders>
            <w:shd w:val="clear" w:color="auto" w:fill="FFFFFF" w:themeFill="background1"/>
          </w:tcPr>
          <w:p w:rsidR="000533C5" w:rsidRPr="000533C5" w:rsidRDefault="000533C5" w:rsidP="000533C5">
            <w:pPr>
              <w:rPr>
                <w:rFonts w:ascii="Arial" w:hAnsi="Arial" w:cs="Arial"/>
                <w:color w:val="auto"/>
                <w:sz w:val="24"/>
                <w:szCs w:val="24"/>
                <w:lang w:eastAsia="en-AU"/>
              </w:rPr>
            </w:pPr>
            <w:r w:rsidRPr="000533C5">
              <w:rPr>
                <w:rFonts w:ascii="Arial" w:hAnsi="Arial" w:cs="Arial"/>
                <w:b w:val="0"/>
                <w:bCs/>
                <w:color w:val="auto"/>
                <w:sz w:val="24"/>
                <w:szCs w:val="24"/>
                <w:lang w:eastAsia="en-AU"/>
              </w:rPr>
              <w:t>Commercial tourism (reef operators)</w:t>
            </w:r>
          </w:p>
        </w:tc>
        <w:tc>
          <w:tcPr>
            <w:tcW w:w="6501"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Average 10-year Operating Cost Reef Tourism Vessels</w:t>
            </w:r>
          </w:p>
        </w:tc>
        <w:tc>
          <w:tcPr>
            <w:tcW w:w="1911"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A$/day</w:t>
            </w:r>
          </w:p>
        </w:tc>
        <w:tc>
          <w:tcPr>
            <w:tcW w:w="1551" w:type="dxa"/>
            <w:tcBorders>
              <w:top w:val="single" w:sz="4" w:space="0" w:color="auto"/>
            </w:tcBorders>
            <w:shd w:val="clear" w:color="auto" w:fill="FFFFFF" w:themeFill="background1"/>
            <w:noWrap/>
            <w:vAlign w:val="bottom"/>
          </w:tcPr>
          <w:p w:rsidR="000533C5" w:rsidRPr="007B3610" w:rsidRDefault="00940C20" w:rsidP="000533C5">
            <w:pPr>
              <w:jc w:val="center"/>
              <w:rPr>
                <w:rFonts w:ascii="Arial" w:hAnsi="Arial" w:cs="Arial"/>
                <w:b w:val="0"/>
                <w:color w:val="auto"/>
                <w:sz w:val="24"/>
                <w:szCs w:val="24"/>
                <w:lang w:eastAsia="en-AU"/>
              </w:rPr>
            </w:pPr>
            <w:r>
              <w:rPr>
                <w:rFonts w:ascii="Arial" w:hAnsi="Arial" w:cs="Arial"/>
                <w:b w:val="0"/>
                <w:color w:val="auto"/>
                <w:sz w:val="24"/>
                <w:szCs w:val="24"/>
                <w:lang w:eastAsia="en-AU"/>
              </w:rPr>
              <w:t>$1</w:t>
            </w:r>
            <w:r w:rsidR="000533C5" w:rsidRPr="007B3610">
              <w:rPr>
                <w:rFonts w:ascii="Arial" w:hAnsi="Arial" w:cs="Arial"/>
                <w:b w:val="0"/>
                <w:color w:val="auto"/>
                <w:sz w:val="24"/>
                <w:szCs w:val="24"/>
                <w:lang w:eastAsia="en-AU"/>
              </w:rPr>
              <w:t>000</w:t>
            </w:r>
          </w:p>
        </w:tc>
        <w:tc>
          <w:tcPr>
            <w:tcW w:w="6527"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w:t>
            </w:r>
          </w:p>
        </w:tc>
        <w:tc>
          <w:tcPr>
            <w:tcW w:w="2567" w:type="dxa"/>
            <w:tcBorders>
              <w:top w:val="single" w:sz="4" w:space="0" w:color="auto"/>
            </w:tcBorders>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Average Reef Tourism Vessel Fuel Consumption at Sea</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Litres/hour</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94</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When transiting anchorage areas</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Average Diversion Time thru expanded anchorage</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Hours</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Extra voyage time caused by expanded anchorage areas</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Commercial Tourism Trips through expanded anchorage</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Number/year</w:t>
            </w:r>
          </w:p>
        </w:tc>
        <w:tc>
          <w:tcPr>
            <w:tcW w:w="1551" w:type="dxa"/>
            <w:shd w:val="clear" w:color="auto" w:fill="FFFFFF" w:themeFill="background1"/>
            <w:noWrap/>
            <w:vAlign w:val="bottom"/>
          </w:tcPr>
          <w:p w:rsidR="000533C5" w:rsidRPr="007B3610" w:rsidRDefault="00940C20" w:rsidP="000533C5">
            <w:pPr>
              <w:jc w:val="center"/>
              <w:rPr>
                <w:rFonts w:ascii="Arial" w:hAnsi="Arial" w:cs="Arial"/>
                <w:b w:val="0"/>
                <w:color w:val="auto"/>
                <w:sz w:val="24"/>
                <w:szCs w:val="24"/>
                <w:lang w:eastAsia="en-AU"/>
              </w:rPr>
            </w:pPr>
            <w:r>
              <w:rPr>
                <w:rFonts w:ascii="Arial" w:hAnsi="Arial" w:cs="Arial"/>
                <w:b w:val="0"/>
                <w:color w:val="auto"/>
                <w:sz w:val="24"/>
                <w:szCs w:val="24"/>
                <w:lang w:eastAsia="en-AU"/>
              </w:rPr>
              <w:t>1</w:t>
            </w:r>
            <w:r w:rsidR="000533C5" w:rsidRPr="007B3610">
              <w:rPr>
                <w:rFonts w:ascii="Arial" w:hAnsi="Arial" w:cs="Arial"/>
                <w:b w:val="0"/>
                <w:color w:val="auto"/>
                <w:sz w:val="24"/>
                <w:szCs w:val="24"/>
                <w:lang w:eastAsia="en-AU"/>
              </w:rPr>
              <w:t>000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Reef tourists impacted by expanded anchorage areas</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Number/year</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tcBorders>
              <w:bottom w:val="single" w:sz="4" w:space="0" w:color="auto"/>
            </w:tcBorders>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Value of Loss to Individual Tourist</w:t>
            </w:r>
          </w:p>
        </w:tc>
        <w:tc>
          <w:tcPr>
            <w:tcW w:w="1911"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A$/person</w:t>
            </w:r>
          </w:p>
        </w:tc>
        <w:tc>
          <w:tcPr>
            <w:tcW w:w="1551" w:type="dxa"/>
            <w:tcBorders>
              <w:bottom w:val="single" w:sz="4" w:space="0" w:color="auto"/>
            </w:tcBorders>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$10</w:t>
            </w:r>
          </w:p>
        </w:tc>
        <w:tc>
          <w:tcPr>
            <w:tcW w:w="6527"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Price reduction tourist prepared to pay for reduced experience</w:t>
            </w:r>
          </w:p>
        </w:tc>
        <w:tc>
          <w:tcPr>
            <w:tcW w:w="2567" w:type="dxa"/>
            <w:tcBorders>
              <w:bottom w:val="single" w:sz="4" w:space="0" w:color="auto"/>
            </w:tcBorders>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val="restart"/>
            <w:tcBorders>
              <w:top w:val="single" w:sz="4" w:space="0" w:color="auto"/>
            </w:tcBorders>
            <w:shd w:val="clear" w:color="auto" w:fill="FFFFFF" w:themeFill="background1"/>
          </w:tcPr>
          <w:p w:rsidR="000533C5" w:rsidRPr="000533C5" w:rsidRDefault="000533C5" w:rsidP="000533C5">
            <w:pPr>
              <w:rPr>
                <w:rFonts w:ascii="Arial" w:hAnsi="Arial" w:cs="Arial"/>
                <w:color w:val="auto"/>
                <w:sz w:val="24"/>
                <w:szCs w:val="24"/>
                <w:lang w:eastAsia="en-AU"/>
              </w:rPr>
            </w:pPr>
            <w:r w:rsidRPr="000533C5">
              <w:rPr>
                <w:rFonts w:ascii="Arial" w:hAnsi="Arial" w:cs="Arial"/>
                <w:b w:val="0"/>
                <w:bCs/>
                <w:color w:val="auto"/>
                <w:sz w:val="24"/>
                <w:szCs w:val="24"/>
                <w:lang w:eastAsia="en-AU"/>
              </w:rPr>
              <w:t>Recreational boating</w:t>
            </w:r>
          </w:p>
        </w:tc>
        <w:tc>
          <w:tcPr>
            <w:tcW w:w="6501"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Average 10-year Operating Cost Recreational Boats</w:t>
            </w:r>
          </w:p>
        </w:tc>
        <w:tc>
          <w:tcPr>
            <w:tcW w:w="1911"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A$/day</w:t>
            </w:r>
          </w:p>
        </w:tc>
        <w:tc>
          <w:tcPr>
            <w:tcW w:w="1551" w:type="dxa"/>
            <w:tcBorders>
              <w:top w:val="single" w:sz="4" w:space="0" w:color="auto"/>
            </w:tcBorders>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w:t>
            </w:r>
          </w:p>
        </w:tc>
        <w:tc>
          <w:tcPr>
            <w:tcW w:w="6527"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not relevant for leisure users</w:t>
            </w:r>
          </w:p>
        </w:tc>
        <w:tc>
          <w:tcPr>
            <w:tcW w:w="2567" w:type="dxa"/>
            <w:tcBorders>
              <w:top w:val="single" w:sz="4" w:space="0" w:color="auto"/>
            </w:tcBorders>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Average Recreational Boat Fuel Consumption at Sea</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Litres/hour</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24</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When transiting anchorage areas</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Average Diversion Time thru expanded anchorage</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Hours</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Extra voyage time caused by expanded anchorage areas</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Recreational trips through expanded anchorages</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Number/year</w:t>
            </w:r>
          </w:p>
        </w:tc>
        <w:tc>
          <w:tcPr>
            <w:tcW w:w="1551" w:type="dxa"/>
            <w:shd w:val="clear" w:color="auto" w:fill="FFFFFF" w:themeFill="background1"/>
            <w:noWrap/>
            <w:vAlign w:val="bottom"/>
          </w:tcPr>
          <w:p w:rsidR="000533C5" w:rsidRPr="007B3610" w:rsidRDefault="00940C20" w:rsidP="000533C5">
            <w:pPr>
              <w:jc w:val="center"/>
              <w:rPr>
                <w:rFonts w:ascii="Arial" w:hAnsi="Arial" w:cs="Arial"/>
                <w:b w:val="0"/>
                <w:color w:val="auto"/>
                <w:sz w:val="24"/>
                <w:szCs w:val="24"/>
                <w:lang w:eastAsia="en-AU"/>
              </w:rPr>
            </w:pPr>
            <w:r>
              <w:rPr>
                <w:rFonts w:ascii="Arial" w:hAnsi="Arial" w:cs="Arial"/>
                <w:b w:val="0"/>
                <w:color w:val="auto"/>
                <w:sz w:val="24"/>
                <w:szCs w:val="24"/>
                <w:lang w:eastAsia="en-AU"/>
              </w:rPr>
              <w:t>5</w:t>
            </w:r>
            <w:r w:rsidR="000533C5" w:rsidRPr="007B3610">
              <w:rPr>
                <w:rFonts w:ascii="Arial" w:hAnsi="Arial" w:cs="Arial"/>
                <w:b w:val="0"/>
                <w:color w:val="auto"/>
                <w:sz w:val="24"/>
                <w:szCs w:val="24"/>
                <w:lang w:eastAsia="en-AU"/>
              </w:rPr>
              <w:t>000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Individuals impacted by expanded anchorage areas</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Number/year</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tcBorders>
              <w:bottom w:val="single" w:sz="4" w:space="0" w:color="auto"/>
            </w:tcBorders>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Value of Loss of Leisure to Individual</w:t>
            </w:r>
          </w:p>
        </w:tc>
        <w:tc>
          <w:tcPr>
            <w:tcW w:w="1911"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A$/person</w:t>
            </w:r>
          </w:p>
        </w:tc>
        <w:tc>
          <w:tcPr>
            <w:tcW w:w="1551" w:type="dxa"/>
            <w:tcBorders>
              <w:bottom w:val="single" w:sz="4" w:space="0" w:color="auto"/>
            </w:tcBorders>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$10</w:t>
            </w:r>
          </w:p>
        </w:tc>
        <w:tc>
          <w:tcPr>
            <w:tcW w:w="6527"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w:t>
            </w:r>
          </w:p>
        </w:tc>
        <w:tc>
          <w:tcPr>
            <w:tcW w:w="2567" w:type="dxa"/>
            <w:tcBorders>
              <w:bottom w:val="single" w:sz="4" w:space="0" w:color="auto"/>
            </w:tcBorders>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7B3610">
        <w:trPr>
          <w:trHeight w:val="397"/>
        </w:trPr>
        <w:tc>
          <w:tcPr>
            <w:tcW w:w="21042" w:type="dxa"/>
            <w:gridSpan w:val="6"/>
            <w:tcBorders>
              <w:top w:val="single" w:sz="4" w:space="0" w:color="auto"/>
              <w:bottom w:val="single" w:sz="4" w:space="0" w:color="auto"/>
            </w:tcBorders>
            <w:shd w:val="clear" w:color="auto" w:fill="D9D9D9" w:themeFill="background1" w:themeFillShade="D9"/>
            <w:vAlign w:val="center"/>
          </w:tcPr>
          <w:p w:rsidR="000533C5" w:rsidRPr="007B3610" w:rsidRDefault="000533C5" w:rsidP="007B3610">
            <w:pPr>
              <w:rPr>
                <w:rFonts w:ascii="Arial" w:hAnsi="Arial" w:cs="Arial"/>
                <w:color w:val="auto"/>
                <w:sz w:val="24"/>
                <w:szCs w:val="24"/>
                <w:lang w:eastAsia="en-AU"/>
              </w:rPr>
            </w:pPr>
            <w:r w:rsidRPr="007B3610">
              <w:rPr>
                <w:rFonts w:ascii="Arial" w:hAnsi="Arial" w:cs="Arial"/>
                <w:bCs/>
                <w:color w:val="auto"/>
                <w:sz w:val="24"/>
                <w:szCs w:val="24"/>
                <w:lang w:eastAsia="en-AU"/>
              </w:rPr>
              <w:t>Other social/com</w:t>
            </w:r>
            <w:r w:rsidRPr="007B3610">
              <w:rPr>
                <w:rFonts w:ascii="Arial" w:hAnsi="Arial" w:cs="Arial"/>
                <w:bCs/>
                <w:color w:val="auto"/>
                <w:sz w:val="24"/>
                <w:szCs w:val="24"/>
                <w:shd w:val="clear" w:color="auto" w:fill="D9D9D9" w:themeFill="background1" w:themeFillShade="D9"/>
                <w:lang w:eastAsia="en-AU"/>
              </w:rPr>
              <w:t>munity</w:t>
            </w:r>
          </w:p>
        </w:tc>
      </w:tr>
      <w:tr w:rsidR="000533C5" w:rsidRPr="003F0970" w:rsidTr="000533C5">
        <w:trPr>
          <w:trHeight w:val="288"/>
        </w:trPr>
        <w:tc>
          <w:tcPr>
            <w:tcW w:w="1985" w:type="dxa"/>
            <w:vMerge w:val="restart"/>
            <w:tcBorders>
              <w:top w:val="single" w:sz="4" w:space="0" w:color="auto"/>
            </w:tcBorders>
            <w:shd w:val="clear" w:color="auto" w:fill="FFFFFF" w:themeFill="background1"/>
          </w:tcPr>
          <w:p w:rsidR="000533C5" w:rsidRPr="000533C5" w:rsidRDefault="000533C5" w:rsidP="000533C5">
            <w:pPr>
              <w:rPr>
                <w:rFonts w:ascii="Arial" w:hAnsi="Arial" w:cs="Arial"/>
                <w:color w:val="auto"/>
                <w:sz w:val="24"/>
                <w:szCs w:val="24"/>
                <w:lang w:eastAsia="en-AU"/>
              </w:rPr>
            </w:pPr>
            <w:r w:rsidRPr="000533C5">
              <w:rPr>
                <w:rFonts w:ascii="Arial" w:hAnsi="Arial" w:cs="Arial"/>
                <w:b w:val="0"/>
                <w:bCs/>
                <w:color w:val="auto"/>
                <w:sz w:val="24"/>
                <w:szCs w:val="24"/>
                <w:lang w:eastAsia="en-AU"/>
              </w:rPr>
              <w:t>Aesthetic impact assumptions</w:t>
            </w:r>
          </w:p>
        </w:tc>
        <w:tc>
          <w:tcPr>
            <w:tcW w:w="6501"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Decline in value of vistas thru expanded anchorages</w:t>
            </w:r>
          </w:p>
        </w:tc>
        <w:tc>
          <w:tcPr>
            <w:tcW w:w="1911"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w:t>
            </w:r>
          </w:p>
        </w:tc>
        <w:tc>
          <w:tcPr>
            <w:tcW w:w="1551" w:type="dxa"/>
            <w:tcBorders>
              <w:top w:val="single" w:sz="4" w:space="0" w:color="auto"/>
            </w:tcBorders>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w:t>
            </w:r>
          </w:p>
        </w:tc>
        <w:tc>
          <w:tcPr>
            <w:tcW w:w="6527"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one-time decline in property values at significant expansion of anchorage</w:t>
            </w:r>
          </w:p>
        </w:tc>
        <w:tc>
          <w:tcPr>
            <w:tcW w:w="2567" w:type="dxa"/>
            <w:tcBorders>
              <w:top w:val="single" w:sz="4" w:space="0" w:color="auto"/>
            </w:tcBorders>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Number of residential properties with decline in value</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Number</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Additional ship viewing attraction</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Persons/year</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Additional ship viewing attraction caused by expanded anchorages</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Time spent on viewing attraction (incl. travel to/from)</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Hours</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tcBorders>
              <w:bottom w:val="single" w:sz="4" w:space="0" w:color="auto"/>
            </w:tcBorders>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Additional ship viewing attraction, leisure time value</w:t>
            </w:r>
          </w:p>
        </w:tc>
        <w:tc>
          <w:tcPr>
            <w:tcW w:w="1911"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A$/hour/person</w:t>
            </w:r>
          </w:p>
        </w:tc>
        <w:tc>
          <w:tcPr>
            <w:tcW w:w="1551" w:type="dxa"/>
            <w:tcBorders>
              <w:bottom w:val="single" w:sz="4" w:space="0" w:color="auto"/>
            </w:tcBorders>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$25</w:t>
            </w:r>
          </w:p>
        </w:tc>
        <w:tc>
          <w:tcPr>
            <w:tcW w:w="6527"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w:t>
            </w:r>
          </w:p>
        </w:tc>
        <w:tc>
          <w:tcPr>
            <w:tcW w:w="2567" w:type="dxa"/>
            <w:tcBorders>
              <w:bottom w:val="single" w:sz="4" w:space="0" w:color="auto"/>
            </w:tcBorders>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val="restart"/>
            <w:tcBorders>
              <w:top w:val="single" w:sz="4" w:space="0" w:color="auto"/>
            </w:tcBorders>
            <w:shd w:val="clear" w:color="auto" w:fill="FFFFFF" w:themeFill="background1"/>
          </w:tcPr>
          <w:p w:rsidR="000533C5" w:rsidRPr="000533C5" w:rsidRDefault="000533C5" w:rsidP="000533C5">
            <w:pPr>
              <w:rPr>
                <w:rFonts w:ascii="Arial" w:hAnsi="Arial" w:cs="Arial"/>
                <w:color w:val="auto"/>
                <w:sz w:val="24"/>
                <w:szCs w:val="24"/>
                <w:lang w:eastAsia="en-AU"/>
              </w:rPr>
            </w:pPr>
            <w:r w:rsidRPr="000533C5">
              <w:rPr>
                <w:rFonts w:ascii="Arial" w:hAnsi="Arial" w:cs="Arial"/>
                <w:b w:val="0"/>
                <w:bCs/>
                <w:color w:val="auto"/>
                <w:sz w:val="24"/>
                <w:szCs w:val="24"/>
                <w:lang w:eastAsia="en-AU"/>
              </w:rPr>
              <w:t>Ship accident assumptions</w:t>
            </w:r>
          </w:p>
        </w:tc>
        <w:tc>
          <w:tcPr>
            <w:tcW w:w="6501"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Increased ship accidents caused by ship scheduling</w:t>
            </w:r>
          </w:p>
        </w:tc>
        <w:tc>
          <w:tcPr>
            <w:tcW w:w="1911"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Number/year</w:t>
            </w:r>
          </w:p>
        </w:tc>
        <w:tc>
          <w:tcPr>
            <w:tcW w:w="1551" w:type="dxa"/>
            <w:tcBorders>
              <w:top w:val="single" w:sz="4" w:space="0" w:color="auto"/>
            </w:tcBorders>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w:t>
            </w:r>
          </w:p>
        </w:tc>
        <w:tc>
          <w:tcPr>
            <w:tcW w:w="6527"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Expected (risk) occurrence of ship accidents of idling ships at sea</w:t>
            </w:r>
          </w:p>
        </w:tc>
        <w:tc>
          <w:tcPr>
            <w:tcW w:w="2567" w:type="dxa"/>
            <w:tcBorders>
              <w:top w:val="single" w:sz="4" w:space="0" w:color="auto"/>
            </w:tcBorders>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Cost of managing/responding to ship accidents offshore</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A$/accident</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$25,000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Increased loss of seafarer life caused by ship scheduling</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Number/year</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Expected (risk) occurrence of loss of seafarer life during accident of idling ships at sea</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Increased injury of seafarers caused by ship scheduling</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Number/year</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Expected (risk) occurrence of injury to seafarers during accident of idling ships at sea</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Value of loss of seafarer life</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US$/person</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$1,496,997</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60% of Australian Other user (see below)</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tcBorders>
              <w:bottom w:val="single" w:sz="4" w:space="0" w:color="auto"/>
            </w:tcBorders>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Value (cost) of seafarer injury</w:t>
            </w:r>
          </w:p>
        </w:tc>
        <w:tc>
          <w:tcPr>
            <w:tcW w:w="1911"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US$/person</w:t>
            </w:r>
          </w:p>
        </w:tc>
        <w:tc>
          <w:tcPr>
            <w:tcW w:w="1551" w:type="dxa"/>
            <w:tcBorders>
              <w:bottom w:val="single" w:sz="4" w:space="0" w:color="auto"/>
            </w:tcBorders>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$344,542</w:t>
            </w:r>
          </w:p>
        </w:tc>
        <w:tc>
          <w:tcPr>
            <w:tcW w:w="6527"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60% of Australian Other user (see below)</w:t>
            </w:r>
          </w:p>
        </w:tc>
        <w:tc>
          <w:tcPr>
            <w:tcW w:w="2567" w:type="dxa"/>
            <w:tcBorders>
              <w:bottom w:val="single" w:sz="4" w:space="0" w:color="auto"/>
            </w:tcBorders>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val="restart"/>
            <w:tcBorders>
              <w:top w:val="single" w:sz="4" w:space="0" w:color="auto"/>
            </w:tcBorders>
            <w:shd w:val="clear" w:color="auto" w:fill="FFFFFF" w:themeFill="background1"/>
          </w:tcPr>
          <w:p w:rsidR="000533C5" w:rsidRPr="000533C5" w:rsidRDefault="000533C5" w:rsidP="000533C5">
            <w:pPr>
              <w:rPr>
                <w:rFonts w:ascii="Arial" w:hAnsi="Arial" w:cs="Arial"/>
                <w:color w:val="auto"/>
                <w:sz w:val="24"/>
                <w:szCs w:val="24"/>
                <w:lang w:eastAsia="en-AU"/>
              </w:rPr>
            </w:pPr>
            <w:r w:rsidRPr="000533C5">
              <w:rPr>
                <w:rFonts w:ascii="Arial" w:hAnsi="Arial" w:cs="Arial"/>
                <w:b w:val="0"/>
                <w:bCs/>
                <w:color w:val="auto"/>
                <w:sz w:val="24"/>
                <w:szCs w:val="24"/>
                <w:lang w:eastAsia="en-AU"/>
              </w:rPr>
              <w:t>Other user accident assumptions</w:t>
            </w:r>
          </w:p>
        </w:tc>
        <w:tc>
          <w:tcPr>
            <w:tcW w:w="6501"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Increased Other user accidents due to expansions</w:t>
            </w:r>
          </w:p>
        </w:tc>
        <w:tc>
          <w:tcPr>
            <w:tcW w:w="1911"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Number/year</w:t>
            </w:r>
          </w:p>
        </w:tc>
        <w:tc>
          <w:tcPr>
            <w:tcW w:w="1551" w:type="dxa"/>
            <w:tcBorders>
              <w:top w:val="single" w:sz="4" w:space="0" w:color="auto"/>
            </w:tcBorders>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w:t>
            </w:r>
          </w:p>
        </w:tc>
        <w:tc>
          <w:tcPr>
            <w:tcW w:w="6527"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w:t>
            </w:r>
          </w:p>
        </w:tc>
        <w:tc>
          <w:tcPr>
            <w:tcW w:w="2567" w:type="dxa"/>
            <w:tcBorders>
              <w:top w:val="single" w:sz="4" w:space="0" w:color="auto"/>
            </w:tcBorders>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Cost of managing/responding to inshore accidents</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A$/accident</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$10,000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Increased loss of life due to expansions</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Number/year</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Increased injuries due to expansions</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Number/year</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Value of loss of Other user life (fatality)</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A$/person</w:t>
            </w:r>
          </w:p>
        </w:tc>
        <w:tc>
          <w:tcPr>
            <w:tcW w:w="1551" w:type="dxa"/>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$2,494,995</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fatality value equivalent to road fatalities (Austroads 2008, 2012 adjusted)</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Austroads/GHD</w:t>
            </w:r>
          </w:p>
        </w:tc>
      </w:tr>
      <w:tr w:rsidR="000533C5" w:rsidRPr="003F0970" w:rsidTr="000533C5">
        <w:trPr>
          <w:trHeight w:val="288"/>
        </w:trPr>
        <w:tc>
          <w:tcPr>
            <w:tcW w:w="1985" w:type="dxa"/>
            <w:vMerge/>
            <w:tcBorders>
              <w:bottom w:val="single" w:sz="4" w:space="0" w:color="auto"/>
            </w:tcBorders>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Value (cost) of Other user serious injury</w:t>
            </w:r>
          </w:p>
        </w:tc>
        <w:tc>
          <w:tcPr>
            <w:tcW w:w="1911"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A$/person</w:t>
            </w:r>
          </w:p>
        </w:tc>
        <w:tc>
          <w:tcPr>
            <w:tcW w:w="1551" w:type="dxa"/>
            <w:tcBorders>
              <w:bottom w:val="single" w:sz="4" w:space="0" w:color="auto"/>
            </w:tcBorders>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$574,236</w:t>
            </w:r>
          </w:p>
        </w:tc>
        <w:tc>
          <w:tcPr>
            <w:tcW w:w="6527"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injury value equivalent to road fatalities (Austroads 2008, 2012 adjusted)</w:t>
            </w:r>
          </w:p>
        </w:tc>
        <w:tc>
          <w:tcPr>
            <w:tcW w:w="2567" w:type="dxa"/>
            <w:tcBorders>
              <w:bottom w:val="single" w:sz="4" w:space="0" w:color="auto"/>
            </w:tcBorders>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Austroads/GHD</w:t>
            </w:r>
          </w:p>
        </w:tc>
      </w:tr>
      <w:tr w:rsidR="000533C5" w:rsidRPr="003F0970" w:rsidTr="000533C5">
        <w:trPr>
          <w:trHeight w:val="288"/>
        </w:trPr>
        <w:tc>
          <w:tcPr>
            <w:tcW w:w="1985" w:type="dxa"/>
            <w:vMerge w:val="restart"/>
            <w:tcBorders>
              <w:top w:val="single" w:sz="4" w:space="0" w:color="auto"/>
            </w:tcBorders>
            <w:shd w:val="clear" w:color="auto" w:fill="FFFFFF" w:themeFill="background1"/>
          </w:tcPr>
          <w:p w:rsidR="000533C5" w:rsidRPr="000533C5" w:rsidRDefault="000533C5" w:rsidP="000533C5">
            <w:pPr>
              <w:rPr>
                <w:rFonts w:ascii="Arial" w:hAnsi="Arial" w:cs="Arial"/>
                <w:color w:val="auto"/>
                <w:sz w:val="24"/>
                <w:szCs w:val="24"/>
                <w:lang w:eastAsia="en-AU"/>
              </w:rPr>
            </w:pPr>
            <w:r w:rsidRPr="000533C5">
              <w:rPr>
                <w:rFonts w:ascii="Arial" w:hAnsi="Arial" w:cs="Arial"/>
                <w:b w:val="0"/>
                <w:bCs/>
                <w:color w:val="auto"/>
                <w:sz w:val="24"/>
                <w:szCs w:val="24"/>
                <w:lang w:eastAsia="en-AU"/>
              </w:rPr>
              <w:t>Ship crew supplies assumptions</w:t>
            </w:r>
          </w:p>
        </w:tc>
        <w:tc>
          <w:tcPr>
            <w:tcW w:w="6501"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Share of ship calls in expanded area provisioned</w:t>
            </w:r>
          </w:p>
        </w:tc>
        <w:tc>
          <w:tcPr>
            <w:tcW w:w="1911"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Per cent</w:t>
            </w:r>
          </w:p>
        </w:tc>
        <w:tc>
          <w:tcPr>
            <w:tcW w:w="1551" w:type="dxa"/>
            <w:tcBorders>
              <w:top w:val="single" w:sz="4" w:space="0" w:color="auto"/>
            </w:tcBorders>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10%</w:t>
            </w:r>
          </w:p>
        </w:tc>
        <w:tc>
          <w:tcPr>
            <w:tcW w:w="6527" w:type="dxa"/>
            <w:tcBorders>
              <w:top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w:t>
            </w:r>
          </w:p>
        </w:tc>
        <w:tc>
          <w:tcPr>
            <w:tcW w:w="2567" w:type="dxa"/>
            <w:tcBorders>
              <w:top w:val="single" w:sz="4" w:space="0" w:color="auto"/>
            </w:tcBorders>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Average value of supplies per trip to anchored ship</w:t>
            </w:r>
          </w:p>
        </w:tc>
        <w:tc>
          <w:tcPr>
            <w:tcW w:w="1911"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A$/supply trip</w:t>
            </w:r>
          </w:p>
        </w:tc>
        <w:tc>
          <w:tcPr>
            <w:tcW w:w="1551" w:type="dxa"/>
            <w:shd w:val="clear" w:color="auto" w:fill="FFFFFF" w:themeFill="background1"/>
            <w:noWrap/>
            <w:vAlign w:val="bottom"/>
          </w:tcPr>
          <w:p w:rsidR="000533C5" w:rsidRPr="007B3610" w:rsidRDefault="00940C20" w:rsidP="000533C5">
            <w:pPr>
              <w:jc w:val="center"/>
              <w:rPr>
                <w:rFonts w:ascii="Arial" w:hAnsi="Arial" w:cs="Arial"/>
                <w:b w:val="0"/>
                <w:color w:val="auto"/>
                <w:sz w:val="24"/>
                <w:szCs w:val="24"/>
                <w:lang w:eastAsia="en-AU"/>
              </w:rPr>
            </w:pPr>
            <w:r>
              <w:rPr>
                <w:rFonts w:ascii="Arial" w:hAnsi="Arial" w:cs="Arial"/>
                <w:b w:val="0"/>
                <w:color w:val="auto"/>
                <w:sz w:val="24"/>
                <w:szCs w:val="24"/>
                <w:lang w:eastAsia="en-AU"/>
              </w:rPr>
              <w:t>$5</w:t>
            </w:r>
            <w:r w:rsidR="000533C5" w:rsidRPr="007B3610">
              <w:rPr>
                <w:rFonts w:ascii="Arial" w:hAnsi="Arial" w:cs="Arial"/>
                <w:b w:val="0"/>
                <w:color w:val="auto"/>
                <w:sz w:val="24"/>
                <w:szCs w:val="24"/>
                <w:lang w:eastAsia="en-AU"/>
              </w:rPr>
              <w:t>000</w:t>
            </w:r>
          </w:p>
        </w:tc>
        <w:tc>
          <w:tcPr>
            <w:tcW w:w="6527" w:type="dxa"/>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w:t>
            </w:r>
          </w:p>
        </w:tc>
        <w:tc>
          <w:tcPr>
            <w:tcW w:w="2567" w:type="dxa"/>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r w:rsidR="000533C5" w:rsidRPr="003F0970" w:rsidTr="000533C5">
        <w:trPr>
          <w:trHeight w:val="288"/>
        </w:trPr>
        <w:tc>
          <w:tcPr>
            <w:tcW w:w="1985" w:type="dxa"/>
            <w:vMerge/>
            <w:tcBorders>
              <w:bottom w:val="single" w:sz="4" w:space="0" w:color="auto"/>
            </w:tcBorders>
            <w:shd w:val="clear" w:color="auto" w:fill="FFFFFF" w:themeFill="background1"/>
          </w:tcPr>
          <w:p w:rsidR="000533C5" w:rsidRPr="000533C5" w:rsidRDefault="000533C5" w:rsidP="000533C5">
            <w:pPr>
              <w:rPr>
                <w:rFonts w:ascii="Arial" w:hAnsi="Arial" w:cs="Arial"/>
                <w:color w:val="auto"/>
                <w:sz w:val="24"/>
                <w:szCs w:val="24"/>
                <w:lang w:eastAsia="en-AU"/>
              </w:rPr>
            </w:pPr>
          </w:p>
        </w:tc>
        <w:tc>
          <w:tcPr>
            <w:tcW w:w="6501"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Efficiency margin of supply value (producer surplus)</w:t>
            </w:r>
          </w:p>
        </w:tc>
        <w:tc>
          <w:tcPr>
            <w:tcW w:w="1911"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Per cent</w:t>
            </w:r>
          </w:p>
        </w:tc>
        <w:tc>
          <w:tcPr>
            <w:tcW w:w="1551" w:type="dxa"/>
            <w:tcBorders>
              <w:bottom w:val="single" w:sz="4" w:space="0" w:color="auto"/>
            </w:tcBorders>
            <w:shd w:val="clear" w:color="auto" w:fill="FFFFFF" w:themeFill="background1"/>
            <w:noWrap/>
            <w:vAlign w:val="bottom"/>
          </w:tcPr>
          <w:p w:rsidR="000533C5" w:rsidRPr="007B3610" w:rsidRDefault="000533C5" w:rsidP="000533C5">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10%</w:t>
            </w:r>
          </w:p>
        </w:tc>
        <w:tc>
          <w:tcPr>
            <w:tcW w:w="6527" w:type="dxa"/>
            <w:tcBorders>
              <w:bottom w:val="single" w:sz="4" w:space="0" w:color="auto"/>
            </w:tcBorders>
            <w:shd w:val="clear" w:color="auto" w:fill="FFFFFF" w:themeFill="background1"/>
            <w:noWrap/>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Assumed more margin made by local business than national or overseas business</w:t>
            </w:r>
          </w:p>
        </w:tc>
        <w:tc>
          <w:tcPr>
            <w:tcW w:w="2567" w:type="dxa"/>
            <w:tcBorders>
              <w:bottom w:val="single" w:sz="4" w:space="0" w:color="auto"/>
            </w:tcBorders>
            <w:shd w:val="clear" w:color="auto" w:fill="auto"/>
            <w:vAlign w:val="bottom"/>
          </w:tcPr>
          <w:p w:rsidR="000533C5" w:rsidRPr="007B3610" w:rsidRDefault="000533C5" w:rsidP="000533C5">
            <w:pPr>
              <w:rPr>
                <w:rFonts w:ascii="Arial" w:hAnsi="Arial" w:cs="Arial"/>
                <w:b w:val="0"/>
                <w:color w:val="auto"/>
                <w:sz w:val="24"/>
                <w:szCs w:val="24"/>
                <w:lang w:eastAsia="en-AU"/>
              </w:rPr>
            </w:pPr>
            <w:r w:rsidRPr="007B3610">
              <w:rPr>
                <w:rFonts w:ascii="Arial" w:hAnsi="Arial" w:cs="Arial"/>
                <w:b w:val="0"/>
                <w:color w:val="auto"/>
                <w:sz w:val="24"/>
                <w:szCs w:val="24"/>
                <w:lang w:eastAsia="en-AU"/>
              </w:rPr>
              <w:t>GHD</w:t>
            </w:r>
          </w:p>
        </w:tc>
      </w:tr>
    </w:tbl>
    <w:p w:rsidR="007B3610" w:rsidRDefault="007B3610" w:rsidP="007B3610">
      <w:pPr>
        <w:pStyle w:val="Body"/>
      </w:pPr>
      <w:r>
        <w:br w:type="page"/>
      </w:r>
    </w:p>
    <w:p w:rsidR="001E0CAE" w:rsidRDefault="007238EB" w:rsidP="009C6995">
      <w:pPr>
        <w:pStyle w:val="Caption"/>
        <w:rPr>
          <w:b w:val="0"/>
          <w:bCs w:val="0"/>
          <w:sz w:val="24"/>
          <w:szCs w:val="24"/>
          <w:lang w:eastAsia="en-AU"/>
        </w:rPr>
      </w:pPr>
      <w:r>
        <w:rPr>
          <w:sz w:val="24"/>
          <w:szCs w:val="24"/>
        </w:rPr>
        <w:t xml:space="preserve">Table A-2: </w:t>
      </w:r>
      <w:r w:rsidR="000533C5" w:rsidRPr="000533C5">
        <w:rPr>
          <w:b w:val="0"/>
          <w:sz w:val="24"/>
          <w:szCs w:val="24"/>
        </w:rPr>
        <w:t xml:space="preserve">CBA Analysis of the </w:t>
      </w:r>
      <w:r w:rsidR="000533C5" w:rsidRPr="000533C5">
        <w:rPr>
          <w:b w:val="0"/>
          <w:bCs w:val="0"/>
          <w:sz w:val="24"/>
          <w:szCs w:val="24"/>
          <w:lang w:eastAsia="en-AU"/>
        </w:rPr>
        <w:t>World Heritage Area Ship Anchorage Management Options for Port of Hay Point (</w:t>
      </w:r>
      <w:r w:rsidR="000533C5" w:rsidRPr="000533C5">
        <w:rPr>
          <w:b w:val="0"/>
          <w:sz w:val="24"/>
          <w:szCs w:val="24"/>
          <w:lang w:eastAsia="en-AU"/>
        </w:rPr>
        <w:t>Input values in italics</w:t>
      </w:r>
      <w:r w:rsidR="00260282">
        <w:rPr>
          <w:b w:val="0"/>
          <w:sz w:val="24"/>
          <w:szCs w:val="24"/>
          <w:lang w:eastAsia="en-AU"/>
        </w:rPr>
        <w:t>, DR = discount rate</w:t>
      </w:r>
      <w:r w:rsidR="000533C5" w:rsidRPr="000533C5">
        <w:rPr>
          <w:b w:val="0"/>
          <w:bCs w:val="0"/>
          <w:sz w:val="24"/>
          <w:szCs w:val="24"/>
          <w:lang w:eastAsia="en-AU"/>
        </w:rPr>
        <w:t>)</w:t>
      </w:r>
    </w:p>
    <w:p w:rsidR="00260282" w:rsidRPr="00C75F50" w:rsidRDefault="00260282" w:rsidP="007B3610">
      <w:pPr>
        <w:rPr>
          <w:sz w:val="24"/>
          <w:szCs w:val="24"/>
        </w:rPr>
      </w:pPr>
    </w:p>
    <w:tbl>
      <w:tblPr>
        <w:tblW w:w="21042" w:type="dxa"/>
        <w:tblInd w:w="108" w:type="dxa"/>
        <w:tblLook w:val="04A0" w:firstRow="1" w:lastRow="0" w:firstColumn="1" w:lastColumn="0" w:noHBand="0" w:noVBand="1"/>
        <w:tblCaption w:val="CBA Analysis of the World Heritage Area Ship Anchorage Management Options for Port of Hay Point (Input values in italics)"/>
        <w:tblDescription w:val="CBA Analysis of the World Heritage Area Ship Anchorage Management Options for Port of Hay Point (Input values in italics). Columns represent different options or strategies, discount rate, units and years."/>
      </w:tblPr>
      <w:tblGrid>
        <w:gridCol w:w="2210"/>
        <w:gridCol w:w="5348"/>
        <w:gridCol w:w="630"/>
        <w:gridCol w:w="1247"/>
        <w:gridCol w:w="1418"/>
        <w:gridCol w:w="1246"/>
        <w:gridCol w:w="1207"/>
        <w:gridCol w:w="1286"/>
        <w:gridCol w:w="1246"/>
        <w:gridCol w:w="1306"/>
        <w:gridCol w:w="1246"/>
        <w:gridCol w:w="1346"/>
        <w:gridCol w:w="1306"/>
      </w:tblGrid>
      <w:tr w:rsidR="00260282" w:rsidRPr="0085303D" w:rsidTr="00260282">
        <w:trPr>
          <w:trHeight w:val="288"/>
          <w:tblHeader/>
        </w:trPr>
        <w:tc>
          <w:tcPr>
            <w:tcW w:w="2210" w:type="dxa"/>
            <w:tcBorders>
              <w:top w:val="single" w:sz="4" w:space="0" w:color="auto"/>
              <w:left w:val="nil"/>
              <w:right w:val="nil"/>
            </w:tcBorders>
            <w:shd w:val="clear" w:color="auto" w:fill="auto"/>
          </w:tcPr>
          <w:p w:rsidR="00260282" w:rsidRPr="00C75F50" w:rsidRDefault="00260282" w:rsidP="00925800">
            <w:pPr>
              <w:rPr>
                <w:rFonts w:ascii="Arial" w:hAnsi="Arial" w:cs="Arial"/>
                <w:b w:val="0"/>
                <w:bCs/>
                <w:color w:val="auto"/>
                <w:sz w:val="24"/>
                <w:szCs w:val="24"/>
                <w:lang w:eastAsia="en-AU"/>
              </w:rPr>
            </w:pPr>
          </w:p>
        </w:tc>
        <w:tc>
          <w:tcPr>
            <w:tcW w:w="5348" w:type="dxa"/>
            <w:tcBorders>
              <w:top w:val="single" w:sz="4" w:space="0" w:color="auto"/>
              <w:left w:val="nil"/>
              <w:right w:val="nil"/>
            </w:tcBorders>
            <w:shd w:val="clear" w:color="auto" w:fill="auto"/>
            <w:noWrap/>
            <w:vAlign w:val="bottom"/>
          </w:tcPr>
          <w:p w:rsidR="00260282" w:rsidRPr="00C75F50" w:rsidRDefault="00260282" w:rsidP="00925800">
            <w:pPr>
              <w:rPr>
                <w:rFonts w:ascii="Arial" w:hAnsi="Arial" w:cs="Arial"/>
                <w:color w:val="auto"/>
                <w:sz w:val="24"/>
                <w:szCs w:val="24"/>
                <w:lang w:eastAsia="en-AU"/>
              </w:rPr>
            </w:pPr>
          </w:p>
        </w:tc>
        <w:tc>
          <w:tcPr>
            <w:tcW w:w="630" w:type="dxa"/>
            <w:tcBorders>
              <w:top w:val="single" w:sz="4" w:space="0" w:color="auto"/>
              <w:left w:val="nil"/>
              <w:right w:val="nil"/>
            </w:tcBorders>
            <w:shd w:val="clear" w:color="auto" w:fill="auto"/>
            <w:noWrap/>
            <w:vAlign w:val="bottom"/>
          </w:tcPr>
          <w:p w:rsidR="00260282" w:rsidRPr="00C75F50" w:rsidRDefault="00260282" w:rsidP="00925800">
            <w:pPr>
              <w:rPr>
                <w:rFonts w:ascii="Arial" w:hAnsi="Arial" w:cs="Arial"/>
                <w:color w:val="auto"/>
                <w:sz w:val="24"/>
                <w:szCs w:val="24"/>
                <w:lang w:eastAsia="en-AU"/>
              </w:rPr>
            </w:pPr>
          </w:p>
        </w:tc>
        <w:tc>
          <w:tcPr>
            <w:tcW w:w="1247" w:type="dxa"/>
            <w:tcBorders>
              <w:top w:val="single" w:sz="4" w:space="0" w:color="auto"/>
              <w:left w:val="nil"/>
              <w:right w:val="nil"/>
            </w:tcBorders>
            <w:shd w:val="clear" w:color="auto" w:fill="auto"/>
            <w:noWrap/>
            <w:vAlign w:val="bottom"/>
          </w:tcPr>
          <w:p w:rsidR="00260282" w:rsidRPr="00C75F50" w:rsidRDefault="00260282" w:rsidP="00925800">
            <w:pPr>
              <w:rPr>
                <w:rFonts w:ascii="Arial" w:hAnsi="Arial" w:cs="Arial"/>
                <w:color w:val="auto"/>
                <w:sz w:val="24"/>
                <w:szCs w:val="24"/>
                <w:lang w:eastAsia="en-AU"/>
              </w:rPr>
            </w:pPr>
          </w:p>
        </w:tc>
        <w:tc>
          <w:tcPr>
            <w:tcW w:w="11607" w:type="dxa"/>
            <w:gridSpan w:val="9"/>
            <w:tcBorders>
              <w:top w:val="single" w:sz="4" w:space="0" w:color="auto"/>
              <w:left w:val="nil"/>
              <w:bottom w:val="single" w:sz="4" w:space="0" w:color="auto"/>
              <w:right w:val="nil"/>
            </w:tcBorders>
            <w:shd w:val="clear" w:color="auto" w:fill="auto"/>
            <w:noWrap/>
            <w:vAlign w:val="bottom"/>
          </w:tcPr>
          <w:p w:rsidR="00260282" w:rsidRPr="00C75F50" w:rsidRDefault="00260282" w:rsidP="00925800">
            <w:pPr>
              <w:jc w:val="center"/>
              <w:rPr>
                <w:rFonts w:ascii="Arial" w:hAnsi="Arial" w:cs="Arial"/>
                <w:color w:val="auto"/>
                <w:sz w:val="24"/>
                <w:szCs w:val="24"/>
                <w:lang w:eastAsia="en-AU"/>
              </w:rPr>
            </w:pPr>
            <w:r>
              <w:rPr>
                <w:rFonts w:ascii="Arial" w:hAnsi="Arial" w:cs="Arial"/>
                <w:color w:val="auto"/>
                <w:sz w:val="24"/>
                <w:szCs w:val="24"/>
                <w:lang w:eastAsia="en-AU"/>
              </w:rPr>
              <w:t>Year</w:t>
            </w:r>
          </w:p>
        </w:tc>
      </w:tr>
      <w:tr w:rsidR="00260282" w:rsidRPr="0085303D" w:rsidTr="00260282">
        <w:trPr>
          <w:trHeight w:val="288"/>
          <w:tblHeader/>
        </w:trPr>
        <w:tc>
          <w:tcPr>
            <w:tcW w:w="2210" w:type="dxa"/>
            <w:tcBorders>
              <w:left w:val="nil"/>
              <w:bottom w:val="single" w:sz="4" w:space="0" w:color="auto"/>
              <w:right w:val="nil"/>
            </w:tcBorders>
            <w:shd w:val="clear" w:color="auto" w:fill="auto"/>
          </w:tcPr>
          <w:p w:rsidR="00260282" w:rsidRPr="00C75F50" w:rsidRDefault="00260282" w:rsidP="00925800">
            <w:pPr>
              <w:rPr>
                <w:rFonts w:ascii="Arial" w:hAnsi="Arial" w:cs="Arial"/>
                <w:b w:val="0"/>
                <w:bCs/>
                <w:color w:val="auto"/>
                <w:sz w:val="24"/>
                <w:szCs w:val="24"/>
                <w:lang w:eastAsia="en-AU"/>
              </w:rPr>
            </w:pPr>
          </w:p>
        </w:tc>
        <w:tc>
          <w:tcPr>
            <w:tcW w:w="5348" w:type="dxa"/>
            <w:tcBorders>
              <w:left w:val="nil"/>
              <w:bottom w:val="single" w:sz="4" w:space="0" w:color="auto"/>
              <w:right w:val="nil"/>
            </w:tcBorders>
            <w:shd w:val="clear" w:color="auto" w:fill="auto"/>
            <w:noWrap/>
            <w:vAlign w:val="bottom"/>
          </w:tcPr>
          <w:p w:rsidR="00260282" w:rsidRPr="00C75F50" w:rsidRDefault="00260282" w:rsidP="00925800">
            <w:pPr>
              <w:rPr>
                <w:rFonts w:ascii="Arial" w:hAnsi="Arial" w:cs="Arial"/>
                <w:color w:val="auto"/>
                <w:sz w:val="24"/>
                <w:szCs w:val="24"/>
                <w:lang w:eastAsia="en-AU"/>
              </w:rPr>
            </w:pPr>
            <w:r w:rsidRPr="00C75F50">
              <w:rPr>
                <w:rFonts w:ascii="Arial" w:hAnsi="Arial" w:cs="Arial"/>
                <w:color w:val="auto"/>
                <w:sz w:val="24"/>
                <w:szCs w:val="24"/>
                <w:lang w:eastAsia="en-AU"/>
              </w:rPr>
              <w:t> Option/Strategy</w:t>
            </w:r>
          </w:p>
        </w:tc>
        <w:tc>
          <w:tcPr>
            <w:tcW w:w="630" w:type="dxa"/>
            <w:tcBorders>
              <w:left w:val="nil"/>
              <w:bottom w:val="single" w:sz="4" w:space="0" w:color="auto"/>
              <w:right w:val="nil"/>
            </w:tcBorders>
            <w:shd w:val="clear" w:color="auto" w:fill="auto"/>
            <w:noWrap/>
            <w:vAlign w:val="bottom"/>
          </w:tcPr>
          <w:p w:rsidR="00260282" w:rsidRPr="00C75F50" w:rsidRDefault="00260282" w:rsidP="00925800">
            <w:pPr>
              <w:rPr>
                <w:rFonts w:ascii="Arial" w:hAnsi="Arial" w:cs="Arial"/>
                <w:color w:val="auto"/>
                <w:sz w:val="24"/>
                <w:szCs w:val="24"/>
                <w:lang w:eastAsia="en-AU"/>
              </w:rPr>
            </w:pPr>
            <w:r w:rsidRPr="00C75F50">
              <w:rPr>
                <w:rFonts w:ascii="Arial" w:hAnsi="Arial" w:cs="Arial"/>
                <w:color w:val="auto"/>
                <w:sz w:val="24"/>
                <w:szCs w:val="24"/>
                <w:lang w:eastAsia="en-AU"/>
              </w:rPr>
              <w:t> DR</w:t>
            </w:r>
          </w:p>
        </w:tc>
        <w:tc>
          <w:tcPr>
            <w:tcW w:w="1247" w:type="dxa"/>
            <w:tcBorders>
              <w:left w:val="nil"/>
              <w:bottom w:val="single" w:sz="4" w:space="0" w:color="auto"/>
              <w:right w:val="nil"/>
            </w:tcBorders>
            <w:shd w:val="clear" w:color="auto" w:fill="auto"/>
            <w:noWrap/>
            <w:vAlign w:val="bottom"/>
          </w:tcPr>
          <w:p w:rsidR="00260282" w:rsidRPr="00C75F50" w:rsidRDefault="00260282" w:rsidP="00925800">
            <w:pPr>
              <w:rPr>
                <w:rFonts w:ascii="Arial" w:hAnsi="Arial" w:cs="Arial"/>
                <w:color w:val="auto"/>
                <w:sz w:val="24"/>
                <w:szCs w:val="24"/>
                <w:lang w:eastAsia="en-AU"/>
              </w:rPr>
            </w:pPr>
            <w:r w:rsidRPr="00C75F50">
              <w:rPr>
                <w:rFonts w:ascii="Arial" w:hAnsi="Arial" w:cs="Arial"/>
                <w:color w:val="auto"/>
                <w:sz w:val="24"/>
                <w:szCs w:val="24"/>
                <w:lang w:eastAsia="en-AU"/>
              </w:rPr>
              <w:t>Units</w:t>
            </w:r>
          </w:p>
        </w:tc>
        <w:tc>
          <w:tcPr>
            <w:tcW w:w="1418" w:type="dxa"/>
            <w:tcBorders>
              <w:top w:val="single" w:sz="4" w:space="0" w:color="auto"/>
              <w:left w:val="nil"/>
              <w:bottom w:val="single" w:sz="4" w:space="0" w:color="auto"/>
              <w:right w:val="nil"/>
            </w:tcBorders>
            <w:shd w:val="clear" w:color="auto" w:fill="auto"/>
            <w:noWrap/>
            <w:vAlign w:val="bottom"/>
          </w:tcPr>
          <w:p w:rsidR="00260282" w:rsidRPr="00C75F50" w:rsidRDefault="00260282" w:rsidP="00925800">
            <w:pPr>
              <w:jc w:val="center"/>
              <w:rPr>
                <w:rFonts w:ascii="Arial" w:hAnsi="Arial" w:cs="Arial"/>
                <w:color w:val="auto"/>
                <w:sz w:val="24"/>
                <w:szCs w:val="24"/>
                <w:lang w:eastAsia="en-AU"/>
              </w:rPr>
            </w:pPr>
            <w:r w:rsidRPr="00C75F50">
              <w:rPr>
                <w:rFonts w:ascii="Arial" w:hAnsi="Arial" w:cs="Arial"/>
                <w:color w:val="auto"/>
                <w:sz w:val="24"/>
                <w:szCs w:val="24"/>
                <w:lang w:eastAsia="en-AU"/>
              </w:rPr>
              <w:t>0</w:t>
            </w:r>
          </w:p>
        </w:tc>
        <w:tc>
          <w:tcPr>
            <w:tcW w:w="1246" w:type="dxa"/>
            <w:tcBorders>
              <w:top w:val="single" w:sz="4" w:space="0" w:color="auto"/>
              <w:left w:val="nil"/>
              <w:bottom w:val="single" w:sz="4" w:space="0" w:color="auto"/>
              <w:right w:val="nil"/>
            </w:tcBorders>
            <w:shd w:val="clear" w:color="auto" w:fill="auto"/>
            <w:noWrap/>
            <w:vAlign w:val="bottom"/>
          </w:tcPr>
          <w:p w:rsidR="00260282" w:rsidRPr="00C75F50" w:rsidRDefault="00260282" w:rsidP="00925800">
            <w:pPr>
              <w:jc w:val="center"/>
              <w:rPr>
                <w:rFonts w:ascii="Arial" w:hAnsi="Arial" w:cs="Arial"/>
                <w:color w:val="auto"/>
                <w:sz w:val="24"/>
                <w:szCs w:val="24"/>
                <w:lang w:eastAsia="en-AU"/>
              </w:rPr>
            </w:pPr>
            <w:r w:rsidRPr="00C75F50">
              <w:rPr>
                <w:rFonts w:ascii="Arial" w:hAnsi="Arial" w:cs="Arial"/>
                <w:color w:val="auto"/>
                <w:sz w:val="24"/>
                <w:szCs w:val="24"/>
                <w:lang w:eastAsia="en-AU"/>
              </w:rPr>
              <w:t>2012</w:t>
            </w:r>
          </w:p>
          <w:p w:rsidR="00260282" w:rsidRPr="00C75F50" w:rsidRDefault="00260282" w:rsidP="00925800">
            <w:pPr>
              <w:jc w:val="center"/>
              <w:rPr>
                <w:rFonts w:ascii="Arial" w:hAnsi="Arial" w:cs="Arial"/>
                <w:color w:val="auto"/>
                <w:sz w:val="24"/>
                <w:szCs w:val="24"/>
                <w:lang w:eastAsia="en-AU"/>
              </w:rPr>
            </w:pPr>
            <w:r w:rsidRPr="00C75F50">
              <w:rPr>
                <w:rFonts w:ascii="Arial" w:hAnsi="Arial" w:cs="Arial"/>
                <w:color w:val="auto"/>
                <w:sz w:val="24"/>
                <w:szCs w:val="24"/>
                <w:lang w:eastAsia="en-AU"/>
              </w:rPr>
              <w:t>(1)</w:t>
            </w:r>
          </w:p>
        </w:tc>
        <w:tc>
          <w:tcPr>
            <w:tcW w:w="1207" w:type="dxa"/>
            <w:tcBorders>
              <w:top w:val="single" w:sz="4" w:space="0" w:color="auto"/>
              <w:left w:val="nil"/>
              <w:bottom w:val="single" w:sz="4" w:space="0" w:color="auto"/>
              <w:right w:val="nil"/>
            </w:tcBorders>
            <w:shd w:val="clear" w:color="auto" w:fill="auto"/>
            <w:noWrap/>
            <w:vAlign w:val="bottom"/>
          </w:tcPr>
          <w:p w:rsidR="00260282" w:rsidRPr="00C75F50" w:rsidRDefault="00260282" w:rsidP="00925800">
            <w:pPr>
              <w:jc w:val="center"/>
              <w:rPr>
                <w:rFonts w:ascii="Arial" w:hAnsi="Arial" w:cs="Arial"/>
                <w:color w:val="auto"/>
                <w:sz w:val="24"/>
                <w:szCs w:val="24"/>
                <w:lang w:eastAsia="en-AU"/>
              </w:rPr>
            </w:pPr>
            <w:r w:rsidRPr="00C75F50">
              <w:rPr>
                <w:rFonts w:ascii="Arial" w:hAnsi="Arial" w:cs="Arial"/>
                <w:color w:val="auto"/>
                <w:sz w:val="24"/>
                <w:szCs w:val="24"/>
                <w:lang w:eastAsia="en-AU"/>
              </w:rPr>
              <w:t>2013</w:t>
            </w:r>
          </w:p>
          <w:p w:rsidR="00260282" w:rsidRPr="00C75F50" w:rsidRDefault="00260282" w:rsidP="00925800">
            <w:pPr>
              <w:jc w:val="center"/>
              <w:rPr>
                <w:rFonts w:ascii="Arial" w:hAnsi="Arial" w:cs="Arial"/>
                <w:color w:val="auto"/>
                <w:sz w:val="24"/>
                <w:szCs w:val="24"/>
                <w:lang w:eastAsia="en-AU"/>
              </w:rPr>
            </w:pPr>
            <w:r w:rsidRPr="00C75F50">
              <w:rPr>
                <w:rFonts w:ascii="Arial" w:hAnsi="Arial" w:cs="Arial"/>
                <w:color w:val="auto"/>
                <w:sz w:val="24"/>
                <w:szCs w:val="24"/>
                <w:lang w:eastAsia="en-AU"/>
              </w:rPr>
              <w:t>(2)</w:t>
            </w:r>
          </w:p>
        </w:tc>
        <w:tc>
          <w:tcPr>
            <w:tcW w:w="1286" w:type="dxa"/>
            <w:tcBorders>
              <w:top w:val="single" w:sz="4" w:space="0" w:color="auto"/>
              <w:left w:val="nil"/>
              <w:bottom w:val="single" w:sz="4" w:space="0" w:color="auto"/>
              <w:right w:val="nil"/>
            </w:tcBorders>
            <w:shd w:val="clear" w:color="auto" w:fill="auto"/>
            <w:noWrap/>
            <w:vAlign w:val="bottom"/>
          </w:tcPr>
          <w:p w:rsidR="00260282" w:rsidRPr="00C75F50" w:rsidRDefault="00260282" w:rsidP="00925800">
            <w:pPr>
              <w:jc w:val="center"/>
              <w:rPr>
                <w:rFonts w:ascii="Arial" w:hAnsi="Arial" w:cs="Arial"/>
                <w:color w:val="auto"/>
                <w:sz w:val="24"/>
                <w:szCs w:val="24"/>
                <w:lang w:eastAsia="en-AU"/>
              </w:rPr>
            </w:pPr>
            <w:r w:rsidRPr="00C75F50">
              <w:rPr>
                <w:rFonts w:ascii="Arial" w:hAnsi="Arial" w:cs="Arial"/>
                <w:color w:val="auto"/>
                <w:sz w:val="24"/>
                <w:szCs w:val="24"/>
                <w:lang w:eastAsia="en-AU"/>
              </w:rPr>
              <w:t>2014</w:t>
            </w:r>
          </w:p>
          <w:p w:rsidR="00260282" w:rsidRPr="00C75F50" w:rsidRDefault="00260282" w:rsidP="00925800">
            <w:pPr>
              <w:jc w:val="center"/>
              <w:rPr>
                <w:rFonts w:ascii="Arial" w:hAnsi="Arial" w:cs="Arial"/>
                <w:color w:val="auto"/>
                <w:sz w:val="24"/>
                <w:szCs w:val="24"/>
                <w:lang w:eastAsia="en-AU"/>
              </w:rPr>
            </w:pPr>
            <w:r w:rsidRPr="00C75F50">
              <w:rPr>
                <w:rFonts w:ascii="Arial" w:hAnsi="Arial" w:cs="Arial"/>
                <w:color w:val="auto"/>
                <w:sz w:val="24"/>
                <w:szCs w:val="24"/>
                <w:lang w:eastAsia="en-AU"/>
              </w:rPr>
              <w:t>(3)</w:t>
            </w:r>
          </w:p>
        </w:tc>
        <w:tc>
          <w:tcPr>
            <w:tcW w:w="1246" w:type="dxa"/>
            <w:tcBorders>
              <w:top w:val="single" w:sz="4" w:space="0" w:color="auto"/>
              <w:left w:val="nil"/>
              <w:bottom w:val="single" w:sz="4" w:space="0" w:color="auto"/>
              <w:right w:val="nil"/>
            </w:tcBorders>
            <w:shd w:val="clear" w:color="auto" w:fill="auto"/>
            <w:noWrap/>
            <w:vAlign w:val="bottom"/>
          </w:tcPr>
          <w:p w:rsidR="00260282" w:rsidRPr="00C75F50" w:rsidRDefault="00260282" w:rsidP="00925800">
            <w:pPr>
              <w:jc w:val="center"/>
              <w:rPr>
                <w:rFonts w:ascii="Arial" w:hAnsi="Arial" w:cs="Arial"/>
                <w:color w:val="auto"/>
                <w:sz w:val="24"/>
                <w:szCs w:val="24"/>
                <w:lang w:eastAsia="en-AU"/>
              </w:rPr>
            </w:pPr>
            <w:r w:rsidRPr="00C75F50">
              <w:rPr>
                <w:rFonts w:ascii="Arial" w:hAnsi="Arial" w:cs="Arial"/>
                <w:color w:val="auto"/>
                <w:sz w:val="24"/>
                <w:szCs w:val="24"/>
                <w:lang w:eastAsia="en-AU"/>
              </w:rPr>
              <w:t>2015</w:t>
            </w:r>
          </w:p>
          <w:p w:rsidR="00260282" w:rsidRPr="00C75F50" w:rsidRDefault="00260282" w:rsidP="00925800">
            <w:pPr>
              <w:jc w:val="center"/>
              <w:rPr>
                <w:rFonts w:ascii="Arial" w:hAnsi="Arial" w:cs="Arial"/>
                <w:color w:val="auto"/>
                <w:sz w:val="24"/>
                <w:szCs w:val="24"/>
                <w:lang w:eastAsia="en-AU"/>
              </w:rPr>
            </w:pPr>
            <w:r w:rsidRPr="00C75F50">
              <w:rPr>
                <w:rFonts w:ascii="Arial" w:hAnsi="Arial" w:cs="Arial"/>
                <w:color w:val="auto"/>
                <w:sz w:val="24"/>
                <w:szCs w:val="24"/>
                <w:lang w:eastAsia="en-AU"/>
              </w:rPr>
              <w:t>(4)</w:t>
            </w:r>
          </w:p>
        </w:tc>
        <w:tc>
          <w:tcPr>
            <w:tcW w:w="1306" w:type="dxa"/>
            <w:tcBorders>
              <w:top w:val="single" w:sz="4" w:space="0" w:color="auto"/>
              <w:left w:val="nil"/>
              <w:bottom w:val="single" w:sz="4" w:space="0" w:color="auto"/>
              <w:right w:val="nil"/>
            </w:tcBorders>
            <w:shd w:val="clear" w:color="auto" w:fill="auto"/>
            <w:noWrap/>
            <w:vAlign w:val="bottom"/>
          </w:tcPr>
          <w:p w:rsidR="00260282" w:rsidRPr="00C75F50" w:rsidRDefault="00260282" w:rsidP="00925800">
            <w:pPr>
              <w:jc w:val="center"/>
              <w:rPr>
                <w:rFonts w:ascii="Arial" w:hAnsi="Arial" w:cs="Arial"/>
                <w:color w:val="auto"/>
                <w:sz w:val="24"/>
                <w:szCs w:val="24"/>
                <w:lang w:eastAsia="en-AU"/>
              </w:rPr>
            </w:pPr>
            <w:r w:rsidRPr="00C75F50">
              <w:rPr>
                <w:rFonts w:ascii="Arial" w:hAnsi="Arial" w:cs="Arial"/>
                <w:color w:val="auto"/>
                <w:sz w:val="24"/>
                <w:szCs w:val="24"/>
                <w:lang w:eastAsia="en-AU"/>
              </w:rPr>
              <w:t>2016</w:t>
            </w:r>
          </w:p>
          <w:p w:rsidR="00260282" w:rsidRPr="00C75F50" w:rsidRDefault="00260282" w:rsidP="00925800">
            <w:pPr>
              <w:jc w:val="center"/>
              <w:rPr>
                <w:rFonts w:ascii="Arial" w:hAnsi="Arial" w:cs="Arial"/>
                <w:color w:val="auto"/>
                <w:sz w:val="24"/>
                <w:szCs w:val="24"/>
                <w:lang w:eastAsia="en-AU"/>
              </w:rPr>
            </w:pPr>
            <w:r w:rsidRPr="00C75F50">
              <w:rPr>
                <w:rFonts w:ascii="Arial" w:hAnsi="Arial" w:cs="Arial"/>
                <w:color w:val="auto"/>
                <w:sz w:val="24"/>
                <w:szCs w:val="24"/>
                <w:lang w:eastAsia="en-AU"/>
              </w:rPr>
              <w:t>(5)</w:t>
            </w:r>
          </w:p>
        </w:tc>
        <w:tc>
          <w:tcPr>
            <w:tcW w:w="1246" w:type="dxa"/>
            <w:tcBorders>
              <w:top w:val="single" w:sz="4" w:space="0" w:color="auto"/>
              <w:left w:val="nil"/>
              <w:bottom w:val="single" w:sz="4" w:space="0" w:color="auto"/>
              <w:right w:val="nil"/>
            </w:tcBorders>
            <w:shd w:val="clear" w:color="auto" w:fill="auto"/>
            <w:noWrap/>
            <w:vAlign w:val="bottom"/>
          </w:tcPr>
          <w:p w:rsidR="00260282" w:rsidRPr="00C75F50" w:rsidRDefault="00260282" w:rsidP="00925800">
            <w:pPr>
              <w:jc w:val="center"/>
              <w:rPr>
                <w:rFonts w:ascii="Arial" w:hAnsi="Arial" w:cs="Arial"/>
                <w:color w:val="auto"/>
                <w:sz w:val="24"/>
                <w:szCs w:val="24"/>
                <w:lang w:eastAsia="en-AU"/>
              </w:rPr>
            </w:pPr>
            <w:r w:rsidRPr="00C75F50">
              <w:rPr>
                <w:rFonts w:ascii="Arial" w:hAnsi="Arial" w:cs="Arial"/>
                <w:color w:val="auto"/>
                <w:sz w:val="24"/>
                <w:szCs w:val="24"/>
                <w:lang w:eastAsia="en-AU"/>
              </w:rPr>
              <w:t>2017</w:t>
            </w:r>
          </w:p>
          <w:p w:rsidR="00260282" w:rsidRPr="00C75F50" w:rsidRDefault="00260282" w:rsidP="00925800">
            <w:pPr>
              <w:jc w:val="center"/>
              <w:rPr>
                <w:rFonts w:ascii="Arial" w:hAnsi="Arial" w:cs="Arial"/>
                <w:color w:val="auto"/>
                <w:sz w:val="24"/>
                <w:szCs w:val="24"/>
                <w:lang w:eastAsia="en-AU"/>
              </w:rPr>
            </w:pPr>
            <w:r w:rsidRPr="00C75F50">
              <w:rPr>
                <w:rFonts w:ascii="Arial" w:hAnsi="Arial" w:cs="Arial"/>
                <w:color w:val="auto"/>
                <w:sz w:val="24"/>
                <w:szCs w:val="24"/>
                <w:lang w:eastAsia="en-AU"/>
              </w:rPr>
              <w:t>(6)</w:t>
            </w:r>
          </w:p>
        </w:tc>
        <w:tc>
          <w:tcPr>
            <w:tcW w:w="1346" w:type="dxa"/>
            <w:tcBorders>
              <w:top w:val="single" w:sz="4" w:space="0" w:color="auto"/>
              <w:left w:val="nil"/>
              <w:bottom w:val="single" w:sz="4" w:space="0" w:color="auto"/>
              <w:right w:val="nil"/>
            </w:tcBorders>
            <w:shd w:val="clear" w:color="auto" w:fill="auto"/>
            <w:noWrap/>
            <w:vAlign w:val="bottom"/>
          </w:tcPr>
          <w:p w:rsidR="00260282" w:rsidRPr="00C75F50" w:rsidRDefault="00260282" w:rsidP="00925800">
            <w:pPr>
              <w:jc w:val="center"/>
              <w:rPr>
                <w:rFonts w:ascii="Arial" w:hAnsi="Arial" w:cs="Arial"/>
                <w:color w:val="auto"/>
                <w:sz w:val="24"/>
                <w:szCs w:val="24"/>
                <w:lang w:eastAsia="en-AU"/>
              </w:rPr>
            </w:pPr>
            <w:r w:rsidRPr="00C75F50">
              <w:rPr>
                <w:rFonts w:ascii="Arial" w:hAnsi="Arial" w:cs="Arial"/>
                <w:color w:val="auto"/>
                <w:sz w:val="24"/>
                <w:szCs w:val="24"/>
                <w:lang w:eastAsia="en-AU"/>
              </w:rPr>
              <w:t>2018</w:t>
            </w:r>
          </w:p>
          <w:p w:rsidR="00260282" w:rsidRPr="00C75F50" w:rsidRDefault="00260282" w:rsidP="00925800">
            <w:pPr>
              <w:jc w:val="center"/>
              <w:rPr>
                <w:rFonts w:ascii="Arial" w:hAnsi="Arial" w:cs="Arial"/>
                <w:color w:val="auto"/>
                <w:sz w:val="24"/>
                <w:szCs w:val="24"/>
                <w:lang w:eastAsia="en-AU"/>
              </w:rPr>
            </w:pPr>
            <w:r w:rsidRPr="00C75F50">
              <w:rPr>
                <w:rFonts w:ascii="Arial" w:hAnsi="Arial" w:cs="Arial"/>
                <w:color w:val="auto"/>
                <w:sz w:val="24"/>
                <w:szCs w:val="24"/>
                <w:lang w:eastAsia="en-AU"/>
              </w:rPr>
              <w:t>(7)</w:t>
            </w:r>
          </w:p>
        </w:tc>
        <w:tc>
          <w:tcPr>
            <w:tcW w:w="1306" w:type="dxa"/>
            <w:tcBorders>
              <w:top w:val="single" w:sz="4" w:space="0" w:color="auto"/>
              <w:left w:val="nil"/>
              <w:bottom w:val="single" w:sz="4" w:space="0" w:color="auto"/>
              <w:right w:val="nil"/>
            </w:tcBorders>
            <w:shd w:val="clear" w:color="auto" w:fill="auto"/>
            <w:noWrap/>
            <w:vAlign w:val="bottom"/>
          </w:tcPr>
          <w:p w:rsidR="00260282" w:rsidRPr="00C75F50" w:rsidRDefault="00260282" w:rsidP="00925800">
            <w:pPr>
              <w:jc w:val="center"/>
              <w:rPr>
                <w:rFonts w:ascii="Arial" w:hAnsi="Arial" w:cs="Arial"/>
                <w:color w:val="auto"/>
                <w:sz w:val="24"/>
                <w:szCs w:val="24"/>
                <w:lang w:eastAsia="en-AU"/>
              </w:rPr>
            </w:pPr>
            <w:r w:rsidRPr="00C75F50">
              <w:rPr>
                <w:rFonts w:ascii="Arial" w:hAnsi="Arial" w:cs="Arial"/>
                <w:color w:val="auto"/>
                <w:sz w:val="24"/>
                <w:szCs w:val="24"/>
                <w:lang w:eastAsia="en-AU"/>
              </w:rPr>
              <w:t>2019</w:t>
            </w:r>
          </w:p>
          <w:p w:rsidR="00260282" w:rsidRPr="00C75F50" w:rsidRDefault="00260282" w:rsidP="00925800">
            <w:pPr>
              <w:jc w:val="center"/>
              <w:rPr>
                <w:rFonts w:ascii="Arial" w:hAnsi="Arial" w:cs="Arial"/>
                <w:color w:val="auto"/>
                <w:sz w:val="24"/>
                <w:szCs w:val="24"/>
                <w:lang w:eastAsia="en-AU"/>
              </w:rPr>
            </w:pPr>
            <w:r w:rsidRPr="00C75F50">
              <w:rPr>
                <w:rFonts w:ascii="Arial" w:hAnsi="Arial" w:cs="Arial"/>
                <w:color w:val="auto"/>
                <w:sz w:val="24"/>
                <w:szCs w:val="24"/>
                <w:lang w:eastAsia="en-AU"/>
              </w:rPr>
              <w:t>(8)</w:t>
            </w:r>
          </w:p>
        </w:tc>
      </w:tr>
      <w:tr w:rsidR="00C75F50" w:rsidRPr="0085303D" w:rsidTr="00260282">
        <w:trPr>
          <w:trHeight w:val="360"/>
        </w:trPr>
        <w:tc>
          <w:tcPr>
            <w:tcW w:w="21042" w:type="dxa"/>
            <w:gridSpan w:val="13"/>
            <w:tcBorders>
              <w:top w:val="single" w:sz="4" w:space="0" w:color="auto"/>
              <w:left w:val="nil"/>
              <w:bottom w:val="single" w:sz="4" w:space="0" w:color="auto"/>
              <w:right w:val="nil"/>
            </w:tcBorders>
            <w:shd w:val="clear" w:color="auto" w:fill="D9D9D9" w:themeFill="background1" w:themeFillShade="D9"/>
            <w:vAlign w:val="center"/>
          </w:tcPr>
          <w:p w:rsidR="00C75F50" w:rsidRPr="00C75F50" w:rsidRDefault="00C75F50" w:rsidP="00C75F50">
            <w:pPr>
              <w:rPr>
                <w:rFonts w:ascii="Arial" w:hAnsi="Arial" w:cs="Arial"/>
                <w:bCs/>
                <w:color w:val="auto"/>
                <w:sz w:val="24"/>
                <w:szCs w:val="24"/>
                <w:lang w:eastAsia="en-AU"/>
              </w:rPr>
            </w:pPr>
            <w:r w:rsidRPr="00C75F50">
              <w:rPr>
                <w:rFonts w:ascii="Arial" w:hAnsi="Arial" w:cs="Arial"/>
                <w:bCs/>
                <w:color w:val="auto"/>
                <w:sz w:val="24"/>
                <w:szCs w:val="24"/>
                <w:lang w:eastAsia="en-AU"/>
              </w:rPr>
              <w:t>Base Case: Without Option/Strategy</w:t>
            </w:r>
          </w:p>
        </w:tc>
      </w:tr>
      <w:tr w:rsidR="00260282" w:rsidRPr="0085303D" w:rsidTr="000533C5">
        <w:trPr>
          <w:trHeight w:val="288"/>
        </w:trPr>
        <w:tc>
          <w:tcPr>
            <w:tcW w:w="2210" w:type="dxa"/>
            <w:vMerge w:val="restart"/>
            <w:tcBorders>
              <w:top w:val="single" w:sz="4" w:space="0" w:color="auto"/>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bCs/>
                <w:color w:val="auto"/>
                <w:sz w:val="24"/>
                <w:szCs w:val="24"/>
                <w:lang w:eastAsia="en-AU"/>
              </w:rPr>
              <w:t>Anchorage Demand and Capacity/Supply</w:t>
            </w:r>
          </w:p>
        </w:tc>
        <w:tc>
          <w:tcPr>
            <w:tcW w:w="5348" w:type="dxa"/>
            <w:tcBorders>
              <w:top w:val="single" w:sz="4" w:space="0" w:color="auto"/>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Forecast Total Required Ship Calls at Port for cargo</w:t>
            </w:r>
          </w:p>
        </w:tc>
        <w:tc>
          <w:tcPr>
            <w:tcW w:w="630" w:type="dxa"/>
            <w:tcBorders>
              <w:top w:val="single" w:sz="4" w:space="0" w:color="auto"/>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single" w:sz="4" w:space="0" w:color="auto"/>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Number</w:t>
            </w:r>
          </w:p>
        </w:tc>
        <w:tc>
          <w:tcPr>
            <w:tcW w:w="1418" w:type="dxa"/>
            <w:tcBorders>
              <w:top w:val="single" w:sz="4" w:space="0" w:color="auto"/>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single" w:sz="4" w:space="0" w:color="auto"/>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809</w:t>
            </w:r>
          </w:p>
        </w:tc>
        <w:tc>
          <w:tcPr>
            <w:tcW w:w="1207" w:type="dxa"/>
            <w:tcBorders>
              <w:top w:val="single" w:sz="4" w:space="0" w:color="auto"/>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858</w:t>
            </w:r>
          </w:p>
        </w:tc>
        <w:tc>
          <w:tcPr>
            <w:tcW w:w="1286" w:type="dxa"/>
            <w:tcBorders>
              <w:top w:val="single" w:sz="4" w:space="0" w:color="auto"/>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909</w:t>
            </w:r>
          </w:p>
        </w:tc>
        <w:tc>
          <w:tcPr>
            <w:tcW w:w="1246" w:type="dxa"/>
            <w:tcBorders>
              <w:top w:val="single" w:sz="4" w:space="0" w:color="auto"/>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964</w:t>
            </w:r>
          </w:p>
        </w:tc>
        <w:tc>
          <w:tcPr>
            <w:tcW w:w="1306" w:type="dxa"/>
            <w:tcBorders>
              <w:top w:val="single" w:sz="4" w:space="0" w:color="auto"/>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1,021</w:t>
            </w:r>
          </w:p>
        </w:tc>
        <w:tc>
          <w:tcPr>
            <w:tcW w:w="1246" w:type="dxa"/>
            <w:tcBorders>
              <w:top w:val="single" w:sz="4" w:space="0" w:color="auto"/>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1,083</w:t>
            </w:r>
          </w:p>
        </w:tc>
        <w:tc>
          <w:tcPr>
            <w:tcW w:w="1346" w:type="dxa"/>
            <w:tcBorders>
              <w:top w:val="single" w:sz="4" w:space="0" w:color="auto"/>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1,148</w:t>
            </w:r>
          </w:p>
        </w:tc>
        <w:tc>
          <w:tcPr>
            <w:tcW w:w="1306" w:type="dxa"/>
            <w:tcBorders>
              <w:top w:val="single" w:sz="4" w:space="0" w:color="auto"/>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1,216</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i/>
                <w:iCs/>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Forecast Share of Required Ship Calls Direct to Berth</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Per cent</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1%</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1%</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1%</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1%</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1%</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1%</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1%</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1%</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Forecast Total Required Ship Calls Direct to Anchor</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Number</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801</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849</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900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954</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1,011</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1,072</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1,136</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1,204</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Forecast Share Calls Capesize bulkers to Anchor</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Per cent</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50%</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50%</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50%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50%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50%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50%</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50%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50%</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Forecast Share Calls Panamax bulkers to Anchor</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Per cent</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50%</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50%</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50%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50%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50%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50%</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50%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50%</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Forecast Share Calls Other Ships to Anchor</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Per cent</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Forecast Capesize bulker Calls Direct to Anchor</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Number</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400</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424</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450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477</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506</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536</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568</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602</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Forecast Panamax bulker Calls Direct to Anchor</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Number</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400</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424</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450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477</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506</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536</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568</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602</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Forecast Other Ship Calls Direct to Anchor</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Number</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xml:space="preserve">Forecast Days Capesize bulker willing to Anchor </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Number</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19</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19</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19</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19</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19</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19</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19</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19</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xml:space="preserve">Forecast Days Panamax bulker willing to Anchor </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Number</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19</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19</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19</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19</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19</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19</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19</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19</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xml:space="preserve">Forecast Days Other Ships willing to Anchor </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Number</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0</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0</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0</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0</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xml:space="preserve">Maximum Anchor Demand for Capesize bulkers </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Number</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21</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22</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23</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25</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26</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28</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30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31</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xml:space="preserve">Maximum Anchor Demand for Panamax bulkers </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Number</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21</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22</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23</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25</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26</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28</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30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31</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Maximum Anchor Demand for Other ship types</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Number</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Contingency for additional Anchor Demand</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Number</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3</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3</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3</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3</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Maximum Total Ship Demand for Anchorages</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Number</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44</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46</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49</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52</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55</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59</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62</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66</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Required minimum Anchorage area</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Hectares</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940C20" w:rsidP="00C75F50">
            <w:pPr>
              <w:jc w:val="center"/>
              <w:rPr>
                <w:rFonts w:ascii="Arial" w:hAnsi="Arial" w:cs="Arial"/>
                <w:b w:val="0"/>
                <w:color w:val="auto"/>
                <w:sz w:val="24"/>
                <w:szCs w:val="24"/>
                <w:lang w:eastAsia="en-AU"/>
              </w:rPr>
            </w:pPr>
            <w:r>
              <w:rPr>
                <w:rFonts w:ascii="Arial" w:hAnsi="Arial" w:cs="Arial"/>
                <w:b w:val="0"/>
                <w:color w:val="auto"/>
                <w:sz w:val="24"/>
                <w:szCs w:val="24"/>
                <w:lang w:eastAsia="en-AU"/>
              </w:rPr>
              <w:t>5</w:t>
            </w:r>
            <w:r w:rsidR="00260282" w:rsidRPr="00C75F50">
              <w:rPr>
                <w:rFonts w:ascii="Arial" w:hAnsi="Arial" w:cs="Arial"/>
                <w:b w:val="0"/>
                <w:color w:val="auto"/>
                <w:sz w:val="24"/>
                <w:szCs w:val="24"/>
                <w:lang w:eastAsia="en-AU"/>
              </w:rPr>
              <w:t>472</w:t>
            </w:r>
          </w:p>
        </w:tc>
        <w:tc>
          <w:tcPr>
            <w:tcW w:w="1207" w:type="dxa"/>
            <w:tcBorders>
              <w:top w:val="nil"/>
              <w:left w:val="nil"/>
              <w:bottom w:val="nil"/>
              <w:right w:val="nil"/>
            </w:tcBorders>
            <w:shd w:val="clear" w:color="auto" w:fill="auto"/>
            <w:noWrap/>
            <w:vAlign w:val="bottom"/>
            <w:hideMark/>
          </w:tcPr>
          <w:p w:rsidR="00260282" w:rsidRPr="00C75F50" w:rsidRDefault="00940C20" w:rsidP="00C75F50">
            <w:pPr>
              <w:jc w:val="center"/>
              <w:rPr>
                <w:rFonts w:ascii="Arial" w:hAnsi="Arial" w:cs="Arial"/>
                <w:b w:val="0"/>
                <w:color w:val="auto"/>
                <w:sz w:val="24"/>
                <w:szCs w:val="24"/>
                <w:lang w:eastAsia="en-AU"/>
              </w:rPr>
            </w:pPr>
            <w:r>
              <w:rPr>
                <w:rFonts w:ascii="Arial" w:hAnsi="Arial" w:cs="Arial"/>
                <w:b w:val="0"/>
                <w:color w:val="auto"/>
                <w:sz w:val="24"/>
                <w:szCs w:val="24"/>
                <w:lang w:eastAsia="en-AU"/>
              </w:rPr>
              <w:t>5</w:t>
            </w:r>
            <w:r w:rsidR="00260282" w:rsidRPr="00C75F50">
              <w:rPr>
                <w:rFonts w:ascii="Arial" w:hAnsi="Arial" w:cs="Arial"/>
                <w:b w:val="0"/>
                <w:color w:val="auto"/>
                <w:sz w:val="24"/>
                <w:szCs w:val="24"/>
                <w:lang w:eastAsia="en-AU"/>
              </w:rPr>
              <w:t>800</w:t>
            </w:r>
          </w:p>
        </w:tc>
        <w:tc>
          <w:tcPr>
            <w:tcW w:w="1286" w:type="dxa"/>
            <w:tcBorders>
              <w:top w:val="nil"/>
              <w:left w:val="nil"/>
              <w:bottom w:val="nil"/>
              <w:right w:val="nil"/>
            </w:tcBorders>
            <w:shd w:val="clear" w:color="auto" w:fill="auto"/>
            <w:noWrap/>
            <w:vAlign w:val="bottom"/>
            <w:hideMark/>
          </w:tcPr>
          <w:p w:rsidR="00260282" w:rsidRPr="00C75F50" w:rsidRDefault="00940C20" w:rsidP="00C75F50">
            <w:pPr>
              <w:jc w:val="center"/>
              <w:rPr>
                <w:rFonts w:ascii="Arial" w:hAnsi="Arial" w:cs="Arial"/>
                <w:b w:val="0"/>
                <w:color w:val="auto"/>
                <w:sz w:val="24"/>
                <w:szCs w:val="24"/>
                <w:lang w:eastAsia="en-AU"/>
              </w:rPr>
            </w:pPr>
            <w:r>
              <w:rPr>
                <w:rFonts w:ascii="Arial" w:hAnsi="Arial" w:cs="Arial"/>
                <w:b w:val="0"/>
                <w:color w:val="auto"/>
                <w:sz w:val="24"/>
                <w:szCs w:val="24"/>
                <w:lang w:eastAsia="en-AU"/>
              </w:rPr>
              <w:t>6</w:t>
            </w:r>
            <w:r w:rsidR="00260282" w:rsidRPr="00C75F50">
              <w:rPr>
                <w:rFonts w:ascii="Arial" w:hAnsi="Arial" w:cs="Arial"/>
                <w:b w:val="0"/>
                <w:color w:val="auto"/>
                <w:sz w:val="24"/>
                <w:szCs w:val="24"/>
                <w:lang w:eastAsia="en-AU"/>
              </w:rPr>
              <w:t>148</w:t>
            </w:r>
          </w:p>
        </w:tc>
        <w:tc>
          <w:tcPr>
            <w:tcW w:w="1246" w:type="dxa"/>
            <w:tcBorders>
              <w:top w:val="nil"/>
              <w:left w:val="nil"/>
              <w:bottom w:val="nil"/>
              <w:right w:val="nil"/>
            </w:tcBorders>
            <w:shd w:val="clear" w:color="auto" w:fill="auto"/>
            <w:noWrap/>
            <w:vAlign w:val="bottom"/>
            <w:hideMark/>
          </w:tcPr>
          <w:p w:rsidR="00260282" w:rsidRPr="00C75F50" w:rsidRDefault="00940C20" w:rsidP="00C75F50">
            <w:pPr>
              <w:jc w:val="center"/>
              <w:rPr>
                <w:rFonts w:ascii="Arial" w:hAnsi="Arial" w:cs="Arial"/>
                <w:b w:val="0"/>
                <w:color w:val="auto"/>
                <w:sz w:val="24"/>
                <w:szCs w:val="24"/>
                <w:lang w:eastAsia="en-AU"/>
              </w:rPr>
            </w:pPr>
            <w:r>
              <w:rPr>
                <w:rFonts w:ascii="Arial" w:hAnsi="Arial" w:cs="Arial"/>
                <w:b w:val="0"/>
                <w:color w:val="auto"/>
                <w:sz w:val="24"/>
                <w:szCs w:val="24"/>
                <w:lang w:eastAsia="en-AU"/>
              </w:rPr>
              <w:t>6</w:t>
            </w:r>
            <w:r w:rsidR="00260282" w:rsidRPr="00C75F50">
              <w:rPr>
                <w:rFonts w:ascii="Arial" w:hAnsi="Arial" w:cs="Arial"/>
                <w:b w:val="0"/>
                <w:color w:val="auto"/>
                <w:sz w:val="24"/>
                <w:szCs w:val="24"/>
                <w:lang w:eastAsia="en-AU"/>
              </w:rPr>
              <w:t>517</w:t>
            </w:r>
          </w:p>
        </w:tc>
        <w:tc>
          <w:tcPr>
            <w:tcW w:w="1306" w:type="dxa"/>
            <w:tcBorders>
              <w:top w:val="nil"/>
              <w:left w:val="nil"/>
              <w:bottom w:val="nil"/>
              <w:right w:val="nil"/>
            </w:tcBorders>
            <w:shd w:val="clear" w:color="auto" w:fill="auto"/>
            <w:noWrap/>
            <w:vAlign w:val="bottom"/>
            <w:hideMark/>
          </w:tcPr>
          <w:p w:rsidR="00260282" w:rsidRPr="00C75F50" w:rsidRDefault="00940C20" w:rsidP="00C75F50">
            <w:pPr>
              <w:jc w:val="center"/>
              <w:rPr>
                <w:rFonts w:ascii="Arial" w:hAnsi="Arial" w:cs="Arial"/>
                <w:b w:val="0"/>
                <w:color w:val="auto"/>
                <w:sz w:val="24"/>
                <w:szCs w:val="24"/>
                <w:lang w:eastAsia="en-AU"/>
              </w:rPr>
            </w:pPr>
            <w:r>
              <w:rPr>
                <w:rFonts w:ascii="Arial" w:hAnsi="Arial" w:cs="Arial"/>
                <w:b w:val="0"/>
                <w:color w:val="auto"/>
                <w:sz w:val="24"/>
                <w:szCs w:val="24"/>
                <w:lang w:eastAsia="en-AU"/>
              </w:rPr>
              <w:t>6</w:t>
            </w:r>
            <w:r w:rsidR="00260282" w:rsidRPr="00C75F50">
              <w:rPr>
                <w:rFonts w:ascii="Arial" w:hAnsi="Arial" w:cs="Arial"/>
                <w:b w:val="0"/>
                <w:color w:val="auto"/>
                <w:sz w:val="24"/>
                <w:szCs w:val="24"/>
                <w:lang w:eastAsia="en-AU"/>
              </w:rPr>
              <w:t>908</w:t>
            </w:r>
          </w:p>
        </w:tc>
        <w:tc>
          <w:tcPr>
            <w:tcW w:w="1246" w:type="dxa"/>
            <w:tcBorders>
              <w:top w:val="nil"/>
              <w:left w:val="nil"/>
              <w:bottom w:val="nil"/>
              <w:right w:val="nil"/>
            </w:tcBorders>
            <w:shd w:val="clear" w:color="auto" w:fill="auto"/>
            <w:noWrap/>
            <w:vAlign w:val="bottom"/>
            <w:hideMark/>
          </w:tcPr>
          <w:p w:rsidR="00260282" w:rsidRPr="00C75F50" w:rsidRDefault="00940C20" w:rsidP="00C75F50">
            <w:pPr>
              <w:jc w:val="center"/>
              <w:rPr>
                <w:rFonts w:ascii="Arial" w:hAnsi="Arial" w:cs="Arial"/>
                <w:b w:val="0"/>
                <w:color w:val="auto"/>
                <w:sz w:val="24"/>
                <w:szCs w:val="24"/>
                <w:lang w:eastAsia="en-AU"/>
              </w:rPr>
            </w:pPr>
            <w:r>
              <w:rPr>
                <w:rFonts w:ascii="Arial" w:hAnsi="Arial" w:cs="Arial"/>
                <w:b w:val="0"/>
                <w:color w:val="auto"/>
                <w:sz w:val="24"/>
                <w:szCs w:val="24"/>
                <w:lang w:eastAsia="en-AU"/>
              </w:rPr>
              <w:t>7</w:t>
            </w:r>
            <w:r w:rsidR="00260282" w:rsidRPr="00C75F50">
              <w:rPr>
                <w:rFonts w:ascii="Arial" w:hAnsi="Arial" w:cs="Arial"/>
                <w:b w:val="0"/>
                <w:color w:val="auto"/>
                <w:sz w:val="24"/>
                <w:szCs w:val="24"/>
                <w:lang w:eastAsia="en-AU"/>
              </w:rPr>
              <w:t>323</w:t>
            </w:r>
          </w:p>
        </w:tc>
        <w:tc>
          <w:tcPr>
            <w:tcW w:w="1346" w:type="dxa"/>
            <w:tcBorders>
              <w:top w:val="nil"/>
              <w:left w:val="nil"/>
              <w:bottom w:val="nil"/>
              <w:right w:val="nil"/>
            </w:tcBorders>
            <w:shd w:val="clear" w:color="auto" w:fill="auto"/>
            <w:noWrap/>
            <w:vAlign w:val="bottom"/>
            <w:hideMark/>
          </w:tcPr>
          <w:p w:rsidR="00260282" w:rsidRPr="00C75F50" w:rsidRDefault="00940C20" w:rsidP="00C75F50">
            <w:pPr>
              <w:jc w:val="center"/>
              <w:rPr>
                <w:rFonts w:ascii="Arial" w:hAnsi="Arial" w:cs="Arial"/>
                <w:b w:val="0"/>
                <w:color w:val="auto"/>
                <w:sz w:val="24"/>
                <w:szCs w:val="24"/>
                <w:lang w:eastAsia="en-AU"/>
              </w:rPr>
            </w:pPr>
            <w:r>
              <w:rPr>
                <w:rFonts w:ascii="Arial" w:hAnsi="Arial" w:cs="Arial"/>
                <w:b w:val="0"/>
                <w:color w:val="auto"/>
                <w:sz w:val="24"/>
                <w:szCs w:val="24"/>
                <w:lang w:eastAsia="en-AU"/>
              </w:rPr>
              <w:t>7</w:t>
            </w:r>
            <w:r w:rsidR="00260282" w:rsidRPr="00C75F50">
              <w:rPr>
                <w:rFonts w:ascii="Arial" w:hAnsi="Arial" w:cs="Arial"/>
                <w:b w:val="0"/>
                <w:color w:val="auto"/>
                <w:sz w:val="24"/>
                <w:szCs w:val="24"/>
                <w:lang w:eastAsia="en-AU"/>
              </w:rPr>
              <w:t>762</w:t>
            </w:r>
          </w:p>
        </w:tc>
        <w:tc>
          <w:tcPr>
            <w:tcW w:w="1306" w:type="dxa"/>
            <w:tcBorders>
              <w:top w:val="nil"/>
              <w:left w:val="nil"/>
              <w:bottom w:val="nil"/>
              <w:right w:val="nil"/>
            </w:tcBorders>
            <w:shd w:val="clear" w:color="auto" w:fill="auto"/>
            <w:noWrap/>
            <w:vAlign w:val="bottom"/>
            <w:hideMark/>
          </w:tcPr>
          <w:p w:rsidR="00260282" w:rsidRPr="00C75F50" w:rsidRDefault="00940C20" w:rsidP="00C75F50">
            <w:pPr>
              <w:jc w:val="center"/>
              <w:rPr>
                <w:rFonts w:ascii="Arial" w:hAnsi="Arial" w:cs="Arial"/>
                <w:b w:val="0"/>
                <w:color w:val="auto"/>
                <w:sz w:val="24"/>
                <w:szCs w:val="24"/>
                <w:lang w:eastAsia="en-AU"/>
              </w:rPr>
            </w:pPr>
            <w:r>
              <w:rPr>
                <w:rFonts w:ascii="Arial" w:hAnsi="Arial" w:cs="Arial"/>
                <w:b w:val="0"/>
                <w:color w:val="auto"/>
                <w:sz w:val="24"/>
                <w:szCs w:val="24"/>
                <w:lang w:eastAsia="en-AU"/>
              </w:rPr>
              <w:t>8</w:t>
            </w:r>
            <w:r w:rsidR="00260282" w:rsidRPr="00C75F50">
              <w:rPr>
                <w:rFonts w:ascii="Arial" w:hAnsi="Arial" w:cs="Arial"/>
                <w:b w:val="0"/>
                <w:color w:val="auto"/>
                <w:sz w:val="24"/>
                <w:szCs w:val="24"/>
                <w:lang w:eastAsia="en-AU"/>
              </w:rPr>
              <w:t>228</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Actual available Anchorage area (based on min.)</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Hectares</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12,500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12,500</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12,500</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12,500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12,500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12,500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12,500</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12,500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12,500</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Shortfall in Ship Anchorage area</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Yes/No</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No</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No</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No</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No</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No</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No</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No</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No</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Required Anchorage area expansion</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Hectares</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Total Anchorage Area (incl. expansion)</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Hectares</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12,500</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12,500</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12,500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12,500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12,500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12,500</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12,500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12,500</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Expansion in equivalent Capesize anchor drop points</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Number</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Supply in anchor drop points</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Number</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100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100</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100</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100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100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100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100</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100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100</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Shortfall in anchor drop points (required expansion)</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Number</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Expansion affects vistas and property values</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Yes/No</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Expansion ship viewing attraction</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Yes/No</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Expansion affects Other user accident levels</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Yes/No</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Expansion triggers Port Vessel Arrival System</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Yes/No</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No</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Ships anchored in expanded area per day</w:t>
            </w:r>
          </w:p>
        </w:tc>
        <w:tc>
          <w:tcPr>
            <w:tcW w:w="630" w:type="dxa"/>
            <w:tcBorders>
              <w:top w:val="nil"/>
              <w:left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Number</w:t>
            </w:r>
          </w:p>
        </w:tc>
        <w:tc>
          <w:tcPr>
            <w:tcW w:w="1418" w:type="dxa"/>
            <w:tcBorders>
              <w:top w:val="nil"/>
              <w:left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tcBorders>
              <w:top w:val="nil"/>
              <w:left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tcBorders>
              <w:top w:val="nil"/>
              <w:left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nil"/>
              <w:left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nil"/>
              <w:left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nil"/>
              <w:left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tcBorders>
              <w:top w:val="nil"/>
              <w:left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nil"/>
              <w:left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tcBorders>
              <w:left w:val="nil"/>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Ships anchored in expanded area provisioned</w:t>
            </w:r>
          </w:p>
        </w:tc>
        <w:tc>
          <w:tcPr>
            <w:tcW w:w="630"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nil"/>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Number</w:t>
            </w:r>
          </w:p>
        </w:tc>
        <w:tc>
          <w:tcPr>
            <w:tcW w:w="1418"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nil"/>
              <w:left w:val="nil"/>
              <w:bottom w:val="nil"/>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tcBorders>
              <w:left w:val="nil"/>
              <w:bottom w:val="single" w:sz="4" w:space="0" w:color="auto"/>
              <w:right w:val="nil"/>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top w:val="nil"/>
              <w:left w:val="nil"/>
              <w:bottom w:val="single" w:sz="4" w:space="0" w:color="auto"/>
              <w:right w:val="nil"/>
            </w:tcBorders>
            <w:shd w:val="clear" w:color="auto" w:fill="auto"/>
            <w:noWrap/>
            <w:vAlign w:val="bottom"/>
            <w:hideMark/>
          </w:tcPr>
          <w:p w:rsidR="00260282" w:rsidRPr="00C75F50" w:rsidRDefault="00FA782B" w:rsidP="000533C5">
            <w:pPr>
              <w:rPr>
                <w:rFonts w:ascii="Arial" w:hAnsi="Arial" w:cs="Arial"/>
                <w:b w:val="0"/>
                <w:color w:val="auto"/>
                <w:sz w:val="24"/>
                <w:szCs w:val="24"/>
                <w:lang w:eastAsia="en-AU"/>
              </w:rPr>
            </w:pPr>
            <w:r>
              <w:rPr>
                <w:rFonts w:ascii="Arial" w:hAnsi="Arial" w:cs="Arial"/>
                <w:b w:val="0"/>
                <w:color w:val="auto"/>
                <w:sz w:val="24"/>
                <w:szCs w:val="24"/>
                <w:lang w:eastAsia="en-AU"/>
              </w:rPr>
              <w:t xml:space="preserve">Non-emission ship pollution </w:t>
            </w:r>
            <w:r w:rsidR="00260282" w:rsidRPr="00C75F50">
              <w:rPr>
                <w:rFonts w:ascii="Arial" w:hAnsi="Arial" w:cs="Arial"/>
                <w:b w:val="0"/>
                <w:color w:val="auto"/>
                <w:sz w:val="24"/>
                <w:szCs w:val="24"/>
                <w:lang w:eastAsia="en-AU"/>
              </w:rPr>
              <w:t>in expanded area</w:t>
            </w:r>
          </w:p>
        </w:tc>
        <w:tc>
          <w:tcPr>
            <w:tcW w:w="630" w:type="dxa"/>
            <w:tcBorders>
              <w:top w:val="nil"/>
              <w:left w:val="nil"/>
              <w:bottom w:val="single" w:sz="4" w:space="0" w:color="auto"/>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w:t>
            </w:r>
          </w:p>
        </w:tc>
        <w:tc>
          <w:tcPr>
            <w:tcW w:w="1247" w:type="dxa"/>
            <w:tcBorders>
              <w:top w:val="nil"/>
              <w:left w:val="nil"/>
              <w:bottom w:val="single" w:sz="4" w:space="0" w:color="auto"/>
              <w:right w:val="nil"/>
            </w:tcBorders>
            <w:shd w:val="clear" w:color="auto" w:fill="auto"/>
            <w:noWrap/>
            <w:vAlign w:val="bottom"/>
            <w:hideMark/>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Kg</w:t>
            </w:r>
          </w:p>
        </w:tc>
        <w:tc>
          <w:tcPr>
            <w:tcW w:w="1418" w:type="dxa"/>
            <w:tcBorders>
              <w:top w:val="nil"/>
              <w:left w:val="nil"/>
              <w:bottom w:val="single" w:sz="4" w:space="0" w:color="auto"/>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nil"/>
              <w:left w:val="nil"/>
              <w:bottom w:val="single" w:sz="4" w:space="0" w:color="auto"/>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tcBorders>
              <w:top w:val="nil"/>
              <w:left w:val="nil"/>
              <w:bottom w:val="single" w:sz="4" w:space="0" w:color="auto"/>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tcBorders>
              <w:top w:val="nil"/>
              <w:left w:val="nil"/>
              <w:bottom w:val="single" w:sz="4" w:space="0" w:color="auto"/>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nil"/>
              <w:left w:val="nil"/>
              <w:bottom w:val="single" w:sz="4" w:space="0" w:color="auto"/>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nil"/>
              <w:left w:val="nil"/>
              <w:bottom w:val="single" w:sz="4" w:space="0" w:color="auto"/>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nil"/>
              <w:left w:val="nil"/>
              <w:bottom w:val="single" w:sz="4" w:space="0" w:color="auto"/>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tcBorders>
              <w:top w:val="nil"/>
              <w:left w:val="nil"/>
              <w:bottom w:val="single" w:sz="4" w:space="0" w:color="auto"/>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nil"/>
              <w:left w:val="nil"/>
              <w:bottom w:val="single" w:sz="4" w:space="0" w:color="auto"/>
              <w:right w:val="nil"/>
            </w:tcBorders>
            <w:shd w:val="clear" w:color="auto" w:fill="auto"/>
            <w:noWrap/>
            <w:vAlign w:val="bottom"/>
            <w:hideMark/>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C75F50">
        <w:trPr>
          <w:trHeight w:val="421"/>
        </w:trPr>
        <w:tc>
          <w:tcPr>
            <w:tcW w:w="21042" w:type="dxa"/>
            <w:gridSpan w:val="13"/>
            <w:tcBorders>
              <w:top w:val="single" w:sz="4" w:space="0" w:color="auto"/>
              <w:bottom w:val="single" w:sz="4" w:space="0" w:color="auto"/>
            </w:tcBorders>
            <w:shd w:val="clear" w:color="auto" w:fill="D9D9D9" w:themeFill="background1" w:themeFillShade="D9"/>
            <w:vAlign w:val="center"/>
          </w:tcPr>
          <w:p w:rsidR="00260282" w:rsidRPr="00C75F50" w:rsidRDefault="00260282" w:rsidP="00C75F50">
            <w:pPr>
              <w:rPr>
                <w:rFonts w:ascii="Arial" w:hAnsi="Arial" w:cs="Arial"/>
                <w:color w:val="auto"/>
                <w:sz w:val="24"/>
                <w:szCs w:val="24"/>
                <w:lang w:eastAsia="en-AU"/>
              </w:rPr>
            </w:pPr>
            <w:r w:rsidRPr="00C75F50">
              <w:rPr>
                <w:rFonts w:ascii="Arial" w:hAnsi="Arial" w:cs="Arial"/>
                <w:bCs/>
                <w:color w:val="auto"/>
                <w:sz w:val="24"/>
                <w:szCs w:val="24"/>
                <w:lang w:eastAsia="en-AU"/>
              </w:rPr>
              <w:t>Base Case: Without Option/Strategy</w:t>
            </w:r>
          </w:p>
        </w:tc>
      </w:tr>
      <w:tr w:rsidR="00260282" w:rsidRPr="0085303D" w:rsidTr="000533C5">
        <w:trPr>
          <w:trHeight w:val="288"/>
        </w:trPr>
        <w:tc>
          <w:tcPr>
            <w:tcW w:w="2210" w:type="dxa"/>
            <w:vMerge w:val="restart"/>
            <w:tcBorders>
              <w:top w:val="single" w:sz="4" w:space="0" w:color="auto"/>
            </w:tcBorders>
            <w:shd w:val="clear" w:color="auto" w:fill="auto"/>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bCs/>
                <w:color w:val="auto"/>
                <w:sz w:val="24"/>
                <w:szCs w:val="24"/>
                <w:lang w:eastAsia="en-AU"/>
              </w:rPr>
              <w:t>Cost Impacts of Anchorage Expansions</w:t>
            </w:r>
          </w:p>
        </w:tc>
        <w:tc>
          <w:tcPr>
            <w:tcW w:w="5348" w:type="dxa"/>
            <w:tcBorders>
              <w:top w:val="single" w:sz="4" w:space="0" w:color="auto"/>
            </w:tcBorders>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Lost area with Environmental Value</w:t>
            </w:r>
          </w:p>
        </w:tc>
        <w:tc>
          <w:tcPr>
            <w:tcW w:w="630" w:type="dxa"/>
            <w:tcBorders>
              <w:top w:val="single" w:sz="4" w:space="0" w:color="auto"/>
            </w:tcBorders>
            <w:shd w:val="clear" w:color="auto" w:fill="auto"/>
            <w:noWrap/>
            <w:vAlign w:val="bottom"/>
          </w:tcPr>
          <w:p w:rsidR="00260282" w:rsidRPr="00C75F50" w:rsidRDefault="00260282" w:rsidP="000533C5">
            <w:pP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 </w:t>
            </w:r>
          </w:p>
        </w:tc>
        <w:tc>
          <w:tcPr>
            <w:tcW w:w="1247" w:type="dxa"/>
            <w:tcBorders>
              <w:top w:val="single" w:sz="4" w:space="0" w:color="auto"/>
            </w:tcBorders>
            <w:shd w:val="clear" w:color="auto" w:fill="auto"/>
            <w:noWrap/>
            <w:vAlign w:val="bottom"/>
          </w:tcPr>
          <w:p w:rsidR="00260282" w:rsidRPr="00C75F50" w:rsidRDefault="00260282" w:rsidP="000533C5">
            <w:pP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Hectares</w:t>
            </w:r>
          </w:p>
        </w:tc>
        <w:tc>
          <w:tcPr>
            <w:tcW w:w="1418"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207"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28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3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Cumulative Lost area with Environmental Value</w:t>
            </w:r>
          </w:p>
        </w:tc>
        <w:tc>
          <w:tcPr>
            <w:tcW w:w="630" w:type="dxa"/>
            <w:shd w:val="clear" w:color="auto" w:fill="auto"/>
            <w:noWrap/>
            <w:vAlign w:val="bottom"/>
          </w:tcPr>
          <w:p w:rsidR="00260282" w:rsidRPr="00C75F50" w:rsidRDefault="00260282" w:rsidP="000533C5">
            <w:pP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 </w:t>
            </w:r>
          </w:p>
        </w:tc>
        <w:tc>
          <w:tcPr>
            <w:tcW w:w="1247" w:type="dxa"/>
            <w:shd w:val="clear" w:color="auto" w:fill="auto"/>
            <w:noWrap/>
            <w:vAlign w:val="bottom"/>
          </w:tcPr>
          <w:p w:rsidR="00260282" w:rsidRPr="00C75F50" w:rsidRDefault="00260282" w:rsidP="000533C5">
            <w:pP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Hectares</w:t>
            </w:r>
          </w:p>
        </w:tc>
        <w:tc>
          <w:tcPr>
            <w:tcW w:w="1418"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Per</w:t>
            </w:r>
            <w:r>
              <w:rPr>
                <w:rFonts w:ascii="Arial" w:hAnsi="Arial" w:cs="Arial"/>
                <w:b w:val="0"/>
                <w:iCs/>
                <w:color w:val="auto"/>
                <w:sz w:val="24"/>
                <w:szCs w:val="24"/>
                <w:lang w:eastAsia="en-AU"/>
              </w:rPr>
              <w:t xml:space="preserve"> </w:t>
            </w:r>
            <w:r w:rsidRPr="00C75F50">
              <w:rPr>
                <w:rFonts w:ascii="Arial" w:hAnsi="Arial" w:cs="Arial"/>
                <w:b w:val="0"/>
                <w:iCs/>
                <w:color w:val="auto"/>
                <w:sz w:val="24"/>
                <w:szCs w:val="24"/>
                <w:lang w:eastAsia="en-AU"/>
              </w:rPr>
              <w:t xml:space="preserve">cent ongoing </w:t>
            </w:r>
            <w:r>
              <w:rPr>
                <w:rFonts w:ascii="Arial" w:hAnsi="Arial" w:cs="Arial"/>
                <w:b w:val="0"/>
                <w:iCs/>
                <w:color w:val="auto"/>
                <w:sz w:val="24"/>
                <w:szCs w:val="24"/>
                <w:lang w:eastAsia="en-AU"/>
              </w:rPr>
              <w:t xml:space="preserve">lost environmental value (20 year </w:t>
            </w:r>
            <w:r w:rsidRPr="00C75F50">
              <w:rPr>
                <w:rFonts w:ascii="Arial" w:hAnsi="Arial" w:cs="Arial"/>
                <w:b w:val="0"/>
                <w:iCs/>
                <w:color w:val="auto"/>
                <w:sz w:val="24"/>
                <w:szCs w:val="24"/>
                <w:lang w:eastAsia="en-AU"/>
              </w:rPr>
              <w:t>max)</w:t>
            </w:r>
          </w:p>
        </w:tc>
        <w:tc>
          <w:tcPr>
            <w:tcW w:w="630" w:type="dxa"/>
            <w:shd w:val="clear" w:color="auto" w:fill="auto"/>
            <w:noWrap/>
            <w:vAlign w:val="bottom"/>
          </w:tcPr>
          <w:p w:rsidR="00260282" w:rsidRPr="00C75F50" w:rsidRDefault="00260282" w:rsidP="000533C5">
            <w:pPr>
              <w:rPr>
                <w:rFonts w:ascii="Arial" w:hAnsi="Arial" w:cs="Arial"/>
                <w:b w:val="0"/>
                <w:i/>
                <w:iCs/>
                <w:color w:val="auto"/>
                <w:sz w:val="24"/>
                <w:szCs w:val="24"/>
                <w:lang w:eastAsia="en-AU"/>
              </w:rPr>
            </w:pPr>
          </w:p>
        </w:tc>
        <w:tc>
          <w:tcPr>
            <w:tcW w:w="1247"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Per</w:t>
            </w:r>
            <w:r>
              <w:rPr>
                <w:rFonts w:ascii="Arial" w:hAnsi="Arial" w:cs="Arial"/>
                <w:b w:val="0"/>
                <w:iCs/>
                <w:color w:val="auto"/>
                <w:sz w:val="24"/>
                <w:szCs w:val="24"/>
                <w:lang w:eastAsia="en-AU"/>
              </w:rPr>
              <w:t xml:space="preserve"> </w:t>
            </w:r>
            <w:r w:rsidRPr="00C75F50">
              <w:rPr>
                <w:rFonts w:ascii="Arial" w:hAnsi="Arial" w:cs="Arial"/>
                <w:b w:val="0"/>
                <w:iCs/>
                <w:color w:val="auto"/>
                <w:sz w:val="24"/>
                <w:szCs w:val="24"/>
                <w:lang w:eastAsia="en-AU"/>
              </w:rPr>
              <w:t>cent</w:t>
            </w:r>
          </w:p>
        </w:tc>
        <w:tc>
          <w:tcPr>
            <w:tcW w:w="1418"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
                <w:color w:val="auto"/>
                <w:sz w:val="24"/>
                <w:szCs w:val="24"/>
                <w:lang w:eastAsia="en-AU"/>
              </w:rPr>
            </w:pPr>
            <w:r w:rsidRPr="00C75F50">
              <w:rPr>
                <w:rFonts w:ascii="Arial" w:hAnsi="Arial" w:cs="Arial"/>
                <w:b w:val="0"/>
                <w:i/>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Lost Environmental area,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Lost Environmental area,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Non-emis</w:t>
            </w:r>
            <w:r>
              <w:rPr>
                <w:rFonts w:ascii="Arial" w:hAnsi="Arial" w:cs="Arial"/>
                <w:b w:val="0"/>
                <w:color w:val="auto"/>
                <w:sz w:val="24"/>
                <w:szCs w:val="24"/>
                <w:lang w:eastAsia="en-AU"/>
              </w:rPr>
              <w:t>sion pollution clean-up,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Non-emission pollution clean-up,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C12CA6"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Cumulative Expanded Anchorage area</w:t>
            </w:r>
          </w:p>
        </w:tc>
        <w:tc>
          <w:tcPr>
            <w:tcW w:w="630" w:type="dxa"/>
            <w:shd w:val="clear" w:color="auto" w:fill="auto"/>
            <w:noWrap/>
            <w:vAlign w:val="bottom"/>
          </w:tcPr>
          <w:p w:rsidR="00260282" w:rsidRPr="00C75F50" w:rsidRDefault="00260282" w:rsidP="000533C5">
            <w:pP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 </w:t>
            </w:r>
          </w:p>
        </w:tc>
        <w:tc>
          <w:tcPr>
            <w:tcW w:w="1247"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Hectares</w:t>
            </w:r>
          </w:p>
        </w:tc>
        <w:tc>
          <w:tcPr>
            <w:tcW w:w="1418"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r>
      <w:tr w:rsidR="00260282" w:rsidRPr="00C12CA6"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Lost Fish Catch from Expanded Anchorage area</w:t>
            </w:r>
          </w:p>
        </w:tc>
        <w:tc>
          <w:tcPr>
            <w:tcW w:w="630" w:type="dxa"/>
            <w:shd w:val="clear" w:color="auto" w:fill="auto"/>
            <w:noWrap/>
            <w:vAlign w:val="bottom"/>
          </w:tcPr>
          <w:p w:rsidR="00260282" w:rsidRPr="00C75F50" w:rsidRDefault="00260282" w:rsidP="000533C5">
            <w:pP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 </w:t>
            </w:r>
          </w:p>
        </w:tc>
        <w:tc>
          <w:tcPr>
            <w:tcW w:w="1247"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Kg</w:t>
            </w:r>
          </w:p>
        </w:tc>
        <w:tc>
          <w:tcPr>
            <w:tcW w:w="1418"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Lost Commercial Fish Catch,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Lost Commercial Fish Catch,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xml:space="preserve">Op. Cost of Fishing boat diversions, undiscounted </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$21</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$21</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$21</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$21</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$21</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$21</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$21</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$21</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xml:space="preserve">Op. Cost of Fishing boat diversions, discounted </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$19</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$18</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$17</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$16</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$15</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$14</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$13</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$12</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xml:space="preserve">Fuel Cost of Fishing boat diversions, undiscounted </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$45</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$45</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$45</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$45</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$45</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$45</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$45</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$45</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xml:space="preserve">Fuel Cost of Fishing boat diversions, discounted </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$42</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$39</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$37</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$34</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$32</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$30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$28</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$26</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xml:space="preserve">Emissions Cost of diverting </w:t>
            </w:r>
            <w:r>
              <w:rPr>
                <w:rFonts w:ascii="Arial" w:hAnsi="Arial" w:cs="Arial"/>
                <w:b w:val="0"/>
                <w:color w:val="auto"/>
                <w:sz w:val="24"/>
                <w:szCs w:val="24"/>
                <w:lang w:eastAsia="en-AU"/>
              </w:rPr>
              <w:t>Fishing boats,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Emissions Cost of diverting Fishing boats,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Reduced Tourism Experience,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Reduced Tourism Experience,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xml:space="preserve">Op. Cost of Tourism boat diversions, undiscounted </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xml:space="preserve">Op. Cost of Tourism boat diversions, discounted </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xml:space="preserve">Fuel Cost of Tourism boat diversions, undiscounted </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xml:space="preserve">Fuel Cost of Tourism boat diversions, discounted </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 xml:space="preserve">Emissions Cost of </w:t>
            </w:r>
            <w:r>
              <w:rPr>
                <w:rFonts w:ascii="Arial" w:hAnsi="Arial" w:cs="Arial"/>
                <w:b w:val="0"/>
                <w:color w:val="auto"/>
                <w:sz w:val="24"/>
                <w:szCs w:val="24"/>
                <w:lang w:eastAsia="en-AU"/>
              </w:rPr>
              <w:t>diverting Tourism boats,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Emissions Cost of diverting Tour. boats,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Reduced Leisure Experience,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Reduced Leisure Experience,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Pr>
                <w:rFonts w:ascii="Arial" w:hAnsi="Arial" w:cs="Arial"/>
                <w:b w:val="0"/>
                <w:color w:val="auto"/>
                <w:sz w:val="24"/>
                <w:szCs w:val="24"/>
                <w:lang w:eastAsia="en-AU"/>
              </w:rPr>
              <w:t>Op. Cost of Recreational</w:t>
            </w:r>
            <w:r w:rsidRPr="00C75F50">
              <w:rPr>
                <w:rFonts w:ascii="Arial" w:hAnsi="Arial" w:cs="Arial"/>
                <w:b w:val="0"/>
                <w:color w:val="auto"/>
                <w:sz w:val="24"/>
                <w:szCs w:val="24"/>
                <w:lang w:eastAsia="en-AU"/>
              </w:rPr>
              <w:t xml:space="preserve"> boat diversions, undiscounted </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Pr>
                <w:rFonts w:ascii="Arial" w:hAnsi="Arial" w:cs="Arial"/>
                <w:b w:val="0"/>
                <w:color w:val="auto"/>
                <w:sz w:val="24"/>
                <w:szCs w:val="24"/>
                <w:lang w:eastAsia="en-AU"/>
              </w:rPr>
              <w:t>Op. Cost of Recreational</w:t>
            </w:r>
            <w:r w:rsidRPr="00C75F50">
              <w:rPr>
                <w:rFonts w:ascii="Arial" w:hAnsi="Arial" w:cs="Arial"/>
                <w:b w:val="0"/>
                <w:color w:val="auto"/>
                <w:sz w:val="24"/>
                <w:szCs w:val="24"/>
                <w:lang w:eastAsia="en-AU"/>
              </w:rPr>
              <w:t xml:space="preserve"> boat diversions, discounted </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Pr>
                <w:rFonts w:ascii="Arial" w:hAnsi="Arial" w:cs="Arial"/>
                <w:b w:val="0"/>
                <w:color w:val="auto"/>
                <w:sz w:val="24"/>
                <w:szCs w:val="24"/>
                <w:lang w:eastAsia="en-AU"/>
              </w:rPr>
              <w:t>Fuel Cost of Recreational</w:t>
            </w:r>
            <w:r w:rsidRPr="00C75F50">
              <w:rPr>
                <w:rFonts w:ascii="Arial" w:hAnsi="Arial" w:cs="Arial"/>
                <w:b w:val="0"/>
                <w:color w:val="auto"/>
                <w:sz w:val="24"/>
                <w:szCs w:val="24"/>
                <w:lang w:eastAsia="en-AU"/>
              </w:rPr>
              <w:t xml:space="preserve"> boat diversions, undiscounted </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Pr>
                <w:rFonts w:ascii="Arial" w:hAnsi="Arial" w:cs="Arial"/>
                <w:b w:val="0"/>
                <w:color w:val="auto"/>
                <w:sz w:val="24"/>
                <w:szCs w:val="24"/>
                <w:lang w:eastAsia="en-AU"/>
              </w:rPr>
              <w:t>Fuel Cost of Recreational</w:t>
            </w:r>
            <w:r w:rsidRPr="00C75F50">
              <w:rPr>
                <w:rFonts w:ascii="Arial" w:hAnsi="Arial" w:cs="Arial"/>
                <w:b w:val="0"/>
                <w:color w:val="auto"/>
                <w:sz w:val="24"/>
                <w:szCs w:val="24"/>
                <w:lang w:eastAsia="en-AU"/>
              </w:rPr>
              <w:t xml:space="preserve"> boat diversions, discounted </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C75F50">
            <w:pPr>
              <w:rPr>
                <w:rFonts w:ascii="Arial" w:hAnsi="Arial" w:cs="Arial"/>
                <w:b w:val="0"/>
                <w:color w:val="auto"/>
                <w:sz w:val="24"/>
                <w:szCs w:val="24"/>
                <w:lang w:eastAsia="en-AU"/>
              </w:rPr>
            </w:pPr>
            <w:r w:rsidRPr="00C75F50">
              <w:rPr>
                <w:rFonts w:ascii="Arial" w:hAnsi="Arial" w:cs="Arial"/>
                <w:b w:val="0"/>
                <w:color w:val="auto"/>
                <w:sz w:val="24"/>
                <w:szCs w:val="24"/>
                <w:lang w:eastAsia="en-AU"/>
              </w:rPr>
              <w:t xml:space="preserve">Emissions Cost of diverting </w:t>
            </w:r>
            <w:r>
              <w:rPr>
                <w:rFonts w:ascii="Arial" w:hAnsi="Arial" w:cs="Arial"/>
                <w:b w:val="0"/>
                <w:color w:val="auto"/>
                <w:sz w:val="24"/>
                <w:szCs w:val="24"/>
                <w:lang w:eastAsia="en-AU"/>
              </w:rPr>
              <w:t>Recreational</w:t>
            </w:r>
            <w:r w:rsidRPr="00C75F50">
              <w:rPr>
                <w:rFonts w:ascii="Arial" w:hAnsi="Arial" w:cs="Arial"/>
                <w:b w:val="0"/>
                <w:color w:val="auto"/>
                <w:sz w:val="24"/>
                <w:szCs w:val="24"/>
                <w:lang w:eastAsia="en-AU"/>
              </w:rPr>
              <w:t xml:space="preserve"> boats, undiscount</w:t>
            </w:r>
            <w:r>
              <w:rPr>
                <w:rFonts w:ascii="Arial" w:hAnsi="Arial" w:cs="Arial"/>
                <w:b w:val="0"/>
                <w:color w:val="auto"/>
                <w:sz w:val="24"/>
                <w:szCs w:val="24"/>
                <w:lang w:eastAsia="en-AU"/>
              </w:rPr>
              <w: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C75F50">
            <w:pPr>
              <w:rPr>
                <w:rFonts w:ascii="Arial" w:hAnsi="Arial" w:cs="Arial"/>
                <w:b w:val="0"/>
                <w:color w:val="auto"/>
                <w:sz w:val="24"/>
                <w:szCs w:val="24"/>
                <w:lang w:eastAsia="en-AU"/>
              </w:rPr>
            </w:pPr>
            <w:r w:rsidRPr="00C75F50">
              <w:rPr>
                <w:rFonts w:ascii="Arial" w:hAnsi="Arial" w:cs="Arial"/>
                <w:b w:val="0"/>
                <w:color w:val="auto"/>
                <w:sz w:val="24"/>
                <w:szCs w:val="24"/>
                <w:lang w:eastAsia="en-AU"/>
              </w:rPr>
              <w:t>Emissions Cost of diverting</w:t>
            </w:r>
            <w:r>
              <w:rPr>
                <w:rFonts w:ascii="Arial" w:hAnsi="Arial" w:cs="Arial"/>
                <w:b w:val="0"/>
                <w:color w:val="auto"/>
                <w:sz w:val="24"/>
                <w:szCs w:val="24"/>
                <w:lang w:eastAsia="en-AU"/>
              </w:rPr>
              <w:t xml:space="preserve"> Recreational</w:t>
            </w:r>
            <w:r w:rsidRPr="00C75F50">
              <w:rPr>
                <w:rFonts w:ascii="Arial" w:hAnsi="Arial" w:cs="Arial"/>
                <w:b w:val="0"/>
                <w:color w:val="auto"/>
                <w:sz w:val="24"/>
                <w:szCs w:val="24"/>
                <w:lang w:eastAsia="en-AU"/>
              </w:rPr>
              <w:t xml:space="preserve"> boats,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Decline in property values,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Decline in property values,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Incr. other user accidents,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Incr. other user accidents,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Incr. other user fatalities,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Incr. other user fatalities,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Incr. other user injuries,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Incr. other user injuries,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Total Cost Impact of Anchor Expansions, undiscounted</w:t>
            </w:r>
          </w:p>
        </w:tc>
        <w:tc>
          <w:tcPr>
            <w:tcW w:w="630"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$66</w:t>
            </w:r>
          </w:p>
        </w:tc>
        <w:tc>
          <w:tcPr>
            <w:tcW w:w="1207"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$66</w:t>
            </w:r>
          </w:p>
        </w:tc>
        <w:tc>
          <w:tcPr>
            <w:tcW w:w="128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$66</w:t>
            </w:r>
          </w:p>
        </w:tc>
        <w:tc>
          <w:tcPr>
            <w:tcW w:w="12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$66</w:t>
            </w:r>
          </w:p>
        </w:tc>
        <w:tc>
          <w:tcPr>
            <w:tcW w:w="130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$66</w:t>
            </w:r>
          </w:p>
        </w:tc>
        <w:tc>
          <w:tcPr>
            <w:tcW w:w="12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$66</w:t>
            </w:r>
          </w:p>
        </w:tc>
        <w:tc>
          <w:tcPr>
            <w:tcW w:w="13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$66</w:t>
            </w:r>
          </w:p>
        </w:tc>
        <w:tc>
          <w:tcPr>
            <w:tcW w:w="130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$66</w:t>
            </w:r>
          </w:p>
        </w:tc>
      </w:tr>
      <w:tr w:rsidR="00260282" w:rsidRPr="0085303D" w:rsidTr="000533C5">
        <w:trPr>
          <w:trHeight w:val="288"/>
        </w:trPr>
        <w:tc>
          <w:tcPr>
            <w:tcW w:w="2210" w:type="dxa"/>
            <w:vMerge/>
            <w:tcBorders>
              <w:bottom w:val="single" w:sz="4" w:space="0" w:color="auto"/>
            </w:tcBorders>
            <w:shd w:val="clear" w:color="auto" w:fill="auto"/>
          </w:tcPr>
          <w:p w:rsidR="00260282" w:rsidRPr="00C75F50" w:rsidRDefault="00260282" w:rsidP="000533C5">
            <w:pPr>
              <w:rPr>
                <w:rFonts w:ascii="Arial" w:hAnsi="Arial" w:cs="Arial"/>
                <w:b w:val="0"/>
                <w:color w:val="auto"/>
                <w:sz w:val="24"/>
                <w:szCs w:val="24"/>
                <w:lang w:eastAsia="en-AU"/>
              </w:rPr>
            </w:pPr>
          </w:p>
        </w:tc>
        <w:tc>
          <w:tcPr>
            <w:tcW w:w="5348"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Total Cost Impact of Anchor Expansions, discount.</w:t>
            </w:r>
          </w:p>
        </w:tc>
        <w:tc>
          <w:tcPr>
            <w:tcW w:w="630"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7%</w:t>
            </w:r>
          </w:p>
        </w:tc>
        <w:tc>
          <w:tcPr>
            <w:tcW w:w="1247"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 '000</w:t>
            </w:r>
          </w:p>
        </w:tc>
        <w:tc>
          <w:tcPr>
            <w:tcW w:w="1418"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$62</w:t>
            </w:r>
          </w:p>
        </w:tc>
        <w:tc>
          <w:tcPr>
            <w:tcW w:w="1207"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$58</w:t>
            </w:r>
          </w:p>
        </w:tc>
        <w:tc>
          <w:tcPr>
            <w:tcW w:w="128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$54</w:t>
            </w: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$50</w:t>
            </w: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$47</w:t>
            </w: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$44</w:t>
            </w:r>
          </w:p>
        </w:tc>
        <w:tc>
          <w:tcPr>
            <w:tcW w:w="13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$41</w:t>
            </w: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$38</w:t>
            </w:r>
          </w:p>
        </w:tc>
      </w:tr>
      <w:tr w:rsidR="00260282" w:rsidRPr="0085303D" w:rsidTr="000533C5">
        <w:trPr>
          <w:trHeight w:val="288"/>
        </w:trPr>
        <w:tc>
          <w:tcPr>
            <w:tcW w:w="2210" w:type="dxa"/>
            <w:vMerge w:val="restart"/>
            <w:tcBorders>
              <w:top w:val="single" w:sz="4" w:space="0" w:color="auto"/>
            </w:tcBorders>
            <w:shd w:val="clear" w:color="auto" w:fill="auto"/>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bCs/>
                <w:color w:val="auto"/>
                <w:sz w:val="24"/>
                <w:szCs w:val="24"/>
                <w:lang w:eastAsia="en-AU"/>
              </w:rPr>
              <w:t>Benefits of Anchorage Expansions</w:t>
            </w:r>
          </w:p>
        </w:tc>
        <w:tc>
          <w:tcPr>
            <w:tcW w:w="5348"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Value of Ship viewing attraction, undiscounted</w:t>
            </w:r>
          </w:p>
        </w:tc>
        <w:tc>
          <w:tcPr>
            <w:tcW w:w="630"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Value of Ship viewing attraction,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Value of Provisioning Ships at anchor,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tcBorders>
              <w:bottom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tcBorders>
              <w:bottom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Value of Provisioning Ships at anchor, discounted</w:t>
            </w:r>
          </w:p>
        </w:tc>
        <w:tc>
          <w:tcPr>
            <w:tcW w:w="630" w:type="dxa"/>
            <w:tcBorders>
              <w:bottom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tcBorders>
              <w:bottom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C75F50">
        <w:trPr>
          <w:trHeight w:val="361"/>
        </w:trPr>
        <w:tc>
          <w:tcPr>
            <w:tcW w:w="21042" w:type="dxa"/>
            <w:gridSpan w:val="13"/>
            <w:tcBorders>
              <w:top w:val="single" w:sz="4" w:space="0" w:color="auto"/>
              <w:bottom w:val="single" w:sz="4" w:space="0" w:color="auto"/>
            </w:tcBorders>
            <w:shd w:val="clear" w:color="auto" w:fill="D9D9D9" w:themeFill="background1" w:themeFillShade="D9"/>
            <w:vAlign w:val="center"/>
          </w:tcPr>
          <w:p w:rsidR="00260282" w:rsidRPr="00C75F50" w:rsidRDefault="00260282" w:rsidP="00C75F50">
            <w:pPr>
              <w:rPr>
                <w:rFonts w:ascii="Arial" w:hAnsi="Arial" w:cs="Arial"/>
                <w:bCs/>
                <w:color w:val="auto"/>
                <w:sz w:val="24"/>
                <w:szCs w:val="24"/>
                <w:lang w:eastAsia="en-AU"/>
              </w:rPr>
            </w:pPr>
            <w:r w:rsidRPr="00C75F50">
              <w:rPr>
                <w:rFonts w:ascii="Arial" w:hAnsi="Arial" w:cs="Arial"/>
                <w:bCs/>
                <w:color w:val="auto"/>
                <w:sz w:val="24"/>
                <w:szCs w:val="24"/>
                <w:lang w:eastAsia="en-AU"/>
              </w:rPr>
              <w:t>Option 3: All-at-Port</w:t>
            </w:r>
          </w:p>
        </w:tc>
      </w:tr>
      <w:tr w:rsidR="00260282" w:rsidRPr="0085303D" w:rsidTr="000533C5">
        <w:trPr>
          <w:trHeight w:val="288"/>
        </w:trPr>
        <w:tc>
          <w:tcPr>
            <w:tcW w:w="2210" w:type="dxa"/>
            <w:vMerge w:val="restart"/>
            <w:tcBorders>
              <w:top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Benefits (with Option/Strategy)</w:t>
            </w:r>
          </w:p>
        </w:tc>
        <w:tc>
          <w:tcPr>
            <w:tcW w:w="5348" w:type="dxa"/>
            <w:tcBorders>
              <w:top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Avoidance of Costs of Base Case, undiscounted</w:t>
            </w:r>
          </w:p>
        </w:tc>
        <w:tc>
          <w:tcPr>
            <w:tcW w:w="630" w:type="dxa"/>
            <w:tcBorders>
              <w:top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7" w:type="dxa"/>
            <w:tcBorders>
              <w:top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 '000</w:t>
            </w:r>
          </w:p>
        </w:tc>
        <w:tc>
          <w:tcPr>
            <w:tcW w:w="1418"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07"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8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r>
      <w:tr w:rsidR="00260282" w:rsidRPr="0085303D" w:rsidTr="000533C5">
        <w:trPr>
          <w:trHeight w:val="288"/>
        </w:trPr>
        <w:tc>
          <w:tcPr>
            <w:tcW w:w="2210" w:type="dxa"/>
            <w:vMerge/>
            <w:tcBorders>
              <w:bottom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Avoidance of Costs of Base Case, discounted</w:t>
            </w:r>
          </w:p>
        </w:tc>
        <w:tc>
          <w:tcPr>
            <w:tcW w:w="630"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7%</w:t>
            </w:r>
          </w:p>
        </w:tc>
        <w:tc>
          <w:tcPr>
            <w:tcW w:w="1247"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 '000</w:t>
            </w:r>
          </w:p>
        </w:tc>
        <w:tc>
          <w:tcPr>
            <w:tcW w:w="1418"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07"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8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r>
      <w:tr w:rsidR="00260282" w:rsidRPr="0085303D" w:rsidTr="000533C5">
        <w:trPr>
          <w:trHeight w:val="288"/>
        </w:trPr>
        <w:tc>
          <w:tcPr>
            <w:tcW w:w="2210" w:type="dxa"/>
            <w:vMerge w:val="restart"/>
            <w:tcBorders>
              <w:top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Costs (with Option/Strategy)</w:t>
            </w:r>
          </w:p>
        </w:tc>
        <w:tc>
          <w:tcPr>
            <w:tcW w:w="5348"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CAPEX ship waiting berths, undiscounted</w:t>
            </w:r>
          </w:p>
        </w:tc>
        <w:tc>
          <w:tcPr>
            <w:tcW w:w="630"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CAPEX ship waiting berths,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Cumulative CAPEX ship waiting berths</w:t>
            </w:r>
          </w:p>
        </w:tc>
        <w:tc>
          <w:tcPr>
            <w:tcW w:w="630"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OPEX ship waiting berths,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OPEX ship waiting berths,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CAPEX waste reception facilities,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CAPEX waste reception facilities,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Cumulative CAPEX ship waste reception facilities</w:t>
            </w:r>
          </w:p>
        </w:tc>
        <w:tc>
          <w:tcPr>
            <w:tcW w:w="630"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OPEX waste reception facilities,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OPEX waste reception facilities,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lost ship viewing attraction,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lost ship viewing attraction,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lost ship provisioning,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lost ship provisioning,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Total Costs with Option/Strategy, undiscounted</w:t>
            </w:r>
          </w:p>
        </w:tc>
        <w:tc>
          <w:tcPr>
            <w:tcW w:w="630"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Total Costs with Option/Strategy, discounted</w:t>
            </w:r>
          </w:p>
        </w:tc>
        <w:tc>
          <w:tcPr>
            <w:tcW w:w="630"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r>
      <w:tr w:rsidR="00260282" w:rsidRPr="0085303D" w:rsidTr="000533C5">
        <w:trPr>
          <w:trHeight w:val="454"/>
        </w:trPr>
        <w:tc>
          <w:tcPr>
            <w:tcW w:w="2210" w:type="dxa"/>
            <w:vMerge w:val="restart"/>
            <w:shd w:val="clear" w:color="auto" w:fill="auto"/>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CBA Results (with Option/Strategy)</w:t>
            </w:r>
          </w:p>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iCs/>
                <w:color w:val="auto"/>
                <w:sz w:val="24"/>
                <w:szCs w:val="24"/>
                <w:lang w:eastAsia="en-AU"/>
              </w:rPr>
              <w:t>(Note: Assumes no environmental &amp; social impacts at the Port due to waiting berths)</w:t>
            </w: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Net Cashflow,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571"/>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Net Cashflow,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564"/>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Net Present Value (NPV)</w:t>
            </w:r>
          </w:p>
        </w:tc>
        <w:tc>
          <w:tcPr>
            <w:tcW w:w="630"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$36,841</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r>
      <w:tr w:rsidR="00260282" w:rsidRPr="0085303D" w:rsidTr="000533C5">
        <w:trPr>
          <w:trHeight w:val="288"/>
        </w:trPr>
        <w:tc>
          <w:tcPr>
            <w:tcW w:w="2210" w:type="dxa"/>
            <w:vMerge/>
            <w:tcBorders>
              <w:bottom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Benefit-Cost-Ratio (BCR)</w:t>
            </w:r>
          </w:p>
        </w:tc>
        <w:tc>
          <w:tcPr>
            <w:tcW w:w="630"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 </w:t>
            </w:r>
          </w:p>
        </w:tc>
        <w:tc>
          <w:tcPr>
            <w:tcW w:w="1247"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 </w:t>
            </w:r>
          </w:p>
        </w:tc>
        <w:tc>
          <w:tcPr>
            <w:tcW w:w="1418"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1.32</w:t>
            </w: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07"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8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r>
      <w:tr w:rsidR="00260282" w:rsidRPr="0085303D" w:rsidTr="00C75F50">
        <w:trPr>
          <w:trHeight w:val="363"/>
        </w:trPr>
        <w:tc>
          <w:tcPr>
            <w:tcW w:w="21042" w:type="dxa"/>
            <w:gridSpan w:val="13"/>
            <w:tcBorders>
              <w:top w:val="single" w:sz="4" w:space="0" w:color="auto"/>
              <w:bottom w:val="single" w:sz="4" w:space="0" w:color="auto"/>
            </w:tcBorders>
            <w:shd w:val="clear" w:color="auto" w:fill="D9D9D9" w:themeFill="background1" w:themeFillShade="D9"/>
            <w:vAlign w:val="center"/>
          </w:tcPr>
          <w:p w:rsidR="00260282" w:rsidRPr="00C75F50" w:rsidRDefault="00260282" w:rsidP="00C75F50">
            <w:pPr>
              <w:rPr>
                <w:rFonts w:ascii="Arial" w:hAnsi="Arial" w:cs="Arial"/>
                <w:color w:val="auto"/>
                <w:sz w:val="24"/>
                <w:szCs w:val="24"/>
                <w:lang w:eastAsia="en-AU"/>
              </w:rPr>
            </w:pPr>
            <w:r w:rsidRPr="00C75F50">
              <w:rPr>
                <w:rFonts w:ascii="Arial" w:hAnsi="Arial" w:cs="Arial"/>
                <w:bCs/>
                <w:color w:val="auto"/>
                <w:sz w:val="24"/>
                <w:szCs w:val="24"/>
                <w:lang w:eastAsia="en-AU"/>
              </w:rPr>
              <w:t>Option 5: Fixed-Moored</w:t>
            </w:r>
          </w:p>
        </w:tc>
      </w:tr>
      <w:tr w:rsidR="00260282" w:rsidRPr="0085303D" w:rsidTr="000533C5">
        <w:trPr>
          <w:trHeight w:val="288"/>
        </w:trPr>
        <w:tc>
          <w:tcPr>
            <w:tcW w:w="2210" w:type="dxa"/>
            <w:vMerge w:val="restart"/>
            <w:tcBorders>
              <w:top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Benefits (with Option/Strategy)</w:t>
            </w:r>
          </w:p>
        </w:tc>
        <w:tc>
          <w:tcPr>
            <w:tcW w:w="5348" w:type="dxa"/>
            <w:tcBorders>
              <w:top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No Benefits compared to Base Case, undiscounted</w:t>
            </w:r>
          </w:p>
        </w:tc>
        <w:tc>
          <w:tcPr>
            <w:tcW w:w="630" w:type="dxa"/>
            <w:tcBorders>
              <w:top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7" w:type="dxa"/>
            <w:tcBorders>
              <w:top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 '000</w:t>
            </w:r>
          </w:p>
        </w:tc>
        <w:tc>
          <w:tcPr>
            <w:tcW w:w="1418"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n/a</w:t>
            </w:r>
          </w:p>
        </w:tc>
        <w:tc>
          <w:tcPr>
            <w:tcW w:w="1207"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n/a</w:t>
            </w:r>
          </w:p>
        </w:tc>
        <w:tc>
          <w:tcPr>
            <w:tcW w:w="128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n/a</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n/a</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n/a</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n/a</w:t>
            </w:r>
          </w:p>
        </w:tc>
        <w:tc>
          <w:tcPr>
            <w:tcW w:w="13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n/a</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n/a</w:t>
            </w:r>
          </w:p>
        </w:tc>
      </w:tr>
      <w:tr w:rsidR="00260282" w:rsidRPr="0085303D" w:rsidTr="000533C5">
        <w:trPr>
          <w:trHeight w:val="288"/>
        </w:trPr>
        <w:tc>
          <w:tcPr>
            <w:tcW w:w="2210" w:type="dxa"/>
            <w:vMerge/>
            <w:tcBorders>
              <w:bottom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No Benefits compared to Base Case, discounted</w:t>
            </w:r>
          </w:p>
        </w:tc>
        <w:tc>
          <w:tcPr>
            <w:tcW w:w="630"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7%</w:t>
            </w:r>
          </w:p>
        </w:tc>
        <w:tc>
          <w:tcPr>
            <w:tcW w:w="1247"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 '000</w:t>
            </w:r>
          </w:p>
        </w:tc>
        <w:tc>
          <w:tcPr>
            <w:tcW w:w="1418"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n/a</w:t>
            </w:r>
          </w:p>
        </w:tc>
        <w:tc>
          <w:tcPr>
            <w:tcW w:w="1207"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n/a</w:t>
            </w:r>
          </w:p>
        </w:tc>
        <w:tc>
          <w:tcPr>
            <w:tcW w:w="128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n/a</w:t>
            </w: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n/a</w:t>
            </w: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n/a</w:t>
            </w: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n/a</w:t>
            </w:r>
          </w:p>
        </w:tc>
        <w:tc>
          <w:tcPr>
            <w:tcW w:w="13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n/a</w:t>
            </w: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n/a</w:t>
            </w:r>
          </w:p>
        </w:tc>
      </w:tr>
      <w:tr w:rsidR="00260282" w:rsidRPr="0085303D" w:rsidTr="000533C5">
        <w:trPr>
          <w:trHeight w:val="288"/>
        </w:trPr>
        <w:tc>
          <w:tcPr>
            <w:tcW w:w="2210" w:type="dxa"/>
            <w:vMerge w:val="restart"/>
            <w:tcBorders>
              <w:top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Costs (with Option/Strategy)</w:t>
            </w:r>
          </w:p>
        </w:tc>
        <w:tc>
          <w:tcPr>
            <w:tcW w:w="5348"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CAPEX offshore fixed moorings, undiscounted</w:t>
            </w:r>
          </w:p>
        </w:tc>
        <w:tc>
          <w:tcPr>
            <w:tcW w:w="630"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CAPEX offshore fixed moorings,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Cumulative CAPEX offshore fixed moorings</w:t>
            </w:r>
          </w:p>
        </w:tc>
        <w:tc>
          <w:tcPr>
            <w:tcW w:w="630"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OPEX offshore fixed moorings,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OPEX offshore fixed moorings,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Extra Lost area with Environmental Value</w:t>
            </w:r>
          </w:p>
        </w:tc>
        <w:tc>
          <w:tcPr>
            <w:tcW w:w="630"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 </w:t>
            </w:r>
          </w:p>
        </w:tc>
        <w:tc>
          <w:tcPr>
            <w:tcW w:w="1247"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Hectares</w:t>
            </w:r>
          </w:p>
        </w:tc>
        <w:tc>
          <w:tcPr>
            <w:tcW w:w="1418"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Cumulative Extra Lost area with Environmental Value</w:t>
            </w:r>
          </w:p>
        </w:tc>
        <w:tc>
          <w:tcPr>
            <w:tcW w:w="630"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p>
        </w:tc>
        <w:tc>
          <w:tcPr>
            <w:tcW w:w="1247"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Hectares</w:t>
            </w:r>
          </w:p>
        </w:tc>
        <w:tc>
          <w:tcPr>
            <w:tcW w:w="1418"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Extra Loss of Environmental area,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Extra Loss of Environmental area,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Total Costs with Option/Strategy, undiscounted</w:t>
            </w:r>
          </w:p>
        </w:tc>
        <w:tc>
          <w:tcPr>
            <w:tcW w:w="630"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r>
      <w:tr w:rsidR="00260282" w:rsidRPr="0085303D" w:rsidTr="000533C5">
        <w:trPr>
          <w:trHeight w:val="288"/>
        </w:trPr>
        <w:tc>
          <w:tcPr>
            <w:tcW w:w="2210" w:type="dxa"/>
            <w:vMerge/>
            <w:tcBorders>
              <w:bottom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Total Costs with Option/Strategy, discounted</w:t>
            </w:r>
          </w:p>
        </w:tc>
        <w:tc>
          <w:tcPr>
            <w:tcW w:w="630"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7%</w:t>
            </w:r>
          </w:p>
        </w:tc>
        <w:tc>
          <w:tcPr>
            <w:tcW w:w="1247"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 '000</w:t>
            </w:r>
          </w:p>
        </w:tc>
        <w:tc>
          <w:tcPr>
            <w:tcW w:w="1418"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07"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8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r>
      <w:tr w:rsidR="00260282" w:rsidRPr="0085303D" w:rsidTr="000533C5">
        <w:trPr>
          <w:trHeight w:val="288"/>
        </w:trPr>
        <w:tc>
          <w:tcPr>
            <w:tcW w:w="2210" w:type="dxa"/>
            <w:vMerge w:val="restart"/>
            <w:tcBorders>
              <w:top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CBA Results (with Option/Strategy)</w:t>
            </w:r>
          </w:p>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iCs/>
                <w:color w:val="auto"/>
                <w:sz w:val="24"/>
                <w:szCs w:val="24"/>
                <w:lang w:eastAsia="en-AU"/>
              </w:rPr>
              <w:t>(Note: n/a means Not Applicable)</w:t>
            </w:r>
          </w:p>
        </w:tc>
        <w:tc>
          <w:tcPr>
            <w:tcW w:w="5348"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Net Cashflow, undiscounted</w:t>
            </w:r>
          </w:p>
        </w:tc>
        <w:tc>
          <w:tcPr>
            <w:tcW w:w="630"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Net Cashflow,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Net Present Value (NPV)</w:t>
            </w:r>
          </w:p>
        </w:tc>
        <w:tc>
          <w:tcPr>
            <w:tcW w:w="630"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$97,420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r>
      <w:tr w:rsidR="00260282" w:rsidRPr="0085303D" w:rsidTr="000533C5">
        <w:trPr>
          <w:trHeight w:val="288"/>
        </w:trPr>
        <w:tc>
          <w:tcPr>
            <w:tcW w:w="2210" w:type="dxa"/>
            <w:vMerge/>
            <w:tcBorders>
              <w:bottom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Benefit-Cost-Ratio (BCR)</w:t>
            </w:r>
          </w:p>
        </w:tc>
        <w:tc>
          <w:tcPr>
            <w:tcW w:w="630"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 </w:t>
            </w:r>
          </w:p>
        </w:tc>
        <w:tc>
          <w:tcPr>
            <w:tcW w:w="1247"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 </w:t>
            </w:r>
          </w:p>
        </w:tc>
        <w:tc>
          <w:tcPr>
            <w:tcW w:w="1418"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0.00</w:t>
            </w: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07"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8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r>
      <w:tr w:rsidR="00260282" w:rsidRPr="0085303D" w:rsidTr="00C75F50">
        <w:trPr>
          <w:trHeight w:val="363"/>
        </w:trPr>
        <w:tc>
          <w:tcPr>
            <w:tcW w:w="21042" w:type="dxa"/>
            <w:gridSpan w:val="13"/>
            <w:tcBorders>
              <w:top w:val="single" w:sz="4" w:space="0" w:color="auto"/>
              <w:bottom w:val="single" w:sz="4" w:space="0" w:color="auto"/>
            </w:tcBorders>
            <w:shd w:val="clear" w:color="auto" w:fill="D9D9D9" w:themeFill="background1" w:themeFillShade="D9"/>
            <w:vAlign w:val="center"/>
          </w:tcPr>
          <w:p w:rsidR="00260282" w:rsidRPr="00C75F50" w:rsidRDefault="00260282" w:rsidP="00C75F50">
            <w:pPr>
              <w:rPr>
                <w:rFonts w:ascii="Arial" w:hAnsi="Arial" w:cs="Arial"/>
                <w:bCs/>
                <w:color w:val="auto"/>
                <w:sz w:val="24"/>
                <w:szCs w:val="24"/>
                <w:lang w:eastAsia="en-AU"/>
              </w:rPr>
            </w:pPr>
            <w:r w:rsidRPr="00C75F50">
              <w:rPr>
                <w:rFonts w:ascii="Arial" w:hAnsi="Arial" w:cs="Arial"/>
                <w:bCs/>
                <w:color w:val="auto"/>
                <w:sz w:val="24"/>
                <w:szCs w:val="24"/>
                <w:lang w:eastAsia="en-AU"/>
              </w:rPr>
              <w:t>Option 8: Scheduled Arrivals plus Anchorages</w:t>
            </w:r>
          </w:p>
        </w:tc>
      </w:tr>
      <w:tr w:rsidR="00260282" w:rsidRPr="0085303D" w:rsidTr="000533C5">
        <w:trPr>
          <w:trHeight w:val="288"/>
        </w:trPr>
        <w:tc>
          <w:tcPr>
            <w:tcW w:w="2210" w:type="dxa"/>
            <w:vMerge w:val="restart"/>
            <w:tcBorders>
              <w:top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Benefits (with Option/Strategy)</w:t>
            </w:r>
          </w:p>
        </w:tc>
        <w:tc>
          <w:tcPr>
            <w:tcW w:w="5348"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Avoidance of Costs of Base Case, undiscounted</w:t>
            </w:r>
          </w:p>
        </w:tc>
        <w:tc>
          <w:tcPr>
            <w:tcW w:w="630"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Avoidance of Costs of Base Case,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Ship Fuel Saved (slow-steaming)</w:t>
            </w:r>
          </w:p>
        </w:tc>
        <w:tc>
          <w:tcPr>
            <w:tcW w:w="630" w:type="dxa"/>
            <w:shd w:val="clear" w:color="auto" w:fill="auto"/>
            <w:noWrap/>
            <w:vAlign w:val="bottom"/>
          </w:tcPr>
          <w:p w:rsidR="00260282" w:rsidRPr="00C75F50" w:rsidRDefault="00260282" w:rsidP="000533C5">
            <w:pP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 </w:t>
            </w:r>
          </w:p>
        </w:tc>
        <w:tc>
          <w:tcPr>
            <w:tcW w:w="1247" w:type="dxa"/>
            <w:shd w:val="clear" w:color="auto" w:fill="auto"/>
            <w:noWrap/>
            <w:vAlign w:val="bottom"/>
          </w:tcPr>
          <w:p w:rsidR="00260282" w:rsidRPr="00C75F50" w:rsidRDefault="00260282" w:rsidP="000533C5">
            <w:pP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Tonnes</w:t>
            </w:r>
          </w:p>
        </w:tc>
        <w:tc>
          <w:tcPr>
            <w:tcW w:w="1418"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Ship Emissions Saved (slow-steaming)</w:t>
            </w:r>
          </w:p>
        </w:tc>
        <w:tc>
          <w:tcPr>
            <w:tcW w:w="630" w:type="dxa"/>
            <w:shd w:val="clear" w:color="auto" w:fill="auto"/>
            <w:noWrap/>
            <w:vAlign w:val="bottom"/>
          </w:tcPr>
          <w:p w:rsidR="00260282" w:rsidRPr="00C75F50" w:rsidRDefault="00260282" w:rsidP="000533C5">
            <w:pP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 </w:t>
            </w:r>
          </w:p>
        </w:tc>
        <w:tc>
          <w:tcPr>
            <w:tcW w:w="1247" w:type="dxa"/>
            <w:shd w:val="clear" w:color="auto" w:fill="auto"/>
            <w:noWrap/>
            <w:vAlign w:val="bottom"/>
          </w:tcPr>
          <w:p w:rsidR="00260282" w:rsidRPr="00C75F50" w:rsidRDefault="00260282" w:rsidP="000533C5">
            <w:pP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Tonnes</w:t>
            </w:r>
          </w:p>
        </w:tc>
        <w:tc>
          <w:tcPr>
            <w:tcW w:w="1418"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
                <w:iCs/>
                <w:color w:val="auto"/>
                <w:sz w:val="24"/>
                <w:szCs w:val="24"/>
                <w:lang w:eastAsia="en-AU"/>
              </w:rPr>
            </w:pPr>
            <w:r w:rsidRPr="00C75F50">
              <w:rPr>
                <w:rFonts w:ascii="Arial" w:hAnsi="Arial" w:cs="Arial"/>
                <w:b w:val="0"/>
                <w:i/>
                <w:iCs/>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Ship Fuel Cost savings (slow-steam),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Ship Fuel Cost savings (slow-steam),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Ship emissions cost savings (slow-steami</w:t>
            </w:r>
            <w:r>
              <w:rPr>
                <w:rFonts w:ascii="Arial" w:hAnsi="Arial" w:cs="Arial"/>
                <w:b w:val="0"/>
                <w:color w:val="auto"/>
                <w:sz w:val="24"/>
                <w:szCs w:val="24"/>
                <w:lang w:eastAsia="en-AU"/>
              </w:rPr>
              <w:t>ng),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Ship emissions cost savings (slow-steaming), discoun</w:t>
            </w:r>
            <w:r>
              <w:rPr>
                <w:rFonts w:ascii="Arial" w:hAnsi="Arial" w:cs="Arial"/>
                <w:b w:val="0"/>
                <w:color w:val="auto"/>
                <w:sz w:val="24"/>
                <w:szCs w:val="24"/>
                <w:lang w:eastAsia="en-AU"/>
              </w:rPr>
              <w:t>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Total Benefits with Option/Strategy, undiscounted</w:t>
            </w:r>
          </w:p>
        </w:tc>
        <w:tc>
          <w:tcPr>
            <w:tcW w:w="630"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r>
      <w:tr w:rsidR="00260282" w:rsidRPr="0085303D" w:rsidTr="000533C5">
        <w:trPr>
          <w:trHeight w:val="288"/>
        </w:trPr>
        <w:tc>
          <w:tcPr>
            <w:tcW w:w="2210" w:type="dxa"/>
            <w:vMerge/>
            <w:tcBorders>
              <w:bottom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Total Benefits with Option/Strategy, discounted</w:t>
            </w:r>
          </w:p>
        </w:tc>
        <w:tc>
          <w:tcPr>
            <w:tcW w:w="630"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7%</w:t>
            </w:r>
          </w:p>
        </w:tc>
        <w:tc>
          <w:tcPr>
            <w:tcW w:w="1247"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 '000</w:t>
            </w:r>
          </w:p>
        </w:tc>
        <w:tc>
          <w:tcPr>
            <w:tcW w:w="1418"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07"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8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r>
      <w:tr w:rsidR="00260282" w:rsidRPr="0085303D" w:rsidTr="000533C5">
        <w:trPr>
          <w:trHeight w:val="288"/>
        </w:trPr>
        <w:tc>
          <w:tcPr>
            <w:tcW w:w="2210" w:type="dxa"/>
            <w:vMerge w:val="restart"/>
            <w:tcBorders>
              <w:top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Costs (with Option/Strategy)</w:t>
            </w:r>
          </w:p>
        </w:tc>
        <w:tc>
          <w:tcPr>
            <w:tcW w:w="5348"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CAPEX of Port Vessel Arrival System, undiscounted</w:t>
            </w:r>
          </w:p>
        </w:tc>
        <w:tc>
          <w:tcPr>
            <w:tcW w:w="630"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CAPEX of Port Vessel Arrival System,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Cumulative CAPEX of Port Vessel Arrival System</w:t>
            </w:r>
          </w:p>
        </w:tc>
        <w:tc>
          <w:tcPr>
            <w:tcW w:w="630"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iCs/>
                <w:color w:val="auto"/>
                <w:sz w:val="24"/>
                <w:szCs w:val="24"/>
                <w:lang w:eastAsia="en-AU"/>
              </w:rPr>
            </w:pPr>
            <w:r w:rsidRPr="00C75F50">
              <w:rPr>
                <w:rFonts w:ascii="Arial" w:hAnsi="Arial" w:cs="Arial"/>
                <w:b w:val="0"/>
                <w:iCs/>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iCs/>
                <w:color w:val="auto"/>
                <w:sz w:val="24"/>
                <w:szCs w:val="24"/>
                <w:lang w:eastAsia="en-AU"/>
              </w:rPr>
            </w:pPr>
            <w:r w:rsidRPr="00C75F50">
              <w:rPr>
                <w:rFonts w:ascii="Arial" w:hAnsi="Arial" w:cs="Arial"/>
                <w:b w:val="0"/>
                <w:iCs/>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OPEX of Port Vessel Arrival System,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OPEX of Port Vessel Arrival System,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lost ship viewing attraction,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lost ship viewing attraction,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lost ship provisioning,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lost ship provisioning,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increased accidents offshore,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increased accidents offshore,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increased fatalities offshore,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increased fatalities offshore,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increased injuries offshore,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increased injuries offshore,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Total Costs with Option/Strategy, undiscounted</w:t>
            </w:r>
          </w:p>
        </w:tc>
        <w:tc>
          <w:tcPr>
            <w:tcW w:w="630"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r>
      <w:tr w:rsidR="00260282" w:rsidRPr="0085303D" w:rsidTr="000533C5">
        <w:trPr>
          <w:trHeight w:val="288"/>
        </w:trPr>
        <w:tc>
          <w:tcPr>
            <w:tcW w:w="2210" w:type="dxa"/>
            <w:vMerge/>
            <w:tcBorders>
              <w:bottom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Total Costs with Option/Strategy, discounted</w:t>
            </w:r>
          </w:p>
        </w:tc>
        <w:tc>
          <w:tcPr>
            <w:tcW w:w="630"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7%</w:t>
            </w:r>
          </w:p>
        </w:tc>
        <w:tc>
          <w:tcPr>
            <w:tcW w:w="1247"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 '000</w:t>
            </w:r>
          </w:p>
        </w:tc>
        <w:tc>
          <w:tcPr>
            <w:tcW w:w="1418"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07"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8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r>
      <w:tr w:rsidR="00260282" w:rsidRPr="0085303D" w:rsidTr="000533C5">
        <w:trPr>
          <w:trHeight w:val="288"/>
        </w:trPr>
        <w:tc>
          <w:tcPr>
            <w:tcW w:w="2210" w:type="dxa"/>
            <w:vMerge w:val="restart"/>
            <w:tcBorders>
              <w:top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CBA Results (with Option/Strategy)</w:t>
            </w:r>
          </w:p>
        </w:tc>
        <w:tc>
          <w:tcPr>
            <w:tcW w:w="5348"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Net Cashflow, undiscounted</w:t>
            </w:r>
          </w:p>
        </w:tc>
        <w:tc>
          <w:tcPr>
            <w:tcW w:w="630"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Net Cashflow,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Net Present Value (NPV)</w:t>
            </w:r>
          </w:p>
        </w:tc>
        <w:tc>
          <w:tcPr>
            <w:tcW w:w="630"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$186,226</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r>
      <w:tr w:rsidR="00260282" w:rsidRPr="0085303D" w:rsidTr="000533C5">
        <w:trPr>
          <w:trHeight w:val="288"/>
        </w:trPr>
        <w:tc>
          <w:tcPr>
            <w:tcW w:w="2210" w:type="dxa"/>
            <w:vMerge/>
            <w:tcBorders>
              <w:bottom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Benefit-Cost-Ratio (BCR)</w:t>
            </w:r>
          </w:p>
        </w:tc>
        <w:tc>
          <w:tcPr>
            <w:tcW w:w="630"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 </w:t>
            </w:r>
          </w:p>
        </w:tc>
        <w:tc>
          <w:tcPr>
            <w:tcW w:w="1247"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 </w:t>
            </w:r>
          </w:p>
        </w:tc>
        <w:tc>
          <w:tcPr>
            <w:tcW w:w="1418"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233.88</w:t>
            </w: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07"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8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r>
      <w:tr w:rsidR="00260282" w:rsidRPr="0085303D" w:rsidTr="00C75F50">
        <w:trPr>
          <w:trHeight w:val="363"/>
        </w:trPr>
        <w:tc>
          <w:tcPr>
            <w:tcW w:w="21042" w:type="dxa"/>
            <w:gridSpan w:val="13"/>
            <w:tcBorders>
              <w:top w:val="single" w:sz="4" w:space="0" w:color="auto"/>
              <w:bottom w:val="single" w:sz="4" w:space="0" w:color="auto"/>
            </w:tcBorders>
            <w:shd w:val="clear" w:color="auto" w:fill="D9D9D9" w:themeFill="background1" w:themeFillShade="D9"/>
            <w:vAlign w:val="center"/>
          </w:tcPr>
          <w:p w:rsidR="00260282" w:rsidRPr="00C75F50" w:rsidRDefault="00260282" w:rsidP="00C75F50">
            <w:pPr>
              <w:rPr>
                <w:rFonts w:ascii="Arial" w:hAnsi="Arial" w:cs="Arial"/>
                <w:color w:val="auto"/>
                <w:sz w:val="24"/>
                <w:szCs w:val="24"/>
                <w:lang w:eastAsia="en-AU"/>
              </w:rPr>
            </w:pPr>
            <w:r w:rsidRPr="00C75F50">
              <w:rPr>
                <w:rFonts w:ascii="Arial" w:hAnsi="Arial" w:cs="Arial"/>
                <w:bCs/>
                <w:color w:val="auto"/>
                <w:sz w:val="24"/>
                <w:szCs w:val="24"/>
                <w:lang w:eastAsia="en-AU"/>
              </w:rPr>
              <w:t>Option 9(b): Demand Management Pricing</w:t>
            </w:r>
          </w:p>
        </w:tc>
      </w:tr>
      <w:tr w:rsidR="00260282" w:rsidRPr="0085303D" w:rsidTr="000533C5">
        <w:trPr>
          <w:trHeight w:val="288"/>
        </w:trPr>
        <w:tc>
          <w:tcPr>
            <w:tcW w:w="2210" w:type="dxa"/>
            <w:vMerge w:val="restart"/>
            <w:tcBorders>
              <w:top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Benefits (with Option/Strategy)</w:t>
            </w:r>
          </w:p>
        </w:tc>
        <w:tc>
          <w:tcPr>
            <w:tcW w:w="5348" w:type="dxa"/>
            <w:tcBorders>
              <w:top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Avoidance of Costs of Base Case, undiscounted</w:t>
            </w:r>
          </w:p>
        </w:tc>
        <w:tc>
          <w:tcPr>
            <w:tcW w:w="630" w:type="dxa"/>
            <w:tcBorders>
              <w:top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7" w:type="dxa"/>
            <w:tcBorders>
              <w:top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 '000</w:t>
            </w:r>
          </w:p>
        </w:tc>
        <w:tc>
          <w:tcPr>
            <w:tcW w:w="1418"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07"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8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r>
      <w:tr w:rsidR="00260282" w:rsidRPr="0085303D" w:rsidTr="000533C5">
        <w:trPr>
          <w:trHeight w:val="288"/>
        </w:trPr>
        <w:tc>
          <w:tcPr>
            <w:tcW w:w="2210" w:type="dxa"/>
            <w:vMerge/>
            <w:tcBorders>
              <w:bottom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Avoidance of Costs of Base Case, discounted</w:t>
            </w:r>
          </w:p>
        </w:tc>
        <w:tc>
          <w:tcPr>
            <w:tcW w:w="630"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7%</w:t>
            </w:r>
          </w:p>
        </w:tc>
        <w:tc>
          <w:tcPr>
            <w:tcW w:w="1247"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 '000</w:t>
            </w:r>
          </w:p>
        </w:tc>
        <w:tc>
          <w:tcPr>
            <w:tcW w:w="1418"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07"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8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r>
      <w:tr w:rsidR="00260282" w:rsidRPr="0085303D" w:rsidTr="000533C5">
        <w:trPr>
          <w:trHeight w:val="288"/>
        </w:trPr>
        <w:tc>
          <w:tcPr>
            <w:tcW w:w="2210" w:type="dxa"/>
            <w:vMerge w:val="restart"/>
            <w:tcBorders>
              <w:top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Costs (with Option/Strategy)</w:t>
            </w:r>
          </w:p>
        </w:tc>
        <w:tc>
          <w:tcPr>
            <w:tcW w:w="5348"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Anchor reservation pricing (all arrivals), undiscounted</w:t>
            </w:r>
          </w:p>
        </w:tc>
        <w:tc>
          <w:tcPr>
            <w:tcW w:w="630"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Anchor reservation pricing (all arrivals),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lost ship viewing attraction,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lost ship viewing attraction,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lost ship provisioning,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lost ship provisioning,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increased accidents offshore,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increased accidents offshore,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increased fatalities offshore,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increased fatalities offshore,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increased injuries offshore, undiscounted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Cost of increased injuries offshore,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Total Costs with Option/Strategy, undiscounted</w:t>
            </w:r>
          </w:p>
        </w:tc>
        <w:tc>
          <w:tcPr>
            <w:tcW w:w="630"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7"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r>
      <w:tr w:rsidR="00260282" w:rsidRPr="0085303D" w:rsidTr="000533C5">
        <w:trPr>
          <w:trHeight w:val="288"/>
        </w:trPr>
        <w:tc>
          <w:tcPr>
            <w:tcW w:w="2210" w:type="dxa"/>
            <w:vMerge/>
            <w:tcBorders>
              <w:bottom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Total Costs with Option/Strategy, discounted</w:t>
            </w:r>
          </w:p>
        </w:tc>
        <w:tc>
          <w:tcPr>
            <w:tcW w:w="630"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7%</w:t>
            </w:r>
          </w:p>
        </w:tc>
        <w:tc>
          <w:tcPr>
            <w:tcW w:w="1247"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 '000</w:t>
            </w:r>
          </w:p>
        </w:tc>
        <w:tc>
          <w:tcPr>
            <w:tcW w:w="1418"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07"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8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w:t>
            </w:r>
          </w:p>
        </w:tc>
      </w:tr>
      <w:tr w:rsidR="00260282" w:rsidRPr="0085303D" w:rsidTr="000533C5">
        <w:trPr>
          <w:trHeight w:val="288"/>
        </w:trPr>
        <w:tc>
          <w:tcPr>
            <w:tcW w:w="2210" w:type="dxa"/>
            <w:vMerge w:val="restart"/>
            <w:tcBorders>
              <w:top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CBA Results (with Option/Strategy)</w:t>
            </w:r>
          </w:p>
        </w:tc>
        <w:tc>
          <w:tcPr>
            <w:tcW w:w="5348"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Net Cashflow, undiscounted</w:t>
            </w:r>
          </w:p>
        </w:tc>
        <w:tc>
          <w:tcPr>
            <w:tcW w:w="630"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7" w:type="dxa"/>
            <w:tcBorders>
              <w:top w:val="single" w:sz="4" w:space="0" w:color="auto"/>
            </w:tcBorders>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tcBorders>
              <w:top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Net Cashflow, discounted</w:t>
            </w:r>
          </w:p>
        </w:tc>
        <w:tc>
          <w:tcPr>
            <w:tcW w:w="630"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color w:val="auto"/>
                <w:sz w:val="24"/>
                <w:szCs w:val="24"/>
                <w:lang w:eastAsia="en-AU"/>
              </w:rPr>
            </w:pPr>
            <w:r w:rsidRPr="00C75F50">
              <w:rPr>
                <w:rFonts w:ascii="Arial" w:hAnsi="Arial" w:cs="Arial"/>
                <w:b w:val="0"/>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r w:rsidRPr="00C75F50">
              <w:rPr>
                <w:rFonts w:ascii="Arial" w:hAnsi="Arial" w:cs="Arial"/>
                <w:b w:val="0"/>
                <w:color w:val="auto"/>
                <w:sz w:val="24"/>
                <w:szCs w:val="24"/>
                <w:lang w:eastAsia="en-AU"/>
              </w:rPr>
              <w:t>$0</w:t>
            </w:r>
          </w:p>
        </w:tc>
      </w:tr>
      <w:tr w:rsidR="00260282" w:rsidRPr="0085303D" w:rsidTr="000533C5">
        <w:trPr>
          <w:trHeight w:val="288"/>
        </w:trPr>
        <w:tc>
          <w:tcPr>
            <w:tcW w:w="2210" w:type="dxa"/>
            <w:vMerge/>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Net Present Value (NPV)</w:t>
            </w:r>
          </w:p>
        </w:tc>
        <w:tc>
          <w:tcPr>
            <w:tcW w:w="630"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7%</w:t>
            </w:r>
          </w:p>
        </w:tc>
        <w:tc>
          <w:tcPr>
            <w:tcW w:w="1247" w:type="dxa"/>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A$ '000</w:t>
            </w:r>
          </w:p>
        </w:tc>
        <w:tc>
          <w:tcPr>
            <w:tcW w:w="1418" w:type="dxa"/>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-$1,744,768</w:t>
            </w: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07"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8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4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06" w:type="dxa"/>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r>
      <w:tr w:rsidR="00260282" w:rsidRPr="0085303D" w:rsidTr="000533C5">
        <w:trPr>
          <w:trHeight w:val="288"/>
        </w:trPr>
        <w:tc>
          <w:tcPr>
            <w:tcW w:w="2210" w:type="dxa"/>
            <w:vMerge/>
            <w:tcBorders>
              <w:bottom w:val="single" w:sz="4" w:space="0" w:color="auto"/>
            </w:tcBorders>
            <w:shd w:val="clear" w:color="auto" w:fill="auto"/>
          </w:tcPr>
          <w:p w:rsidR="00260282" w:rsidRPr="00C75F50" w:rsidRDefault="00260282" w:rsidP="000533C5">
            <w:pPr>
              <w:rPr>
                <w:rFonts w:ascii="Arial" w:hAnsi="Arial" w:cs="Arial"/>
                <w:b w:val="0"/>
                <w:bCs/>
                <w:color w:val="auto"/>
                <w:sz w:val="24"/>
                <w:szCs w:val="24"/>
                <w:lang w:eastAsia="en-AU"/>
              </w:rPr>
            </w:pPr>
          </w:p>
        </w:tc>
        <w:tc>
          <w:tcPr>
            <w:tcW w:w="5348"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Benefit-Cost-Ratio (BCR)</w:t>
            </w:r>
          </w:p>
        </w:tc>
        <w:tc>
          <w:tcPr>
            <w:tcW w:w="630"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 </w:t>
            </w:r>
          </w:p>
        </w:tc>
        <w:tc>
          <w:tcPr>
            <w:tcW w:w="1247" w:type="dxa"/>
            <w:tcBorders>
              <w:bottom w:val="single" w:sz="4" w:space="0" w:color="auto"/>
            </w:tcBorders>
            <w:shd w:val="clear" w:color="auto" w:fill="auto"/>
            <w:noWrap/>
            <w:vAlign w:val="bottom"/>
          </w:tcPr>
          <w:p w:rsidR="00260282" w:rsidRPr="00C75F50" w:rsidRDefault="00260282" w:rsidP="000533C5">
            <w:pPr>
              <w:rPr>
                <w:rFonts w:ascii="Arial" w:hAnsi="Arial" w:cs="Arial"/>
                <w:b w:val="0"/>
                <w:bCs/>
                <w:color w:val="auto"/>
                <w:sz w:val="24"/>
                <w:szCs w:val="24"/>
                <w:lang w:eastAsia="en-AU"/>
              </w:rPr>
            </w:pPr>
            <w:r w:rsidRPr="00C75F50">
              <w:rPr>
                <w:rFonts w:ascii="Arial" w:hAnsi="Arial" w:cs="Arial"/>
                <w:b w:val="0"/>
                <w:bCs/>
                <w:color w:val="auto"/>
                <w:sz w:val="24"/>
                <w:szCs w:val="24"/>
                <w:lang w:eastAsia="en-AU"/>
              </w:rPr>
              <w:t> </w:t>
            </w:r>
          </w:p>
        </w:tc>
        <w:tc>
          <w:tcPr>
            <w:tcW w:w="1418"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bCs/>
                <w:color w:val="auto"/>
                <w:sz w:val="24"/>
                <w:szCs w:val="24"/>
                <w:lang w:eastAsia="en-AU"/>
              </w:rPr>
            </w:pPr>
            <w:r w:rsidRPr="00C75F50">
              <w:rPr>
                <w:rFonts w:ascii="Arial" w:hAnsi="Arial" w:cs="Arial"/>
                <w:b w:val="0"/>
                <w:bCs/>
                <w:color w:val="auto"/>
                <w:sz w:val="24"/>
                <w:szCs w:val="24"/>
                <w:lang w:eastAsia="en-AU"/>
              </w:rPr>
              <w:t>0.08</w:t>
            </w: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07"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8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2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4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c>
          <w:tcPr>
            <w:tcW w:w="1306" w:type="dxa"/>
            <w:tcBorders>
              <w:bottom w:val="single" w:sz="4" w:space="0" w:color="auto"/>
            </w:tcBorders>
            <w:shd w:val="clear" w:color="auto" w:fill="auto"/>
            <w:noWrap/>
            <w:vAlign w:val="bottom"/>
          </w:tcPr>
          <w:p w:rsidR="00260282" w:rsidRPr="00C75F50" w:rsidRDefault="00260282" w:rsidP="00C75F50">
            <w:pPr>
              <w:jc w:val="center"/>
              <w:rPr>
                <w:rFonts w:ascii="Arial" w:hAnsi="Arial" w:cs="Arial"/>
                <w:b w:val="0"/>
                <w:color w:val="auto"/>
                <w:sz w:val="24"/>
                <w:szCs w:val="24"/>
                <w:lang w:eastAsia="en-AU"/>
              </w:rPr>
            </w:pPr>
          </w:p>
        </w:tc>
      </w:tr>
    </w:tbl>
    <w:p w:rsidR="007B3610" w:rsidRDefault="007B3610" w:rsidP="007B3610">
      <w:pPr>
        <w:pStyle w:val="Body"/>
        <w:sectPr w:rsidR="007B3610" w:rsidSect="009C6995">
          <w:headerReference w:type="default" r:id="rId82"/>
          <w:footerReference w:type="default" r:id="rId83"/>
          <w:type w:val="oddPage"/>
          <w:pgSz w:w="23814" w:h="16839" w:orient="landscape" w:code="8"/>
          <w:pgMar w:top="1701" w:right="2495" w:bottom="1134" w:left="1418" w:header="709" w:footer="709" w:gutter="0"/>
          <w:cols w:space="720"/>
          <w:docGrid w:linePitch="273"/>
        </w:sectPr>
      </w:pPr>
    </w:p>
    <w:p w:rsidR="007B3610" w:rsidRPr="007B3610" w:rsidRDefault="007B3610" w:rsidP="009948AA">
      <w:pPr>
        <w:pStyle w:val="Body"/>
        <w:rPr>
          <w:sz w:val="24"/>
          <w:szCs w:val="24"/>
        </w:rPr>
      </w:pPr>
      <w:r>
        <w:rPr>
          <w:sz w:val="24"/>
          <w:szCs w:val="24"/>
        </w:rPr>
        <w:t>The f</w:t>
      </w:r>
      <w:r w:rsidRPr="007B3610">
        <w:rPr>
          <w:sz w:val="24"/>
          <w:szCs w:val="24"/>
        </w:rPr>
        <w:t xml:space="preserve">ollowing three tables </w:t>
      </w:r>
      <w:r w:rsidR="00260282">
        <w:rPr>
          <w:sz w:val="24"/>
          <w:szCs w:val="24"/>
        </w:rPr>
        <w:t xml:space="preserve">are </w:t>
      </w:r>
      <w:r w:rsidR="00945863">
        <w:rPr>
          <w:sz w:val="24"/>
          <w:szCs w:val="24"/>
        </w:rPr>
        <w:t>keys for the above tables (table A1 and t</w:t>
      </w:r>
      <w:r w:rsidRPr="007B3610">
        <w:rPr>
          <w:sz w:val="24"/>
          <w:szCs w:val="24"/>
        </w:rPr>
        <w:t>able A2).</w:t>
      </w:r>
    </w:p>
    <w:p w:rsidR="007B3610" w:rsidRPr="007B3610" w:rsidRDefault="007B3610" w:rsidP="009948AA">
      <w:pPr>
        <w:pStyle w:val="Body"/>
        <w:rPr>
          <w:sz w:val="24"/>
          <w:szCs w:val="24"/>
        </w:rPr>
      </w:pPr>
    </w:p>
    <w:p w:rsidR="00C75F50" w:rsidRPr="007B3610" w:rsidRDefault="007238EB" w:rsidP="009C6995">
      <w:pPr>
        <w:pStyle w:val="Caption"/>
        <w:rPr>
          <w:sz w:val="24"/>
          <w:szCs w:val="24"/>
        </w:rPr>
      </w:pPr>
      <w:r>
        <w:rPr>
          <w:sz w:val="24"/>
          <w:szCs w:val="24"/>
        </w:rPr>
        <w:t xml:space="preserve">Table A-3: </w:t>
      </w:r>
      <w:r w:rsidR="007B3610" w:rsidRPr="009C6995">
        <w:rPr>
          <w:b w:val="0"/>
          <w:sz w:val="24"/>
          <w:szCs w:val="24"/>
        </w:rPr>
        <w:t>Disco</w:t>
      </w:r>
      <w:r w:rsidR="006E0266">
        <w:rPr>
          <w:b w:val="0"/>
          <w:sz w:val="24"/>
          <w:szCs w:val="24"/>
        </w:rPr>
        <w:t>unt table (Discount factor 7.00</w:t>
      </w:r>
      <w:r w:rsidR="007B3610" w:rsidRPr="009C6995">
        <w:rPr>
          <w:b w:val="0"/>
          <w:sz w:val="24"/>
          <w:szCs w:val="24"/>
        </w:rPr>
        <w:t>%)</w:t>
      </w:r>
      <w:r w:rsidR="007B3610" w:rsidRPr="007B3610">
        <w:rPr>
          <w:sz w:val="24"/>
          <w:szCs w:val="24"/>
        </w:rPr>
        <w:t xml:space="preserve"> </w:t>
      </w:r>
    </w:p>
    <w:tbl>
      <w:tblPr>
        <w:tblStyle w:val="TableGrid"/>
        <w:tblW w:w="98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Discount table "/>
        <w:tblDescription w:val="Discount table (Discount factor 7.00 %). Rows represent year and discount factor."/>
      </w:tblPr>
      <w:tblGrid>
        <w:gridCol w:w="1243"/>
        <w:gridCol w:w="951"/>
        <w:gridCol w:w="951"/>
        <w:gridCol w:w="951"/>
        <w:gridCol w:w="951"/>
        <w:gridCol w:w="951"/>
        <w:gridCol w:w="951"/>
        <w:gridCol w:w="951"/>
        <w:gridCol w:w="951"/>
        <w:gridCol w:w="951"/>
      </w:tblGrid>
      <w:tr w:rsidR="007B3610" w:rsidRPr="007B3610" w:rsidTr="0070415B">
        <w:trPr>
          <w:trHeight w:val="737"/>
          <w:tblHeader/>
        </w:trPr>
        <w:tc>
          <w:tcPr>
            <w:tcW w:w="1243" w:type="dxa"/>
            <w:tcBorders>
              <w:top w:val="single" w:sz="4" w:space="0" w:color="auto"/>
              <w:bottom w:val="single" w:sz="4" w:space="0" w:color="auto"/>
            </w:tcBorders>
            <w:vAlign w:val="bottom"/>
          </w:tcPr>
          <w:p w:rsidR="007B3610" w:rsidRPr="007B3610" w:rsidRDefault="007B3610" w:rsidP="00925800">
            <w:pPr>
              <w:rPr>
                <w:rFonts w:ascii="Arial" w:hAnsi="Arial" w:cs="Arial"/>
                <w:bCs/>
                <w:color w:val="auto"/>
                <w:sz w:val="24"/>
                <w:szCs w:val="24"/>
                <w:lang w:eastAsia="en-AU"/>
              </w:rPr>
            </w:pPr>
            <w:r w:rsidRPr="007B3610">
              <w:rPr>
                <w:rFonts w:ascii="Arial" w:hAnsi="Arial" w:cs="Arial"/>
                <w:bCs/>
                <w:color w:val="auto"/>
                <w:sz w:val="24"/>
                <w:szCs w:val="24"/>
                <w:lang w:eastAsia="en-AU"/>
              </w:rPr>
              <w:t>Year</w:t>
            </w:r>
          </w:p>
        </w:tc>
        <w:tc>
          <w:tcPr>
            <w:tcW w:w="951" w:type="dxa"/>
            <w:tcBorders>
              <w:top w:val="single" w:sz="4" w:space="0" w:color="auto"/>
              <w:bottom w:val="single" w:sz="4" w:space="0" w:color="auto"/>
            </w:tcBorders>
            <w:vAlign w:val="bottom"/>
          </w:tcPr>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0</w:t>
            </w:r>
          </w:p>
        </w:tc>
        <w:tc>
          <w:tcPr>
            <w:tcW w:w="951" w:type="dxa"/>
            <w:tcBorders>
              <w:top w:val="single" w:sz="4" w:space="0" w:color="auto"/>
              <w:bottom w:val="single" w:sz="4" w:space="0" w:color="auto"/>
            </w:tcBorders>
            <w:vAlign w:val="bottom"/>
          </w:tcPr>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2012</w:t>
            </w:r>
          </w:p>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w:t>
            </w:r>
          </w:p>
        </w:tc>
        <w:tc>
          <w:tcPr>
            <w:tcW w:w="951" w:type="dxa"/>
            <w:tcBorders>
              <w:top w:val="single" w:sz="4" w:space="0" w:color="auto"/>
              <w:bottom w:val="single" w:sz="4" w:space="0" w:color="auto"/>
            </w:tcBorders>
            <w:vAlign w:val="bottom"/>
          </w:tcPr>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2013</w:t>
            </w:r>
          </w:p>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(2)</w:t>
            </w:r>
          </w:p>
        </w:tc>
        <w:tc>
          <w:tcPr>
            <w:tcW w:w="951" w:type="dxa"/>
            <w:tcBorders>
              <w:top w:val="single" w:sz="4" w:space="0" w:color="auto"/>
              <w:bottom w:val="single" w:sz="4" w:space="0" w:color="auto"/>
            </w:tcBorders>
            <w:vAlign w:val="bottom"/>
          </w:tcPr>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2014</w:t>
            </w:r>
          </w:p>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(3)</w:t>
            </w:r>
          </w:p>
        </w:tc>
        <w:tc>
          <w:tcPr>
            <w:tcW w:w="951" w:type="dxa"/>
            <w:tcBorders>
              <w:top w:val="single" w:sz="4" w:space="0" w:color="auto"/>
              <w:bottom w:val="single" w:sz="4" w:space="0" w:color="auto"/>
            </w:tcBorders>
            <w:vAlign w:val="bottom"/>
          </w:tcPr>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2015</w:t>
            </w:r>
          </w:p>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(4)</w:t>
            </w:r>
          </w:p>
        </w:tc>
        <w:tc>
          <w:tcPr>
            <w:tcW w:w="951" w:type="dxa"/>
            <w:tcBorders>
              <w:top w:val="single" w:sz="4" w:space="0" w:color="auto"/>
              <w:bottom w:val="single" w:sz="4" w:space="0" w:color="auto"/>
            </w:tcBorders>
            <w:vAlign w:val="bottom"/>
          </w:tcPr>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2016</w:t>
            </w:r>
          </w:p>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(5)</w:t>
            </w:r>
          </w:p>
        </w:tc>
        <w:tc>
          <w:tcPr>
            <w:tcW w:w="951" w:type="dxa"/>
            <w:tcBorders>
              <w:top w:val="single" w:sz="4" w:space="0" w:color="auto"/>
              <w:bottom w:val="single" w:sz="4" w:space="0" w:color="auto"/>
            </w:tcBorders>
            <w:vAlign w:val="bottom"/>
          </w:tcPr>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2017</w:t>
            </w:r>
          </w:p>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(6)</w:t>
            </w:r>
          </w:p>
        </w:tc>
        <w:tc>
          <w:tcPr>
            <w:tcW w:w="951" w:type="dxa"/>
            <w:tcBorders>
              <w:top w:val="single" w:sz="4" w:space="0" w:color="auto"/>
              <w:bottom w:val="single" w:sz="4" w:space="0" w:color="auto"/>
            </w:tcBorders>
            <w:vAlign w:val="bottom"/>
          </w:tcPr>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2018</w:t>
            </w:r>
          </w:p>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(7)</w:t>
            </w:r>
          </w:p>
        </w:tc>
        <w:tc>
          <w:tcPr>
            <w:tcW w:w="951" w:type="dxa"/>
            <w:tcBorders>
              <w:top w:val="single" w:sz="4" w:space="0" w:color="auto"/>
              <w:bottom w:val="single" w:sz="4" w:space="0" w:color="auto"/>
            </w:tcBorders>
            <w:vAlign w:val="bottom"/>
          </w:tcPr>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2019</w:t>
            </w:r>
          </w:p>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(8)</w:t>
            </w:r>
          </w:p>
        </w:tc>
      </w:tr>
      <w:tr w:rsidR="007B3610" w:rsidRPr="007B3610" w:rsidTr="003E34A2">
        <w:trPr>
          <w:trHeight w:val="559"/>
        </w:trPr>
        <w:tc>
          <w:tcPr>
            <w:tcW w:w="1243" w:type="dxa"/>
            <w:tcBorders>
              <w:top w:val="single" w:sz="4" w:space="0" w:color="auto"/>
              <w:bottom w:val="single" w:sz="4" w:space="0" w:color="auto"/>
            </w:tcBorders>
            <w:vAlign w:val="bottom"/>
          </w:tcPr>
          <w:p w:rsidR="007B3610" w:rsidRPr="007B3610" w:rsidRDefault="007B3610" w:rsidP="00925800">
            <w:pPr>
              <w:rPr>
                <w:rFonts w:ascii="Arial" w:hAnsi="Arial" w:cs="Arial"/>
                <w:bCs/>
                <w:color w:val="auto"/>
                <w:sz w:val="24"/>
                <w:szCs w:val="24"/>
                <w:lang w:eastAsia="en-AU"/>
              </w:rPr>
            </w:pPr>
            <w:r w:rsidRPr="007B3610">
              <w:rPr>
                <w:rFonts w:ascii="Arial" w:hAnsi="Arial" w:cs="Arial"/>
                <w:bCs/>
                <w:color w:val="auto"/>
                <w:sz w:val="24"/>
                <w:szCs w:val="24"/>
                <w:lang w:eastAsia="en-AU"/>
              </w:rPr>
              <w:t>Discount Factor</w:t>
            </w:r>
          </w:p>
        </w:tc>
        <w:tc>
          <w:tcPr>
            <w:tcW w:w="951" w:type="dxa"/>
            <w:tcBorders>
              <w:top w:val="single" w:sz="4" w:space="0" w:color="auto"/>
              <w:bottom w:val="single" w:sz="4" w:space="0" w:color="auto"/>
            </w:tcBorders>
            <w:vAlign w:val="bottom"/>
          </w:tcPr>
          <w:p w:rsidR="007B3610" w:rsidRPr="007B3610" w:rsidRDefault="007B3610" w:rsidP="00925800">
            <w:pPr>
              <w:jc w:val="right"/>
              <w:rPr>
                <w:rFonts w:ascii="Arial" w:hAnsi="Arial" w:cs="Arial"/>
                <w:b w:val="0"/>
                <w:color w:val="auto"/>
                <w:sz w:val="24"/>
                <w:szCs w:val="24"/>
                <w:lang w:eastAsia="en-AU"/>
              </w:rPr>
            </w:pPr>
            <w:r w:rsidRPr="007B3610">
              <w:rPr>
                <w:rFonts w:ascii="Arial" w:hAnsi="Arial" w:cs="Arial"/>
                <w:b w:val="0"/>
                <w:color w:val="auto"/>
                <w:sz w:val="24"/>
                <w:szCs w:val="24"/>
                <w:lang w:eastAsia="en-AU"/>
              </w:rPr>
              <w:t>1.000</w:t>
            </w:r>
          </w:p>
        </w:tc>
        <w:tc>
          <w:tcPr>
            <w:tcW w:w="951" w:type="dxa"/>
            <w:tcBorders>
              <w:top w:val="single" w:sz="4" w:space="0" w:color="auto"/>
              <w:bottom w:val="single" w:sz="4" w:space="0" w:color="auto"/>
            </w:tcBorders>
            <w:vAlign w:val="bottom"/>
          </w:tcPr>
          <w:p w:rsidR="007B3610" w:rsidRPr="007B3610" w:rsidRDefault="007B3610" w:rsidP="00925800">
            <w:pPr>
              <w:jc w:val="right"/>
              <w:rPr>
                <w:rFonts w:ascii="Arial" w:hAnsi="Arial" w:cs="Arial"/>
                <w:b w:val="0"/>
                <w:color w:val="auto"/>
                <w:sz w:val="24"/>
                <w:szCs w:val="24"/>
                <w:lang w:eastAsia="en-AU"/>
              </w:rPr>
            </w:pPr>
            <w:r w:rsidRPr="007B3610">
              <w:rPr>
                <w:rFonts w:ascii="Arial" w:hAnsi="Arial" w:cs="Arial"/>
                <w:b w:val="0"/>
                <w:color w:val="auto"/>
                <w:sz w:val="24"/>
                <w:szCs w:val="24"/>
                <w:lang w:eastAsia="en-AU"/>
              </w:rPr>
              <w:t>0.935</w:t>
            </w:r>
          </w:p>
        </w:tc>
        <w:tc>
          <w:tcPr>
            <w:tcW w:w="951" w:type="dxa"/>
            <w:tcBorders>
              <w:top w:val="single" w:sz="4" w:space="0" w:color="auto"/>
              <w:bottom w:val="single" w:sz="4" w:space="0" w:color="auto"/>
            </w:tcBorders>
            <w:vAlign w:val="bottom"/>
          </w:tcPr>
          <w:p w:rsidR="007B3610" w:rsidRPr="007B3610" w:rsidRDefault="007B3610" w:rsidP="00925800">
            <w:pPr>
              <w:jc w:val="right"/>
              <w:rPr>
                <w:rFonts w:ascii="Arial" w:hAnsi="Arial" w:cs="Arial"/>
                <w:b w:val="0"/>
                <w:color w:val="auto"/>
                <w:sz w:val="24"/>
                <w:szCs w:val="24"/>
                <w:lang w:eastAsia="en-AU"/>
              </w:rPr>
            </w:pPr>
            <w:r w:rsidRPr="007B3610">
              <w:rPr>
                <w:rFonts w:ascii="Arial" w:hAnsi="Arial" w:cs="Arial"/>
                <w:b w:val="0"/>
                <w:color w:val="auto"/>
                <w:sz w:val="24"/>
                <w:szCs w:val="24"/>
                <w:lang w:eastAsia="en-AU"/>
              </w:rPr>
              <w:t>0.873</w:t>
            </w:r>
          </w:p>
        </w:tc>
        <w:tc>
          <w:tcPr>
            <w:tcW w:w="951" w:type="dxa"/>
            <w:tcBorders>
              <w:top w:val="single" w:sz="4" w:space="0" w:color="auto"/>
              <w:bottom w:val="single" w:sz="4" w:space="0" w:color="auto"/>
            </w:tcBorders>
            <w:vAlign w:val="bottom"/>
          </w:tcPr>
          <w:p w:rsidR="007B3610" w:rsidRPr="007B3610" w:rsidRDefault="007B3610" w:rsidP="00925800">
            <w:pPr>
              <w:jc w:val="right"/>
              <w:rPr>
                <w:rFonts w:ascii="Arial" w:hAnsi="Arial" w:cs="Arial"/>
                <w:b w:val="0"/>
                <w:color w:val="auto"/>
                <w:sz w:val="24"/>
                <w:szCs w:val="24"/>
                <w:lang w:eastAsia="en-AU"/>
              </w:rPr>
            </w:pPr>
            <w:r w:rsidRPr="007B3610">
              <w:rPr>
                <w:rFonts w:ascii="Arial" w:hAnsi="Arial" w:cs="Arial"/>
                <w:b w:val="0"/>
                <w:color w:val="auto"/>
                <w:sz w:val="24"/>
                <w:szCs w:val="24"/>
                <w:lang w:eastAsia="en-AU"/>
              </w:rPr>
              <w:t>0.816</w:t>
            </w:r>
          </w:p>
        </w:tc>
        <w:tc>
          <w:tcPr>
            <w:tcW w:w="951" w:type="dxa"/>
            <w:tcBorders>
              <w:top w:val="single" w:sz="4" w:space="0" w:color="auto"/>
              <w:bottom w:val="single" w:sz="4" w:space="0" w:color="auto"/>
            </w:tcBorders>
            <w:vAlign w:val="bottom"/>
          </w:tcPr>
          <w:p w:rsidR="007B3610" w:rsidRPr="007B3610" w:rsidRDefault="007B3610" w:rsidP="00925800">
            <w:pPr>
              <w:jc w:val="right"/>
              <w:rPr>
                <w:rFonts w:ascii="Arial" w:hAnsi="Arial" w:cs="Arial"/>
                <w:b w:val="0"/>
                <w:color w:val="auto"/>
                <w:sz w:val="24"/>
                <w:szCs w:val="24"/>
                <w:lang w:eastAsia="en-AU"/>
              </w:rPr>
            </w:pPr>
            <w:r w:rsidRPr="007B3610">
              <w:rPr>
                <w:rFonts w:ascii="Arial" w:hAnsi="Arial" w:cs="Arial"/>
                <w:b w:val="0"/>
                <w:color w:val="auto"/>
                <w:sz w:val="24"/>
                <w:szCs w:val="24"/>
                <w:lang w:eastAsia="en-AU"/>
              </w:rPr>
              <w:t>0.763</w:t>
            </w:r>
          </w:p>
        </w:tc>
        <w:tc>
          <w:tcPr>
            <w:tcW w:w="951" w:type="dxa"/>
            <w:tcBorders>
              <w:top w:val="single" w:sz="4" w:space="0" w:color="auto"/>
              <w:bottom w:val="single" w:sz="4" w:space="0" w:color="auto"/>
            </w:tcBorders>
            <w:vAlign w:val="bottom"/>
          </w:tcPr>
          <w:p w:rsidR="007B3610" w:rsidRPr="007B3610" w:rsidRDefault="007B3610" w:rsidP="00925800">
            <w:pPr>
              <w:jc w:val="right"/>
              <w:rPr>
                <w:rFonts w:ascii="Arial" w:hAnsi="Arial" w:cs="Arial"/>
                <w:b w:val="0"/>
                <w:color w:val="auto"/>
                <w:sz w:val="24"/>
                <w:szCs w:val="24"/>
                <w:lang w:eastAsia="en-AU"/>
              </w:rPr>
            </w:pPr>
            <w:r w:rsidRPr="007B3610">
              <w:rPr>
                <w:rFonts w:ascii="Arial" w:hAnsi="Arial" w:cs="Arial"/>
                <w:b w:val="0"/>
                <w:color w:val="auto"/>
                <w:sz w:val="24"/>
                <w:szCs w:val="24"/>
                <w:lang w:eastAsia="en-AU"/>
              </w:rPr>
              <w:t>0.713</w:t>
            </w:r>
          </w:p>
        </w:tc>
        <w:tc>
          <w:tcPr>
            <w:tcW w:w="951" w:type="dxa"/>
            <w:tcBorders>
              <w:top w:val="single" w:sz="4" w:space="0" w:color="auto"/>
              <w:bottom w:val="single" w:sz="4" w:space="0" w:color="auto"/>
            </w:tcBorders>
            <w:vAlign w:val="bottom"/>
          </w:tcPr>
          <w:p w:rsidR="007B3610" w:rsidRPr="007B3610" w:rsidRDefault="007B3610" w:rsidP="00925800">
            <w:pPr>
              <w:jc w:val="right"/>
              <w:rPr>
                <w:rFonts w:ascii="Arial" w:hAnsi="Arial" w:cs="Arial"/>
                <w:b w:val="0"/>
                <w:color w:val="auto"/>
                <w:sz w:val="24"/>
                <w:szCs w:val="24"/>
                <w:lang w:eastAsia="en-AU"/>
              </w:rPr>
            </w:pPr>
            <w:r w:rsidRPr="007B3610">
              <w:rPr>
                <w:rFonts w:ascii="Arial" w:hAnsi="Arial" w:cs="Arial"/>
                <w:b w:val="0"/>
                <w:color w:val="auto"/>
                <w:sz w:val="24"/>
                <w:szCs w:val="24"/>
                <w:lang w:eastAsia="en-AU"/>
              </w:rPr>
              <w:t>0.666</w:t>
            </w:r>
          </w:p>
        </w:tc>
        <w:tc>
          <w:tcPr>
            <w:tcW w:w="951" w:type="dxa"/>
            <w:tcBorders>
              <w:top w:val="single" w:sz="4" w:space="0" w:color="auto"/>
              <w:bottom w:val="single" w:sz="4" w:space="0" w:color="auto"/>
            </w:tcBorders>
            <w:vAlign w:val="bottom"/>
          </w:tcPr>
          <w:p w:rsidR="007B3610" w:rsidRPr="007B3610" w:rsidRDefault="007B3610" w:rsidP="00925800">
            <w:pPr>
              <w:jc w:val="right"/>
              <w:rPr>
                <w:rFonts w:ascii="Arial" w:hAnsi="Arial" w:cs="Arial"/>
                <w:b w:val="0"/>
                <w:color w:val="auto"/>
                <w:sz w:val="24"/>
                <w:szCs w:val="24"/>
                <w:lang w:eastAsia="en-AU"/>
              </w:rPr>
            </w:pPr>
            <w:r w:rsidRPr="007B3610">
              <w:rPr>
                <w:rFonts w:ascii="Arial" w:hAnsi="Arial" w:cs="Arial"/>
                <w:b w:val="0"/>
                <w:color w:val="auto"/>
                <w:sz w:val="24"/>
                <w:szCs w:val="24"/>
                <w:lang w:eastAsia="en-AU"/>
              </w:rPr>
              <w:t>0.623</w:t>
            </w:r>
          </w:p>
        </w:tc>
        <w:tc>
          <w:tcPr>
            <w:tcW w:w="951" w:type="dxa"/>
            <w:tcBorders>
              <w:top w:val="single" w:sz="4" w:space="0" w:color="auto"/>
              <w:bottom w:val="single" w:sz="4" w:space="0" w:color="auto"/>
            </w:tcBorders>
            <w:vAlign w:val="bottom"/>
          </w:tcPr>
          <w:p w:rsidR="007B3610" w:rsidRPr="007B3610" w:rsidRDefault="007B3610" w:rsidP="00925800">
            <w:pPr>
              <w:jc w:val="right"/>
              <w:rPr>
                <w:rFonts w:ascii="Arial" w:hAnsi="Arial" w:cs="Arial"/>
                <w:b w:val="0"/>
                <w:color w:val="auto"/>
                <w:sz w:val="24"/>
                <w:szCs w:val="24"/>
                <w:lang w:eastAsia="en-AU"/>
              </w:rPr>
            </w:pPr>
            <w:r w:rsidRPr="007B3610">
              <w:rPr>
                <w:rFonts w:ascii="Arial" w:hAnsi="Arial" w:cs="Arial"/>
                <w:b w:val="0"/>
                <w:color w:val="auto"/>
                <w:sz w:val="24"/>
                <w:szCs w:val="24"/>
                <w:lang w:eastAsia="en-AU"/>
              </w:rPr>
              <w:t>0.582</w:t>
            </w:r>
          </w:p>
        </w:tc>
      </w:tr>
    </w:tbl>
    <w:p w:rsidR="001E0CAE" w:rsidRPr="007B3610" w:rsidRDefault="001E0CAE" w:rsidP="009948AA">
      <w:pPr>
        <w:pStyle w:val="Body"/>
        <w:rPr>
          <w:sz w:val="24"/>
          <w:szCs w:val="24"/>
        </w:rPr>
      </w:pPr>
    </w:p>
    <w:p w:rsidR="001E0CAE" w:rsidRPr="007B3610" w:rsidRDefault="007238EB" w:rsidP="009C6995">
      <w:pPr>
        <w:pStyle w:val="Caption"/>
        <w:rPr>
          <w:sz w:val="24"/>
          <w:szCs w:val="24"/>
        </w:rPr>
      </w:pPr>
      <w:r>
        <w:rPr>
          <w:sz w:val="24"/>
          <w:szCs w:val="24"/>
        </w:rPr>
        <w:t xml:space="preserve">Table A-4: </w:t>
      </w:r>
      <w:r w:rsidR="007B3610" w:rsidRPr="009C6995">
        <w:rPr>
          <w:b w:val="0"/>
          <w:sz w:val="24"/>
          <w:szCs w:val="24"/>
        </w:rPr>
        <w:t>Analysis key results for Net Present Value (NPV) analysis (run: December 2012) for the World Heritage Area Ship Anchorage Management Options for Port of Hay Point (Run over 30 years with a discount rate = 7.00%, all values are in AUS$)</w:t>
      </w:r>
    </w:p>
    <w:tbl>
      <w:tblPr>
        <w:tblW w:w="8195" w:type="dxa"/>
        <w:tblInd w:w="108" w:type="dxa"/>
        <w:tblLook w:val="04A0" w:firstRow="1" w:lastRow="0" w:firstColumn="1" w:lastColumn="0" w:noHBand="0" w:noVBand="1"/>
        <w:tblCaption w:val="Analysis key results for Net Present Value (NPV) analysis "/>
        <w:tblDescription w:val="Analysis key results for Net Present Value (NPV) analysis. Columns represent  project options, net present value and ranking."/>
      </w:tblPr>
      <w:tblGrid>
        <w:gridCol w:w="5387"/>
        <w:gridCol w:w="1645"/>
        <w:gridCol w:w="1163"/>
      </w:tblGrid>
      <w:tr w:rsidR="007B3610" w:rsidRPr="007B3610" w:rsidTr="0070415B">
        <w:trPr>
          <w:trHeight w:val="360"/>
          <w:tblHeader/>
        </w:trPr>
        <w:tc>
          <w:tcPr>
            <w:tcW w:w="5387" w:type="dxa"/>
            <w:tcBorders>
              <w:top w:val="single" w:sz="4" w:space="0" w:color="auto"/>
              <w:left w:val="nil"/>
              <w:bottom w:val="single" w:sz="4" w:space="0" w:color="auto"/>
              <w:right w:val="nil"/>
            </w:tcBorders>
            <w:shd w:val="clear" w:color="auto" w:fill="auto"/>
            <w:noWrap/>
            <w:vAlign w:val="bottom"/>
            <w:hideMark/>
          </w:tcPr>
          <w:p w:rsidR="007B3610" w:rsidRPr="007B3610" w:rsidRDefault="007B3610" w:rsidP="00925800">
            <w:pPr>
              <w:rPr>
                <w:rFonts w:ascii="Arial" w:hAnsi="Arial" w:cs="Arial"/>
                <w:bCs/>
                <w:color w:val="auto"/>
                <w:sz w:val="24"/>
                <w:szCs w:val="24"/>
                <w:lang w:eastAsia="en-AU"/>
              </w:rPr>
            </w:pPr>
            <w:r w:rsidRPr="007B3610">
              <w:rPr>
                <w:rFonts w:ascii="Arial" w:hAnsi="Arial" w:cs="Arial"/>
                <w:bCs/>
                <w:iCs/>
                <w:color w:val="auto"/>
                <w:sz w:val="24"/>
                <w:szCs w:val="24"/>
                <w:lang w:eastAsia="en-AU"/>
              </w:rPr>
              <w:t>Proj</w:t>
            </w:r>
            <w:r>
              <w:rPr>
                <w:rFonts w:ascii="Arial" w:hAnsi="Arial" w:cs="Arial"/>
                <w:bCs/>
                <w:iCs/>
                <w:color w:val="auto"/>
                <w:sz w:val="24"/>
                <w:szCs w:val="24"/>
                <w:lang w:eastAsia="en-AU"/>
              </w:rPr>
              <w:t>ect o</w:t>
            </w:r>
            <w:r w:rsidRPr="007B3610">
              <w:rPr>
                <w:rFonts w:ascii="Arial" w:hAnsi="Arial" w:cs="Arial"/>
                <w:bCs/>
                <w:iCs/>
                <w:color w:val="auto"/>
                <w:sz w:val="24"/>
                <w:szCs w:val="24"/>
                <w:lang w:eastAsia="en-AU"/>
              </w:rPr>
              <w:t>ption/Strategy description</w:t>
            </w:r>
          </w:p>
        </w:tc>
        <w:tc>
          <w:tcPr>
            <w:tcW w:w="1645" w:type="dxa"/>
            <w:tcBorders>
              <w:top w:val="single" w:sz="4" w:space="0" w:color="auto"/>
              <w:left w:val="nil"/>
              <w:bottom w:val="single" w:sz="4" w:space="0" w:color="auto"/>
              <w:right w:val="nil"/>
            </w:tcBorders>
            <w:shd w:val="clear" w:color="auto" w:fill="auto"/>
            <w:noWrap/>
            <w:vAlign w:val="bottom"/>
            <w:hideMark/>
          </w:tcPr>
          <w:p w:rsidR="007B3610" w:rsidRPr="007B3610" w:rsidRDefault="007B3610" w:rsidP="00925800">
            <w:pPr>
              <w:jc w:val="right"/>
              <w:rPr>
                <w:rFonts w:ascii="Arial" w:hAnsi="Arial" w:cs="Arial"/>
                <w:bCs/>
                <w:color w:val="auto"/>
                <w:sz w:val="24"/>
                <w:szCs w:val="24"/>
                <w:lang w:eastAsia="en-AU"/>
              </w:rPr>
            </w:pPr>
            <w:r w:rsidRPr="007B3610">
              <w:rPr>
                <w:rFonts w:ascii="Arial" w:hAnsi="Arial" w:cs="Arial"/>
                <w:bCs/>
                <w:color w:val="auto"/>
                <w:sz w:val="24"/>
                <w:szCs w:val="24"/>
                <w:lang w:eastAsia="en-AU"/>
              </w:rPr>
              <w:t>NPV ('000)</w:t>
            </w:r>
          </w:p>
        </w:tc>
        <w:tc>
          <w:tcPr>
            <w:tcW w:w="1163" w:type="dxa"/>
            <w:tcBorders>
              <w:top w:val="single" w:sz="4" w:space="0" w:color="auto"/>
              <w:left w:val="nil"/>
              <w:bottom w:val="single" w:sz="4" w:space="0" w:color="auto"/>
              <w:right w:val="nil"/>
            </w:tcBorders>
            <w:shd w:val="clear" w:color="auto" w:fill="auto"/>
            <w:noWrap/>
            <w:vAlign w:val="bottom"/>
            <w:hideMark/>
          </w:tcPr>
          <w:p w:rsidR="007B3610" w:rsidRPr="007B3610" w:rsidRDefault="007B3610" w:rsidP="00925800">
            <w:pPr>
              <w:jc w:val="center"/>
              <w:rPr>
                <w:rFonts w:ascii="Arial" w:hAnsi="Arial" w:cs="Arial"/>
                <w:color w:val="auto"/>
                <w:sz w:val="24"/>
                <w:szCs w:val="24"/>
                <w:lang w:eastAsia="en-AU"/>
              </w:rPr>
            </w:pPr>
            <w:r w:rsidRPr="007B3610">
              <w:rPr>
                <w:rFonts w:ascii="Arial" w:hAnsi="Arial" w:cs="Arial"/>
                <w:color w:val="auto"/>
                <w:sz w:val="24"/>
                <w:szCs w:val="24"/>
                <w:lang w:eastAsia="en-AU"/>
              </w:rPr>
              <w:t>Ranking</w:t>
            </w:r>
          </w:p>
        </w:tc>
      </w:tr>
      <w:tr w:rsidR="007B3610" w:rsidRPr="007B3610" w:rsidTr="007B3610">
        <w:trPr>
          <w:trHeight w:val="312"/>
        </w:trPr>
        <w:tc>
          <w:tcPr>
            <w:tcW w:w="5387" w:type="dxa"/>
            <w:tcBorders>
              <w:top w:val="single" w:sz="4" w:space="0" w:color="auto"/>
              <w:left w:val="nil"/>
              <w:bottom w:val="single" w:sz="4" w:space="0" w:color="FFFFFF"/>
              <w:right w:val="nil"/>
            </w:tcBorders>
            <w:shd w:val="clear" w:color="auto" w:fill="auto"/>
            <w:noWrap/>
            <w:vAlign w:val="bottom"/>
            <w:hideMark/>
          </w:tcPr>
          <w:p w:rsidR="007B3610" w:rsidRPr="007B3610" w:rsidRDefault="007B3610" w:rsidP="00925800">
            <w:pPr>
              <w:rPr>
                <w:rFonts w:ascii="Arial" w:hAnsi="Arial" w:cs="Arial"/>
                <w:b w:val="0"/>
                <w:color w:val="auto"/>
                <w:sz w:val="24"/>
                <w:szCs w:val="24"/>
                <w:lang w:eastAsia="en-AU"/>
              </w:rPr>
            </w:pPr>
            <w:r w:rsidRPr="007B3610">
              <w:rPr>
                <w:rFonts w:ascii="Arial" w:hAnsi="Arial" w:cs="Arial"/>
                <w:b w:val="0"/>
                <w:color w:val="auto"/>
                <w:sz w:val="24"/>
                <w:szCs w:val="24"/>
                <w:lang w:eastAsia="en-AU"/>
              </w:rPr>
              <w:t>Option 3: All-at-Port</w:t>
            </w:r>
          </w:p>
        </w:tc>
        <w:tc>
          <w:tcPr>
            <w:tcW w:w="1645" w:type="dxa"/>
            <w:tcBorders>
              <w:top w:val="single" w:sz="4" w:space="0" w:color="auto"/>
              <w:left w:val="nil"/>
              <w:bottom w:val="single" w:sz="4" w:space="0" w:color="FFFFFF"/>
              <w:right w:val="nil"/>
            </w:tcBorders>
            <w:shd w:val="clear" w:color="auto" w:fill="auto"/>
            <w:noWrap/>
            <w:vAlign w:val="bottom"/>
            <w:hideMark/>
          </w:tcPr>
          <w:p w:rsidR="007B3610" w:rsidRPr="007B3610" w:rsidRDefault="007B3610" w:rsidP="00925800">
            <w:pPr>
              <w:jc w:val="right"/>
              <w:rPr>
                <w:rFonts w:ascii="Arial" w:hAnsi="Arial" w:cs="Arial"/>
                <w:b w:val="0"/>
                <w:color w:val="auto"/>
                <w:sz w:val="24"/>
                <w:szCs w:val="24"/>
                <w:lang w:eastAsia="en-AU"/>
              </w:rPr>
            </w:pPr>
            <w:r w:rsidRPr="007B3610">
              <w:rPr>
                <w:rFonts w:ascii="Arial" w:hAnsi="Arial" w:cs="Arial"/>
                <w:b w:val="0"/>
                <w:color w:val="auto"/>
                <w:sz w:val="24"/>
                <w:szCs w:val="24"/>
                <w:lang w:eastAsia="en-AU"/>
              </w:rPr>
              <w:t>$36,841</w:t>
            </w:r>
          </w:p>
        </w:tc>
        <w:tc>
          <w:tcPr>
            <w:tcW w:w="1163" w:type="dxa"/>
            <w:tcBorders>
              <w:top w:val="single" w:sz="4" w:space="0" w:color="auto"/>
              <w:left w:val="nil"/>
              <w:bottom w:val="single" w:sz="4" w:space="0" w:color="FFFFFF"/>
              <w:right w:val="nil"/>
            </w:tcBorders>
            <w:shd w:val="clear" w:color="auto" w:fill="auto"/>
            <w:noWrap/>
            <w:vAlign w:val="bottom"/>
            <w:hideMark/>
          </w:tcPr>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3</w:t>
            </w:r>
          </w:p>
        </w:tc>
      </w:tr>
      <w:tr w:rsidR="007B3610" w:rsidRPr="007B3610" w:rsidTr="007B3610">
        <w:trPr>
          <w:trHeight w:val="312"/>
        </w:trPr>
        <w:tc>
          <w:tcPr>
            <w:tcW w:w="5387" w:type="dxa"/>
            <w:tcBorders>
              <w:top w:val="nil"/>
              <w:left w:val="nil"/>
              <w:bottom w:val="single" w:sz="4" w:space="0" w:color="FFFFFF"/>
              <w:right w:val="nil"/>
            </w:tcBorders>
            <w:shd w:val="clear" w:color="auto" w:fill="auto"/>
            <w:noWrap/>
            <w:vAlign w:val="bottom"/>
            <w:hideMark/>
          </w:tcPr>
          <w:p w:rsidR="007B3610" w:rsidRPr="007B3610" w:rsidRDefault="007B3610" w:rsidP="00925800">
            <w:pPr>
              <w:rPr>
                <w:rFonts w:ascii="Arial" w:hAnsi="Arial" w:cs="Arial"/>
                <w:b w:val="0"/>
                <w:color w:val="auto"/>
                <w:sz w:val="24"/>
                <w:szCs w:val="24"/>
                <w:lang w:eastAsia="en-AU"/>
              </w:rPr>
            </w:pPr>
            <w:r w:rsidRPr="007B3610">
              <w:rPr>
                <w:rFonts w:ascii="Arial" w:hAnsi="Arial" w:cs="Arial"/>
                <w:b w:val="0"/>
                <w:color w:val="auto"/>
                <w:sz w:val="24"/>
                <w:szCs w:val="24"/>
                <w:lang w:eastAsia="en-AU"/>
              </w:rPr>
              <w:t>Option 5: Fixed-Moored</w:t>
            </w:r>
          </w:p>
        </w:tc>
        <w:tc>
          <w:tcPr>
            <w:tcW w:w="1645" w:type="dxa"/>
            <w:tcBorders>
              <w:top w:val="nil"/>
              <w:left w:val="nil"/>
              <w:bottom w:val="single" w:sz="4" w:space="0" w:color="FFFFFF"/>
              <w:right w:val="nil"/>
            </w:tcBorders>
            <w:shd w:val="clear" w:color="auto" w:fill="auto"/>
            <w:noWrap/>
            <w:vAlign w:val="bottom"/>
            <w:hideMark/>
          </w:tcPr>
          <w:p w:rsidR="007B3610" w:rsidRPr="007B3610" w:rsidRDefault="007B3610" w:rsidP="00925800">
            <w:pPr>
              <w:jc w:val="right"/>
              <w:rPr>
                <w:rFonts w:ascii="Arial" w:hAnsi="Arial" w:cs="Arial"/>
                <w:b w:val="0"/>
                <w:color w:val="auto"/>
                <w:sz w:val="24"/>
                <w:szCs w:val="24"/>
                <w:lang w:eastAsia="en-AU"/>
              </w:rPr>
            </w:pPr>
            <w:r w:rsidRPr="007B3610">
              <w:rPr>
                <w:rFonts w:ascii="Arial" w:hAnsi="Arial" w:cs="Arial"/>
                <w:b w:val="0"/>
                <w:color w:val="auto"/>
                <w:sz w:val="24"/>
                <w:szCs w:val="24"/>
                <w:lang w:eastAsia="en-AU"/>
              </w:rPr>
              <w:t>$97,420</w:t>
            </w:r>
          </w:p>
        </w:tc>
        <w:tc>
          <w:tcPr>
            <w:tcW w:w="1163" w:type="dxa"/>
            <w:tcBorders>
              <w:top w:val="nil"/>
              <w:left w:val="nil"/>
              <w:bottom w:val="single" w:sz="4" w:space="0" w:color="FFFFFF"/>
              <w:right w:val="nil"/>
            </w:tcBorders>
            <w:shd w:val="clear" w:color="auto" w:fill="auto"/>
            <w:noWrap/>
            <w:vAlign w:val="bottom"/>
            <w:hideMark/>
          </w:tcPr>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2</w:t>
            </w:r>
          </w:p>
        </w:tc>
      </w:tr>
      <w:tr w:rsidR="007B3610" w:rsidRPr="007B3610" w:rsidTr="007B3610">
        <w:trPr>
          <w:trHeight w:val="312"/>
        </w:trPr>
        <w:tc>
          <w:tcPr>
            <w:tcW w:w="5387" w:type="dxa"/>
            <w:tcBorders>
              <w:top w:val="nil"/>
              <w:left w:val="nil"/>
              <w:bottom w:val="single" w:sz="4" w:space="0" w:color="FFFFFF"/>
              <w:right w:val="nil"/>
            </w:tcBorders>
            <w:shd w:val="clear" w:color="auto" w:fill="auto"/>
            <w:noWrap/>
            <w:vAlign w:val="bottom"/>
            <w:hideMark/>
          </w:tcPr>
          <w:p w:rsidR="007B3610" w:rsidRPr="007B3610" w:rsidRDefault="007B3610" w:rsidP="00925800">
            <w:pPr>
              <w:rPr>
                <w:rFonts w:ascii="Arial" w:hAnsi="Arial" w:cs="Arial"/>
                <w:b w:val="0"/>
                <w:color w:val="auto"/>
                <w:sz w:val="24"/>
                <w:szCs w:val="24"/>
                <w:lang w:eastAsia="en-AU"/>
              </w:rPr>
            </w:pPr>
            <w:r w:rsidRPr="007B3610">
              <w:rPr>
                <w:rFonts w:ascii="Arial" w:hAnsi="Arial" w:cs="Arial"/>
                <w:b w:val="0"/>
                <w:color w:val="auto"/>
                <w:sz w:val="24"/>
                <w:szCs w:val="24"/>
                <w:lang w:eastAsia="en-AU"/>
              </w:rPr>
              <w:t>Option 8: Scheduled Arrivals plus Anchorages</w:t>
            </w:r>
          </w:p>
        </w:tc>
        <w:tc>
          <w:tcPr>
            <w:tcW w:w="1645" w:type="dxa"/>
            <w:tcBorders>
              <w:top w:val="nil"/>
              <w:left w:val="nil"/>
              <w:bottom w:val="single" w:sz="4" w:space="0" w:color="FFFFFF"/>
              <w:right w:val="nil"/>
            </w:tcBorders>
            <w:shd w:val="clear" w:color="auto" w:fill="auto"/>
            <w:noWrap/>
            <w:vAlign w:val="bottom"/>
            <w:hideMark/>
          </w:tcPr>
          <w:p w:rsidR="007B3610" w:rsidRPr="007B3610" w:rsidRDefault="007B3610" w:rsidP="00925800">
            <w:pPr>
              <w:jc w:val="right"/>
              <w:rPr>
                <w:rFonts w:ascii="Arial" w:hAnsi="Arial" w:cs="Arial"/>
                <w:b w:val="0"/>
                <w:color w:val="auto"/>
                <w:sz w:val="24"/>
                <w:szCs w:val="24"/>
                <w:lang w:eastAsia="en-AU"/>
              </w:rPr>
            </w:pPr>
            <w:r w:rsidRPr="007B3610">
              <w:rPr>
                <w:rFonts w:ascii="Arial" w:hAnsi="Arial" w:cs="Arial"/>
                <w:b w:val="0"/>
                <w:color w:val="auto"/>
                <w:sz w:val="24"/>
                <w:szCs w:val="24"/>
                <w:lang w:eastAsia="en-AU"/>
              </w:rPr>
              <w:t>$186,226</w:t>
            </w:r>
          </w:p>
        </w:tc>
        <w:tc>
          <w:tcPr>
            <w:tcW w:w="1163" w:type="dxa"/>
            <w:tcBorders>
              <w:top w:val="nil"/>
              <w:left w:val="nil"/>
              <w:bottom w:val="single" w:sz="4" w:space="0" w:color="FFFFFF"/>
              <w:right w:val="nil"/>
            </w:tcBorders>
            <w:shd w:val="clear" w:color="auto" w:fill="auto"/>
            <w:noWrap/>
            <w:vAlign w:val="bottom"/>
            <w:hideMark/>
          </w:tcPr>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1</w:t>
            </w:r>
          </w:p>
        </w:tc>
      </w:tr>
      <w:tr w:rsidR="007B3610" w:rsidRPr="007B3610" w:rsidTr="007B3610">
        <w:trPr>
          <w:trHeight w:val="312"/>
        </w:trPr>
        <w:tc>
          <w:tcPr>
            <w:tcW w:w="5387" w:type="dxa"/>
            <w:tcBorders>
              <w:top w:val="nil"/>
              <w:left w:val="nil"/>
              <w:bottom w:val="single" w:sz="4" w:space="0" w:color="auto"/>
              <w:right w:val="nil"/>
            </w:tcBorders>
            <w:shd w:val="clear" w:color="auto" w:fill="auto"/>
            <w:noWrap/>
            <w:vAlign w:val="bottom"/>
            <w:hideMark/>
          </w:tcPr>
          <w:p w:rsidR="007B3610" w:rsidRPr="007B3610" w:rsidRDefault="007B3610" w:rsidP="00925800">
            <w:pPr>
              <w:rPr>
                <w:rFonts w:ascii="Arial" w:hAnsi="Arial" w:cs="Arial"/>
                <w:b w:val="0"/>
                <w:color w:val="auto"/>
                <w:sz w:val="24"/>
                <w:szCs w:val="24"/>
                <w:lang w:eastAsia="en-AU"/>
              </w:rPr>
            </w:pPr>
            <w:r w:rsidRPr="007B3610">
              <w:rPr>
                <w:rFonts w:ascii="Arial" w:hAnsi="Arial" w:cs="Arial"/>
                <w:b w:val="0"/>
                <w:color w:val="auto"/>
                <w:sz w:val="24"/>
                <w:szCs w:val="24"/>
                <w:lang w:eastAsia="en-AU"/>
              </w:rPr>
              <w:t>Option 9(b): Demand Management Pricing</w:t>
            </w:r>
          </w:p>
        </w:tc>
        <w:tc>
          <w:tcPr>
            <w:tcW w:w="1645" w:type="dxa"/>
            <w:tcBorders>
              <w:top w:val="nil"/>
              <w:left w:val="nil"/>
              <w:bottom w:val="single" w:sz="4" w:space="0" w:color="auto"/>
              <w:right w:val="nil"/>
            </w:tcBorders>
            <w:shd w:val="clear" w:color="auto" w:fill="auto"/>
            <w:noWrap/>
            <w:vAlign w:val="bottom"/>
            <w:hideMark/>
          </w:tcPr>
          <w:p w:rsidR="007B3610" w:rsidRPr="007B3610" w:rsidRDefault="007B3610" w:rsidP="00925800">
            <w:pPr>
              <w:jc w:val="right"/>
              <w:rPr>
                <w:rFonts w:ascii="Arial" w:hAnsi="Arial" w:cs="Arial"/>
                <w:b w:val="0"/>
                <w:color w:val="auto"/>
                <w:sz w:val="24"/>
                <w:szCs w:val="24"/>
                <w:lang w:eastAsia="en-AU"/>
              </w:rPr>
            </w:pPr>
            <w:r w:rsidRPr="007B3610">
              <w:rPr>
                <w:rFonts w:ascii="Arial" w:hAnsi="Arial" w:cs="Arial"/>
                <w:b w:val="0"/>
                <w:color w:val="auto"/>
                <w:sz w:val="24"/>
                <w:szCs w:val="24"/>
                <w:lang w:eastAsia="en-AU"/>
              </w:rPr>
              <w:t>-$1,744,768</w:t>
            </w:r>
          </w:p>
        </w:tc>
        <w:tc>
          <w:tcPr>
            <w:tcW w:w="1163" w:type="dxa"/>
            <w:tcBorders>
              <w:top w:val="nil"/>
              <w:left w:val="nil"/>
              <w:bottom w:val="single" w:sz="4" w:space="0" w:color="auto"/>
              <w:right w:val="nil"/>
            </w:tcBorders>
            <w:shd w:val="clear" w:color="auto" w:fill="auto"/>
            <w:noWrap/>
            <w:vAlign w:val="bottom"/>
            <w:hideMark/>
          </w:tcPr>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4</w:t>
            </w:r>
          </w:p>
        </w:tc>
      </w:tr>
      <w:tr w:rsidR="007B3610" w:rsidRPr="007B3610" w:rsidTr="007B3610">
        <w:trPr>
          <w:trHeight w:val="420"/>
        </w:trPr>
        <w:tc>
          <w:tcPr>
            <w:tcW w:w="5387" w:type="dxa"/>
            <w:tcBorders>
              <w:top w:val="single" w:sz="4" w:space="0" w:color="auto"/>
              <w:left w:val="nil"/>
              <w:bottom w:val="single" w:sz="4" w:space="0" w:color="auto"/>
              <w:right w:val="nil"/>
            </w:tcBorders>
            <w:shd w:val="clear" w:color="auto" w:fill="auto"/>
            <w:noWrap/>
            <w:vAlign w:val="bottom"/>
            <w:hideMark/>
          </w:tcPr>
          <w:p w:rsidR="007B3610" w:rsidRPr="007B3610" w:rsidRDefault="007B3610" w:rsidP="00925800">
            <w:pPr>
              <w:rPr>
                <w:rFonts w:ascii="Arial" w:hAnsi="Arial" w:cs="Arial"/>
                <w:bCs/>
                <w:color w:val="auto"/>
                <w:sz w:val="24"/>
                <w:szCs w:val="24"/>
                <w:lang w:eastAsia="en-AU"/>
              </w:rPr>
            </w:pPr>
            <w:r w:rsidRPr="007B3610">
              <w:rPr>
                <w:rFonts w:ascii="Arial" w:hAnsi="Arial" w:cs="Arial"/>
                <w:bCs/>
                <w:color w:val="auto"/>
                <w:sz w:val="24"/>
                <w:szCs w:val="24"/>
                <w:lang w:eastAsia="en-AU"/>
              </w:rPr>
              <w:t>Sensitivity Settings</w:t>
            </w:r>
          </w:p>
        </w:tc>
        <w:tc>
          <w:tcPr>
            <w:tcW w:w="1645" w:type="dxa"/>
            <w:tcBorders>
              <w:top w:val="single" w:sz="4" w:space="0" w:color="auto"/>
              <w:left w:val="nil"/>
              <w:bottom w:val="single" w:sz="4" w:space="0" w:color="auto"/>
              <w:right w:val="nil"/>
            </w:tcBorders>
            <w:shd w:val="clear" w:color="auto" w:fill="auto"/>
            <w:noWrap/>
            <w:vAlign w:val="bottom"/>
            <w:hideMark/>
          </w:tcPr>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 </w:t>
            </w:r>
          </w:p>
        </w:tc>
        <w:tc>
          <w:tcPr>
            <w:tcW w:w="1163" w:type="dxa"/>
            <w:tcBorders>
              <w:top w:val="single" w:sz="4" w:space="0" w:color="auto"/>
              <w:left w:val="nil"/>
              <w:bottom w:val="single" w:sz="4" w:space="0" w:color="auto"/>
              <w:right w:val="nil"/>
            </w:tcBorders>
            <w:shd w:val="clear" w:color="auto" w:fill="auto"/>
            <w:noWrap/>
            <w:vAlign w:val="bottom"/>
            <w:hideMark/>
          </w:tcPr>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 </w:t>
            </w:r>
          </w:p>
        </w:tc>
      </w:tr>
      <w:tr w:rsidR="007B3610" w:rsidRPr="007B3610" w:rsidTr="007B3610">
        <w:trPr>
          <w:trHeight w:val="312"/>
        </w:trPr>
        <w:tc>
          <w:tcPr>
            <w:tcW w:w="5387" w:type="dxa"/>
            <w:tcBorders>
              <w:top w:val="single" w:sz="4" w:space="0" w:color="auto"/>
              <w:left w:val="nil"/>
              <w:bottom w:val="nil"/>
              <w:right w:val="nil"/>
            </w:tcBorders>
            <w:shd w:val="clear" w:color="auto" w:fill="auto"/>
            <w:noWrap/>
            <w:vAlign w:val="bottom"/>
            <w:hideMark/>
          </w:tcPr>
          <w:p w:rsidR="007B3610" w:rsidRPr="007B3610" w:rsidRDefault="007B3610" w:rsidP="00925800">
            <w:pPr>
              <w:rPr>
                <w:rFonts w:ascii="Arial" w:hAnsi="Arial" w:cs="Arial"/>
                <w:b w:val="0"/>
                <w:color w:val="auto"/>
                <w:sz w:val="24"/>
                <w:szCs w:val="24"/>
                <w:lang w:eastAsia="en-AU"/>
              </w:rPr>
            </w:pPr>
            <w:r w:rsidRPr="007B3610">
              <w:rPr>
                <w:rFonts w:ascii="Arial" w:hAnsi="Arial" w:cs="Arial"/>
                <w:b w:val="0"/>
                <w:color w:val="auto"/>
                <w:sz w:val="24"/>
                <w:szCs w:val="24"/>
                <w:lang w:eastAsia="en-AU"/>
              </w:rPr>
              <w:t>Capital Expenditure (CAPEX) change</w:t>
            </w:r>
          </w:p>
        </w:tc>
        <w:tc>
          <w:tcPr>
            <w:tcW w:w="1645" w:type="dxa"/>
            <w:tcBorders>
              <w:top w:val="single" w:sz="4" w:space="0" w:color="auto"/>
              <w:left w:val="nil"/>
              <w:bottom w:val="nil"/>
              <w:right w:val="nil"/>
            </w:tcBorders>
            <w:shd w:val="clear" w:color="auto" w:fill="auto"/>
            <w:noWrap/>
            <w:vAlign w:val="bottom"/>
            <w:hideMark/>
          </w:tcPr>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w:t>
            </w:r>
          </w:p>
        </w:tc>
        <w:tc>
          <w:tcPr>
            <w:tcW w:w="1163" w:type="dxa"/>
            <w:tcBorders>
              <w:top w:val="single" w:sz="4" w:space="0" w:color="auto"/>
              <w:left w:val="nil"/>
              <w:bottom w:val="nil"/>
              <w:right w:val="nil"/>
            </w:tcBorders>
            <w:shd w:val="clear" w:color="auto" w:fill="auto"/>
            <w:noWrap/>
            <w:vAlign w:val="bottom"/>
            <w:hideMark/>
          </w:tcPr>
          <w:p w:rsidR="007B3610" w:rsidRPr="007B3610" w:rsidRDefault="007B3610" w:rsidP="00925800">
            <w:pPr>
              <w:rPr>
                <w:rFonts w:ascii="Arial" w:hAnsi="Arial" w:cs="Arial"/>
                <w:b w:val="0"/>
                <w:color w:val="auto"/>
                <w:sz w:val="24"/>
                <w:szCs w:val="24"/>
                <w:lang w:eastAsia="en-AU"/>
              </w:rPr>
            </w:pPr>
            <w:r w:rsidRPr="007B3610">
              <w:rPr>
                <w:rFonts w:ascii="Arial" w:hAnsi="Arial" w:cs="Arial"/>
                <w:b w:val="0"/>
                <w:color w:val="auto"/>
                <w:sz w:val="24"/>
                <w:szCs w:val="24"/>
                <w:lang w:eastAsia="en-AU"/>
              </w:rPr>
              <w:t> </w:t>
            </w:r>
          </w:p>
        </w:tc>
      </w:tr>
      <w:tr w:rsidR="007B3610" w:rsidRPr="007B3610" w:rsidTr="007B3610">
        <w:trPr>
          <w:trHeight w:val="312"/>
        </w:trPr>
        <w:tc>
          <w:tcPr>
            <w:tcW w:w="5387" w:type="dxa"/>
            <w:tcBorders>
              <w:top w:val="nil"/>
              <w:left w:val="nil"/>
              <w:right w:val="nil"/>
            </w:tcBorders>
            <w:shd w:val="clear" w:color="auto" w:fill="auto"/>
            <w:noWrap/>
            <w:vAlign w:val="bottom"/>
            <w:hideMark/>
          </w:tcPr>
          <w:p w:rsidR="007B3610" w:rsidRPr="007B3610" w:rsidRDefault="007B3610" w:rsidP="00925800">
            <w:pPr>
              <w:rPr>
                <w:rFonts w:ascii="Arial" w:hAnsi="Arial" w:cs="Arial"/>
                <w:b w:val="0"/>
                <w:color w:val="auto"/>
                <w:sz w:val="24"/>
                <w:szCs w:val="24"/>
                <w:lang w:eastAsia="en-AU"/>
              </w:rPr>
            </w:pPr>
            <w:r w:rsidRPr="007B3610">
              <w:rPr>
                <w:rFonts w:ascii="Arial" w:hAnsi="Arial" w:cs="Arial"/>
                <w:b w:val="0"/>
                <w:color w:val="auto"/>
                <w:sz w:val="24"/>
                <w:szCs w:val="24"/>
                <w:lang w:eastAsia="en-AU"/>
              </w:rPr>
              <w:t>Costs (excl. CAPEX) change</w:t>
            </w:r>
          </w:p>
        </w:tc>
        <w:tc>
          <w:tcPr>
            <w:tcW w:w="1645" w:type="dxa"/>
            <w:tcBorders>
              <w:top w:val="nil"/>
              <w:left w:val="nil"/>
              <w:right w:val="nil"/>
            </w:tcBorders>
            <w:shd w:val="clear" w:color="auto" w:fill="auto"/>
            <w:noWrap/>
            <w:vAlign w:val="bottom"/>
            <w:hideMark/>
          </w:tcPr>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w:t>
            </w:r>
          </w:p>
        </w:tc>
        <w:tc>
          <w:tcPr>
            <w:tcW w:w="1163" w:type="dxa"/>
            <w:tcBorders>
              <w:top w:val="nil"/>
              <w:left w:val="nil"/>
              <w:right w:val="nil"/>
            </w:tcBorders>
            <w:shd w:val="clear" w:color="auto" w:fill="auto"/>
            <w:noWrap/>
            <w:vAlign w:val="bottom"/>
            <w:hideMark/>
          </w:tcPr>
          <w:p w:rsidR="007B3610" w:rsidRPr="007B3610" w:rsidRDefault="007B3610" w:rsidP="00925800">
            <w:pPr>
              <w:rPr>
                <w:rFonts w:ascii="Arial" w:hAnsi="Arial" w:cs="Arial"/>
                <w:b w:val="0"/>
                <w:color w:val="auto"/>
                <w:sz w:val="24"/>
                <w:szCs w:val="24"/>
                <w:lang w:eastAsia="en-AU"/>
              </w:rPr>
            </w:pPr>
            <w:r w:rsidRPr="007B3610">
              <w:rPr>
                <w:rFonts w:ascii="Arial" w:hAnsi="Arial" w:cs="Arial"/>
                <w:b w:val="0"/>
                <w:color w:val="auto"/>
                <w:sz w:val="24"/>
                <w:szCs w:val="24"/>
                <w:lang w:eastAsia="en-AU"/>
              </w:rPr>
              <w:t> </w:t>
            </w:r>
          </w:p>
        </w:tc>
      </w:tr>
      <w:tr w:rsidR="007B3610" w:rsidRPr="007B3610" w:rsidTr="007B3610">
        <w:trPr>
          <w:trHeight w:val="312"/>
        </w:trPr>
        <w:tc>
          <w:tcPr>
            <w:tcW w:w="5387" w:type="dxa"/>
            <w:tcBorders>
              <w:top w:val="nil"/>
              <w:left w:val="nil"/>
              <w:bottom w:val="single" w:sz="4" w:space="0" w:color="auto"/>
              <w:right w:val="nil"/>
            </w:tcBorders>
            <w:shd w:val="clear" w:color="auto" w:fill="auto"/>
            <w:noWrap/>
            <w:vAlign w:val="bottom"/>
            <w:hideMark/>
          </w:tcPr>
          <w:p w:rsidR="007B3610" w:rsidRPr="007B3610" w:rsidRDefault="007B3610" w:rsidP="00925800">
            <w:pPr>
              <w:rPr>
                <w:rFonts w:ascii="Arial" w:hAnsi="Arial" w:cs="Arial"/>
                <w:b w:val="0"/>
                <w:color w:val="auto"/>
                <w:sz w:val="24"/>
                <w:szCs w:val="24"/>
                <w:lang w:eastAsia="en-AU"/>
              </w:rPr>
            </w:pPr>
            <w:r w:rsidRPr="007B3610">
              <w:rPr>
                <w:rFonts w:ascii="Arial" w:hAnsi="Arial" w:cs="Arial"/>
                <w:b w:val="0"/>
                <w:color w:val="auto"/>
                <w:sz w:val="24"/>
                <w:szCs w:val="24"/>
                <w:lang w:eastAsia="en-AU"/>
              </w:rPr>
              <w:t>Benefits change</w:t>
            </w:r>
          </w:p>
        </w:tc>
        <w:tc>
          <w:tcPr>
            <w:tcW w:w="1645" w:type="dxa"/>
            <w:tcBorders>
              <w:top w:val="nil"/>
              <w:left w:val="nil"/>
              <w:bottom w:val="single" w:sz="4" w:space="0" w:color="auto"/>
              <w:right w:val="nil"/>
            </w:tcBorders>
            <w:shd w:val="clear" w:color="auto" w:fill="auto"/>
            <w:noWrap/>
            <w:vAlign w:val="bottom"/>
            <w:hideMark/>
          </w:tcPr>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w:t>
            </w:r>
          </w:p>
        </w:tc>
        <w:tc>
          <w:tcPr>
            <w:tcW w:w="1163" w:type="dxa"/>
            <w:tcBorders>
              <w:top w:val="nil"/>
              <w:left w:val="nil"/>
              <w:bottom w:val="single" w:sz="4" w:space="0" w:color="auto"/>
              <w:right w:val="nil"/>
            </w:tcBorders>
            <w:shd w:val="clear" w:color="auto" w:fill="auto"/>
            <w:noWrap/>
            <w:vAlign w:val="bottom"/>
            <w:hideMark/>
          </w:tcPr>
          <w:p w:rsidR="007B3610" w:rsidRPr="007B3610" w:rsidRDefault="007B3610" w:rsidP="00925800">
            <w:pPr>
              <w:rPr>
                <w:rFonts w:ascii="Arial" w:hAnsi="Arial" w:cs="Arial"/>
                <w:b w:val="0"/>
                <w:color w:val="auto"/>
                <w:sz w:val="24"/>
                <w:szCs w:val="24"/>
                <w:lang w:eastAsia="en-AU"/>
              </w:rPr>
            </w:pPr>
            <w:r w:rsidRPr="007B3610">
              <w:rPr>
                <w:rFonts w:ascii="Arial" w:hAnsi="Arial" w:cs="Arial"/>
                <w:b w:val="0"/>
                <w:color w:val="auto"/>
                <w:sz w:val="24"/>
                <w:szCs w:val="24"/>
                <w:lang w:eastAsia="en-AU"/>
              </w:rPr>
              <w:t> </w:t>
            </w:r>
          </w:p>
        </w:tc>
      </w:tr>
    </w:tbl>
    <w:p w:rsidR="001E0CAE" w:rsidRPr="007B3610" w:rsidRDefault="001E0CAE" w:rsidP="009948AA">
      <w:pPr>
        <w:pStyle w:val="Body"/>
        <w:rPr>
          <w:rFonts w:cs="Arial"/>
          <w:sz w:val="24"/>
          <w:szCs w:val="24"/>
        </w:rPr>
      </w:pPr>
    </w:p>
    <w:p w:rsidR="001E0CAE" w:rsidRPr="007B3610" w:rsidRDefault="007238EB" w:rsidP="009C6995">
      <w:pPr>
        <w:pStyle w:val="Caption"/>
        <w:rPr>
          <w:b w:val="0"/>
          <w:sz w:val="24"/>
          <w:szCs w:val="24"/>
        </w:rPr>
      </w:pPr>
      <w:r>
        <w:rPr>
          <w:sz w:val="24"/>
          <w:szCs w:val="24"/>
        </w:rPr>
        <w:t xml:space="preserve">Table A-5: </w:t>
      </w:r>
      <w:r w:rsidR="007B3610" w:rsidRPr="007B3610">
        <w:rPr>
          <w:b w:val="0"/>
          <w:sz w:val="24"/>
          <w:szCs w:val="24"/>
        </w:rPr>
        <w:t>Full description of the option numbers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ull description of the option numbers"/>
        <w:tblDescription w:val="Full description of the option numbers. Columns represent option number, full option description and short option description. "/>
      </w:tblPr>
      <w:tblGrid>
        <w:gridCol w:w="1323"/>
        <w:gridCol w:w="3888"/>
        <w:gridCol w:w="4111"/>
      </w:tblGrid>
      <w:tr w:rsidR="007B3610" w:rsidRPr="007B3610" w:rsidTr="0070415B">
        <w:trPr>
          <w:tblHeader/>
        </w:trPr>
        <w:tc>
          <w:tcPr>
            <w:tcW w:w="1323" w:type="dxa"/>
            <w:tcBorders>
              <w:top w:val="single" w:sz="4" w:space="0" w:color="auto"/>
              <w:bottom w:val="single" w:sz="4" w:space="0" w:color="auto"/>
            </w:tcBorders>
            <w:vAlign w:val="bottom"/>
          </w:tcPr>
          <w:p w:rsidR="007B3610" w:rsidRPr="007B3610" w:rsidRDefault="007B3610" w:rsidP="00925800">
            <w:pPr>
              <w:rPr>
                <w:rFonts w:ascii="Arial" w:hAnsi="Arial" w:cs="Arial"/>
                <w:bCs/>
                <w:color w:val="auto"/>
                <w:sz w:val="24"/>
                <w:szCs w:val="24"/>
                <w:lang w:eastAsia="en-AU"/>
              </w:rPr>
            </w:pPr>
            <w:r w:rsidRPr="007B3610">
              <w:rPr>
                <w:rFonts w:ascii="Arial" w:hAnsi="Arial" w:cs="Arial"/>
                <w:bCs/>
                <w:color w:val="auto"/>
                <w:sz w:val="24"/>
                <w:szCs w:val="24"/>
                <w:lang w:eastAsia="en-AU"/>
              </w:rPr>
              <w:t xml:space="preserve">Option </w:t>
            </w:r>
            <w:r>
              <w:rPr>
                <w:rFonts w:ascii="Arial" w:hAnsi="Arial" w:cs="Arial"/>
                <w:bCs/>
                <w:color w:val="auto"/>
                <w:sz w:val="24"/>
                <w:szCs w:val="24"/>
                <w:lang w:eastAsia="en-AU"/>
              </w:rPr>
              <w:t>n</w:t>
            </w:r>
            <w:r w:rsidRPr="007B3610">
              <w:rPr>
                <w:rFonts w:ascii="Arial" w:hAnsi="Arial" w:cs="Arial"/>
                <w:bCs/>
                <w:color w:val="auto"/>
                <w:sz w:val="24"/>
                <w:szCs w:val="24"/>
                <w:lang w:eastAsia="en-AU"/>
              </w:rPr>
              <w:t>umber</w:t>
            </w:r>
          </w:p>
        </w:tc>
        <w:tc>
          <w:tcPr>
            <w:tcW w:w="3888" w:type="dxa"/>
            <w:tcBorders>
              <w:top w:val="single" w:sz="4" w:space="0" w:color="auto"/>
              <w:bottom w:val="single" w:sz="4" w:space="0" w:color="auto"/>
            </w:tcBorders>
            <w:vAlign w:val="bottom"/>
          </w:tcPr>
          <w:p w:rsidR="007B3610" w:rsidRPr="007B3610" w:rsidRDefault="007B3610" w:rsidP="00925800">
            <w:pPr>
              <w:rPr>
                <w:rFonts w:ascii="Arial" w:hAnsi="Arial" w:cs="Arial"/>
                <w:bCs/>
                <w:color w:val="auto"/>
                <w:sz w:val="24"/>
                <w:szCs w:val="24"/>
                <w:lang w:eastAsia="en-AU"/>
              </w:rPr>
            </w:pPr>
            <w:r>
              <w:rPr>
                <w:rFonts w:ascii="Arial" w:hAnsi="Arial" w:cs="Arial"/>
                <w:bCs/>
                <w:color w:val="auto"/>
                <w:sz w:val="24"/>
                <w:szCs w:val="24"/>
                <w:lang w:eastAsia="en-AU"/>
              </w:rPr>
              <w:t>Full d</w:t>
            </w:r>
            <w:r w:rsidRPr="007B3610">
              <w:rPr>
                <w:rFonts w:ascii="Arial" w:hAnsi="Arial" w:cs="Arial"/>
                <w:bCs/>
                <w:color w:val="auto"/>
                <w:sz w:val="24"/>
                <w:szCs w:val="24"/>
                <w:lang w:eastAsia="en-AU"/>
              </w:rPr>
              <w:t>escription</w:t>
            </w:r>
          </w:p>
        </w:tc>
        <w:tc>
          <w:tcPr>
            <w:tcW w:w="4111" w:type="dxa"/>
            <w:tcBorders>
              <w:top w:val="single" w:sz="4" w:space="0" w:color="auto"/>
              <w:bottom w:val="single" w:sz="4" w:space="0" w:color="auto"/>
            </w:tcBorders>
            <w:vAlign w:val="bottom"/>
          </w:tcPr>
          <w:p w:rsidR="007B3610" w:rsidRPr="007B3610" w:rsidRDefault="007B3610" w:rsidP="00925800">
            <w:pPr>
              <w:rPr>
                <w:rFonts w:ascii="Arial" w:hAnsi="Arial" w:cs="Arial"/>
                <w:bCs/>
                <w:color w:val="auto"/>
                <w:sz w:val="24"/>
                <w:szCs w:val="24"/>
                <w:lang w:eastAsia="en-AU"/>
              </w:rPr>
            </w:pPr>
            <w:r w:rsidRPr="007B3610">
              <w:rPr>
                <w:rFonts w:ascii="Arial" w:hAnsi="Arial" w:cs="Arial"/>
                <w:bCs/>
                <w:color w:val="auto"/>
                <w:sz w:val="24"/>
                <w:szCs w:val="24"/>
                <w:lang w:eastAsia="en-AU"/>
              </w:rPr>
              <w:t xml:space="preserve">Short </w:t>
            </w:r>
            <w:r>
              <w:rPr>
                <w:rFonts w:ascii="Arial" w:hAnsi="Arial" w:cs="Arial"/>
                <w:bCs/>
                <w:color w:val="auto"/>
                <w:sz w:val="24"/>
                <w:szCs w:val="24"/>
                <w:lang w:eastAsia="en-AU"/>
              </w:rPr>
              <w:t>description</w:t>
            </w:r>
          </w:p>
        </w:tc>
      </w:tr>
      <w:tr w:rsidR="007B3610" w:rsidRPr="007B3610" w:rsidTr="007B3610">
        <w:tc>
          <w:tcPr>
            <w:tcW w:w="1323" w:type="dxa"/>
            <w:tcBorders>
              <w:top w:val="single" w:sz="4" w:space="0" w:color="auto"/>
            </w:tcBorders>
            <w:vAlign w:val="center"/>
          </w:tcPr>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3</w:t>
            </w:r>
          </w:p>
        </w:tc>
        <w:tc>
          <w:tcPr>
            <w:tcW w:w="3888" w:type="dxa"/>
            <w:tcBorders>
              <w:top w:val="single" w:sz="4" w:space="0" w:color="auto"/>
            </w:tcBorders>
            <w:vAlign w:val="center"/>
          </w:tcPr>
          <w:p w:rsidR="007B3610" w:rsidRPr="007B3610" w:rsidRDefault="007B3610" w:rsidP="00925800">
            <w:pPr>
              <w:rPr>
                <w:rFonts w:ascii="Arial" w:hAnsi="Arial" w:cs="Arial"/>
                <w:b w:val="0"/>
                <w:color w:val="auto"/>
                <w:sz w:val="24"/>
                <w:szCs w:val="24"/>
                <w:lang w:eastAsia="en-AU"/>
              </w:rPr>
            </w:pPr>
            <w:r w:rsidRPr="007B3610">
              <w:rPr>
                <w:rFonts w:ascii="Arial" w:hAnsi="Arial" w:cs="Arial"/>
                <w:b w:val="0"/>
                <w:color w:val="auto"/>
                <w:sz w:val="24"/>
                <w:szCs w:val="24"/>
                <w:lang w:eastAsia="en-AU"/>
              </w:rPr>
              <w:t>All ships direct to port at waiting berths</w:t>
            </w:r>
          </w:p>
        </w:tc>
        <w:tc>
          <w:tcPr>
            <w:tcW w:w="4111" w:type="dxa"/>
            <w:tcBorders>
              <w:top w:val="single" w:sz="4" w:space="0" w:color="auto"/>
            </w:tcBorders>
            <w:vAlign w:val="center"/>
          </w:tcPr>
          <w:p w:rsidR="007B3610" w:rsidRPr="007B3610" w:rsidRDefault="007B3610" w:rsidP="00925800">
            <w:pPr>
              <w:rPr>
                <w:rFonts w:ascii="Arial" w:hAnsi="Arial" w:cs="Arial"/>
                <w:b w:val="0"/>
                <w:color w:val="auto"/>
                <w:sz w:val="24"/>
                <w:szCs w:val="24"/>
                <w:lang w:eastAsia="en-AU"/>
              </w:rPr>
            </w:pPr>
            <w:r w:rsidRPr="007B3610">
              <w:rPr>
                <w:rFonts w:ascii="Arial" w:hAnsi="Arial" w:cs="Arial"/>
                <w:b w:val="0"/>
                <w:color w:val="auto"/>
                <w:sz w:val="24"/>
                <w:szCs w:val="24"/>
                <w:lang w:eastAsia="en-AU"/>
              </w:rPr>
              <w:t>3: All-at-Port</w:t>
            </w:r>
          </w:p>
        </w:tc>
      </w:tr>
      <w:tr w:rsidR="007B3610" w:rsidRPr="007B3610" w:rsidTr="007B3610">
        <w:tc>
          <w:tcPr>
            <w:tcW w:w="1323" w:type="dxa"/>
            <w:vAlign w:val="center"/>
          </w:tcPr>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5</w:t>
            </w:r>
          </w:p>
        </w:tc>
        <w:tc>
          <w:tcPr>
            <w:tcW w:w="3888" w:type="dxa"/>
            <w:vAlign w:val="center"/>
          </w:tcPr>
          <w:p w:rsidR="007B3610" w:rsidRPr="007B3610" w:rsidRDefault="007B3610" w:rsidP="00925800">
            <w:pPr>
              <w:rPr>
                <w:rFonts w:ascii="Arial" w:hAnsi="Arial" w:cs="Arial"/>
                <w:b w:val="0"/>
                <w:color w:val="auto"/>
                <w:sz w:val="24"/>
                <w:szCs w:val="24"/>
                <w:lang w:eastAsia="en-AU"/>
              </w:rPr>
            </w:pPr>
            <w:r w:rsidRPr="007B3610">
              <w:rPr>
                <w:rFonts w:ascii="Arial" w:hAnsi="Arial" w:cs="Arial"/>
                <w:b w:val="0"/>
                <w:color w:val="auto"/>
                <w:sz w:val="24"/>
                <w:szCs w:val="24"/>
                <w:lang w:eastAsia="en-AU"/>
              </w:rPr>
              <w:t>All ships moored to fixed structures in anchorage areas</w:t>
            </w:r>
          </w:p>
        </w:tc>
        <w:tc>
          <w:tcPr>
            <w:tcW w:w="4111" w:type="dxa"/>
            <w:vAlign w:val="center"/>
          </w:tcPr>
          <w:p w:rsidR="007B3610" w:rsidRPr="007B3610" w:rsidRDefault="007B3610" w:rsidP="00925800">
            <w:pPr>
              <w:rPr>
                <w:rFonts w:ascii="Arial" w:hAnsi="Arial" w:cs="Arial"/>
                <w:b w:val="0"/>
                <w:color w:val="auto"/>
                <w:sz w:val="24"/>
                <w:szCs w:val="24"/>
                <w:lang w:eastAsia="en-AU"/>
              </w:rPr>
            </w:pPr>
            <w:r w:rsidRPr="007B3610">
              <w:rPr>
                <w:rFonts w:ascii="Arial" w:hAnsi="Arial" w:cs="Arial"/>
                <w:b w:val="0"/>
                <w:color w:val="auto"/>
                <w:sz w:val="24"/>
                <w:szCs w:val="24"/>
                <w:lang w:eastAsia="en-AU"/>
              </w:rPr>
              <w:t>5: Fixed-Moored</w:t>
            </w:r>
          </w:p>
        </w:tc>
      </w:tr>
      <w:tr w:rsidR="007B3610" w:rsidRPr="007B3610" w:rsidTr="007B3610">
        <w:tc>
          <w:tcPr>
            <w:tcW w:w="1323" w:type="dxa"/>
            <w:vAlign w:val="center"/>
          </w:tcPr>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8</w:t>
            </w:r>
          </w:p>
        </w:tc>
        <w:tc>
          <w:tcPr>
            <w:tcW w:w="3888" w:type="dxa"/>
            <w:vAlign w:val="center"/>
          </w:tcPr>
          <w:p w:rsidR="007B3610" w:rsidRPr="007B3610" w:rsidRDefault="007B3610" w:rsidP="00925800">
            <w:pPr>
              <w:rPr>
                <w:rFonts w:ascii="Arial" w:hAnsi="Arial" w:cs="Arial"/>
                <w:b w:val="0"/>
                <w:color w:val="auto"/>
                <w:sz w:val="24"/>
                <w:szCs w:val="24"/>
                <w:lang w:eastAsia="en-AU"/>
              </w:rPr>
            </w:pPr>
            <w:r w:rsidRPr="007B3610">
              <w:rPr>
                <w:rFonts w:ascii="Arial" w:hAnsi="Arial" w:cs="Arial"/>
                <w:b w:val="0"/>
                <w:color w:val="auto"/>
                <w:sz w:val="24"/>
                <w:szCs w:val="24"/>
                <w:lang w:eastAsia="en-AU"/>
              </w:rPr>
              <w:t>Scheduled Arrivals combined with anchorages</w:t>
            </w:r>
          </w:p>
        </w:tc>
        <w:tc>
          <w:tcPr>
            <w:tcW w:w="4111" w:type="dxa"/>
            <w:vAlign w:val="center"/>
          </w:tcPr>
          <w:p w:rsidR="007B3610" w:rsidRPr="007B3610" w:rsidRDefault="007B3610" w:rsidP="00925800">
            <w:pPr>
              <w:rPr>
                <w:rFonts w:ascii="Arial" w:hAnsi="Arial" w:cs="Arial"/>
                <w:b w:val="0"/>
                <w:color w:val="auto"/>
                <w:sz w:val="24"/>
                <w:szCs w:val="24"/>
                <w:lang w:eastAsia="en-AU"/>
              </w:rPr>
            </w:pPr>
            <w:r w:rsidRPr="007B3610">
              <w:rPr>
                <w:rFonts w:ascii="Arial" w:hAnsi="Arial" w:cs="Arial"/>
                <w:b w:val="0"/>
                <w:color w:val="auto"/>
                <w:sz w:val="24"/>
                <w:szCs w:val="24"/>
                <w:lang w:eastAsia="en-AU"/>
              </w:rPr>
              <w:t>8: Scheduled Arrivals plus Anchorages</w:t>
            </w:r>
          </w:p>
        </w:tc>
      </w:tr>
      <w:tr w:rsidR="007B3610" w:rsidRPr="007B3610" w:rsidTr="007B3610">
        <w:tc>
          <w:tcPr>
            <w:tcW w:w="1323" w:type="dxa"/>
            <w:tcBorders>
              <w:bottom w:val="single" w:sz="4" w:space="0" w:color="auto"/>
            </w:tcBorders>
            <w:vAlign w:val="center"/>
          </w:tcPr>
          <w:p w:rsidR="007B3610" w:rsidRPr="007B3610" w:rsidRDefault="007B3610" w:rsidP="00925800">
            <w:pPr>
              <w:jc w:val="center"/>
              <w:rPr>
                <w:rFonts w:ascii="Arial" w:hAnsi="Arial" w:cs="Arial"/>
                <w:b w:val="0"/>
                <w:color w:val="auto"/>
                <w:sz w:val="24"/>
                <w:szCs w:val="24"/>
                <w:lang w:eastAsia="en-AU"/>
              </w:rPr>
            </w:pPr>
            <w:r w:rsidRPr="007B3610">
              <w:rPr>
                <w:rFonts w:ascii="Arial" w:hAnsi="Arial" w:cs="Arial"/>
                <w:b w:val="0"/>
                <w:color w:val="auto"/>
                <w:sz w:val="24"/>
                <w:szCs w:val="24"/>
                <w:lang w:eastAsia="en-AU"/>
              </w:rPr>
              <w:t>9(b)</w:t>
            </w:r>
          </w:p>
        </w:tc>
        <w:tc>
          <w:tcPr>
            <w:tcW w:w="3888" w:type="dxa"/>
            <w:tcBorders>
              <w:bottom w:val="single" w:sz="4" w:space="0" w:color="auto"/>
            </w:tcBorders>
            <w:vAlign w:val="center"/>
          </w:tcPr>
          <w:p w:rsidR="007B3610" w:rsidRPr="007B3610" w:rsidRDefault="007B3610" w:rsidP="00925800">
            <w:pPr>
              <w:rPr>
                <w:rFonts w:ascii="Arial" w:hAnsi="Arial" w:cs="Arial"/>
                <w:b w:val="0"/>
                <w:color w:val="auto"/>
                <w:sz w:val="24"/>
                <w:szCs w:val="24"/>
                <w:lang w:eastAsia="en-AU"/>
              </w:rPr>
            </w:pPr>
            <w:r w:rsidRPr="007B3610">
              <w:rPr>
                <w:rFonts w:ascii="Arial" w:hAnsi="Arial" w:cs="Arial"/>
                <w:b w:val="0"/>
                <w:color w:val="auto"/>
                <w:sz w:val="24"/>
                <w:szCs w:val="24"/>
                <w:lang w:eastAsia="en-AU"/>
              </w:rPr>
              <w:t>Anchorage Demand Management using Pricing</w:t>
            </w:r>
          </w:p>
        </w:tc>
        <w:tc>
          <w:tcPr>
            <w:tcW w:w="4111" w:type="dxa"/>
            <w:tcBorders>
              <w:bottom w:val="single" w:sz="4" w:space="0" w:color="auto"/>
            </w:tcBorders>
            <w:vAlign w:val="center"/>
          </w:tcPr>
          <w:p w:rsidR="007B3610" w:rsidRPr="007B3610" w:rsidRDefault="007B3610" w:rsidP="00925800">
            <w:pPr>
              <w:rPr>
                <w:rFonts w:ascii="Arial" w:hAnsi="Arial" w:cs="Arial"/>
                <w:b w:val="0"/>
                <w:color w:val="auto"/>
                <w:sz w:val="24"/>
                <w:szCs w:val="24"/>
                <w:lang w:eastAsia="en-AU"/>
              </w:rPr>
            </w:pPr>
            <w:r w:rsidRPr="007B3610">
              <w:rPr>
                <w:rFonts w:ascii="Arial" w:hAnsi="Arial" w:cs="Arial"/>
                <w:b w:val="0"/>
                <w:color w:val="auto"/>
                <w:sz w:val="24"/>
                <w:szCs w:val="24"/>
                <w:lang w:eastAsia="en-AU"/>
              </w:rPr>
              <w:t>9(b): Demand Management Pricing</w:t>
            </w:r>
          </w:p>
        </w:tc>
      </w:tr>
      <w:bookmarkEnd w:id="565"/>
      <w:bookmarkEnd w:id="566"/>
      <w:bookmarkEnd w:id="567"/>
      <w:bookmarkEnd w:id="568"/>
      <w:bookmarkEnd w:id="569"/>
      <w:bookmarkEnd w:id="570"/>
      <w:bookmarkEnd w:id="571"/>
      <w:bookmarkEnd w:id="572"/>
      <w:bookmarkEnd w:id="573"/>
      <w:bookmarkEnd w:id="574"/>
      <w:bookmarkEnd w:id="575"/>
    </w:tbl>
    <w:p w:rsidR="004E02F3" w:rsidRDefault="004E02F3">
      <w:pPr>
        <w:pStyle w:val="Body"/>
      </w:pPr>
    </w:p>
    <w:p w:rsidR="004E02F3" w:rsidRDefault="004E02F3">
      <w:pPr>
        <w:pStyle w:val="Body"/>
        <w:sectPr w:rsidR="004E02F3" w:rsidSect="003E34A2">
          <w:headerReference w:type="default" r:id="rId84"/>
          <w:footerReference w:type="default" r:id="rId85"/>
          <w:pgSz w:w="11907" w:h="16839" w:code="9"/>
          <w:pgMar w:top="2495" w:right="907" w:bottom="1418" w:left="1701" w:header="709" w:footer="709" w:gutter="0"/>
          <w:cols w:space="720"/>
          <w:docGrid w:linePitch="273"/>
        </w:sectPr>
      </w:pPr>
    </w:p>
    <w:p w:rsidR="004E02F3" w:rsidRDefault="004E02F3">
      <w:pPr>
        <w:pStyle w:val="StatusHead"/>
        <w:rPr>
          <w:b w:val="0"/>
          <w:bCs w:val="0"/>
          <w:sz w:val="16"/>
        </w:rPr>
      </w:pPr>
      <w:r>
        <w:t>GHD</w:t>
      </w:r>
      <w:r>
        <w:rPr>
          <w:b w:val="0"/>
          <w:bCs w:val="0"/>
          <w:sz w:val="16"/>
        </w:rPr>
        <w:t xml:space="preserve"> </w:t>
      </w:r>
    </w:p>
    <w:p w:rsidR="004E02F3" w:rsidRDefault="00B85B36">
      <w:pPr>
        <w:pStyle w:val="Status"/>
      </w:pPr>
      <w:r>
        <w:fldChar w:fldCharType="begin"/>
      </w:r>
      <w:r>
        <w:instrText xml:space="preserve"> DOCPROPERTY "OfficeAddressLine1"  \* MERGEFORMAT </w:instrText>
      </w:r>
      <w:r>
        <w:fldChar w:fldCharType="separate"/>
      </w:r>
      <w:r w:rsidR="005F6E51">
        <w:t>145 Ann Street Brisbane QLD 4000</w:t>
      </w:r>
      <w:r>
        <w:fldChar w:fldCharType="end"/>
      </w:r>
      <w:r w:rsidR="004E02F3">
        <w:br/>
      </w:r>
      <w:r>
        <w:fldChar w:fldCharType="begin"/>
      </w:r>
      <w:r>
        <w:instrText xml:space="preserve"> DOCPROPERTY "OfficeAddressLine2"  \* MERGEFORMAT </w:instrText>
      </w:r>
      <w:r>
        <w:fldChar w:fldCharType="separate"/>
      </w:r>
      <w:r w:rsidR="005F6E51">
        <w:t>GPO Box 668 Brisbane QLD 4001</w:t>
      </w:r>
      <w:r>
        <w:fldChar w:fldCharType="end"/>
      </w:r>
      <w:r w:rsidR="004E02F3">
        <w:br/>
        <w:t xml:space="preserve">T: </w:t>
      </w:r>
      <w:r>
        <w:fldChar w:fldCharType="begin"/>
      </w:r>
      <w:r>
        <w:instrText xml:space="preserve"> DOCPROPERTY "OfficeTelephone"  \* MERGEFORMAT </w:instrText>
      </w:r>
      <w:r>
        <w:fldChar w:fldCharType="separate"/>
      </w:r>
      <w:r w:rsidR="005F6E51">
        <w:t>(07) 3316 3000</w:t>
      </w:r>
      <w:r>
        <w:fldChar w:fldCharType="end"/>
      </w:r>
      <w:r w:rsidR="004E02F3">
        <w:t xml:space="preserve">   F: </w:t>
      </w:r>
      <w:r>
        <w:fldChar w:fldCharType="begin"/>
      </w:r>
      <w:r>
        <w:instrText xml:space="preserve"> DOCPROPERTY "</w:instrText>
      </w:r>
      <w:r>
        <w:instrText xml:space="preserve">OfficeFax"  \* MERGEFORMAT </w:instrText>
      </w:r>
      <w:r>
        <w:fldChar w:fldCharType="separate"/>
      </w:r>
      <w:r w:rsidR="005F6E51">
        <w:t>(07) 3316 3333</w:t>
      </w:r>
      <w:r>
        <w:fldChar w:fldCharType="end"/>
      </w:r>
      <w:r w:rsidR="004E02F3">
        <w:t xml:space="preserve">   E: </w:t>
      </w:r>
      <w:r>
        <w:fldChar w:fldCharType="begin"/>
      </w:r>
      <w:r>
        <w:instrText xml:space="preserve"> DOCPROPERTY "OfficeEmail"  \* MERGEFORMAT </w:instrText>
      </w:r>
      <w:r>
        <w:fldChar w:fldCharType="separate"/>
      </w:r>
      <w:r w:rsidR="005F6E51">
        <w:t>bnemail@ghd.com.au</w:t>
      </w:r>
      <w:r>
        <w:fldChar w:fldCharType="end"/>
      </w:r>
    </w:p>
    <w:p w:rsidR="004E02F3" w:rsidRDefault="004E02F3">
      <w:pPr>
        <w:pStyle w:val="StatusBold"/>
      </w:pPr>
      <w:r>
        <w:t xml:space="preserve">© GHD </w:t>
      </w:r>
      <w:r w:rsidR="00CD38ED">
        <w:fldChar w:fldCharType="begin"/>
      </w:r>
      <w:r>
        <w:instrText xml:space="preserve"> CREATEDATE \@ "yyyy" \* MERGEFORMAT </w:instrText>
      </w:r>
      <w:r w:rsidR="00CD38ED">
        <w:fldChar w:fldCharType="separate"/>
      </w:r>
      <w:r w:rsidR="005F6E51">
        <w:rPr>
          <w:noProof/>
        </w:rPr>
        <w:t>2013</w:t>
      </w:r>
      <w:r w:rsidR="00CD38ED">
        <w:fldChar w:fldCharType="end"/>
      </w:r>
    </w:p>
    <w:p w:rsidR="004E02F3" w:rsidRDefault="00BA6234">
      <w:pPr>
        <w:pStyle w:val="Status"/>
      </w:pPr>
      <w:r>
        <w:t xml:space="preserve">This document is and shall remain the property of GHD. The document may </w:t>
      </w:r>
      <w:r w:rsidR="000A78F9">
        <w:t xml:space="preserve">only be used for the purpose </w:t>
      </w:r>
      <w:r>
        <w:t>for which it was commissioned and in accordance with the Terms of Engagement for the commission. Unauthorised use of this document in any form whatsoever is prohibited</w:t>
      </w:r>
      <w:r w:rsidR="004E02F3">
        <w:t>.</w:t>
      </w:r>
    </w:p>
    <w:p w:rsidR="00B36464" w:rsidRDefault="00B36464">
      <w:pPr>
        <w:pStyle w:val="StatusBold"/>
        <w:rPr>
          <w:b w:val="0"/>
          <w:bCs w:val="0"/>
        </w:rPr>
      </w:pPr>
      <w:r w:rsidRPr="00B36464">
        <w:rPr>
          <w:b w:val="0"/>
          <w:bCs w:val="0"/>
        </w:rPr>
        <w:t>G:\41\25379\WP\440232_Cost Benefit Analysis.docx</w:t>
      </w:r>
    </w:p>
    <w:p w:rsidR="004E02F3" w:rsidRDefault="004E02F3">
      <w:pPr>
        <w:pStyle w:val="StatusBold"/>
      </w:pPr>
      <w:r>
        <w:t>Document Status</w:t>
      </w:r>
    </w:p>
    <w:tbl>
      <w:tblPr>
        <w:tblW w:w="92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1417"/>
        <w:gridCol w:w="1560"/>
        <w:gridCol w:w="1417"/>
        <w:gridCol w:w="1276"/>
        <w:gridCol w:w="1417"/>
        <w:gridCol w:w="1334"/>
      </w:tblGrid>
      <w:tr w:rsidR="004E02F3" w:rsidTr="00890644">
        <w:trPr>
          <w:cantSplit/>
          <w:trHeight w:val="365"/>
        </w:trPr>
        <w:tc>
          <w:tcPr>
            <w:tcW w:w="851" w:type="dxa"/>
            <w:vMerge w:val="restart"/>
            <w:vAlign w:val="center"/>
          </w:tcPr>
          <w:p w:rsidR="004E02F3" w:rsidRDefault="004E02F3">
            <w:pPr>
              <w:pStyle w:val="TableBody"/>
              <w:spacing w:before="60" w:after="40"/>
              <w:rPr>
                <w:sz w:val="18"/>
              </w:rPr>
            </w:pPr>
            <w:r>
              <w:rPr>
                <w:sz w:val="18"/>
              </w:rPr>
              <w:t>Rev No.</w:t>
            </w:r>
          </w:p>
        </w:tc>
        <w:tc>
          <w:tcPr>
            <w:tcW w:w="1417" w:type="dxa"/>
            <w:vMerge w:val="restart"/>
            <w:vAlign w:val="center"/>
          </w:tcPr>
          <w:p w:rsidR="004E02F3" w:rsidRDefault="004E02F3">
            <w:pPr>
              <w:pStyle w:val="TableBody"/>
              <w:spacing w:before="60" w:after="40"/>
              <w:rPr>
                <w:sz w:val="18"/>
              </w:rPr>
            </w:pPr>
            <w:r>
              <w:rPr>
                <w:sz w:val="18"/>
              </w:rPr>
              <w:t>Author</w:t>
            </w:r>
          </w:p>
        </w:tc>
        <w:tc>
          <w:tcPr>
            <w:tcW w:w="2977" w:type="dxa"/>
            <w:gridSpan w:val="2"/>
            <w:vAlign w:val="center"/>
          </w:tcPr>
          <w:p w:rsidR="004E02F3" w:rsidRDefault="004E02F3">
            <w:pPr>
              <w:pStyle w:val="TableBody"/>
              <w:spacing w:before="60" w:after="40"/>
              <w:rPr>
                <w:sz w:val="18"/>
              </w:rPr>
            </w:pPr>
            <w:r>
              <w:rPr>
                <w:sz w:val="18"/>
              </w:rPr>
              <w:t>Reviewer</w:t>
            </w:r>
          </w:p>
        </w:tc>
        <w:tc>
          <w:tcPr>
            <w:tcW w:w="4027" w:type="dxa"/>
            <w:gridSpan w:val="3"/>
            <w:vAlign w:val="center"/>
          </w:tcPr>
          <w:p w:rsidR="004E02F3" w:rsidRDefault="004E02F3">
            <w:pPr>
              <w:pStyle w:val="TableBody"/>
              <w:spacing w:before="60" w:after="40"/>
              <w:rPr>
                <w:sz w:val="18"/>
              </w:rPr>
            </w:pPr>
            <w:r>
              <w:rPr>
                <w:sz w:val="18"/>
              </w:rPr>
              <w:t>Approved for Issue</w:t>
            </w:r>
          </w:p>
        </w:tc>
      </w:tr>
      <w:tr w:rsidR="004E02F3" w:rsidTr="00890644">
        <w:trPr>
          <w:cantSplit/>
          <w:trHeight w:val="146"/>
        </w:trPr>
        <w:tc>
          <w:tcPr>
            <w:tcW w:w="851" w:type="dxa"/>
            <w:vMerge/>
            <w:vAlign w:val="center"/>
          </w:tcPr>
          <w:p w:rsidR="004E02F3" w:rsidRDefault="004E02F3">
            <w:pPr>
              <w:pStyle w:val="TableBody"/>
              <w:spacing w:before="60" w:after="40"/>
              <w:rPr>
                <w:sz w:val="18"/>
              </w:rPr>
            </w:pPr>
          </w:p>
        </w:tc>
        <w:tc>
          <w:tcPr>
            <w:tcW w:w="1417" w:type="dxa"/>
            <w:vMerge/>
            <w:vAlign w:val="center"/>
          </w:tcPr>
          <w:p w:rsidR="004E02F3" w:rsidRDefault="004E02F3">
            <w:pPr>
              <w:pStyle w:val="TableBody"/>
              <w:spacing w:before="60" w:after="40"/>
              <w:rPr>
                <w:sz w:val="18"/>
              </w:rPr>
            </w:pPr>
          </w:p>
        </w:tc>
        <w:tc>
          <w:tcPr>
            <w:tcW w:w="1560" w:type="dxa"/>
            <w:vAlign w:val="center"/>
          </w:tcPr>
          <w:p w:rsidR="004E02F3" w:rsidRDefault="004E02F3">
            <w:pPr>
              <w:pStyle w:val="TableBody"/>
              <w:spacing w:before="60" w:after="40"/>
              <w:rPr>
                <w:sz w:val="18"/>
              </w:rPr>
            </w:pPr>
            <w:r>
              <w:rPr>
                <w:sz w:val="18"/>
              </w:rPr>
              <w:t>Name</w:t>
            </w:r>
          </w:p>
        </w:tc>
        <w:tc>
          <w:tcPr>
            <w:tcW w:w="1417" w:type="dxa"/>
            <w:vAlign w:val="center"/>
          </w:tcPr>
          <w:p w:rsidR="004E02F3" w:rsidRDefault="004E02F3">
            <w:pPr>
              <w:pStyle w:val="TableBody"/>
              <w:spacing w:before="60" w:after="40"/>
              <w:rPr>
                <w:sz w:val="18"/>
              </w:rPr>
            </w:pPr>
            <w:r>
              <w:rPr>
                <w:sz w:val="18"/>
              </w:rPr>
              <w:t>Signature</w:t>
            </w:r>
          </w:p>
        </w:tc>
        <w:tc>
          <w:tcPr>
            <w:tcW w:w="1276" w:type="dxa"/>
            <w:vAlign w:val="center"/>
          </w:tcPr>
          <w:p w:rsidR="004E02F3" w:rsidRDefault="004E02F3">
            <w:pPr>
              <w:pStyle w:val="TableBody"/>
              <w:spacing w:before="60" w:after="40"/>
              <w:rPr>
                <w:sz w:val="18"/>
              </w:rPr>
            </w:pPr>
            <w:r>
              <w:rPr>
                <w:sz w:val="18"/>
              </w:rPr>
              <w:t>Name</w:t>
            </w:r>
          </w:p>
        </w:tc>
        <w:tc>
          <w:tcPr>
            <w:tcW w:w="1417" w:type="dxa"/>
            <w:vAlign w:val="center"/>
          </w:tcPr>
          <w:p w:rsidR="004E02F3" w:rsidRDefault="004E02F3">
            <w:pPr>
              <w:pStyle w:val="TableBody"/>
              <w:spacing w:before="60" w:after="40"/>
              <w:rPr>
                <w:sz w:val="18"/>
              </w:rPr>
            </w:pPr>
            <w:r>
              <w:rPr>
                <w:sz w:val="18"/>
              </w:rPr>
              <w:t>Signature</w:t>
            </w:r>
          </w:p>
        </w:tc>
        <w:tc>
          <w:tcPr>
            <w:tcW w:w="1334" w:type="dxa"/>
            <w:vAlign w:val="center"/>
          </w:tcPr>
          <w:p w:rsidR="004E02F3" w:rsidRDefault="004E02F3">
            <w:pPr>
              <w:pStyle w:val="TableBody"/>
              <w:spacing w:before="60" w:after="40"/>
              <w:rPr>
                <w:sz w:val="18"/>
              </w:rPr>
            </w:pPr>
            <w:r>
              <w:rPr>
                <w:sz w:val="18"/>
              </w:rPr>
              <w:t>Date</w:t>
            </w:r>
          </w:p>
        </w:tc>
      </w:tr>
      <w:tr w:rsidR="004E02F3" w:rsidTr="00890644">
        <w:trPr>
          <w:trHeight w:val="365"/>
        </w:trPr>
        <w:tc>
          <w:tcPr>
            <w:tcW w:w="851" w:type="dxa"/>
          </w:tcPr>
          <w:p w:rsidR="004E02F3" w:rsidRDefault="004D5009">
            <w:pPr>
              <w:pStyle w:val="TableBody"/>
              <w:spacing w:before="60" w:after="40"/>
              <w:rPr>
                <w:sz w:val="18"/>
              </w:rPr>
            </w:pPr>
            <w:r>
              <w:rPr>
                <w:sz w:val="18"/>
              </w:rPr>
              <w:t>Rev A</w:t>
            </w:r>
          </w:p>
        </w:tc>
        <w:tc>
          <w:tcPr>
            <w:tcW w:w="1417" w:type="dxa"/>
          </w:tcPr>
          <w:p w:rsidR="004E02F3" w:rsidRDefault="006E11CB">
            <w:pPr>
              <w:pStyle w:val="TableBody"/>
              <w:spacing w:before="60" w:after="40"/>
              <w:rPr>
                <w:sz w:val="18"/>
              </w:rPr>
            </w:pPr>
            <w:r>
              <w:rPr>
                <w:sz w:val="18"/>
              </w:rPr>
              <w:t>Guy Reynolds</w:t>
            </w:r>
          </w:p>
        </w:tc>
        <w:tc>
          <w:tcPr>
            <w:tcW w:w="1560" w:type="dxa"/>
          </w:tcPr>
          <w:p w:rsidR="004E02F3" w:rsidRDefault="006E11CB">
            <w:pPr>
              <w:pStyle w:val="TableBody"/>
              <w:spacing w:before="60" w:after="40"/>
              <w:rPr>
                <w:sz w:val="18"/>
              </w:rPr>
            </w:pPr>
            <w:r>
              <w:rPr>
                <w:sz w:val="18"/>
              </w:rPr>
              <w:t>Steve Kanowski</w:t>
            </w:r>
          </w:p>
        </w:tc>
        <w:tc>
          <w:tcPr>
            <w:tcW w:w="1417" w:type="dxa"/>
          </w:tcPr>
          <w:p w:rsidR="004E02F3" w:rsidRDefault="003E711D">
            <w:pPr>
              <w:pStyle w:val="TableBody"/>
              <w:spacing w:before="60" w:after="40"/>
              <w:rPr>
                <w:sz w:val="18"/>
              </w:rPr>
            </w:pPr>
            <w:r>
              <w:rPr>
                <w:sz w:val="18"/>
              </w:rPr>
              <w:t>* On File</w:t>
            </w:r>
          </w:p>
        </w:tc>
        <w:tc>
          <w:tcPr>
            <w:tcW w:w="1276" w:type="dxa"/>
          </w:tcPr>
          <w:p w:rsidR="004E02F3" w:rsidRDefault="006E11CB">
            <w:pPr>
              <w:pStyle w:val="TableBody"/>
              <w:spacing w:before="60" w:after="40"/>
              <w:rPr>
                <w:sz w:val="18"/>
              </w:rPr>
            </w:pPr>
            <w:r>
              <w:rPr>
                <w:sz w:val="18"/>
              </w:rPr>
              <w:t>Kerry Neil</w:t>
            </w:r>
          </w:p>
        </w:tc>
        <w:tc>
          <w:tcPr>
            <w:tcW w:w="1417" w:type="dxa"/>
          </w:tcPr>
          <w:p w:rsidR="004E02F3" w:rsidRDefault="003E711D">
            <w:pPr>
              <w:pStyle w:val="TableBody"/>
              <w:spacing w:before="60" w:after="40"/>
              <w:rPr>
                <w:sz w:val="18"/>
              </w:rPr>
            </w:pPr>
            <w:r>
              <w:rPr>
                <w:sz w:val="18"/>
              </w:rPr>
              <w:t>* On File</w:t>
            </w:r>
          </w:p>
        </w:tc>
        <w:tc>
          <w:tcPr>
            <w:tcW w:w="1334" w:type="dxa"/>
          </w:tcPr>
          <w:p w:rsidR="004E02F3" w:rsidRDefault="00890644">
            <w:pPr>
              <w:pStyle w:val="TableBody"/>
              <w:spacing w:before="60" w:after="40"/>
              <w:rPr>
                <w:sz w:val="18"/>
              </w:rPr>
            </w:pPr>
            <w:r>
              <w:rPr>
                <w:sz w:val="18"/>
              </w:rPr>
              <w:t>04-Dec-2012</w:t>
            </w:r>
          </w:p>
        </w:tc>
      </w:tr>
      <w:tr w:rsidR="004E02F3" w:rsidTr="00890644">
        <w:trPr>
          <w:trHeight w:val="365"/>
        </w:trPr>
        <w:tc>
          <w:tcPr>
            <w:tcW w:w="851" w:type="dxa"/>
          </w:tcPr>
          <w:p w:rsidR="004E02F3" w:rsidRDefault="009948AA">
            <w:pPr>
              <w:pStyle w:val="TableBody"/>
              <w:spacing w:before="60" w:after="40"/>
              <w:rPr>
                <w:sz w:val="18"/>
              </w:rPr>
            </w:pPr>
            <w:r>
              <w:rPr>
                <w:sz w:val="18"/>
              </w:rPr>
              <w:t>Rev B</w:t>
            </w:r>
          </w:p>
        </w:tc>
        <w:tc>
          <w:tcPr>
            <w:tcW w:w="1417" w:type="dxa"/>
          </w:tcPr>
          <w:p w:rsidR="004E02F3" w:rsidRDefault="009948AA">
            <w:pPr>
              <w:pStyle w:val="TableBody"/>
              <w:spacing w:before="60" w:after="40"/>
              <w:rPr>
                <w:sz w:val="18"/>
              </w:rPr>
            </w:pPr>
            <w:r>
              <w:rPr>
                <w:sz w:val="18"/>
              </w:rPr>
              <w:t>Guy Reynolds</w:t>
            </w:r>
          </w:p>
        </w:tc>
        <w:tc>
          <w:tcPr>
            <w:tcW w:w="1560" w:type="dxa"/>
          </w:tcPr>
          <w:p w:rsidR="004E02F3" w:rsidRDefault="009948AA">
            <w:pPr>
              <w:pStyle w:val="TableBody"/>
              <w:spacing w:before="60" w:after="40"/>
              <w:rPr>
                <w:sz w:val="18"/>
              </w:rPr>
            </w:pPr>
            <w:r>
              <w:rPr>
                <w:sz w:val="18"/>
              </w:rPr>
              <w:t>David Petch</w:t>
            </w:r>
          </w:p>
        </w:tc>
        <w:tc>
          <w:tcPr>
            <w:tcW w:w="1417" w:type="dxa"/>
          </w:tcPr>
          <w:p w:rsidR="004E02F3" w:rsidRDefault="003E711D">
            <w:pPr>
              <w:pStyle w:val="TableBody"/>
              <w:spacing w:before="60" w:after="40"/>
              <w:rPr>
                <w:sz w:val="18"/>
              </w:rPr>
            </w:pPr>
            <w:r>
              <w:rPr>
                <w:sz w:val="18"/>
              </w:rPr>
              <w:t>* On File</w:t>
            </w:r>
          </w:p>
        </w:tc>
        <w:tc>
          <w:tcPr>
            <w:tcW w:w="1276" w:type="dxa"/>
          </w:tcPr>
          <w:p w:rsidR="004E02F3" w:rsidRDefault="009948AA">
            <w:pPr>
              <w:pStyle w:val="TableBody"/>
              <w:spacing w:before="60" w:after="40"/>
              <w:rPr>
                <w:sz w:val="18"/>
              </w:rPr>
            </w:pPr>
            <w:r>
              <w:rPr>
                <w:sz w:val="18"/>
              </w:rPr>
              <w:t>Kerry Neil</w:t>
            </w:r>
          </w:p>
        </w:tc>
        <w:tc>
          <w:tcPr>
            <w:tcW w:w="1417" w:type="dxa"/>
          </w:tcPr>
          <w:p w:rsidR="004E02F3" w:rsidRDefault="003E711D">
            <w:pPr>
              <w:pStyle w:val="TableBody"/>
              <w:spacing w:before="60" w:after="40"/>
              <w:rPr>
                <w:sz w:val="18"/>
              </w:rPr>
            </w:pPr>
            <w:r>
              <w:rPr>
                <w:sz w:val="18"/>
              </w:rPr>
              <w:t>* On File</w:t>
            </w:r>
          </w:p>
        </w:tc>
        <w:tc>
          <w:tcPr>
            <w:tcW w:w="1334" w:type="dxa"/>
          </w:tcPr>
          <w:p w:rsidR="004E02F3" w:rsidRDefault="009948AA">
            <w:pPr>
              <w:pStyle w:val="TableBody"/>
              <w:spacing w:before="60" w:after="40"/>
              <w:rPr>
                <w:sz w:val="18"/>
              </w:rPr>
            </w:pPr>
            <w:r>
              <w:rPr>
                <w:sz w:val="18"/>
              </w:rPr>
              <w:t>18-Dec-2012</w:t>
            </w:r>
          </w:p>
        </w:tc>
      </w:tr>
      <w:tr w:rsidR="004E02F3" w:rsidTr="00890644">
        <w:trPr>
          <w:trHeight w:val="365"/>
        </w:trPr>
        <w:tc>
          <w:tcPr>
            <w:tcW w:w="851" w:type="dxa"/>
          </w:tcPr>
          <w:p w:rsidR="004E02F3" w:rsidRDefault="003E711D">
            <w:pPr>
              <w:pStyle w:val="TableBody"/>
              <w:spacing w:before="60" w:after="40"/>
              <w:rPr>
                <w:sz w:val="18"/>
              </w:rPr>
            </w:pPr>
            <w:r>
              <w:rPr>
                <w:sz w:val="18"/>
              </w:rPr>
              <w:t>Rev 0</w:t>
            </w:r>
          </w:p>
        </w:tc>
        <w:tc>
          <w:tcPr>
            <w:tcW w:w="1417" w:type="dxa"/>
          </w:tcPr>
          <w:p w:rsidR="004E02F3" w:rsidRDefault="003E711D">
            <w:pPr>
              <w:pStyle w:val="TableBody"/>
              <w:spacing w:before="60" w:after="40"/>
              <w:rPr>
                <w:sz w:val="18"/>
              </w:rPr>
            </w:pPr>
            <w:r>
              <w:rPr>
                <w:sz w:val="18"/>
              </w:rPr>
              <w:t>Guy Reynolds</w:t>
            </w:r>
          </w:p>
        </w:tc>
        <w:tc>
          <w:tcPr>
            <w:tcW w:w="1560" w:type="dxa"/>
          </w:tcPr>
          <w:p w:rsidR="004E02F3" w:rsidRDefault="003E711D">
            <w:pPr>
              <w:pStyle w:val="TableBody"/>
              <w:spacing w:before="60" w:after="40"/>
              <w:rPr>
                <w:sz w:val="18"/>
              </w:rPr>
            </w:pPr>
            <w:r>
              <w:rPr>
                <w:sz w:val="18"/>
              </w:rPr>
              <w:t>David Petch</w:t>
            </w:r>
          </w:p>
        </w:tc>
        <w:tc>
          <w:tcPr>
            <w:tcW w:w="1417" w:type="dxa"/>
          </w:tcPr>
          <w:p w:rsidR="004E02F3" w:rsidRDefault="003E711D">
            <w:pPr>
              <w:pStyle w:val="TableBody"/>
              <w:spacing w:before="60" w:after="40"/>
              <w:rPr>
                <w:sz w:val="18"/>
              </w:rPr>
            </w:pPr>
            <w:r>
              <w:rPr>
                <w:sz w:val="18"/>
              </w:rPr>
              <w:t>* On File</w:t>
            </w:r>
          </w:p>
        </w:tc>
        <w:tc>
          <w:tcPr>
            <w:tcW w:w="1276" w:type="dxa"/>
          </w:tcPr>
          <w:p w:rsidR="004E02F3" w:rsidRDefault="003E711D">
            <w:pPr>
              <w:pStyle w:val="TableBody"/>
              <w:spacing w:before="60" w:after="40"/>
              <w:rPr>
                <w:sz w:val="18"/>
              </w:rPr>
            </w:pPr>
            <w:r>
              <w:rPr>
                <w:sz w:val="18"/>
              </w:rPr>
              <w:t>Kerry Neil</w:t>
            </w:r>
          </w:p>
        </w:tc>
        <w:tc>
          <w:tcPr>
            <w:tcW w:w="1417" w:type="dxa"/>
          </w:tcPr>
          <w:p w:rsidR="004E02F3" w:rsidRDefault="003E711D">
            <w:pPr>
              <w:pStyle w:val="TableBody"/>
              <w:spacing w:before="60" w:after="40"/>
              <w:rPr>
                <w:sz w:val="18"/>
              </w:rPr>
            </w:pPr>
            <w:r>
              <w:rPr>
                <w:sz w:val="18"/>
              </w:rPr>
              <w:t>* On File</w:t>
            </w:r>
          </w:p>
        </w:tc>
        <w:tc>
          <w:tcPr>
            <w:tcW w:w="1334" w:type="dxa"/>
          </w:tcPr>
          <w:p w:rsidR="004E02F3" w:rsidRDefault="003E711D">
            <w:pPr>
              <w:pStyle w:val="TableBody"/>
              <w:spacing w:before="60" w:after="40"/>
              <w:rPr>
                <w:sz w:val="18"/>
              </w:rPr>
            </w:pPr>
            <w:r>
              <w:rPr>
                <w:sz w:val="18"/>
              </w:rPr>
              <w:t>5-Feb-2013</w:t>
            </w:r>
          </w:p>
        </w:tc>
      </w:tr>
      <w:tr w:rsidR="004E02F3" w:rsidTr="00890644">
        <w:trPr>
          <w:trHeight w:val="365"/>
        </w:trPr>
        <w:tc>
          <w:tcPr>
            <w:tcW w:w="851" w:type="dxa"/>
          </w:tcPr>
          <w:p w:rsidR="004E02F3" w:rsidRDefault="00094E90">
            <w:pPr>
              <w:pStyle w:val="TableBody"/>
              <w:spacing w:before="60" w:after="40"/>
              <w:rPr>
                <w:sz w:val="18"/>
              </w:rPr>
            </w:pPr>
            <w:r>
              <w:rPr>
                <w:sz w:val="18"/>
              </w:rPr>
              <w:t>Rev 1</w:t>
            </w:r>
          </w:p>
        </w:tc>
        <w:tc>
          <w:tcPr>
            <w:tcW w:w="1417" w:type="dxa"/>
          </w:tcPr>
          <w:p w:rsidR="004E02F3" w:rsidRDefault="00094E90">
            <w:pPr>
              <w:pStyle w:val="TableBody"/>
              <w:spacing w:before="60" w:after="40"/>
              <w:rPr>
                <w:sz w:val="18"/>
              </w:rPr>
            </w:pPr>
            <w:r>
              <w:rPr>
                <w:sz w:val="18"/>
              </w:rPr>
              <w:t>Guy Reynolds</w:t>
            </w:r>
          </w:p>
        </w:tc>
        <w:tc>
          <w:tcPr>
            <w:tcW w:w="1560" w:type="dxa"/>
          </w:tcPr>
          <w:p w:rsidR="004E02F3" w:rsidRDefault="00094E90">
            <w:pPr>
              <w:pStyle w:val="TableBody"/>
              <w:spacing w:before="60" w:after="40"/>
              <w:rPr>
                <w:sz w:val="18"/>
              </w:rPr>
            </w:pPr>
            <w:r>
              <w:rPr>
                <w:sz w:val="18"/>
              </w:rPr>
              <w:t>David Petch</w:t>
            </w:r>
          </w:p>
        </w:tc>
        <w:tc>
          <w:tcPr>
            <w:tcW w:w="1417" w:type="dxa"/>
          </w:tcPr>
          <w:p w:rsidR="004E02F3" w:rsidRDefault="00094E90">
            <w:pPr>
              <w:pStyle w:val="TableBody"/>
              <w:spacing w:before="60" w:after="40"/>
              <w:rPr>
                <w:sz w:val="18"/>
              </w:rPr>
            </w:pPr>
            <w:r>
              <w:rPr>
                <w:sz w:val="18"/>
              </w:rPr>
              <w:t>* On File</w:t>
            </w:r>
          </w:p>
        </w:tc>
        <w:tc>
          <w:tcPr>
            <w:tcW w:w="1276" w:type="dxa"/>
          </w:tcPr>
          <w:p w:rsidR="004E02F3" w:rsidRDefault="00094E90">
            <w:pPr>
              <w:pStyle w:val="TableBody"/>
              <w:spacing w:before="60" w:after="40"/>
              <w:rPr>
                <w:sz w:val="18"/>
              </w:rPr>
            </w:pPr>
            <w:r>
              <w:rPr>
                <w:sz w:val="18"/>
              </w:rPr>
              <w:t>Kerry Neil</w:t>
            </w:r>
          </w:p>
        </w:tc>
        <w:tc>
          <w:tcPr>
            <w:tcW w:w="1417" w:type="dxa"/>
          </w:tcPr>
          <w:p w:rsidR="004E02F3" w:rsidRDefault="00094E90">
            <w:pPr>
              <w:pStyle w:val="TableBody"/>
              <w:spacing w:before="60" w:after="40"/>
              <w:rPr>
                <w:sz w:val="18"/>
              </w:rPr>
            </w:pPr>
            <w:r>
              <w:rPr>
                <w:sz w:val="18"/>
              </w:rPr>
              <w:t>* On File</w:t>
            </w:r>
          </w:p>
        </w:tc>
        <w:tc>
          <w:tcPr>
            <w:tcW w:w="1334" w:type="dxa"/>
          </w:tcPr>
          <w:p w:rsidR="004E02F3" w:rsidRDefault="00094E90" w:rsidP="00094E90">
            <w:pPr>
              <w:pStyle w:val="TableBody"/>
              <w:spacing w:before="60" w:after="40"/>
              <w:rPr>
                <w:sz w:val="18"/>
              </w:rPr>
            </w:pPr>
            <w:r>
              <w:rPr>
                <w:sz w:val="18"/>
              </w:rPr>
              <w:t>8-Mar-2013</w:t>
            </w:r>
          </w:p>
        </w:tc>
      </w:tr>
      <w:tr w:rsidR="000E12CB" w:rsidTr="00890644">
        <w:trPr>
          <w:trHeight w:val="365"/>
        </w:trPr>
        <w:tc>
          <w:tcPr>
            <w:tcW w:w="851" w:type="dxa"/>
          </w:tcPr>
          <w:p w:rsidR="000E12CB" w:rsidRDefault="000E12CB">
            <w:pPr>
              <w:pStyle w:val="TableBody"/>
              <w:spacing w:before="60" w:after="40"/>
              <w:rPr>
                <w:sz w:val="18"/>
              </w:rPr>
            </w:pPr>
            <w:r>
              <w:rPr>
                <w:sz w:val="18"/>
              </w:rPr>
              <w:t>Rev 2</w:t>
            </w:r>
          </w:p>
        </w:tc>
        <w:tc>
          <w:tcPr>
            <w:tcW w:w="1417" w:type="dxa"/>
          </w:tcPr>
          <w:p w:rsidR="000E12CB" w:rsidRDefault="000E12CB">
            <w:pPr>
              <w:pStyle w:val="TableBody"/>
              <w:spacing w:before="60" w:after="40"/>
              <w:rPr>
                <w:sz w:val="18"/>
              </w:rPr>
            </w:pPr>
            <w:r>
              <w:rPr>
                <w:sz w:val="18"/>
              </w:rPr>
              <w:t>Guy Reynolds</w:t>
            </w:r>
          </w:p>
        </w:tc>
        <w:tc>
          <w:tcPr>
            <w:tcW w:w="1560" w:type="dxa"/>
          </w:tcPr>
          <w:p w:rsidR="000E12CB" w:rsidRDefault="000E12CB">
            <w:pPr>
              <w:pStyle w:val="TableBody"/>
              <w:spacing w:before="60" w:after="40"/>
              <w:rPr>
                <w:sz w:val="18"/>
              </w:rPr>
            </w:pPr>
            <w:r>
              <w:rPr>
                <w:sz w:val="18"/>
              </w:rPr>
              <w:t>David Petch</w:t>
            </w:r>
          </w:p>
        </w:tc>
        <w:tc>
          <w:tcPr>
            <w:tcW w:w="1417" w:type="dxa"/>
          </w:tcPr>
          <w:p w:rsidR="000E12CB" w:rsidRDefault="000E12CB">
            <w:pPr>
              <w:pStyle w:val="TableBody"/>
              <w:spacing w:before="60" w:after="40"/>
              <w:rPr>
                <w:sz w:val="18"/>
              </w:rPr>
            </w:pPr>
            <w:r>
              <w:rPr>
                <w:sz w:val="18"/>
              </w:rPr>
              <w:t>* On File</w:t>
            </w:r>
          </w:p>
        </w:tc>
        <w:tc>
          <w:tcPr>
            <w:tcW w:w="1276" w:type="dxa"/>
          </w:tcPr>
          <w:p w:rsidR="000E12CB" w:rsidRDefault="000E12CB">
            <w:pPr>
              <w:pStyle w:val="TableBody"/>
              <w:spacing w:before="60" w:after="40"/>
              <w:rPr>
                <w:sz w:val="18"/>
              </w:rPr>
            </w:pPr>
            <w:r>
              <w:rPr>
                <w:sz w:val="18"/>
              </w:rPr>
              <w:t>Kerry Neil</w:t>
            </w:r>
          </w:p>
        </w:tc>
        <w:tc>
          <w:tcPr>
            <w:tcW w:w="1417" w:type="dxa"/>
          </w:tcPr>
          <w:p w:rsidR="000E12CB" w:rsidRDefault="000E12CB">
            <w:pPr>
              <w:pStyle w:val="TableBody"/>
              <w:spacing w:before="60" w:after="40"/>
              <w:rPr>
                <w:sz w:val="18"/>
              </w:rPr>
            </w:pPr>
            <w:r>
              <w:rPr>
                <w:sz w:val="18"/>
              </w:rPr>
              <w:t>* On File</w:t>
            </w:r>
          </w:p>
        </w:tc>
        <w:tc>
          <w:tcPr>
            <w:tcW w:w="1334" w:type="dxa"/>
          </w:tcPr>
          <w:p w:rsidR="000E12CB" w:rsidRDefault="000E12CB" w:rsidP="00094E90">
            <w:pPr>
              <w:pStyle w:val="TableBody"/>
              <w:spacing w:before="60" w:after="40"/>
              <w:rPr>
                <w:sz w:val="18"/>
              </w:rPr>
            </w:pPr>
            <w:r>
              <w:rPr>
                <w:sz w:val="18"/>
              </w:rPr>
              <w:t>25-Mar-2013</w:t>
            </w:r>
          </w:p>
        </w:tc>
      </w:tr>
      <w:tr w:rsidR="00764D50" w:rsidTr="00890644">
        <w:trPr>
          <w:trHeight w:val="365"/>
        </w:trPr>
        <w:tc>
          <w:tcPr>
            <w:tcW w:w="851" w:type="dxa"/>
          </w:tcPr>
          <w:p w:rsidR="00764D50" w:rsidRDefault="00764D50">
            <w:pPr>
              <w:pStyle w:val="TableBody"/>
              <w:spacing w:before="60" w:after="40"/>
              <w:rPr>
                <w:sz w:val="18"/>
              </w:rPr>
            </w:pPr>
            <w:r>
              <w:rPr>
                <w:sz w:val="18"/>
              </w:rPr>
              <w:t>Rev 3</w:t>
            </w:r>
          </w:p>
        </w:tc>
        <w:tc>
          <w:tcPr>
            <w:tcW w:w="1417" w:type="dxa"/>
          </w:tcPr>
          <w:p w:rsidR="00764D50" w:rsidRDefault="00764D50">
            <w:pPr>
              <w:pStyle w:val="TableBody"/>
              <w:spacing w:before="60" w:after="40"/>
              <w:rPr>
                <w:sz w:val="18"/>
              </w:rPr>
            </w:pPr>
            <w:r>
              <w:rPr>
                <w:sz w:val="18"/>
              </w:rPr>
              <w:t>C. Sims</w:t>
            </w:r>
          </w:p>
        </w:tc>
        <w:tc>
          <w:tcPr>
            <w:tcW w:w="1560" w:type="dxa"/>
          </w:tcPr>
          <w:p w:rsidR="00764D50" w:rsidRDefault="00B67580">
            <w:pPr>
              <w:pStyle w:val="TableBody"/>
              <w:spacing w:before="60" w:after="40"/>
              <w:rPr>
                <w:sz w:val="18"/>
              </w:rPr>
            </w:pPr>
            <w:r>
              <w:rPr>
                <w:sz w:val="18"/>
              </w:rPr>
              <w:t>Kerry Neil</w:t>
            </w:r>
          </w:p>
        </w:tc>
        <w:tc>
          <w:tcPr>
            <w:tcW w:w="1417" w:type="dxa"/>
          </w:tcPr>
          <w:p w:rsidR="00764D50" w:rsidRDefault="006E61D2">
            <w:pPr>
              <w:pStyle w:val="TableBody"/>
              <w:spacing w:before="60" w:after="40"/>
              <w:rPr>
                <w:sz w:val="18"/>
              </w:rPr>
            </w:pPr>
            <w:r>
              <w:rPr>
                <w:sz w:val="18"/>
              </w:rPr>
              <w:t>* On File</w:t>
            </w:r>
          </w:p>
        </w:tc>
        <w:tc>
          <w:tcPr>
            <w:tcW w:w="1276" w:type="dxa"/>
          </w:tcPr>
          <w:p w:rsidR="00764D50" w:rsidRDefault="00B67580">
            <w:pPr>
              <w:pStyle w:val="TableBody"/>
              <w:spacing w:before="60" w:after="40"/>
              <w:rPr>
                <w:sz w:val="18"/>
              </w:rPr>
            </w:pPr>
            <w:r>
              <w:rPr>
                <w:sz w:val="18"/>
              </w:rPr>
              <w:t>Kerry Neil</w:t>
            </w:r>
          </w:p>
        </w:tc>
        <w:tc>
          <w:tcPr>
            <w:tcW w:w="1417" w:type="dxa"/>
          </w:tcPr>
          <w:p w:rsidR="00764D50" w:rsidRDefault="006E61D2">
            <w:pPr>
              <w:pStyle w:val="TableBody"/>
              <w:spacing w:before="60" w:after="40"/>
              <w:rPr>
                <w:sz w:val="18"/>
              </w:rPr>
            </w:pPr>
            <w:r>
              <w:rPr>
                <w:sz w:val="18"/>
              </w:rPr>
              <w:t>* On File</w:t>
            </w:r>
          </w:p>
        </w:tc>
        <w:tc>
          <w:tcPr>
            <w:tcW w:w="1334" w:type="dxa"/>
          </w:tcPr>
          <w:p w:rsidR="00764D50" w:rsidRDefault="00B67580" w:rsidP="007A2C35">
            <w:pPr>
              <w:pStyle w:val="TableBody"/>
              <w:spacing w:before="60" w:after="40"/>
              <w:rPr>
                <w:sz w:val="18"/>
              </w:rPr>
            </w:pPr>
            <w:r>
              <w:rPr>
                <w:sz w:val="18"/>
              </w:rPr>
              <w:t>1</w:t>
            </w:r>
            <w:r w:rsidR="007A2C35">
              <w:rPr>
                <w:sz w:val="18"/>
              </w:rPr>
              <w:t>8</w:t>
            </w:r>
            <w:r>
              <w:rPr>
                <w:sz w:val="18"/>
              </w:rPr>
              <w:t>-Jun-2013</w:t>
            </w:r>
          </w:p>
        </w:tc>
      </w:tr>
      <w:tr w:rsidR="00D5305B" w:rsidTr="00890644">
        <w:trPr>
          <w:trHeight w:val="365"/>
        </w:trPr>
        <w:tc>
          <w:tcPr>
            <w:tcW w:w="851" w:type="dxa"/>
          </w:tcPr>
          <w:p w:rsidR="00D5305B" w:rsidRDefault="00D5305B">
            <w:pPr>
              <w:pStyle w:val="TableBody"/>
              <w:spacing w:before="60" w:after="40"/>
              <w:rPr>
                <w:sz w:val="18"/>
              </w:rPr>
            </w:pPr>
            <w:r>
              <w:rPr>
                <w:sz w:val="18"/>
              </w:rPr>
              <w:t>Rev 4</w:t>
            </w:r>
          </w:p>
        </w:tc>
        <w:tc>
          <w:tcPr>
            <w:tcW w:w="1417" w:type="dxa"/>
          </w:tcPr>
          <w:p w:rsidR="00D5305B" w:rsidRDefault="00D5305B">
            <w:pPr>
              <w:pStyle w:val="TableBody"/>
              <w:spacing w:before="60" w:after="40"/>
              <w:rPr>
                <w:sz w:val="18"/>
              </w:rPr>
            </w:pPr>
            <w:r>
              <w:rPr>
                <w:sz w:val="18"/>
              </w:rPr>
              <w:t>C. Sims</w:t>
            </w:r>
          </w:p>
        </w:tc>
        <w:tc>
          <w:tcPr>
            <w:tcW w:w="1560" w:type="dxa"/>
          </w:tcPr>
          <w:p w:rsidR="00D5305B" w:rsidRDefault="00D5305B">
            <w:pPr>
              <w:pStyle w:val="TableBody"/>
              <w:spacing w:before="60" w:after="40"/>
              <w:rPr>
                <w:sz w:val="18"/>
              </w:rPr>
            </w:pPr>
            <w:r>
              <w:rPr>
                <w:sz w:val="18"/>
              </w:rPr>
              <w:t>Kerry Neil</w:t>
            </w:r>
          </w:p>
        </w:tc>
        <w:tc>
          <w:tcPr>
            <w:tcW w:w="1417" w:type="dxa"/>
          </w:tcPr>
          <w:p w:rsidR="00D5305B" w:rsidRDefault="006E61D2">
            <w:pPr>
              <w:pStyle w:val="TableBody"/>
              <w:spacing w:before="60" w:after="40"/>
              <w:rPr>
                <w:sz w:val="18"/>
              </w:rPr>
            </w:pPr>
            <w:r>
              <w:rPr>
                <w:sz w:val="18"/>
              </w:rPr>
              <w:t>* On File</w:t>
            </w:r>
          </w:p>
        </w:tc>
        <w:tc>
          <w:tcPr>
            <w:tcW w:w="1276" w:type="dxa"/>
          </w:tcPr>
          <w:p w:rsidR="00D5305B" w:rsidRDefault="00D5305B">
            <w:pPr>
              <w:pStyle w:val="TableBody"/>
              <w:spacing w:before="60" w:after="40"/>
              <w:rPr>
                <w:sz w:val="18"/>
              </w:rPr>
            </w:pPr>
            <w:r>
              <w:rPr>
                <w:sz w:val="18"/>
              </w:rPr>
              <w:t>Kerry Neil</w:t>
            </w:r>
          </w:p>
        </w:tc>
        <w:tc>
          <w:tcPr>
            <w:tcW w:w="1417" w:type="dxa"/>
          </w:tcPr>
          <w:p w:rsidR="00D5305B" w:rsidRDefault="006E61D2">
            <w:pPr>
              <w:pStyle w:val="TableBody"/>
              <w:spacing w:before="60" w:after="40"/>
              <w:rPr>
                <w:sz w:val="18"/>
              </w:rPr>
            </w:pPr>
            <w:r>
              <w:rPr>
                <w:sz w:val="18"/>
              </w:rPr>
              <w:t>* On File</w:t>
            </w:r>
          </w:p>
        </w:tc>
        <w:tc>
          <w:tcPr>
            <w:tcW w:w="1334" w:type="dxa"/>
          </w:tcPr>
          <w:p w:rsidR="00D5305B" w:rsidRDefault="006E61D2" w:rsidP="007A2C35">
            <w:pPr>
              <w:pStyle w:val="TableBody"/>
              <w:spacing w:before="60" w:after="40"/>
              <w:rPr>
                <w:sz w:val="18"/>
              </w:rPr>
            </w:pPr>
            <w:r>
              <w:rPr>
                <w:sz w:val="18"/>
              </w:rPr>
              <w:t>23-Jun-2013</w:t>
            </w:r>
          </w:p>
        </w:tc>
      </w:tr>
    </w:tbl>
    <w:p w:rsidR="00B91E18" w:rsidRDefault="00B91E18">
      <w:pPr>
        <w:rPr>
          <w:sz w:val="4"/>
        </w:rPr>
      </w:pPr>
    </w:p>
    <w:p w:rsidR="004E02F3" w:rsidRPr="004E04A2" w:rsidRDefault="004E02F3">
      <w:pPr>
        <w:rPr>
          <w:vanish/>
          <w:sz w:val="4"/>
        </w:rPr>
      </w:pPr>
    </w:p>
    <w:sectPr w:rsidR="004E02F3" w:rsidRPr="004E04A2" w:rsidSect="00D5305B">
      <w:headerReference w:type="even" r:id="rId86"/>
      <w:footerReference w:type="default" r:id="rId87"/>
      <w:type w:val="oddPage"/>
      <w:pgSz w:w="11906" w:h="16838" w:code="9"/>
      <w:pgMar w:top="1843" w:right="907" w:bottom="1418" w:left="1701" w:header="709" w:footer="70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066E" w:rsidRDefault="0041066E">
      <w:r>
        <w:separator/>
      </w:r>
    </w:p>
  </w:endnote>
  <w:endnote w:type="continuationSeparator" w:id="0">
    <w:p w:rsidR="0041066E" w:rsidRDefault="004106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Trebuchet MS">
    <w:panose1 w:val="020B0603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Arial Bold">
    <w:altName w:val="Arial"/>
    <w:panose1 w:val="00000000000000000000"/>
    <w:charset w:val="00"/>
    <w:family w:val="swiss"/>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1)">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66E" w:rsidRPr="00482761" w:rsidRDefault="00B85B36" w:rsidP="00D37EEE">
    <w:pPr>
      <w:pStyle w:val="Footer"/>
      <w:tabs>
        <w:tab w:val="right" w:pos="7088"/>
        <w:tab w:val="right" w:pos="9214"/>
      </w:tabs>
      <w:ind w:left="-1276"/>
      <w:jc w:val="left"/>
      <w:rPr>
        <w:sz w:val="18"/>
        <w:szCs w:val="18"/>
      </w:rPr>
    </w:pPr>
    <w:r>
      <w:fldChar w:fldCharType="begin"/>
    </w:r>
    <w:r>
      <w:instrText xml:space="preserve"> DOCPROPERTY  Project  \* MERGEFORMAT </w:instrText>
    </w:r>
    <w:r>
      <w:fldChar w:fldCharType="separate"/>
    </w:r>
    <w:r w:rsidR="0041066E" w:rsidRPr="00FA0140">
      <w:rPr>
        <w:sz w:val="18"/>
        <w:szCs w:val="18"/>
      </w:rPr>
      <w:t>Ship Anchorage Management in Great Barrier Reef World Heritage Area</w:t>
    </w:r>
    <w:r>
      <w:rPr>
        <w:sz w:val="18"/>
        <w:szCs w:val="18"/>
      </w:rPr>
      <w:fldChar w:fldCharType="end"/>
    </w:r>
    <w:r w:rsidR="0041066E">
      <w:rPr>
        <w:sz w:val="18"/>
        <w:szCs w:val="18"/>
      </w:rPr>
      <w:t xml:space="preserve"> </w:t>
    </w:r>
    <w:r w:rsidR="0041066E">
      <w:rPr>
        <w:rFonts w:cs="Arial"/>
        <w:sz w:val="18"/>
        <w:szCs w:val="18"/>
      </w:rPr>
      <w:t>│</w:t>
    </w:r>
    <w:r>
      <w:fldChar w:fldCharType="begin"/>
    </w:r>
    <w:r>
      <w:instrText xml:space="preserve"> DOCPROPERTY  GHDSubject  \* MERGEFORMAT </w:instrText>
    </w:r>
    <w:r>
      <w:fldChar w:fldCharType="separate"/>
    </w:r>
    <w:r w:rsidR="0041066E" w:rsidRPr="00FA0140">
      <w:rPr>
        <w:sz w:val="18"/>
        <w:szCs w:val="18"/>
      </w:rPr>
      <w:t>Cost Benefit Analysis</w:t>
    </w:r>
    <w:r>
      <w:rPr>
        <w:sz w:val="18"/>
        <w:szCs w:val="18"/>
      </w:rP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EC4514" w:rsidP="004220FD">
    <w:pPr>
      <w:pStyle w:val="Footer"/>
      <w:tabs>
        <w:tab w:val="right" w:pos="9214"/>
      </w:tabs>
      <w:jc w:val="left"/>
      <w:rPr>
        <w:sz w:val="18"/>
        <w:szCs w:val="18"/>
      </w:rPr>
    </w:pPr>
    <w:r>
      <w:ptab w:relativeTo="margin" w:alignment="right" w:leader="none"/>
    </w:r>
    <w:r w:rsidR="00B85B36">
      <w:fldChar w:fldCharType="begin"/>
    </w:r>
    <w:r w:rsidR="00B85B36">
      <w:instrText xml:space="preserve"> DOCPROPERTY  Project  \* MERGEFORMAT </w:instrText>
    </w:r>
    <w:r w:rsidR="00B85B36">
      <w:fldChar w:fldCharType="separate"/>
    </w:r>
    <w:r w:rsidRPr="00FA0140">
      <w:rPr>
        <w:sz w:val="18"/>
        <w:szCs w:val="18"/>
      </w:rPr>
      <w:t>Ship Anchorage Management in Great Barrier Reef World Heritage Area</w:t>
    </w:r>
    <w:r w:rsidR="00B85B36">
      <w:rPr>
        <w:sz w:val="18"/>
        <w:szCs w:val="18"/>
      </w:rPr>
      <w:fldChar w:fldCharType="end"/>
    </w:r>
    <w:r>
      <w:rPr>
        <w:sz w:val="18"/>
        <w:szCs w:val="18"/>
      </w:rPr>
      <w:t xml:space="preserve"> </w:t>
    </w:r>
    <w:r>
      <w:rPr>
        <w:rFonts w:cs="Arial"/>
        <w:sz w:val="18"/>
        <w:szCs w:val="18"/>
      </w:rPr>
      <w:t>│</w:t>
    </w:r>
    <w:r w:rsidR="00B85B36">
      <w:fldChar w:fldCharType="begin"/>
    </w:r>
    <w:r w:rsidR="00B85B36">
      <w:instrText xml:space="preserve"> DOCPROPERTY  GHDSubject  \* MERGEFORMAT </w:instrText>
    </w:r>
    <w:r w:rsidR="00B85B36">
      <w:fldChar w:fldCharType="separate"/>
    </w:r>
    <w:r w:rsidRPr="00FA0140">
      <w:rPr>
        <w:sz w:val="18"/>
        <w:szCs w:val="18"/>
      </w:rPr>
      <w:t>Cost Benefit Analysis</w:t>
    </w:r>
    <w:r w:rsidR="00B85B36">
      <w:rPr>
        <w:sz w:val="18"/>
        <w:szCs w:val="18"/>
      </w:rPr>
      <w:fldChar w:fldCharType="end"/>
    </w:r>
    <w:r>
      <w:rPr>
        <w:sz w:val="18"/>
        <w:szCs w:val="18"/>
      </w:rPr>
      <w:t xml:space="preserve"> </w:t>
    </w:r>
    <w:r>
      <w:rPr>
        <w:rFonts w:cs="Arial"/>
        <w:sz w:val="18"/>
        <w:szCs w:val="18"/>
      </w:rPr>
      <w:t>│</w:t>
    </w:r>
    <w:r w:rsidRPr="00482761">
      <w:rPr>
        <w:sz w:val="18"/>
        <w:szCs w:val="18"/>
      </w:rPr>
      <w:fldChar w:fldCharType="begin"/>
    </w:r>
    <w:r w:rsidRPr="00482761">
      <w:rPr>
        <w:sz w:val="18"/>
        <w:szCs w:val="18"/>
      </w:rPr>
      <w:instrText xml:space="preserve"> PAGE   \* MERGEFORMAT </w:instrText>
    </w:r>
    <w:r w:rsidRPr="00482761">
      <w:rPr>
        <w:sz w:val="18"/>
        <w:szCs w:val="18"/>
      </w:rPr>
      <w:fldChar w:fldCharType="separate"/>
    </w:r>
    <w:r w:rsidR="00DB625B">
      <w:rPr>
        <w:noProof/>
        <w:sz w:val="18"/>
        <w:szCs w:val="18"/>
      </w:rPr>
      <w:t>41</w:t>
    </w:r>
    <w:r w:rsidRPr="00482761">
      <w:rPr>
        <w:noProof/>
        <w:sz w:val="18"/>
        <w:szCs w:val="18"/>
      </w:rP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B85B36" w:rsidP="004220FD">
    <w:pPr>
      <w:pStyle w:val="Footer"/>
      <w:tabs>
        <w:tab w:val="right" w:pos="9214"/>
      </w:tabs>
      <w:jc w:val="left"/>
      <w:rPr>
        <w:sz w:val="18"/>
        <w:szCs w:val="18"/>
      </w:rPr>
    </w:pPr>
    <w:r>
      <w:fldChar w:fldCharType="begin"/>
    </w:r>
    <w:r>
      <w:instrText xml:space="preserve"> DOCPROPERTY  Project  \* MERGEFORMAT </w:instrText>
    </w:r>
    <w:r>
      <w:fldChar w:fldCharType="separate"/>
    </w:r>
    <w:r w:rsidR="00EC4514" w:rsidRPr="00FA0140">
      <w:rPr>
        <w:sz w:val="18"/>
        <w:szCs w:val="18"/>
      </w:rPr>
      <w:t>Ship Anchorage Management in Great Barrier Reef World Heritage Area</w:t>
    </w:r>
    <w:r>
      <w:rPr>
        <w:sz w:val="18"/>
        <w:szCs w:val="18"/>
      </w:rPr>
      <w:fldChar w:fldCharType="end"/>
    </w:r>
    <w:r w:rsidR="00EC4514">
      <w:rPr>
        <w:sz w:val="18"/>
        <w:szCs w:val="18"/>
      </w:rPr>
      <w:t xml:space="preserve"> </w:t>
    </w:r>
    <w:r w:rsidR="00EC4514">
      <w:rPr>
        <w:rFonts w:cs="Arial"/>
        <w:sz w:val="18"/>
        <w:szCs w:val="18"/>
      </w:rPr>
      <w:t>│</w:t>
    </w:r>
    <w:r>
      <w:fldChar w:fldCharType="begin"/>
    </w:r>
    <w:r>
      <w:instrText xml:space="preserve"> DOCPROPERTY  GHDSubject  \* MERGEFORMAT </w:instrText>
    </w:r>
    <w:r>
      <w:fldChar w:fldCharType="separate"/>
    </w:r>
    <w:r w:rsidR="00EC4514" w:rsidRPr="00FA0140">
      <w:rPr>
        <w:sz w:val="18"/>
        <w:szCs w:val="18"/>
      </w:rPr>
      <w:t>Cost Benefit Analysis</w:t>
    </w:r>
    <w:r>
      <w:rPr>
        <w:sz w:val="18"/>
        <w:szCs w:val="18"/>
      </w:rPr>
      <w:fldChar w:fldCharType="end"/>
    </w:r>
    <w:r w:rsidR="00EC4514">
      <w:rPr>
        <w:sz w:val="18"/>
        <w:szCs w:val="18"/>
      </w:rPr>
      <w:t xml:space="preserve"> </w:t>
    </w:r>
    <w:r w:rsidR="00EC4514">
      <w:rPr>
        <w:rFonts w:cs="Arial"/>
        <w:sz w:val="18"/>
        <w:szCs w:val="18"/>
      </w:rPr>
      <w:t>│</w:t>
    </w:r>
    <w:r w:rsidR="00EC4514" w:rsidRPr="00482761">
      <w:rPr>
        <w:sz w:val="18"/>
        <w:szCs w:val="18"/>
      </w:rPr>
      <w:fldChar w:fldCharType="begin"/>
    </w:r>
    <w:r w:rsidR="00EC4514" w:rsidRPr="00482761">
      <w:rPr>
        <w:sz w:val="18"/>
        <w:szCs w:val="18"/>
      </w:rPr>
      <w:instrText xml:space="preserve"> PAGE   \* MERGEFORMAT </w:instrText>
    </w:r>
    <w:r w:rsidR="00EC4514" w:rsidRPr="00482761">
      <w:rPr>
        <w:sz w:val="18"/>
        <w:szCs w:val="18"/>
      </w:rPr>
      <w:fldChar w:fldCharType="separate"/>
    </w:r>
    <w:r w:rsidR="00DB625B">
      <w:rPr>
        <w:noProof/>
        <w:sz w:val="18"/>
        <w:szCs w:val="18"/>
      </w:rPr>
      <w:t>45</w:t>
    </w:r>
    <w:r w:rsidR="00EC4514" w:rsidRPr="00482761">
      <w:rPr>
        <w:noProof/>
        <w:sz w:val="18"/>
        <w:szCs w:val="18"/>
      </w:rPr>
      <w:fldChar w:fldCharType="end"/>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EC4514" w:rsidP="004220FD">
    <w:pPr>
      <w:pStyle w:val="Footer"/>
      <w:tabs>
        <w:tab w:val="right" w:pos="9214"/>
      </w:tabs>
      <w:jc w:val="left"/>
      <w:rPr>
        <w:sz w:val="18"/>
        <w:szCs w:val="18"/>
      </w:rPr>
    </w:pPr>
    <w:r>
      <w:ptab w:relativeTo="margin" w:alignment="right" w:leader="none"/>
    </w:r>
    <w:r w:rsidR="00B85B36">
      <w:fldChar w:fldCharType="begin"/>
    </w:r>
    <w:r w:rsidR="00B85B36">
      <w:instrText xml:space="preserve"> DOCPROPERTY  Project  \* MERGEFORMAT </w:instrText>
    </w:r>
    <w:r w:rsidR="00B85B36">
      <w:fldChar w:fldCharType="separate"/>
    </w:r>
    <w:r w:rsidRPr="00FA0140">
      <w:rPr>
        <w:sz w:val="18"/>
        <w:szCs w:val="18"/>
      </w:rPr>
      <w:t>Ship Anchorage Management in Great Barrier Reef World Heritage Area</w:t>
    </w:r>
    <w:r w:rsidR="00B85B36">
      <w:rPr>
        <w:sz w:val="18"/>
        <w:szCs w:val="18"/>
      </w:rPr>
      <w:fldChar w:fldCharType="end"/>
    </w:r>
    <w:r>
      <w:rPr>
        <w:sz w:val="18"/>
        <w:szCs w:val="18"/>
      </w:rPr>
      <w:t xml:space="preserve"> </w:t>
    </w:r>
    <w:r>
      <w:rPr>
        <w:rFonts w:cs="Arial"/>
        <w:sz w:val="18"/>
        <w:szCs w:val="18"/>
      </w:rPr>
      <w:t>│</w:t>
    </w:r>
    <w:r w:rsidR="00B85B36">
      <w:fldChar w:fldCharType="begin"/>
    </w:r>
    <w:r w:rsidR="00B85B36">
      <w:instrText xml:space="preserve"> DOCPROPERTY  GHDSubject  \* MERGEFORMAT </w:instrText>
    </w:r>
    <w:r w:rsidR="00B85B36">
      <w:fldChar w:fldCharType="separate"/>
    </w:r>
    <w:r w:rsidRPr="00FA0140">
      <w:rPr>
        <w:sz w:val="18"/>
        <w:szCs w:val="18"/>
      </w:rPr>
      <w:t>Cost Benefit Analysis</w:t>
    </w:r>
    <w:r w:rsidR="00B85B36">
      <w:rPr>
        <w:sz w:val="18"/>
        <w:szCs w:val="18"/>
      </w:rPr>
      <w:fldChar w:fldCharType="end"/>
    </w:r>
    <w:r>
      <w:rPr>
        <w:sz w:val="18"/>
        <w:szCs w:val="18"/>
      </w:rPr>
      <w:t xml:space="preserve"> </w:t>
    </w:r>
    <w:r>
      <w:rPr>
        <w:rFonts w:cs="Arial"/>
        <w:sz w:val="18"/>
        <w:szCs w:val="18"/>
      </w:rPr>
      <w:t>│</w:t>
    </w:r>
    <w:r w:rsidRPr="00482761">
      <w:rPr>
        <w:sz w:val="18"/>
        <w:szCs w:val="18"/>
      </w:rPr>
      <w:fldChar w:fldCharType="begin"/>
    </w:r>
    <w:r w:rsidRPr="00482761">
      <w:rPr>
        <w:sz w:val="18"/>
        <w:szCs w:val="18"/>
      </w:rPr>
      <w:instrText xml:space="preserve"> PAGE   \* MERGEFORMAT </w:instrText>
    </w:r>
    <w:r w:rsidRPr="00482761">
      <w:rPr>
        <w:sz w:val="18"/>
        <w:szCs w:val="18"/>
      </w:rPr>
      <w:fldChar w:fldCharType="separate"/>
    </w:r>
    <w:r w:rsidR="00DB625B">
      <w:rPr>
        <w:noProof/>
        <w:sz w:val="18"/>
        <w:szCs w:val="18"/>
      </w:rPr>
      <w:t>46</w:t>
    </w:r>
    <w:r w:rsidRPr="00482761">
      <w:rPr>
        <w:noProof/>
        <w:sz w:val="18"/>
        <w:szCs w:val="18"/>
      </w:rPr>
      <w:fldChar w:fldCharType="end"/>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B85B36" w:rsidP="004220FD">
    <w:pPr>
      <w:pStyle w:val="Footer"/>
      <w:tabs>
        <w:tab w:val="right" w:pos="9214"/>
      </w:tabs>
      <w:jc w:val="left"/>
      <w:rPr>
        <w:sz w:val="18"/>
        <w:szCs w:val="18"/>
      </w:rPr>
    </w:pPr>
    <w:r>
      <w:fldChar w:fldCharType="begin"/>
    </w:r>
    <w:r>
      <w:instrText xml:space="preserve"> DOCPROPERTY  Project  \* MERGEFORMAT </w:instrText>
    </w:r>
    <w:r>
      <w:fldChar w:fldCharType="separate"/>
    </w:r>
    <w:r w:rsidR="00EC4514" w:rsidRPr="00FA0140">
      <w:rPr>
        <w:sz w:val="18"/>
        <w:szCs w:val="18"/>
      </w:rPr>
      <w:t>Ship Anchorage Management in Great Barrier Reef World Heritage Area</w:t>
    </w:r>
    <w:r>
      <w:rPr>
        <w:sz w:val="18"/>
        <w:szCs w:val="18"/>
      </w:rPr>
      <w:fldChar w:fldCharType="end"/>
    </w:r>
    <w:r w:rsidR="00EC4514">
      <w:rPr>
        <w:sz w:val="18"/>
        <w:szCs w:val="18"/>
      </w:rPr>
      <w:t xml:space="preserve"> </w:t>
    </w:r>
    <w:r w:rsidR="00EC4514">
      <w:rPr>
        <w:rFonts w:cs="Arial"/>
        <w:sz w:val="18"/>
        <w:szCs w:val="18"/>
      </w:rPr>
      <w:t>│</w:t>
    </w:r>
    <w:r>
      <w:fldChar w:fldCharType="begin"/>
    </w:r>
    <w:r>
      <w:instrText xml:space="preserve"> DOCPROPERTY  GHDSubject  \* MERGEFORMAT </w:instrText>
    </w:r>
    <w:r>
      <w:fldChar w:fldCharType="separate"/>
    </w:r>
    <w:r w:rsidR="00EC4514" w:rsidRPr="00FA0140">
      <w:rPr>
        <w:sz w:val="18"/>
        <w:szCs w:val="18"/>
      </w:rPr>
      <w:t>Cost Benefit Analysis</w:t>
    </w:r>
    <w:r>
      <w:rPr>
        <w:sz w:val="18"/>
        <w:szCs w:val="18"/>
      </w:rPr>
      <w:fldChar w:fldCharType="end"/>
    </w:r>
    <w:r w:rsidR="00EC4514">
      <w:rPr>
        <w:sz w:val="18"/>
        <w:szCs w:val="18"/>
      </w:rPr>
      <w:t xml:space="preserve"> </w:t>
    </w:r>
    <w:r w:rsidR="00EC4514">
      <w:rPr>
        <w:rFonts w:cs="Arial"/>
        <w:sz w:val="18"/>
        <w:szCs w:val="18"/>
      </w:rPr>
      <w:t>│</w:t>
    </w:r>
    <w:r w:rsidR="00EC4514" w:rsidRPr="00482761">
      <w:rPr>
        <w:sz w:val="18"/>
        <w:szCs w:val="18"/>
      </w:rPr>
      <w:fldChar w:fldCharType="begin"/>
    </w:r>
    <w:r w:rsidR="00EC4514" w:rsidRPr="00482761">
      <w:rPr>
        <w:sz w:val="18"/>
        <w:szCs w:val="18"/>
      </w:rPr>
      <w:instrText xml:space="preserve"> PAGE   \* MERGEFORMAT </w:instrText>
    </w:r>
    <w:r w:rsidR="00EC4514" w:rsidRPr="00482761">
      <w:rPr>
        <w:sz w:val="18"/>
        <w:szCs w:val="18"/>
      </w:rPr>
      <w:fldChar w:fldCharType="separate"/>
    </w:r>
    <w:r w:rsidR="00DB625B">
      <w:rPr>
        <w:noProof/>
        <w:sz w:val="18"/>
        <w:szCs w:val="18"/>
      </w:rPr>
      <w:t>49</w:t>
    </w:r>
    <w:r w:rsidR="00EC4514" w:rsidRPr="00482761">
      <w:rPr>
        <w:noProof/>
        <w:sz w:val="18"/>
        <w:szCs w:val="18"/>
      </w:rPr>
      <w:fldChar w:fldCharType="end"/>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EC4514" w:rsidP="004220FD">
    <w:pPr>
      <w:pStyle w:val="Footer"/>
      <w:tabs>
        <w:tab w:val="right" w:pos="9214"/>
      </w:tabs>
      <w:jc w:val="left"/>
      <w:rPr>
        <w:sz w:val="18"/>
        <w:szCs w:val="18"/>
      </w:rPr>
    </w:pPr>
    <w:r>
      <w:ptab w:relativeTo="margin" w:alignment="right" w:leader="none"/>
    </w:r>
    <w:r w:rsidR="00B85B36">
      <w:fldChar w:fldCharType="begin"/>
    </w:r>
    <w:r w:rsidR="00B85B36">
      <w:instrText xml:space="preserve"> DOCPROPERTY  Project  \* MERGEFORMAT </w:instrText>
    </w:r>
    <w:r w:rsidR="00B85B36">
      <w:fldChar w:fldCharType="separate"/>
    </w:r>
    <w:r w:rsidRPr="00FA0140">
      <w:rPr>
        <w:sz w:val="18"/>
        <w:szCs w:val="18"/>
      </w:rPr>
      <w:t>Ship Anchorage Management in Great Barrier Reef World Heritage Area</w:t>
    </w:r>
    <w:r w:rsidR="00B85B36">
      <w:rPr>
        <w:sz w:val="18"/>
        <w:szCs w:val="18"/>
      </w:rPr>
      <w:fldChar w:fldCharType="end"/>
    </w:r>
    <w:r>
      <w:rPr>
        <w:sz w:val="18"/>
        <w:szCs w:val="18"/>
      </w:rPr>
      <w:t xml:space="preserve"> </w:t>
    </w:r>
    <w:r>
      <w:rPr>
        <w:rFonts w:cs="Arial"/>
        <w:sz w:val="18"/>
        <w:szCs w:val="18"/>
      </w:rPr>
      <w:t>│</w:t>
    </w:r>
    <w:r w:rsidR="00B85B36">
      <w:fldChar w:fldCharType="begin"/>
    </w:r>
    <w:r w:rsidR="00B85B36">
      <w:instrText xml:space="preserve"> DOCPROPERTY  GHDSubject  \* MERGEFORMAT </w:instrText>
    </w:r>
    <w:r w:rsidR="00B85B36">
      <w:fldChar w:fldCharType="separate"/>
    </w:r>
    <w:r w:rsidRPr="00FA0140">
      <w:rPr>
        <w:sz w:val="18"/>
        <w:szCs w:val="18"/>
      </w:rPr>
      <w:t>Cost Benefit Analysis</w:t>
    </w:r>
    <w:r w:rsidR="00B85B36">
      <w:rPr>
        <w:sz w:val="18"/>
        <w:szCs w:val="18"/>
      </w:rPr>
      <w:fldChar w:fldCharType="end"/>
    </w:r>
    <w:r>
      <w:rPr>
        <w:sz w:val="18"/>
        <w:szCs w:val="18"/>
      </w:rPr>
      <w:t xml:space="preserve"> </w:t>
    </w:r>
    <w:r>
      <w:rPr>
        <w:rFonts w:cs="Arial"/>
        <w:sz w:val="18"/>
        <w:szCs w:val="18"/>
      </w:rPr>
      <w:t>│</w:t>
    </w:r>
    <w:r w:rsidRPr="00482761">
      <w:rPr>
        <w:sz w:val="18"/>
        <w:szCs w:val="18"/>
      </w:rPr>
      <w:fldChar w:fldCharType="begin"/>
    </w:r>
    <w:r w:rsidRPr="00482761">
      <w:rPr>
        <w:sz w:val="18"/>
        <w:szCs w:val="18"/>
      </w:rPr>
      <w:instrText xml:space="preserve"> PAGE   \* MERGEFORMAT </w:instrText>
    </w:r>
    <w:r w:rsidRPr="00482761">
      <w:rPr>
        <w:sz w:val="18"/>
        <w:szCs w:val="18"/>
      </w:rPr>
      <w:fldChar w:fldCharType="separate"/>
    </w:r>
    <w:r w:rsidR="00DB625B">
      <w:rPr>
        <w:noProof/>
        <w:sz w:val="18"/>
        <w:szCs w:val="18"/>
      </w:rPr>
      <w:t>50</w:t>
    </w:r>
    <w:r w:rsidRPr="00482761">
      <w:rPr>
        <w:noProof/>
        <w:sz w:val="18"/>
        <w:szCs w:val="18"/>
      </w:rPr>
      <w:fldChar w:fldCharType="end"/>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B85B36" w:rsidP="004220FD">
    <w:pPr>
      <w:pStyle w:val="Footer"/>
      <w:tabs>
        <w:tab w:val="right" w:pos="9214"/>
      </w:tabs>
      <w:jc w:val="left"/>
      <w:rPr>
        <w:sz w:val="18"/>
        <w:szCs w:val="18"/>
      </w:rPr>
    </w:pPr>
    <w:r>
      <w:fldChar w:fldCharType="begin"/>
    </w:r>
    <w:r>
      <w:instrText xml:space="preserve"> DOCPROPERTY  Project  \* </w:instrText>
    </w:r>
    <w:r>
      <w:instrText xml:space="preserve">MERGEFORMAT </w:instrText>
    </w:r>
    <w:r>
      <w:fldChar w:fldCharType="separate"/>
    </w:r>
    <w:r w:rsidR="00EC4514" w:rsidRPr="00FA0140">
      <w:rPr>
        <w:sz w:val="18"/>
        <w:szCs w:val="18"/>
      </w:rPr>
      <w:t>Ship Anchorage Management in Great Barrier Reef World Heritage Area</w:t>
    </w:r>
    <w:r>
      <w:rPr>
        <w:sz w:val="18"/>
        <w:szCs w:val="18"/>
      </w:rPr>
      <w:fldChar w:fldCharType="end"/>
    </w:r>
    <w:r w:rsidR="00EC4514">
      <w:rPr>
        <w:sz w:val="18"/>
        <w:szCs w:val="18"/>
      </w:rPr>
      <w:t xml:space="preserve"> </w:t>
    </w:r>
    <w:r w:rsidR="00EC4514">
      <w:rPr>
        <w:rFonts w:cs="Arial"/>
        <w:sz w:val="18"/>
        <w:szCs w:val="18"/>
      </w:rPr>
      <w:t>│</w:t>
    </w:r>
    <w:r>
      <w:fldChar w:fldCharType="begin"/>
    </w:r>
    <w:r>
      <w:instrText xml:space="preserve"> DOCPROPERTY  GHDSubject  \* MERGEFORMAT </w:instrText>
    </w:r>
    <w:r>
      <w:fldChar w:fldCharType="separate"/>
    </w:r>
    <w:r w:rsidR="00EC4514" w:rsidRPr="00FA0140">
      <w:rPr>
        <w:sz w:val="18"/>
        <w:szCs w:val="18"/>
      </w:rPr>
      <w:t>Cost Benefit Analysis</w:t>
    </w:r>
    <w:r>
      <w:rPr>
        <w:sz w:val="18"/>
        <w:szCs w:val="18"/>
      </w:rPr>
      <w:fldChar w:fldCharType="end"/>
    </w:r>
    <w:r w:rsidR="00EC4514">
      <w:rPr>
        <w:sz w:val="18"/>
        <w:szCs w:val="18"/>
      </w:rPr>
      <w:t xml:space="preserve"> </w:t>
    </w:r>
    <w:r w:rsidR="00EC4514">
      <w:rPr>
        <w:rFonts w:cs="Arial"/>
        <w:sz w:val="18"/>
        <w:szCs w:val="18"/>
      </w:rPr>
      <w:t>│</w:t>
    </w:r>
    <w:r w:rsidR="00EC4514" w:rsidRPr="00482761">
      <w:rPr>
        <w:sz w:val="18"/>
        <w:szCs w:val="18"/>
      </w:rPr>
      <w:fldChar w:fldCharType="begin"/>
    </w:r>
    <w:r w:rsidR="00EC4514" w:rsidRPr="00482761">
      <w:rPr>
        <w:sz w:val="18"/>
        <w:szCs w:val="18"/>
      </w:rPr>
      <w:instrText xml:space="preserve"> PAGE   \* MERGEFORMAT </w:instrText>
    </w:r>
    <w:r w:rsidR="00EC4514" w:rsidRPr="00482761">
      <w:rPr>
        <w:sz w:val="18"/>
        <w:szCs w:val="18"/>
      </w:rPr>
      <w:fldChar w:fldCharType="separate"/>
    </w:r>
    <w:r w:rsidR="00DB625B">
      <w:rPr>
        <w:noProof/>
        <w:sz w:val="18"/>
        <w:szCs w:val="18"/>
      </w:rPr>
      <w:t>54</w:t>
    </w:r>
    <w:r w:rsidR="00EC4514" w:rsidRPr="00482761">
      <w:rPr>
        <w:noProof/>
        <w:sz w:val="18"/>
        <w:szCs w:val="18"/>
      </w:rPr>
      <w:fldChar w:fldCharType="end"/>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EC4514" w:rsidP="004220FD">
    <w:pPr>
      <w:pStyle w:val="Footer"/>
      <w:tabs>
        <w:tab w:val="right" w:pos="9214"/>
      </w:tabs>
      <w:jc w:val="left"/>
      <w:rPr>
        <w:sz w:val="18"/>
        <w:szCs w:val="18"/>
      </w:rPr>
    </w:pPr>
    <w:r>
      <w:ptab w:relativeTo="margin" w:alignment="right" w:leader="none"/>
    </w:r>
    <w:r w:rsidR="00B85B36">
      <w:fldChar w:fldCharType="begin"/>
    </w:r>
    <w:r w:rsidR="00B85B36">
      <w:instrText xml:space="preserve"> DOCPROPERTY  Project  \* MERGEFORMAT </w:instrText>
    </w:r>
    <w:r w:rsidR="00B85B36">
      <w:fldChar w:fldCharType="separate"/>
    </w:r>
    <w:r w:rsidRPr="00FA0140">
      <w:rPr>
        <w:sz w:val="18"/>
        <w:szCs w:val="18"/>
      </w:rPr>
      <w:t>Ship Anchorage Management in Great Barrier Reef World Heritage Area</w:t>
    </w:r>
    <w:r w:rsidR="00B85B36">
      <w:rPr>
        <w:sz w:val="18"/>
        <w:szCs w:val="18"/>
      </w:rPr>
      <w:fldChar w:fldCharType="end"/>
    </w:r>
    <w:r>
      <w:rPr>
        <w:sz w:val="18"/>
        <w:szCs w:val="18"/>
      </w:rPr>
      <w:t xml:space="preserve"> </w:t>
    </w:r>
    <w:r>
      <w:rPr>
        <w:rFonts w:cs="Arial"/>
        <w:sz w:val="18"/>
        <w:szCs w:val="18"/>
      </w:rPr>
      <w:t>│</w:t>
    </w:r>
    <w:r w:rsidR="00B85B36">
      <w:fldChar w:fldCharType="begin"/>
    </w:r>
    <w:r w:rsidR="00B85B36">
      <w:instrText xml:space="preserve"> DOCPROPERTY  GHDSubject  \* MERGEFORMAT </w:instrText>
    </w:r>
    <w:r w:rsidR="00B85B36">
      <w:fldChar w:fldCharType="separate"/>
    </w:r>
    <w:r w:rsidRPr="00FA0140">
      <w:rPr>
        <w:sz w:val="18"/>
        <w:szCs w:val="18"/>
      </w:rPr>
      <w:t>Cost Benefit Analysis</w:t>
    </w:r>
    <w:r w:rsidR="00B85B36">
      <w:rPr>
        <w:sz w:val="18"/>
        <w:szCs w:val="18"/>
      </w:rPr>
      <w:fldChar w:fldCharType="end"/>
    </w:r>
    <w:r>
      <w:rPr>
        <w:sz w:val="18"/>
        <w:szCs w:val="18"/>
      </w:rPr>
      <w:t xml:space="preserve"> </w:t>
    </w:r>
    <w:r>
      <w:rPr>
        <w:rFonts w:cs="Arial"/>
        <w:sz w:val="18"/>
        <w:szCs w:val="18"/>
      </w:rPr>
      <w:t>│</w:t>
    </w:r>
    <w:r w:rsidRPr="00482761">
      <w:rPr>
        <w:sz w:val="18"/>
        <w:szCs w:val="18"/>
      </w:rPr>
      <w:fldChar w:fldCharType="begin"/>
    </w:r>
    <w:r w:rsidRPr="00482761">
      <w:rPr>
        <w:sz w:val="18"/>
        <w:szCs w:val="18"/>
      </w:rPr>
      <w:instrText xml:space="preserve"> PAGE   \* MERGEFORMAT </w:instrText>
    </w:r>
    <w:r w:rsidRPr="00482761">
      <w:rPr>
        <w:sz w:val="18"/>
        <w:szCs w:val="18"/>
      </w:rPr>
      <w:fldChar w:fldCharType="separate"/>
    </w:r>
    <w:r w:rsidR="00DB625B">
      <w:rPr>
        <w:noProof/>
        <w:sz w:val="18"/>
        <w:szCs w:val="18"/>
      </w:rPr>
      <w:t>55</w:t>
    </w:r>
    <w:r w:rsidRPr="00482761">
      <w:rPr>
        <w:noProof/>
        <w:sz w:val="18"/>
        <w:szCs w:val="18"/>
      </w:rPr>
      <w:fldChar w:fldCharType="end"/>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B85B36" w:rsidP="004220FD">
    <w:pPr>
      <w:pStyle w:val="Footer"/>
      <w:tabs>
        <w:tab w:val="right" w:pos="9214"/>
      </w:tabs>
      <w:jc w:val="left"/>
      <w:rPr>
        <w:sz w:val="18"/>
        <w:szCs w:val="18"/>
      </w:rPr>
    </w:pPr>
    <w:r>
      <w:fldChar w:fldCharType="begin"/>
    </w:r>
    <w:r>
      <w:instrText xml:space="preserve"> </w:instrText>
    </w:r>
    <w:r>
      <w:instrText xml:space="preserve">DOCPROPERTY  Project  \* MERGEFORMAT </w:instrText>
    </w:r>
    <w:r>
      <w:fldChar w:fldCharType="separate"/>
    </w:r>
    <w:r w:rsidR="00EC4514" w:rsidRPr="00FA0140">
      <w:rPr>
        <w:sz w:val="18"/>
        <w:szCs w:val="18"/>
      </w:rPr>
      <w:t>Ship Anchorage Management in Great Barrier Reef World Heritage Area</w:t>
    </w:r>
    <w:r>
      <w:rPr>
        <w:sz w:val="18"/>
        <w:szCs w:val="18"/>
      </w:rPr>
      <w:fldChar w:fldCharType="end"/>
    </w:r>
    <w:r w:rsidR="00EC4514">
      <w:rPr>
        <w:sz w:val="18"/>
        <w:szCs w:val="18"/>
      </w:rPr>
      <w:t xml:space="preserve"> </w:t>
    </w:r>
    <w:r w:rsidR="00EC4514">
      <w:rPr>
        <w:rFonts w:cs="Arial"/>
        <w:sz w:val="18"/>
        <w:szCs w:val="18"/>
      </w:rPr>
      <w:t>│</w:t>
    </w:r>
    <w:r>
      <w:fldChar w:fldCharType="begin"/>
    </w:r>
    <w:r>
      <w:instrText xml:space="preserve"> DOCPROPERTY  GHDSubject  \* MERGEFORMAT </w:instrText>
    </w:r>
    <w:r>
      <w:fldChar w:fldCharType="separate"/>
    </w:r>
    <w:r w:rsidR="00EC4514" w:rsidRPr="00FA0140">
      <w:rPr>
        <w:sz w:val="18"/>
        <w:szCs w:val="18"/>
      </w:rPr>
      <w:t>Cost Benefit Analysis</w:t>
    </w:r>
    <w:r>
      <w:rPr>
        <w:sz w:val="18"/>
        <w:szCs w:val="18"/>
      </w:rPr>
      <w:fldChar w:fldCharType="end"/>
    </w:r>
    <w:r w:rsidR="00EC4514">
      <w:rPr>
        <w:sz w:val="18"/>
        <w:szCs w:val="18"/>
      </w:rPr>
      <w:t xml:space="preserve"> </w:t>
    </w:r>
    <w:r w:rsidR="00EC4514">
      <w:rPr>
        <w:rFonts w:cs="Arial"/>
        <w:sz w:val="18"/>
        <w:szCs w:val="18"/>
      </w:rPr>
      <w:t>│</w:t>
    </w:r>
    <w:r w:rsidR="00EC4514" w:rsidRPr="00482761">
      <w:rPr>
        <w:sz w:val="18"/>
        <w:szCs w:val="18"/>
      </w:rPr>
      <w:fldChar w:fldCharType="begin"/>
    </w:r>
    <w:r w:rsidR="00EC4514" w:rsidRPr="00482761">
      <w:rPr>
        <w:sz w:val="18"/>
        <w:szCs w:val="18"/>
      </w:rPr>
      <w:instrText xml:space="preserve"> PAGE   \* MERGEFORMAT </w:instrText>
    </w:r>
    <w:r w:rsidR="00EC4514" w:rsidRPr="00482761">
      <w:rPr>
        <w:sz w:val="18"/>
        <w:szCs w:val="18"/>
      </w:rPr>
      <w:fldChar w:fldCharType="separate"/>
    </w:r>
    <w:r w:rsidR="00DB625B">
      <w:rPr>
        <w:noProof/>
        <w:sz w:val="18"/>
        <w:szCs w:val="18"/>
      </w:rPr>
      <w:t>66</w:t>
    </w:r>
    <w:r w:rsidR="00EC4514" w:rsidRPr="00482761">
      <w:rPr>
        <w:noProof/>
        <w:sz w:val="18"/>
        <w:szCs w:val="18"/>
      </w:rPr>
      <w:fldChar w:fldCharType="end"/>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EC4514" w:rsidP="004220FD">
    <w:pPr>
      <w:pStyle w:val="Footer"/>
      <w:tabs>
        <w:tab w:val="right" w:pos="9214"/>
      </w:tabs>
      <w:jc w:val="left"/>
      <w:rPr>
        <w:sz w:val="18"/>
        <w:szCs w:val="18"/>
      </w:rPr>
    </w:pPr>
    <w:r>
      <w:ptab w:relativeTo="margin" w:alignment="right" w:leader="none"/>
    </w:r>
    <w:r w:rsidR="00B85B36">
      <w:fldChar w:fldCharType="begin"/>
    </w:r>
    <w:r w:rsidR="00B85B36">
      <w:instrText xml:space="preserve"> DOCPROPERTY  Project  \* MERGEFORMAT </w:instrText>
    </w:r>
    <w:r w:rsidR="00B85B36">
      <w:fldChar w:fldCharType="separate"/>
    </w:r>
    <w:r w:rsidRPr="00FA0140">
      <w:rPr>
        <w:sz w:val="18"/>
        <w:szCs w:val="18"/>
      </w:rPr>
      <w:t>Ship Anchorage Management in Great Barrier Reef World Heritage Area</w:t>
    </w:r>
    <w:r w:rsidR="00B85B36">
      <w:rPr>
        <w:sz w:val="18"/>
        <w:szCs w:val="18"/>
      </w:rPr>
      <w:fldChar w:fldCharType="end"/>
    </w:r>
    <w:r>
      <w:rPr>
        <w:sz w:val="18"/>
        <w:szCs w:val="18"/>
      </w:rPr>
      <w:t xml:space="preserve"> </w:t>
    </w:r>
    <w:r>
      <w:rPr>
        <w:rFonts w:cs="Arial"/>
        <w:sz w:val="18"/>
        <w:szCs w:val="18"/>
      </w:rPr>
      <w:t>│</w:t>
    </w:r>
    <w:r w:rsidR="00B85B36">
      <w:fldChar w:fldCharType="begin"/>
    </w:r>
    <w:r w:rsidR="00B85B36">
      <w:instrText xml:space="preserve"> DOCPROPERTY  GHDSubject  \* MERGEFORMAT </w:instrText>
    </w:r>
    <w:r w:rsidR="00B85B36">
      <w:fldChar w:fldCharType="separate"/>
    </w:r>
    <w:r w:rsidRPr="00FA0140">
      <w:rPr>
        <w:sz w:val="18"/>
        <w:szCs w:val="18"/>
      </w:rPr>
      <w:t>Cost Benefit Analysis</w:t>
    </w:r>
    <w:r w:rsidR="00B85B36">
      <w:rPr>
        <w:sz w:val="18"/>
        <w:szCs w:val="18"/>
      </w:rPr>
      <w:fldChar w:fldCharType="end"/>
    </w:r>
    <w:r>
      <w:rPr>
        <w:sz w:val="18"/>
        <w:szCs w:val="18"/>
      </w:rPr>
      <w:t xml:space="preserve"> </w:t>
    </w:r>
    <w:r>
      <w:rPr>
        <w:rFonts w:cs="Arial"/>
        <w:sz w:val="18"/>
        <w:szCs w:val="18"/>
      </w:rPr>
      <w:t>│</w:t>
    </w:r>
    <w:r w:rsidRPr="00482761">
      <w:rPr>
        <w:sz w:val="18"/>
        <w:szCs w:val="18"/>
      </w:rPr>
      <w:fldChar w:fldCharType="begin"/>
    </w:r>
    <w:r w:rsidRPr="00482761">
      <w:rPr>
        <w:sz w:val="18"/>
        <w:szCs w:val="18"/>
      </w:rPr>
      <w:instrText xml:space="preserve"> PAGE   \* MERGEFORMAT </w:instrText>
    </w:r>
    <w:r w:rsidRPr="00482761">
      <w:rPr>
        <w:sz w:val="18"/>
        <w:szCs w:val="18"/>
      </w:rPr>
      <w:fldChar w:fldCharType="separate"/>
    </w:r>
    <w:r w:rsidR="00DB625B">
      <w:rPr>
        <w:noProof/>
        <w:sz w:val="18"/>
        <w:szCs w:val="18"/>
      </w:rPr>
      <w:t>68</w:t>
    </w:r>
    <w:r w:rsidRPr="00482761">
      <w:rPr>
        <w:noProof/>
        <w:sz w:val="18"/>
        <w:szCs w:val="18"/>
      </w:rPr>
      <w:fldChar w:fldCharType="end"/>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B85B36" w:rsidP="004220FD">
    <w:pPr>
      <w:pStyle w:val="Footer"/>
      <w:tabs>
        <w:tab w:val="right" w:pos="9214"/>
      </w:tabs>
      <w:jc w:val="left"/>
      <w:rPr>
        <w:sz w:val="18"/>
        <w:szCs w:val="18"/>
      </w:rPr>
    </w:pPr>
    <w:r>
      <w:fldChar w:fldCharType="begin"/>
    </w:r>
    <w:r>
      <w:instrText xml:space="preserve"> DOCPROPERTY  Project  \* ME</w:instrText>
    </w:r>
    <w:r>
      <w:instrText xml:space="preserve">RGEFORMAT </w:instrText>
    </w:r>
    <w:r>
      <w:fldChar w:fldCharType="separate"/>
    </w:r>
    <w:r w:rsidR="00EC4514" w:rsidRPr="00FA0140">
      <w:rPr>
        <w:sz w:val="18"/>
        <w:szCs w:val="18"/>
      </w:rPr>
      <w:t>Ship Anchorage Management in Great Barrier Reef World Heritage Area</w:t>
    </w:r>
    <w:r>
      <w:rPr>
        <w:sz w:val="18"/>
        <w:szCs w:val="18"/>
      </w:rPr>
      <w:fldChar w:fldCharType="end"/>
    </w:r>
    <w:r w:rsidR="00EC4514">
      <w:rPr>
        <w:sz w:val="18"/>
        <w:szCs w:val="18"/>
      </w:rPr>
      <w:t xml:space="preserve"> </w:t>
    </w:r>
    <w:r w:rsidR="00EC4514">
      <w:rPr>
        <w:rFonts w:cs="Arial"/>
        <w:sz w:val="18"/>
        <w:szCs w:val="18"/>
      </w:rPr>
      <w:t>│</w:t>
    </w:r>
    <w:r>
      <w:fldChar w:fldCharType="begin"/>
    </w:r>
    <w:r>
      <w:instrText xml:space="preserve"> DOCPROPERTY  GHDSubject  \* MERGEFORMAT </w:instrText>
    </w:r>
    <w:r>
      <w:fldChar w:fldCharType="separate"/>
    </w:r>
    <w:r w:rsidR="00EC4514" w:rsidRPr="00FA0140">
      <w:rPr>
        <w:sz w:val="18"/>
        <w:szCs w:val="18"/>
      </w:rPr>
      <w:t>Cost Benefit Analysis</w:t>
    </w:r>
    <w:r>
      <w:rPr>
        <w:sz w:val="18"/>
        <w:szCs w:val="18"/>
      </w:rPr>
      <w:fldChar w:fldCharType="end"/>
    </w:r>
    <w:r w:rsidR="00EC4514">
      <w:rPr>
        <w:sz w:val="18"/>
        <w:szCs w:val="18"/>
      </w:rPr>
      <w:t xml:space="preserve"> </w:t>
    </w:r>
    <w:r w:rsidR="00EC4514">
      <w:rPr>
        <w:rFonts w:cs="Arial"/>
        <w:sz w:val="18"/>
        <w:szCs w:val="18"/>
      </w:rPr>
      <w:t>│</w:t>
    </w:r>
    <w:r w:rsidR="00EC4514" w:rsidRPr="00482761">
      <w:rPr>
        <w:sz w:val="18"/>
        <w:szCs w:val="18"/>
      </w:rPr>
      <w:fldChar w:fldCharType="begin"/>
    </w:r>
    <w:r w:rsidR="00EC4514" w:rsidRPr="00482761">
      <w:rPr>
        <w:sz w:val="18"/>
        <w:szCs w:val="18"/>
      </w:rPr>
      <w:instrText xml:space="preserve"> PAGE   \* MERGEFORMAT </w:instrText>
    </w:r>
    <w:r w:rsidR="00EC4514" w:rsidRPr="00482761">
      <w:rPr>
        <w:sz w:val="18"/>
        <w:szCs w:val="18"/>
      </w:rPr>
      <w:fldChar w:fldCharType="separate"/>
    </w:r>
    <w:r w:rsidR="00DB625B">
      <w:rPr>
        <w:noProof/>
        <w:sz w:val="18"/>
        <w:szCs w:val="18"/>
      </w:rPr>
      <w:t>69</w:t>
    </w:r>
    <w:r w:rsidR="00EC4514" w:rsidRPr="00482761">
      <w:rPr>
        <w:noProof/>
        <w:sz w:val="18"/>
        <w:szCs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66E" w:rsidRPr="00482761" w:rsidRDefault="00B85B36" w:rsidP="00F917AA">
    <w:pPr>
      <w:pStyle w:val="Footer"/>
      <w:tabs>
        <w:tab w:val="left" w:pos="7371"/>
        <w:tab w:val="right" w:pos="9214"/>
      </w:tabs>
      <w:jc w:val="left"/>
      <w:rPr>
        <w:sz w:val="18"/>
        <w:szCs w:val="18"/>
      </w:rPr>
    </w:pPr>
    <w:r>
      <w:fldChar w:fldCharType="begin"/>
    </w:r>
    <w:r>
      <w:instrText xml:space="preserve"> DOCPROPERTY  Project  \* MERGEFORMAT </w:instrText>
    </w:r>
    <w:r>
      <w:fldChar w:fldCharType="separate"/>
    </w:r>
    <w:r w:rsidR="0041066E" w:rsidRPr="00FA0140">
      <w:rPr>
        <w:sz w:val="18"/>
        <w:szCs w:val="18"/>
      </w:rPr>
      <w:t>Ship Anchorage Management in Great Barrier Reef World Heritage Area</w:t>
    </w:r>
    <w:r>
      <w:rPr>
        <w:sz w:val="18"/>
        <w:szCs w:val="18"/>
      </w:rPr>
      <w:fldChar w:fldCharType="end"/>
    </w:r>
    <w:r w:rsidR="0041066E">
      <w:rPr>
        <w:sz w:val="18"/>
        <w:szCs w:val="18"/>
      </w:rPr>
      <w:t xml:space="preserve"> </w:t>
    </w:r>
    <w:r w:rsidR="0041066E">
      <w:rPr>
        <w:rFonts w:cs="Arial"/>
        <w:sz w:val="18"/>
        <w:szCs w:val="18"/>
      </w:rPr>
      <w:t>│</w:t>
    </w:r>
    <w:r>
      <w:fldChar w:fldCharType="begin"/>
    </w:r>
    <w:r>
      <w:instrText xml:space="preserve"> DOCPROPERTY  GHDSubject  \* MERGEFORMAT </w:instrText>
    </w:r>
    <w:r>
      <w:fldChar w:fldCharType="separate"/>
    </w:r>
    <w:r w:rsidR="0041066E" w:rsidRPr="00FA0140">
      <w:rPr>
        <w:sz w:val="18"/>
        <w:szCs w:val="18"/>
      </w:rPr>
      <w:t>Cost Benefit Analysis</w:t>
    </w:r>
    <w:r>
      <w:rPr>
        <w:sz w:val="18"/>
        <w:szCs w:val="18"/>
      </w:rPr>
      <w:fldChar w:fldCharType="end"/>
    </w:r>
    <w:r w:rsidR="0041066E">
      <w:rPr>
        <w:sz w:val="18"/>
        <w:szCs w:val="18"/>
      </w:rPr>
      <w:t xml:space="preserve"> </w:t>
    </w:r>
    <w:r w:rsidR="0041066E">
      <w:rPr>
        <w:rFonts w:cs="Arial"/>
        <w:sz w:val="18"/>
        <w:szCs w:val="18"/>
      </w:rPr>
      <w:t>│</w:t>
    </w:r>
    <w:r w:rsidR="0041066E" w:rsidRPr="00482761">
      <w:rPr>
        <w:sz w:val="18"/>
        <w:szCs w:val="18"/>
      </w:rPr>
      <w:fldChar w:fldCharType="begin"/>
    </w:r>
    <w:r w:rsidR="0041066E" w:rsidRPr="00482761">
      <w:rPr>
        <w:sz w:val="18"/>
        <w:szCs w:val="18"/>
      </w:rPr>
      <w:instrText xml:space="preserve"> PAGE   \* MERGEFORMAT </w:instrText>
    </w:r>
    <w:r w:rsidR="0041066E" w:rsidRPr="00482761">
      <w:rPr>
        <w:sz w:val="18"/>
        <w:szCs w:val="18"/>
      </w:rPr>
      <w:fldChar w:fldCharType="separate"/>
    </w:r>
    <w:r>
      <w:rPr>
        <w:noProof/>
        <w:sz w:val="18"/>
        <w:szCs w:val="18"/>
      </w:rPr>
      <w:t>iii</w:t>
    </w:r>
    <w:r w:rsidR="0041066E" w:rsidRPr="00482761">
      <w:rPr>
        <w:noProof/>
        <w:sz w:val="18"/>
        <w:szCs w:val="18"/>
      </w:rPr>
      <w:fldChar w:fldCharType="end"/>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EC4514" w:rsidP="004220FD">
    <w:pPr>
      <w:pStyle w:val="Footer"/>
      <w:tabs>
        <w:tab w:val="right" w:pos="9214"/>
      </w:tabs>
      <w:jc w:val="left"/>
      <w:rPr>
        <w:sz w:val="18"/>
        <w:szCs w:val="18"/>
      </w:rPr>
    </w:pPr>
    <w:r>
      <w:ptab w:relativeTo="margin" w:alignment="right" w:leader="none"/>
    </w:r>
    <w:r w:rsidR="00B85B36">
      <w:fldChar w:fldCharType="begin"/>
    </w:r>
    <w:r w:rsidR="00B85B36">
      <w:instrText xml:space="preserve"> DOCPROPERTY  Project  \* MERGEFORMAT </w:instrText>
    </w:r>
    <w:r w:rsidR="00B85B36">
      <w:fldChar w:fldCharType="separate"/>
    </w:r>
    <w:r w:rsidRPr="00FA0140">
      <w:rPr>
        <w:sz w:val="18"/>
        <w:szCs w:val="18"/>
      </w:rPr>
      <w:t>Ship Anchorage Management in Great Barrier Reef World Heritage Area</w:t>
    </w:r>
    <w:r w:rsidR="00B85B36">
      <w:rPr>
        <w:sz w:val="18"/>
        <w:szCs w:val="18"/>
      </w:rPr>
      <w:fldChar w:fldCharType="end"/>
    </w:r>
    <w:r>
      <w:rPr>
        <w:sz w:val="18"/>
        <w:szCs w:val="18"/>
      </w:rPr>
      <w:t xml:space="preserve"> </w:t>
    </w:r>
    <w:r>
      <w:rPr>
        <w:rFonts w:cs="Arial"/>
        <w:sz w:val="18"/>
        <w:szCs w:val="18"/>
      </w:rPr>
      <w:t>│</w:t>
    </w:r>
    <w:r w:rsidR="00B85B36">
      <w:fldChar w:fldCharType="begin"/>
    </w:r>
    <w:r w:rsidR="00B85B36">
      <w:instrText xml:space="preserve"> DOCPROPERTY  GHDSubject  \* MERGEFORMAT </w:instrText>
    </w:r>
    <w:r w:rsidR="00B85B36">
      <w:fldChar w:fldCharType="separate"/>
    </w:r>
    <w:r w:rsidRPr="00FA0140">
      <w:rPr>
        <w:sz w:val="18"/>
        <w:szCs w:val="18"/>
      </w:rPr>
      <w:t>Cost Benefit Analysis</w:t>
    </w:r>
    <w:r w:rsidR="00B85B36">
      <w:rPr>
        <w:sz w:val="18"/>
        <w:szCs w:val="18"/>
      </w:rPr>
      <w:fldChar w:fldCharType="end"/>
    </w:r>
    <w:r>
      <w:rPr>
        <w:sz w:val="18"/>
        <w:szCs w:val="18"/>
      </w:rPr>
      <w:t xml:space="preserve"> </w:t>
    </w:r>
    <w:r>
      <w:rPr>
        <w:rFonts w:cs="Arial"/>
        <w:sz w:val="18"/>
        <w:szCs w:val="18"/>
      </w:rPr>
      <w:t>│</w:t>
    </w:r>
    <w:r w:rsidRPr="00482761">
      <w:rPr>
        <w:sz w:val="18"/>
        <w:szCs w:val="18"/>
      </w:rPr>
      <w:fldChar w:fldCharType="begin"/>
    </w:r>
    <w:r w:rsidRPr="00482761">
      <w:rPr>
        <w:sz w:val="18"/>
        <w:szCs w:val="18"/>
      </w:rPr>
      <w:instrText xml:space="preserve"> PAGE   \* MERGEFORMAT </w:instrText>
    </w:r>
    <w:r w:rsidRPr="00482761">
      <w:rPr>
        <w:sz w:val="18"/>
        <w:szCs w:val="18"/>
      </w:rPr>
      <w:fldChar w:fldCharType="separate"/>
    </w:r>
    <w:r w:rsidR="00DB625B">
      <w:rPr>
        <w:noProof/>
        <w:sz w:val="18"/>
        <w:szCs w:val="18"/>
      </w:rPr>
      <w:t>71</w:t>
    </w:r>
    <w:r w:rsidRPr="00482761">
      <w:rPr>
        <w:noProof/>
        <w:sz w:val="18"/>
        <w:szCs w:val="18"/>
      </w:rPr>
      <w:fldChar w:fldCharType="end"/>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B85B36" w:rsidP="004220FD">
    <w:pPr>
      <w:pStyle w:val="Footer"/>
      <w:tabs>
        <w:tab w:val="right" w:pos="9214"/>
      </w:tabs>
      <w:jc w:val="left"/>
      <w:rPr>
        <w:sz w:val="18"/>
        <w:szCs w:val="18"/>
      </w:rPr>
    </w:pPr>
    <w:r>
      <w:fldChar w:fldCharType="begin"/>
    </w:r>
    <w:r>
      <w:instrText xml:space="preserve"> DOCPROPERTY  Project  \* ME</w:instrText>
    </w:r>
    <w:r>
      <w:instrText xml:space="preserve">RGEFORMAT </w:instrText>
    </w:r>
    <w:r>
      <w:fldChar w:fldCharType="separate"/>
    </w:r>
    <w:r w:rsidR="00EC4514" w:rsidRPr="00FA0140">
      <w:rPr>
        <w:sz w:val="18"/>
        <w:szCs w:val="18"/>
      </w:rPr>
      <w:t>Ship Anchorage Management in Great Barrier Reef World Heritage Area</w:t>
    </w:r>
    <w:r>
      <w:rPr>
        <w:sz w:val="18"/>
        <w:szCs w:val="18"/>
      </w:rPr>
      <w:fldChar w:fldCharType="end"/>
    </w:r>
    <w:r w:rsidR="00EC4514">
      <w:rPr>
        <w:sz w:val="18"/>
        <w:szCs w:val="18"/>
      </w:rPr>
      <w:t xml:space="preserve"> </w:t>
    </w:r>
    <w:r w:rsidR="00EC4514">
      <w:rPr>
        <w:rFonts w:cs="Arial"/>
        <w:sz w:val="18"/>
        <w:szCs w:val="18"/>
      </w:rPr>
      <w:t>│</w:t>
    </w:r>
    <w:r>
      <w:fldChar w:fldCharType="begin"/>
    </w:r>
    <w:r>
      <w:instrText xml:space="preserve"> DOCPROPERTY  GHDSubject  \* MERGEFORMAT </w:instrText>
    </w:r>
    <w:r>
      <w:fldChar w:fldCharType="separate"/>
    </w:r>
    <w:r w:rsidR="00EC4514" w:rsidRPr="00FA0140">
      <w:rPr>
        <w:sz w:val="18"/>
        <w:szCs w:val="18"/>
      </w:rPr>
      <w:t>Cost Benefit Analysis</w:t>
    </w:r>
    <w:r>
      <w:rPr>
        <w:sz w:val="18"/>
        <w:szCs w:val="18"/>
      </w:rPr>
      <w:fldChar w:fldCharType="end"/>
    </w:r>
    <w:r w:rsidR="00EC4514">
      <w:rPr>
        <w:sz w:val="18"/>
        <w:szCs w:val="18"/>
      </w:rPr>
      <w:t xml:space="preserve"> </w:t>
    </w:r>
    <w:r w:rsidR="00EC4514">
      <w:rPr>
        <w:rFonts w:cs="Arial"/>
        <w:sz w:val="18"/>
        <w:szCs w:val="18"/>
      </w:rPr>
      <w:t>│</w:t>
    </w:r>
    <w:r w:rsidR="00EC4514" w:rsidRPr="00482761">
      <w:rPr>
        <w:sz w:val="18"/>
        <w:szCs w:val="18"/>
      </w:rPr>
      <w:fldChar w:fldCharType="begin"/>
    </w:r>
    <w:r w:rsidR="00EC4514" w:rsidRPr="00482761">
      <w:rPr>
        <w:sz w:val="18"/>
        <w:szCs w:val="18"/>
      </w:rPr>
      <w:instrText xml:space="preserve"> PAGE   \* MERGEFORMAT </w:instrText>
    </w:r>
    <w:r w:rsidR="00EC4514" w:rsidRPr="00482761">
      <w:rPr>
        <w:sz w:val="18"/>
        <w:szCs w:val="18"/>
      </w:rPr>
      <w:fldChar w:fldCharType="separate"/>
    </w:r>
    <w:r w:rsidR="00DB625B">
      <w:rPr>
        <w:noProof/>
        <w:sz w:val="18"/>
        <w:szCs w:val="18"/>
      </w:rPr>
      <w:t>72</w:t>
    </w:r>
    <w:r w:rsidR="00EC4514" w:rsidRPr="00482761">
      <w:rPr>
        <w:noProof/>
        <w:sz w:val="18"/>
        <w:szCs w:val="18"/>
      </w:rPr>
      <w:fldChar w:fldCharType="end"/>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EC4514" w:rsidP="004220FD">
    <w:pPr>
      <w:pStyle w:val="Footer"/>
      <w:tabs>
        <w:tab w:val="right" w:pos="9214"/>
      </w:tabs>
      <w:jc w:val="left"/>
      <w:rPr>
        <w:sz w:val="18"/>
        <w:szCs w:val="18"/>
      </w:rPr>
    </w:pPr>
    <w:r>
      <w:ptab w:relativeTo="margin" w:alignment="right" w:leader="none"/>
    </w:r>
    <w:r w:rsidR="00B85B36">
      <w:fldChar w:fldCharType="begin"/>
    </w:r>
    <w:r w:rsidR="00B85B36">
      <w:instrText xml:space="preserve"> DOCPROPERTY  Project  \* MERGEFORMAT </w:instrText>
    </w:r>
    <w:r w:rsidR="00B85B36">
      <w:fldChar w:fldCharType="separate"/>
    </w:r>
    <w:r w:rsidRPr="00FA0140">
      <w:rPr>
        <w:sz w:val="18"/>
        <w:szCs w:val="18"/>
      </w:rPr>
      <w:t>Ship Anchorage Management in Great Barrier Reef World Heritage Area</w:t>
    </w:r>
    <w:r w:rsidR="00B85B36">
      <w:rPr>
        <w:sz w:val="18"/>
        <w:szCs w:val="18"/>
      </w:rPr>
      <w:fldChar w:fldCharType="end"/>
    </w:r>
    <w:r>
      <w:rPr>
        <w:sz w:val="18"/>
        <w:szCs w:val="18"/>
      </w:rPr>
      <w:t xml:space="preserve"> </w:t>
    </w:r>
    <w:r>
      <w:rPr>
        <w:rFonts w:cs="Arial"/>
        <w:sz w:val="18"/>
        <w:szCs w:val="18"/>
      </w:rPr>
      <w:t>│</w:t>
    </w:r>
    <w:r w:rsidR="00B85B36">
      <w:fldChar w:fldCharType="begin"/>
    </w:r>
    <w:r w:rsidR="00B85B36">
      <w:instrText xml:space="preserve"> DOCPROPERTY  GHDSubject  \* MERGEFORMAT </w:instrText>
    </w:r>
    <w:r w:rsidR="00B85B36">
      <w:fldChar w:fldCharType="separate"/>
    </w:r>
    <w:r w:rsidRPr="00FA0140">
      <w:rPr>
        <w:sz w:val="18"/>
        <w:szCs w:val="18"/>
      </w:rPr>
      <w:t>Cost Benefit Analysis</w:t>
    </w:r>
    <w:r w:rsidR="00B85B36">
      <w:rPr>
        <w:sz w:val="18"/>
        <w:szCs w:val="18"/>
      </w:rPr>
      <w:fldChar w:fldCharType="end"/>
    </w:r>
    <w:r>
      <w:rPr>
        <w:sz w:val="18"/>
        <w:szCs w:val="18"/>
      </w:rPr>
      <w:t xml:space="preserve"> </w:t>
    </w:r>
    <w:r>
      <w:rPr>
        <w:rFonts w:cs="Arial"/>
        <w:sz w:val="18"/>
        <w:szCs w:val="18"/>
      </w:rPr>
      <w:t>│</w:t>
    </w:r>
    <w:r w:rsidRPr="00482761">
      <w:rPr>
        <w:sz w:val="18"/>
        <w:szCs w:val="18"/>
      </w:rPr>
      <w:fldChar w:fldCharType="begin"/>
    </w:r>
    <w:r w:rsidRPr="00482761">
      <w:rPr>
        <w:sz w:val="18"/>
        <w:szCs w:val="18"/>
      </w:rPr>
      <w:instrText xml:space="preserve"> PAGE   \* MERGEFORMAT </w:instrText>
    </w:r>
    <w:r w:rsidRPr="00482761">
      <w:rPr>
        <w:sz w:val="18"/>
        <w:szCs w:val="18"/>
      </w:rPr>
      <w:fldChar w:fldCharType="separate"/>
    </w:r>
    <w:r w:rsidR="00DB625B">
      <w:rPr>
        <w:noProof/>
        <w:sz w:val="18"/>
        <w:szCs w:val="18"/>
      </w:rPr>
      <w:t>74</w:t>
    </w:r>
    <w:r w:rsidRPr="00482761">
      <w:rPr>
        <w:noProof/>
        <w:sz w:val="18"/>
        <w:szCs w:val="18"/>
      </w:rPr>
      <w:fldChar w:fldCharType="end"/>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B85B36" w:rsidP="004220FD">
    <w:pPr>
      <w:pStyle w:val="Footer"/>
      <w:tabs>
        <w:tab w:val="right" w:pos="9214"/>
      </w:tabs>
      <w:jc w:val="left"/>
      <w:rPr>
        <w:sz w:val="18"/>
        <w:szCs w:val="18"/>
      </w:rPr>
    </w:pPr>
    <w:r>
      <w:fldChar w:fldCharType="begin"/>
    </w:r>
    <w:r>
      <w:instrText xml:space="preserve"> DOCPROPERTY  Project  \* MERGEFORMAT </w:instrText>
    </w:r>
    <w:r>
      <w:fldChar w:fldCharType="separate"/>
    </w:r>
    <w:r w:rsidR="00EC4514" w:rsidRPr="00FA0140">
      <w:rPr>
        <w:sz w:val="18"/>
        <w:szCs w:val="18"/>
      </w:rPr>
      <w:t>Ship Anchorage Management in Great Barrier Reef World Heritage Area</w:t>
    </w:r>
    <w:r>
      <w:rPr>
        <w:sz w:val="18"/>
        <w:szCs w:val="18"/>
      </w:rPr>
      <w:fldChar w:fldCharType="end"/>
    </w:r>
    <w:r w:rsidR="00EC4514">
      <w:rPr>
        <w:sz w:val="18"/>
        <w:szCs w:val="18"/>
      </w:rPr>
      <w:t xml:space="preserve"> </w:t>
    </w:r>
    <w:r w:rsidR="00EC4514">
      <w:rPr>
        <w:rFonts w:cs="Arial"/>
        <w:sz w:val="18"/>
        <w:szCs w:val="18"/>
      </w:rPr>
      <w:t>│</w:t>
    </w:r>
    <w:r>
      <w:fldChar w:fldCharType="begin"/>
    </w:r>
    <w:r>
      <w:instrText xml:space="preserve"> DOCPROPERTY  GHDSubject  \* MERGEFORMAT </w:instrText>
    </w:r>
    <w:r>
      <w:fldChar w:fldCharType="separate"/>
    </w:r>
    <w:r w:rsidR="00EC4514" w:rsidRPr="00FA0140">
      <w:rPr>
        <w:sz w:val="18"/>
        <w:szCs w:val="18"/>
      </w:rPr>
      <w:t>Cost Benefit Analysis</w:t>
    </w:r>
    <w:r>
      <w:rPr>
        <w:sz w:val="18"/>
        <w:szCs w:val="18"/>
      </w:rPr>
      <w:fldChar w:fldCharType="end"/>
    </w:r>
    <w:r w:rsidR="00EC4514">
      <w:rPr>
        <w:sz w:val="18"/>
        <w:szCs w:val="18"/>
      </w:rPr>
      <w:t xml:space="preserve"> </w:t>
    </w:r>
    <w:r w:rsidR="00EC4514">
      <w:rPr>
        <w:rFonts w:cs="Arial"/>
        <w:sz w:val="18"/>
        <w:szCs w:val="18"/>
      </w:rPr>
      <w:t>│</w:t>
    </w:r>
    <w:r w:rsidR="00EC4514" w:rsidRPr="00482761">
      <w:rPr>
        <w:sz w:val="18"/>
        <w:szCs w:val="18"/>
      </w:rPr>
      <w:fldChar w:fldCharType="begin"/>
    </w:r>
    <w:r w:rsidR="00EC4514" w:rsidRPr="00482761">
      <w:rPr>
        <w:sz w:val="18"/>
        <w:szCs w:val="18"/>
      </w:rPr>
      <w:instrText xml:space="preserve"> PAGE   \* MERGEFORMAT </w:instrText>
    </w:r>
    <w:r w:rsidR="00EC4514" w:rsidRPr="00482761">
      <w:rPr>
        <w:sz w:val="18"/>
        <w:szCs w:val="18"/>
      </w:rPr>
      <w:fldChar w:fldCharType="separate"/>
    </w:r>
    <w:r w:rsidR="00DB625B">
      <w:rPr>
        <w:noProof/>
        <w:sz w:val="18"/>
        <w:szCs w:val="18"/>
      </w:rPr>
      <w:t>75</w:t>
    </w:r>
    <w:r w:rsidR="00EC4514" w:rsidRPr="00482761">
      <w:rPr>
        <w:noProof/>
        <w:sz w:val="18"/>
        <w:szCs w:val="18"/>
      </w:rPr>
      <w:fldChar w:fldCharType="end"/>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EC4514" w:rsidP="004220FD">
    <w:pPr>
      <w:pStyle w:val="Footer"/>
      <w:tabs>
        <w:tab w:val="right" w:pos="9214"/>
      </w:tabs>
      <w:jc w:val="left"/>
      <w:rPr>
        <w:sz w:val="18"/>
        <w:szCs w:val="18"/>
      </w:rPr>
    </w:pPr>
    <w:r>
      <w:ptab w:relativeTo="margin" w:alignment="right" w:leader="none"/>
    </w:r>
    <w:r w:rsidR="00B85B36">
      <w:fldChar w:fldCharType="begin"/>
    </w:r>
    <w:r w:rsidR="00B85B36">
      <w:instrText xml:space="preserve"> DOCPROPERTY  Project  \* MERGEFORMAT </w:instrText>
    </w:r>
    <w:r w:rsidR="00B85B36">
      <w:fldChar w:fldCharType="separate"/>
    </w:r>
    <w:r w:rsidRPr="00FA0140">
      <w:rPr>
        <w:sz w:val="18"/>
        <w:szCs w:val="18"/>
      </w:rPr>
      <w:t>Ship Anchorage Management in Great Barrier Reef World Heritage Area</w:t>
    </w:r>
    <w:r w:rsidR="00B85B36">
      <w:rPr>
        <w:sz w:val="18"/>
        <w:szCs w:val="18"/>
      </w:rPr>
      <w:fldChar w:fldCharType="end"/>
    </w:r>
    <w:r>
      <w:rPr>
        <w:sz w:val="18"/>
        <w:szCs w:val="18"/>
      </w:rPr>
      <w:t xml:space="preserve"> </w:t>
    </w:r>
    <w:r>
      <w:rPr>
        <w:rFonts w:cs="Arial"/>
        <w:sz w:val="18"/>
        <w:szCs w:val="18"/>
      </w:rPr>
      <w:t>│</w:t>
    </w:r>
    <w:r w:rsidR="00B85B36">
      <w:fldChar w:fldCharType="begin"/>
    </w:r>
    <w:r w:rsidR="00B85B36">
      <w:instrText xml:space="preserve"> DOCPROPERTY  GHDSubject  \* MERGEFORMAT </w:instrText>
    </w:r>
    <w:r w:rsidR="00B85B36">
      <w:fldChar w:fldCharType="separate"/>
    </w:r>
    <w:r w:rsidRPr="00FA0140">
      <w:rPr>
        <w:sz w:val="18"/>
        <w:szCs w:val="18"/>
      </w:rPr>
      <w:t>Cost Benefit Analysis</w:t>
    </w:r>
    <w:r w:rsidR="00B85B36">
      <w:rPr>
        <w:sz w:val="18"/>
        <w:szCs w:val="18"/>
      </w:rPr>
      <w:fldChar w:fldCharType="end"/>
    </w:r>
    <w:r>
      <w:rPr>
        <w:sz w:val="18"/>
        <w:szCs w:val="18"/>
      </w:rPr>
      <w:t xml:space="preserve"> </w:t>
    </w:r>
    <w:r>
      <w:rPr>
        <w:rFonts w:cs="Arial"/>
        <w:sz w:val="18"/>
        <w:szCs w:val="18"/>
      </w:rPr>
      <w:t>│</w:t>
    </w:r>
    <w:r w:rsidRPr="00482761">
      <w:rPr>
        <w:sz w:val="18"/>
        <w:szCs w:val="18"/>
      </w:rPr>
      <w:fldChar w:fldCharType="begin"/>
    </w:r>
    <w:r w:rsidRPr="00482761">
      <w:rPr>
        <w:sz w:val="18"/>
        <w:szCs w:val="18"/>
      </w:rPr>
      <w:instrText xml:space="preserve"> PAGE   \* MERGEFORMAT </w:instrText>
    </w:r>
    <w:r w:rsidRPr="00482761">
      <w:rPr>
        <w:sz w:val="18"/>
        <w:szCs w:val="18"/>
      </w:rPr>
      <w:fldChar w:fldCharType="separate"/>
    </w:r>
    <w:r w:rsidR="00DB625B">
      <w:rPr>
        <w:noProof/>
        <w:sz w:val="18"/>
        <w:szCs w:val="18"/>
      </w:rPr>
      <w:t>77</w:t>
    </w:r>
    <w:r w:rsidRPr="00482761">
      <w:rPr>
        <w:noProof/>
        <w:sz w:val="18"/>
        <w:szCs w:val="18"/>
      </w:rPr>
      <w:fldChar w:fldCharType="end"/>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B85B36" w:rsidP="004220FD">
    <w:pPr>
      <w:pStyle w:val="Footer"/>
      <w:tabs>
        <w:tab w:val="right" w:pos="9214"/>
      </w:tabs>
      <w:jc w:val="left"/>
      <w:rPr>
        <w:sz w:val="18"/>
        <w:szCs w:val="18"/>
      </w:rPr>
    </w:pPr>
    <w:r>
      <w:fldChar w:fldCharType="begin"/>
    </w:r>
    <w:r>
      <w:instrText xml:space="preserve"> DOCPROPERTY  Project  \* MERGEFORMAT </w:instrText>
    </w:r>
    <w:r>
      <w:fldChar w:fldCharType="separate"/>
    </w:r>
    <w:r w:rsidR="00EC4514" w:rsidRPr="00FA0140">
      <w:rPr>
        <w:sz w:val="18"/>
        <w:szCs w:val="18"/>
      </w:rPr>
      <w:t>Ship Anchorage Management in Great Barrier Reef World Heritage Area</w:t>
    </w:r>
    <w:r>
      <w:rPr>
        <w:sz w:val="18"/>
        <w:szCs w:val="18"/>
      </w:rPr>
      <w:fldChar w:fldCharType="end"/>
    </w:r>
    <w:r w:rsidR="00EC4514">
      <w:rPr>
        <w:sz w:val="18"/>
        <w:szCs w:val="18"/>
      </w:rPr>
      <w:t xml:space="preserve"> </w:t>
    </w:r>
    <w:r w:rsidR="00EC4514">
      <w:rPr>
        <w:rFonts w:cs="Arial"/>
        <w:sz w:val="18"/>
        <w:szCs w:val="18"/>
      </w:rPr>
      <w:t>│</w:t>
    </w:r>
    <w:r>
      <w:fldChar w:fldCharType="begin"/>
    </w:r>
    <w:r>
      <w:instrText xml:space="preserve"> DOCPROPERTY  GHDSubject  \* MERGEFORMAT </w:instrText>
    </w:r>
    <w:r>
      <w:fldChar w:fldCharType="separate"/>
    </w:r>
    <w:r w:rsidR="00EC4514" w:rsidRPr="00FA0140">
      <w:rPr>
        <w:sz w:val="18"/>
        <w:szCs w:val="18"/>
      </w:rPr>
      <w:t>Cost Benefit Analysis</w:t>
    </w:r>
    <w:r>
      <w:rPr>
        <w:sz w:val="18"/>
        <w:szCs w:val="18"/>
      </w:rPr>
      <w:fldChar w:fldCharType="end"/>
    </w:r>
    <w:r w:rsidR="00EC4514">
      <w:rPr>
        <w:sz w:val="18"/>
        <w:szCs w:val="18"/>
      </w:rPr>
      <w:t xml:space="preserve"> </w:t>
    </w:r>
    <w:r w:rsidR="00EC4514">
      <w:rPr>
        <w:rFonts w:cs="Arial"/>
        <w:sz w:val="18"/>
        <w:szCs w:val="18"/>
      </w:rPr>
      <w:t>│</w:t>
    </w:r>
    <w:r w:rsidR="00EC4514" w:rsidRPr="00482761">
      <w:rPr>
        <w:sz w:val="18"/>
        <w:szCs w:val="18"/>
      </w:rPr>
      <w:fldChar w:fldCharType="begin"/>
    </w:r>
    <w:r w:rsidR="00EC4514" w:rsidRPr="00482761">
      <w:rPr>
        <w:sz w:val="18"/>
        <w:szCs w:val="18"/>
      </w:rPr>
      <w:instrText xml:space="preserve"> PAGE   \* MERGEFORMAT </w:instrText>
    </w:r>
    <w:r w:rsidR="00EC4514" w:rsidRPr="00482761">
      <w:rPr>
        <w:sz w:val="18"/>
        <w:szCs w:val="18"/>
      </w:rPr>
      <w:fldChar w:fldCharType="separate"/>
    </w:r>
    <w:r w:rsidR="00DB625B">
      <w:rPr>
        <w:noProof/>
        <w:sz w:val="18"/>
        <w:szCs w:val="18"/>
      </w:rPr>
      <w:t>79</w:t>
    </w:r>
    <w:r w:rsidR="00EC4514" w:rsidRPr="00482761">
      <w:rPr>
        <w:noProof/>
        <w:sz w:val="18"/>
        <w:szCs w:val="18"/>
      </w:rPr>
      <w:fldChar w:fldCharType="end"/>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EC4514" w:rsidP="004220FD">
    <w:pPr>
      <w:pStyle w:val="Footer"/>
      <w:tabs>
        <w:tab w:val="right" w:pos="9214"/>
      </w:tabs>
      <w:jc w:val="left"/>
      <w:rPr>
        <w:sz w:val="18"/>
        <w:szCs w:val="18"/>
      </w:rPr>
    </w:pPr>
    <w:r>
      <w:ptab w:relativeTo="margin" w:alignment="right" w:leader="none"/>
    </w:r>
    <w:r w:rsidR="00B85B36">
      <w:fldChar w:fldCharType="begin"/>
    </w:r>
    <w:r w:rsidR="00B85B36">
      <w:instrText xml:space="preserve"> DOCPROPERTY  Project  \* MERGEFORMAT </w:instrText>
    </w:r>
    <w:r w:rsidR="00B85B36">
      <w:fldChar w:fldCharType="separate"/>
    </w:r>
    <w:r w:rsidRPr="00FA0140">
      <w:rPr>
        <w:sz w:val="18"/>
        <w:szCs w:val="18"/>
      </w:rPr>
      <w:t>Ship Anchorage Management in Great Barrier Reef World Heritage Area</w:t>
    </w:r>
    <w:r w:rsidR="00B85B36">
      <w:rPr>
        <w:sz w:val="18"/>
        <w:szCs w:val="18"/>
      </w:rPr>
      <w:fldChar w:fldCharType="end"/>
    </w:r>
    <w:r>
      <w:rPr>
        <w:sz w:val="18"/>
        <w:szCs w:val="18"/>
      </w:rPr>
      <w:t xml:space="preserve"> </w:t>
    </w:r>
    <w:r>
      <w:rPr>
        <w:rFonts w:cs="Arial"/>
        <w:sz w:val="18"/>
        <w:szCs w:val="18"/>
      </w:rPr>
      <w:t>│</w:t>
    </w:r>
    <w:r w:rsidR="00B85B36">
      <w:fldChar w:fldCharType="begin"/>
    </w:r>
    <w:r w:rsidR="00B85B36">
      <w:instrText xml:space="preserve"> DOCPROPERTY  GHDSubject  \* MERGEFORMAT </w:instrText>
    </w:r>
    <w:r w:rsidR="00B85B36">
      <w:fldChar w:fldCharType="separate"/>
    </w:r>
    <w:r w:rsidRPr="00FA0140">
      <w:rPr>
        <w:sz w:val="18"/>
        <w:szCs w:val="18"/>
      </w:rPr>
      <w:t>Cost Benefit Analysis</w:t>
    </w:r>
    <w:r w:rsidR="00B85B36">
      <w:rPr>
        <w:sz w:val="18"/>
        <w:szCs w:val="18"/>
      </w:rPr>
      <w:fldChar w:fldCharType="end"/>
    </w:r>
    <w:r>
      <w:rPr>
        <w:sz w:val="18"/>
        <w:szCs w:val="18"/>
      </w:rPr>
      <w:t xml:space="preserve"> </w:t>
    </w:r>
    <w:r>
      <w:rPr>
        <w:rFonts w:cs="Arial"/>
        <w:sz w:val="18"/>
        <w:szCs w:val="18"/>
      </w:rPr>
      <w:t>│</w:t>
    </w:r>
    <w:r w:rsidRPr="00482761">
      <w:rPr>
        <w:sz w:val="18"/>
        <w:szCs w:val="18"/>
      </w:rPr>
      <w:fldChar w:fldCharType="begin"/>
    </w:r>
    <w:r w:rsidRPr="00482761">
      <w:rPr>
        <w:sz w:val="18"/>
        <w:szCs w:val="18"/>
      </w:rPr>
      <w:instrText xml:space="preserve"> PAGE   \* MERGEFORMAT </w:instrText>
    </w:r>
    <w:r w:rsidRPr="00482761">
      <w:rPr>
        <w:sz w:val="18"/>
        <w:szCs w:val="18"/>
      </w:rPr>
      <w:fldChar w:fldCharType="separate"/>
    </w:r>
    <w:r w:rsidR="00DB625B">
      <w:rPr>
        <w:noProof/>
        <w:sz w:val="18"/>
        <w:szCs w:val="18"/>
      </w:rPr>
      <w:t>81</w:t>
    </w:r>
    <w:r w:rsidRPr="00482761">
      <w:rPr>
        <w:noProof/>
        <w:sz w:val="18"/>
        <w:szCs w:val="18"/>
      </w:rPr>
      <w:fldChar w:fldCharType="end"/>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66E" w:rsidRPr="00482761" w:rsidRDefault="00B85B36" w:rsidP="004220FD">
    <w:pPr>
      <w:pStyle w:val="Footer"/>
      <w:tabs>
        <w:tab w:val="right" w:pos="9214"/>
      </w:tabs>
      <w:jc w:val="left"/>
      <w:rPr>
        <w:sz w:val="18"/>
        <w:szCs w:val="18"/>
      </w:rPr>
    </w:pPr>
    <w:r>
      <w:fldChar w:fldCharType="begin"/>
    </w:r>
    <w:r>
      <w:instrText xml:space="preserve"> DOCPROPERTY  Project  \* MERGEFORMAT </w:instrText>
    </w:r>
    <w:r>
      <w:fldChar w:fldCharType="separate"/>
    </w:r>
    <w:r w:rsidR="0041066E" w:rsidRPr="00FA0140">
      <w:rPr>
        <w:sz w:val="18"/>
        <w:szCs w:val="18"/>
      </w:rPr>
      <w:t>Ship Anchorage Management in Great Barrier Reef World Heritage Area</w:t>
    </w:r>
    <w:r>
      <w:rPr>
        <w:sz w:val="18"/>
        <w:szCs w:val="18"/>
      </w:rPr>
      <w:fldChar w:fldCharType="end"/>
    </w:r>
    <w:r w:rsidR="0041066E">
      <w:rPr>
        <w:sz w:val="18"/>
        <w:szCs w:val="18"/>
      </w:rPr>
      <w:t xml:space="preserve"> </w:t>
    </w:r>
    <w:r w:rsidR="0041066E">
      <w:rPr>
        <w:rFonts w:cs="Arial"/>
        <w:sz w:val="18"/>
        <w:szCs w:val="18"/>
      </w:rPr>
      <w:t>│</w:t>
    </w:r>
    <w:r>
      <w:fldChar w:fldCharType="begin"/>
    </w:r>
    <w:r>
      <w:instrText xml:space="preserve"> DOCPROPERTY  GHDSubject  \* MERGEFORMAT </w:instrText>
    </w:r>
    <w:r>
      <w:fldChar w:fldCharType="separate"/>
    </w:r>
    <w:r w:rsidR="0041066E" w:rsidRPr="00FA0140">
      <w:rPr>
        <w:sz w:val="18"/>
        <w:szCs w:val="18"/>
      </w:rPr>
      <w:t>Cost Benefit Analysis</w:t>
    </w:r>
    <w:r>
      <w:rPr>
        <w:sz w:val="18"/>
        <w:szCs w:val="18"/>
      </w:rPr>
      <w:fldChar w:fldCharType="end"/>
    </w:r>
    <w:r w:rsidR="0041066E">
      <w:rPr>
        <w:sz w:val="18"/>
        <w:szCs w:val="18"/>
      </w:rPr>
      <w:t xml:space="preserve"> </w:t>
    </w:r>
    <w:r w:rsidR="0041066E">
      <w:rPr>
        <w:rFonts w:cs="Arial"/>
        <w:sz w:val="18"/>
        <w:szCs w:val="18"/>
      </w:rPr>
      <w:t>│</w:t>
    </w:r>
    <w:r w:rsidR="0041066E" w:rsidRPr="00482761">
      <w:rPr>
        <w:sz w:val="18"/>
        <w:szCs w:val="18"/>
      </w:rPr>
      <w:fldChar w:fldCharType="begin"/>
    </w:r>
    <w:r w:rsidR="0041066E" w:rsidRPr="00482761">
      <w:rPr>
        <w:sz w:val="18"/>
        <w:szCs w:val="18"/>
      </w:rPr>
      <w:instrText xml:space="preserve"> PAGE   \* MERGEFORMAT </w:instrText>
    </w:r>
    <w:r w:rsidR="0041066E" w:rsidRPr="00482761">
      <w:rPr>
        <w:sz w:val="18"/>
        <w:szCs w:val="18"/>
      </w:rPr>
      <w:fldChar w:fldCharType="separate"/>
    </w:r>
    <w:r w:rsidR="00DB625B">
      <w:rPr>
        <w:noProof/>
        <w:sz w:val="18"/>
        <w:szCs w:val="18"/>
      </w:rPr>
      <w:t>95</w:t>
    </w:r>
    <w:r w:rsidR="0041066E" w:rsidRPr="00482761">
      <w:rPr>
        <w:noProof/>
        <w:sz w:val="18"/>
        <w:szCs w:val="18"/>
      </w:rPr>
      <w:fldChar w:fldCharType="end"/>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66E" w:rsidRPr="00482761" w:rsidRDefault="00B85B36" w:rsidP="004220FD">
    <w:pPr>
      <w:pStyle w:val="Footer"/>
      <w:tabs>
        <w:tab w:val="right" w:pos="9214"/>
      </w:tabs>
      <w:jc w:val="left"/>
      <w:rPr>
        <w:sz w:val="18"/>
        <w:szCs w:val="18"/>
      </w:rPr>
    </w:pPr>
    <w:r>
      <w:fldChar w:fldCharType="begin"/>
    </w:r>
    <w:r>
      <w:instrText xml:space="preserve"> DOCPROPERTY  Project  \* MERGEFORMAT </w:instrText>
    </w:r>
    <w:r>
      <w:fldChar w:fldCharType="separate"/>
    </w:r>
    <w:r w:rsidR="0041066E" w:rsidRPr="00FA0140">
      <w:rPr>
        <w:sz w:val="18"/>
        <w:szCs w:val="18"/>
      </w:rPr>
      <w:t>Ship Anchorage Management in Great Barrier Reef World Heritage Area</w:t>
    </w:r>
    <w:r>
      <w:rPr>
        <w:sz w:val="18"/>
        <w:szCs w:val="18"/>
      </w:rPr>
      <w:fldChar w:fldCharType="end"/>
    </w:r>
    <w:r w:rsidR="0041066E">
      <w:rPr>
        <w:sz w:val="18"/>
        <w:szCs w:val="18"/>
      </w:rPr>
      <w:t xml:space="preserve"> </w:t>
    </w:r>
    <w:r w:rsidR="0041066E">
      <w:rPr>
        <w:rFonts w:cs="Arial"/>
        <w:sz w:val="18"/>
        <w:szCs w:val="18"/>
      </w:rPr>
      <w:t>│</w:t>
    </w:r>
    <w:r>
      <w:fldChar w:fldCharType="begin"/>
    </w:r>
    <w:r>
      <w:instrText xml:space="preserve"> DOCPROPERTY  GHDSubject  \* MERGEFORMAT </w:instrText>
    </w:r>
    <w:r>
      <w:fldChar w:fldCharType="separate"/>
    </w:r>
    <w:r w:rsidR="0041066E" w:rsidRPr="00FA0140">
      <w:rPr>
        <w:sz w:val="18"/>
        <w:szCs w:val="18"/>
      </w:rPr>
      <w:t>Cost Benefit Analysis</w:t>
    </w:r>
    <w:r>
      <w:rPr>
        <w:sz w:val="18"/>
        <w:szCs w:val="18"/>
      </w:rPr>
      <w:fldChar w:fldCharType="end"/>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66E" w:rsidRPr="004220FD" w:rsidRDefault="00F51870" w:rsidP="004220FD">
    <w:pPr>
      <w:pStyle w:val="Footer"/>
      <w:tabs>
        <w:tab w:val="right" w:pos="9214"/>
      </w:tabs>
      <w:jc w:val="left"/>
      <w:rPr>
        <w:sz w:val="18"/>
        <w:szCs w:val="18"/>
      </w:rPr>
    </w:pPr>
    <w:r>
      <w:ptab w:relativeTo="margin" w:alignment="right" w:leader="none"/>
    </w:r>
    <w:r w:rsidR="00B85B36">
      <w:fldChar w:fldCharType="begin"/>
    </w:r>
    <w:r w:rsidR="00B85B36">
      <w:instrText xml:space="preserve"> DOCPROPERTY  Project  \* MERGEFORMAT </w:instrText>
    </w:r>
    <w:r w:rsidR="00B85B36">
      <w:fldChar w:fldCharType="separate"/>
    </w:r>
    <w:r w:rsidR="0041066E" w:rsidRPr="00FA0140">
      <w:rPr>
        <w:sz w:val="18"/>
        <w:szCs w:val="18"/>
      </w:rPr>
      <w:t>Ship Anchorage Management in Great Barrier Reef World Heritage Area</w:t>
    </w:r>
    <w:r w:rsidR="00B85B36">
      <w:rPr>
        <w:sz w:val="18"/>
        <w:szCs w:val="18"/>
      </w:rPr>
      <w:fldChar w:fldCharType="end"/>
    </w:r>
    <w:r w:rsidR="0041066E">
      <w:rPr>
        <w:sz w:val="18"/>
        <w:szCs w:val="18"/>
      </w:rPr>
      <w:t xml:space="preserve"> </w:t>
    </w:r>
    <w:r w:rsidR="0041066E">
      <w:rPr>
        <w:rFonts w:cs="Arial"/>
        <w:sz w:val="18"/>
        <w:szCs w:val="18"/>
      </w:rPr>
      <w:t>│</w:t>
    </w:r>
    <w:r w:rsidR="00B85B36">
      <w:fldChar w:fldCharType="begin"/>
    </w:r>
    <w:r w:rsidR="00B85B36">
      <w:instrText xml:space="preserve"> DOCPROPERTY  GHDSubject  \* MERGEFORMAT </w:instrText>
    </w:r>
    <w:r w:rsidR="00B85B36">
      <w:fldChar w:fldCharType="separate"/>
    </w:r>
    <w:r w:rsidR="0041066E" w:rsidRPr="00FA0140">
      <w:rPr>
        <w:sz w:val="18"/>
        <w:szCs w:val="18"/>
      </w:rPr>
      <w:t>Cost Benefit Analysis</w:t>
    </w:r>
    <w:r w:rsidR="00B85B36">
      <w:rPr>
        <w:sz w:val="18"/>
        <w:szCs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66E" w:rsidRPr="00482761" w:rsidRDefault="00B85B36" w:rsidP="004220FD">
    <w:pPr>
      <w:pStyle w:val="Footer"/>
      <w:tabs>
        <w:tab w:val="right" w:pos="9214"/>
      </w:tabs>
      <w:jc w:val="left"/>
      <w:rPr>
        <w:sz w:val="18"/>
        <w:szCs w:val="18"/>
      </w:rPr>
    </w:pPr>
    <w:r>
      <w:fldChar w:fldCharType="begin"/>
    </w:r>
    <w:r>
      <w:instrText xml:space="preserve"> DOCPROPERTY  Project  \* MERGEFORMAT </w:instrText>
    </w:r>
    <w:r>
      <w:fldChar w:fldCharType="separate"/>
    </w:r>
    <w:r w:rsidR="0041066E" w:rsidRPr="00FA0140">
      <w:rPr>
        <w:sz w:val="18"/>
        <w:szCs w:val="18"/>
      </w:rPr>
      <w:t>Ship Anchorage Management in Great Barrier Reef World Heritage Area</w:t>
    </w:r>
    <w:r>
      <w:rPr>
        <w:sz w:val="18"/>
        <w:szCs w:val="18"/>
      </w:rPr>
      <w:fldChar w:fldCharType="end"/>
    </w:r>
    <w:r w:rsidR="0041066E">
      <w:rPr>
        <w:sz w:val="18"/>
        <w:szCs w:val="18"/>
      </w:rPr>
      <w:t xml:space="preserve"> </w:t>
    </w:r>
    <w:r w:rsidR="0041066E">
      <w:rPr>
        <w:rFonts w:cs="Arial"/>
        <w:sz w:val="18"/>
        <w:szCs w:val="18"/>
      </w:rPr>
      <w:t>│</w:t>
    </w:r>
    <w:r>
      <w:fldChar w:fldCharType="begin"/>
    </w:r>
    <w:r>
      <w:instrText xml:space="preserve"> DOCPROPERTY  GHDSubject  \* MERGEFORMAT </w:instrText>
    </w:r>
    <w:r>
      <w:fldChar w:fldCharType="separate"/>
    </w:r>
    <w:r w:rsidR="0041066E" w:rsidRPr="00FA0140">
      <w:rPr>
        <w:sz w:val="18"/>
        <w:szCs w:val="18"/>
      </w:rPr>
      <w:t>Cost Benefit Analysis</w:t>
    </w:r>
    <w:r>
      <w:rPr>
        <w:sz w:val="18"/>
        <w:szCs w:val="18"/>
      </w:rPr>
      <w:fldChar w:fldCharType="end"/>
    </w:r>
    <w:r w:rsidR="0041066E">
      <w:rPr>
        <w:sz w:val="18"/>
        <w:szCs w:val="18"/>
      </w:rPr>
      <w:t xml:space="preserve"> </w:t>
    </w:r>
    <w:r w:rsidR="0041066E">
      <w:rPr>
        <w:rFonts w:cs="Arial"/>
        <w:sz w:val="18"/>
        <w:szCs w:val="18"/>
      </w:rPr>
      <w:t>│</w:t>
    </w:r>
    <w:r w:rsidR="0041066E" w:rsidRPr="00482761">
      <w:rPr>
        <w:sz w:val="18"/>
        <w:szCs w:val="18"/>
      </w:rPr>
      <w:fldChar w:fldCharType="begin"/>
    </w:r>
    <w:r w:rsidR="0041066E" w:rsidRPr="00482761">
      <w:rPr>
        <w:sz w:val="18"/>
        <w:szCs w:val="18"/>
      </w:rPr>
      <w:instrText xml:space="preserve"> PAGE   \* MERGEFORMAT </w:instrText>
    </w:r>
    <w:r w:rsidR="0041066E" w:rsidRPr="00482761">
      <w:rPr>
        <w:sz w:val="18"/>
        <w:szCs w:val="18"/>
      </w:rPr>
      <w:fldChar w:fldCharType="separate"/>
    </w:r>
    <w:r>
      <w:rPr>
        <w:noProof/>
        <w:sz w:val="18"/>
        <w:szCs w:val="18"/>
      </w:rPr>
      <w:t>xi</w:t>
    </w:r>
    <w:r w:rsidR="0041066E" w:rsidRPr="00482761">
      <w:rPr>
        <w:noProof/>
        <w:sz w:val="18"/>
        <w:szCs w:val="18"/>
      </w:rPr>
      <w:fldChar w:fldCharType="end"/>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1870" w:rsidRPr="004220FD" w:rsidRDefault="00B85B36" w:rsidP="004220FD">
    <w:pPr>
      <w:pStyle w:val="Footer"/>
      <w:tabs>
        <w:tab w:val="right" w:pos="9214"/>
      </w:tabs>
      <w:jc w:val="left"/>
      <w:rPr>
        <w:sz w:val="18"/>
        <w:szCs w:val="18"/>
      </w:rPr>
    </w:pPr>
    <w:r>
      <w:fldChar w:fldCharType="begin"/>
    </w:r>
    <w:r>
      <w:instrText xml:space="preserve"> DOCPROPERTY  Project  \* MERGEFORMAT </w:instrText>
    </w:r>
    <w:r>
      <w:fldChar w:fldCharType="separate"/>
    </w:r>
    <w:r w:rsidR="00F51870" w:rsidRPr="00FA0140">
      <w:rPr>
        <w:sz w:val="18"/>
        <w:szCs w:val="18"/>
      </w:rPr>
      <w:t>Ship Anchorage Management in Great Barrier Reef World Heritage Area</w:t>
    </w:r>
    <w:r>
      <w:rPr>
        <w:sz w:val="18"/>
        <w:szCs w:val="18"/>
      </w:rPr>
      <w:fldChar w:fldCharType="end"/>
    </w:r>
    <w:r w:rsidR="00F51870">
      <w:rPr>
        <w:sz w:val="18"/>
        <w:szCs w:val="18"/>
      </w:rPr>
      <w:t xml:space="preserve"> </w:t>
    </w:r>
    <w:r w:rsidR="00F51870">
      <w:rPr>
        <w:rFonts w:cs="Arial"/>
        <w:sz w:val="18"/>
        <w:szCs w:val="18"/>
      </w:rPr>
      <w:t>│</w:t>
    </w:r>
    <w:r>
      <w:fldChar w:fldCharType="begin"/>
    </w:r>
    <w:r>
      <w:instrText xml:space="preserve"> DOCPROPERTY  GHDSubject  \* MERGEFORMAT </w:instrText>
    </w:r>
    <w:r>
      <w:fldChar w:fldCharType="separate"/>
    </w:r>
    <w:r w:rsidR="00F51870" w:rsidRPr="00FA0140">
      <w:rPr>
        <w:sz w:val="18"/>
        <w:szCs w:val="18"/>
      </w:rPr>
      <w:t>Cost Benefit Analysis</w:t>
    </w:r>
    <w:r>
      <w:rPr>
        <w:sz w:val="18"/>
        <w:szCs w:val="18"/>
      </w:rPr>
      <w:fldChar w:fldCharType="end"/>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66E" w:rsidRPr="004220FD" w:rsidRDefault="00B85B36" w:rsidP="004220FD">
    <w:pPr>
      <w:pStyle w:val="Footer"/>
      <w:tabs>
        <w:tab w:val="right" w:pos="9214"/>
      </w:tabs>
      <w:jc w:val="left"/>
      <w:rPr>
        <w:sz w:val="18"/>
        <w:szCs w:val="18"/>
      </w:rPr>
    </w:pPr>
    <w:r>
      <w:fldChar w:fldCharType="begin"/>
    </w:r>
    <w:r>
      <w:instrText xml:space="preserve"> DOCPROPERTY  Project  \* MERGEFORMAT </w:instrText>
    </w:r>
    <w:r>
      <w:fldChar w:fldCharType="separate"/>
    </w:r>
    <w:r w:rsidR="0041066E" w:rsidRPr="00FA0140">
      <w:rPr>
        <w:sz w:val="18"/>
        <w:szCs w:val="18"/>
      </w:rPr>
      <w:t>Ship Anchorage Management in Great Barrier Reef World Heritage Area</w:t>
    </w:r>
    <w:r>
      <w:rPr>
        <w:sz w:val="18"/>
        <w:szCs w:val="18"/>
      </w:rPr>
      <w:fldChar w:fldCharType="end"/>
    </w:r>
    <w:r w:rsidR="0041066E">
      <w:rPr>
        <w:sz w:val="18"/>
        <w:szCs w:val="18"/>
      </w:rPr>
      <w:t xml:space="preserve"> </w:t>
    </w:r>
    <w:r w:rsidR="0041066E">
      <w:rPr>
        <w:rFonts w:cs="Arial"/>
        <w:sz w:val="18"/>
        <w:szCs w:val="18"/>
      </w:rPr>
      <w:t>│</w:t>
    </w:r>
    <w:r>
      <w:fldChar w:fldCharType="begin"/>
    </w:r>
    <w:r>
      <w:instrText xml:space="preserve"> DOCPROPERTY  GHDSubject  \* MERGEFORMAT </w:instrText>
    </w:r>
    <w:r>
      <w:fldChar w:fldCharType="separate"/>
    </w:r>
    <w:r w:rsidR="0041066E" w:rsidRPr="00FA0140">
      <w:rPr>
        <w:sz w:val="18"/>
        <w:szCs w:val="18"/>
      </w:rPr>
      <w:t>Cost Benefit Analysis</w:t>
    </w:r>
    <w:r>
      <w:rPr>
        <w:sz w:val="18"/>
        <w:szCs w:val="18"/>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EC4514" w:rsidP="004220FD">
    <w:pPr>
      <w:pStyle w:val="Footer"/>
      <w:tabs>
        <w:tab w:val="right" w:pos="9214"/>
      </w:tabs>
      <w:jc w:val="left"/>
      <w:rPr>
        <w:sz w:val="18"/>
        <w:szCs w:val="18"/>
      </w:rPr>
    </w:pPr>
    <w:r>
      <w:ptab w:relativeTo="margin" w:alignment="right" w:leader="none"/>
    </w:r>
    <w:r w:rsidR="00B85B36">
      <w:fldChar w:fldCharType="begin"/>
    </w:r>
    <w:r w:rsidR="00B85B36">
      <w:instrText xml:space="preserve"> DOCPROPERTY  Project  \* MERGEFORMAT </w:instrText>
    </w:r>
    <w:r w:rsidR="00B85B36">
      <w:fldChar w:fldCharType="separate"/>
    </w:r>
    <w:r w:rsidRPr="00FA0140">
      <w:rPr>
        <w:sz w:val="18"/>
        <w:szCs w:val="18"/>
      </w:rPr>
      <w:t>Ship Anchorage Management in Great Barrier Reef World Heritage Area</w:t>
    </w:r>
    <w:r w:rsidR="00B85B36">
      <w:rPr>
        <w:sz w:val="18"/>
        <w:szCs w:val="18"/>
      </w:rPr>
      <w:fldChar w:fldCharType="end"/>
    </w:r>
    <w:r>
      <w:rPr>
        <w:sz w:val="18"/>
        <w:szCs w:val="18"/>
      </w:rPr>
      <w:t xml:space="preserve"> </w:t>
    </w:r>
    <w:r>
      <w:rPr>
        <w:rFonts w:cs="Arial"/>
        <w:sz w:val="18"/>
        <w:szCs w:val="18"/>
      </w:rPr>
      <w:t>│</w:t>
    </w:r>
    <w:r w:rsidR="00B85B36">
      <w:fldChar w:fldCharType="begin"/>
    </w:r>
    <w:r w:rsidR="00B85B36">
      <w:instrText xml:space="preserve"> DOCPROPERTY  GHDSubject  \* MERGEFORMAT </w:instrText>
    </w:r>
    <w:r w:rsidR="00B85B36">
      <w:fldChar w:fldCharType="separate"/>
    </w:r>
    <w:r w:rsidRPr="00FA0140">
      <w:rPr>
        <w:sz w:val="18"/>
        <w:szCs w:val="18"/>
      </w:rPr>
      <w:t>Cost Benefit Analysis</w:t>
    </w:r>
    <w:r w:rsidR="00B85B36">
      <w:rPr>
        <w:sz w:val="18"/>
        <w:szCs w:val="18"/>
      </w:rPr>
      <w:fldChar w:fldCharType="end"/>
    </w:r>
    <w:r>
      <w:rPr>
        <w:sz w:val="18"/>
        <w:szCs w:val="18"/>
      </w:rPr>
      <w:t xml:space="preserve"> </w:t>
    </w:r>
    <w:r>
      <w:rPr>
        <w:rFonts w:cs="Arial"/>
        <w:sz w:val="18"/>
        <w:szCs w:val="18"/>
      </w:rPr>
      <w:t>│</w:t>
    </w:r>
    <w:r w:rsidRPr="00482761">
      <w:rPr>
        <w:sz w:val="18"/>
        <w:szCs w:val="18"/>
      </w:rPr>
      <w:fldChar w:fldCharType="begin"/>
    </w:r>
    <w:r w:rsidRPr="00482761">
      <w:rPr>
        <w:sz w:val="18"/>
        <w:szCs w:val="18"/>
      </w:rPr>
      <w:instrText xml:space="preserve"> PAGE   \* MERGEFORMAT </w:instrText>
    </w:r>
    <w:r w:rsidRPr="00482761">
      <w:rPr>
        <w:sz w:val="18"/>
        <w:szCs w:val="18"/>
      </w:rPr>
      <w:fldChar w:fldCharType="separate"/>
    </w:r>
    <w:r w:rsidR="00B85B36">
      <w:rPr>
        <w:noProof/>
        <w:sz w:val="18"/>
        <w:szCs w:val="18"/>
      </w:rPr>
      <w:t>xii</w:t>
    </w:r>
    <w:r w:rsidRPr="00482761">
      <w:rPr>
        <w:noProof/>
        <w:sz w:val="18"/>
        <w:szCs w:val="18"/>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B85B36" w:rsidP="004220FD">
    <w:pPr>
      <w:pStyle w:val="Footer"/>
      <w:tabs>
        <w:tab w:val="right" w:pos="9214"/>
      </w:tabs>
      <w:jc w:val="left"/>
      <w:rPr>
        <w:sz w:val="18"/>
        <w:szCs w:val="18"/>
      </w:rPr>
    </w:pPr>
    <w:r>
      <w:fldChar w:fldCharType="begin"/>
    </w:r>
    <w:r>
      <w:instrText xml:space="preserve"> DOCPROPERTY  Project  \* MERGEFORMAT </w:instrText>
    </w:r>
    <w:r>
      <w:fldChar w:fldCharType="separate"/>
    </w:r>
    <w:r w:rsidR="00EC4514" w:rsidRPr="00FA0140">
      <w:rPr>
        <w:sz w:val="18"/>
        <w:szCs w:val="18"/>
      </w:rPr>
      <w:t>Ship Anchorage Management in Great Barrier Reef World Heritage Area</w:t>
    </w:r>
    <w:r>
      <w:rPr>
        <w:sz w:val="18"/>
        <w:szCs w:val="18"/>
      </w:rPr>
      <w:fldChar w:fldCharType="end"/>
    </w:r>
    <w:r w:rsidR="00EC4514">
      <w:rPr>
        <w:sz w:val="18"/>
        <w:szCs w:val="18"/>
      </w:rPr>
      <w:t xml:space="preserve"> </w:t>
    </w:r>
    <w:r w:rsidR="00EC4514">
      <w:rPr>
        <w:rFonts w:cs="Arial"/>
        <w:sz w:val="18"/>
        <w:szCs w:val="18"/>
      </w:rPr>
      <w:t>│</w:t>
    </w:r>
    <w:r>
      <w:fldChar w:fldCharType="begin"/>
    </w:r>
    <w:r>
      <w:instrText xml:space="preserve"> DOCPROPERTY  GHDSubject  \* MERGEFORMAT </w:instrText>
    </w:r>
    <w:r>
      <w:fldChar w:fldCharType="separate"/>
    </w:r>
    <w:r w:rsidR="00EC4514" w:rsidRPr="00FA0140">
      <w:rPr>
        <w:sz w:val="18"/>
        <w:szCs w:val="18"/>
      </w:rPr>
      <w:t>Cost Benefit Analysis</w:t>
    </w:r>
    <w:r>
      <w:rPr>
        <w:sz w:val="18"/>
        <w:szCs w:val="18"/>
      </w:rPr>
      <w:fldChar w:fldCharType="end"/>
    </w:r>
    <w:r w:rsidR="00EC4514">
      <w:rPr>
        <w:sz w:val="18"/>
        <w:szCs w:val="18"/>
      </w:rPr>
      <w:t xml:space="preserve"> </w:t>
    </w:r>
    <w:r w:rsidR="00EC4514">
      <w:rPr>
        <w:rFonts w:cs="Arial"/>
        <w:sz w:val="18"/>
        <w:szCs w:val="18"/>
      </w:rPr>
      <w:t>│</w:t>
    </w:r>
    <w:r w:rsidR="00EC4514" w:rsidRPr="00482761">
      <w:rPr>
        <w:sz w:val="18"/>
        <w:szCs w:val="18"/>
      </w:rPr>
      <w:fldChar w:fldCharType="begin"/>
    </w:r>
    <w:r w:rsidR="00EC4514" w:rsidRPr="00482761">
      <w:rPr>
        <w:sz w:val="18"/>
        <w:szCs w:val="18"/>
      </w:rPr>
      <w:instrText xml:space="preserve"> PAGE   \* MERGEFORMAT </w:instrText>
    </w:r>
    <w:r w:rsidR="00EC4514" w:rsidRPr="00482761">
      <w:rPr>
        <w:sz w:val="18"/>
        <w:szCs w:val="18"/>
      </w:rPr>
      <w:fldChar w:fldCharType="separate"/>
    </w:r>
    <w:r>
      <w:rPr>
        <w:noProof/>
        <w:sz w:val="18"/>
        <w:szCs w:val="18"/>
      </w:rPr>
      <w:t>16</w:t>
    </w:r>
    <w:r w:rsidR="00EC4514" w:rsidRPr="00482761">
      <w:rPr>
        <w:noProof/>
        <w:sz w:val="18"/>
        <w:szCs w:val="18"/>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EC4514" w:rsidP="004220FD">
    <w:pPr>
      <w:pStyle w:val="Footer"/>
      <w:tabs>
        <w:tab w:val="right" w:pos="9214"/>
      </w:tabs>
      <w:jc w:val="left"/>
      <w:rPr>
        <w:sz w:val="18"/>
        <w:szCs w:val="18"/>
      </w:rPr>
    </w:pPr>
    <w:r>
      <w:ptab w:relativeTo="margin" w:alignment="right" w:leader="none"/>
    </w:r>
    <w:r w:rsidR="00B85B36">
      <w:fldChar w:fldCharType="begin"/>
    </w:r>
    <w:r w:rsidR="00B85B36">
      <w:instrText xml:space="preserve"> DOCPROPERTY  Project  \* MERGEFORMAT </w:instrText>
    </w:r>
    <w:r w:rsidR="00B85B36">
      <w:fldChar w:fldCharType="separate"/>
    </w:r>
    <w:r w:rsidRPr="00FA0140">
      <w:rPr>
        <w:sz w:val="18"/>
        <w:szCs w:val="18"/>
      </w:rPr>
      <w:t>Ship Anchorage Management in Great Barrier Reef World Heritage Area</w:t>
    </w:r>
    <w:r w:rsidR="00B85B36">
      <w:rPr>
        <w:sz w:val="18"/>
        <w:szCs w:val="18"/>
      </w:rPr>
      <w:fldChar w:fldCharType="end"/>
    </w:r>
    <w:r>
      <w:rPr>
        <w:sz w:val="18"/>
        <w:szCs w:val="18"/>
      </w:rPr>
      <w:t xml:space="preserve"> </w:t>
    </w:r>
    <w:r>
      <w:rPr>
        <w:rFonts w:cs="Arial"/>
        <w:sz w:val="18"/>
        <w:szCs w:val="18"/>
      </w:rPr>
      <w:t>│</w:t>
    </w:r>
    <w:r w:rsidR="00B85B36">
      <w:fldChar w:fldCharType="begin"/>
    </w:r>
    <w:r w:rsidR="00B85B36">
      <w:instrText xml:space="preserve"> DOCPROPERTY  GHDSubject  \* MERGEFORMAT </w:instrText>
    </w:r>
    <w:r w:rsidR="00B85B36">
      <w:fldChar w:fldCharType="separate"/>
    </w:r>
    <w:r w:rsidRPr="00FA0140">
      <w:rPr>
        <w:sz w:val="18"/>
        <w:szCs w:val="18"/>
      </w:rPr>
      <w:t>Cost Benefit Analysis</w:t>
    </w:r>
    <w:r w:rsidR="00B85B36">
      <w:rPr>
        <w:sz w:val="18"/>
        <w:szCs w:val="18"/>
      </w:rPr>
      <w:fldChar w:fldCharType="end"/>
    </w:r>
    <w:r>
      <w:rPr>
        <w:sz w:val="18"/>
        <w:szCs w:val="18"/>
      </w:rPr>
      <w:t xml:space="preserve"> </w:t>
    </w:r>
    <w:r>
      <w:rPr>
        <w:rFonts w:cs="Arial"/>
        <w:sz w:val="18"/>
        <w:szCs w:val="18"/>
      </w:rPr>
      <w:t>│</w:t>
    </w:r>
    <w:r w:rsidRPr="00482761">
      <w:rPr>
        <w:sz w:val="18"/>
        <w:szCs w:val="18"/>
      </w:rPr>
      <w:fldChar w:fldCharType="begin"/>
    </w:r>
    <w:r w:rsidRPr="00482761">
      <w:rPr>
        <w:sz w:val="18"/>
        <w:szCs w:val="18"/>
      </w:rPr>
      <w:instrText xml:space="preserve"> PAGE   \* MERGEFORMAT </w:instrText>
    </w:r>
    <w:r w:rsidRPr="00482761">
      <w:rPr>
        <w:sz w:val="18"/>
        <w:szCs w:val="18"/>
      </w:rPr>
      <w:fldChar w:fldCharType="separate"/>
    </w:r>
    <w:r w:rsidR="00DB625B">
      <w:rPr>
        <w:noProof/>
        <w:sz w:val="18"/>
        <w:szCs w:val="18"/>
      </w:rPr>
      <w:t>34</w:t>
    </w:r>
    <w:r w:rsidRPr="00482761">
      <w:rPr>
        <w:noProof/>
        <w:sz w:val="18"/>
        <w:szCs w:val="18"/>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B85B36" w:rsidP="004220FD">
    <w:pPr>
      <w:pStyle w:val="Footer"/>
      <w:tabs>
        <w:tab w:val="right" w:pos="9214"/>
      </w:tabs>
      <w:jc w:val="left"/>
      <w:rPr>
        <w:sz w:val="18"/>
        <w:szCs w:val="18"/>
      </w:rPr>
    </w:pPr>
    <w:r>
      <w:fldChar w:fldCharType="begin"/>
    </w:r>
    <w:r>
      <w:instrText xml:space="preserve"> DOCPROPERTY  Project  \* MERGEFORMAT </w:instrText>
    </w:r>
    <w:r>
      <w:fldChar w:fldCharType="separate"/>
    </w:r>
    <w:r w:rsidR="00EC4514" w:rsidRPr="00FA0140">
      <w:rPr>
        <w:sz w:val="18"/>
        <w:szCs w:val="18"/>
      </w:rPr>
      <w:t>Ship Anchorage Management in Great Barrier Reef World Heritage Area</w:t>
    </w:r>
    <w:r>
      <w:rPr>
        <w:sz w:val="18"/>
        <w:szCs w:val="18"/>
      </w:rPr>
      <w:fldChar w:fldCharType="end"/>
    </w:r>
    <w:r w:rsidR="00EC4514">
      <w:rPr>
        <w:sz w:val="18"/>
        <w:szCs w:val="18"/>
      </w:rPr>
      <w:t xml:space="preserve"> </w:t>
    </w:r>
    <w:r w:rsidR="00EC4514">
      <w:rPr>
        <w:rFonts w:cs="Arial"/>
        <w:sz w:val="18"/>
        <w:szCs w:val="18"/>
      </w:rPr>
      <w:t>│</w:t>
    </w:r>
    <w:r>
      <w:fldChar w:fldCharType="begin"/>
    </w:r>
    <w:r>
      <w:instrText xml:space="preserve"> DOCPROPERTY  GHDSubject  \* MERGEFORMAT </w:instrText>
    </w:r>
    <w:r>
      <w:fldChar w:fldCharType="separate"/>
    </w:r>
    <w:r w:rsidR="00EC4514" w:rsidRPr="00FA0140">
      <w:rPr>
        <w:sz w:val="18"/>
        <w:szCs w:val="18"/>
      </w:rPr>
      <w:t>Cost Benefit Analysis</w:t>
    </w:r>
    <w:r>
      <w:rPr>
        <w:sz w:val="18"/>
        <w:szCs w:val="18"/>
      </w:rPr>
      <w:fldChar w:fldCharType="end"/>
    </w:r>
    <w:r w:rsidR="00EC4514">
      <w:rPr>
        <w:sz w:val="18"/>
        <w:szCs w:val="18"/>
      </w:rPr>
      <w:t xml:space="preserve"> </w:t>
    </w:r>
    <w:r w:rsidR="00EC4514">
      <w:rPr>
        <w:rFonts w:cs="Arial"/>
        <w:sz w:val="18"/>
        <w:szCs w:val="18"/>
      </w:rPr>
      <w:t>│</w:t>
    </w:r>
    <w:r w:rsidR="00EC4514" w:rsidRPr="00482761">
      <w:rPr>
        <w:sz w:val="18"/>
        <w:szCs w:val="18"/>
      </w:rPr>
      <w:fldChar w:fldCharType="begin"/>
    </w:r>
    <w:r w:rsidR="00EC4514" w:rsidRPr="00482761">
      <w:rPr>
        <w:sz w:val="18"/>
        <w:szCs w:val="18"/>
      </w:rPr>
      <w:instrText xml:space="preserve"> PAGE   \* MERGEFORMAT </w:instrText>
    </w:r>
    <w:r w:rsidR="00EC4514" w:rsidRPr="00482761">
      <w:rPr>
        <w:sz w:val="18"/>
        <w:szCs w:val="18"/>
      </w:rPr>
      <w:fldChar w:fldCharType="separate"/>
    </w:r>
    <w:r w:rsidR="00DB625B">
      <w:rPr>
        <w:noProof/>
        <w:sz w:val="18"/>
        <w:szCs w:val="18"/>
      </w:rPr>
      <w:t>35</w:t>
    </w:r>
    <w:r w:rsidR="00EC4514" w:rsidRPr="00482761">
      <w:rPr>
        <w:noProof/>
        <w:sz w:val="18"/>
        <w:szCs w:val="18"/>
      </w:rP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EC4514" w:rsidP="004220FD">
    <w:pPr>
      <w:pStyle w:val="Footer"/>
      <w:tabs>
        <w:tab w:val="right" w:pos="9214"/>
      </w:tabs>
      <w:jc w:val="left"/>
      <w:rPr>
        <w:sz w:val="18"/>
        <w:szCs w:val="18"/>
      </w:rPr>
    </w:pPr>
    <w:r>
      <w:ptab w:relativeTo="margin" w:alignment="right" w:leader="none"/>
    </w:r>
    <w:r w:rsidR="00B85B36">
      <w:fldChar w:fldCharType="begin"/>
    </w:r>
    <w:r w:rsidR="00B85B36">
      <w:instrText xml:space="preserve"> DOCPROPERTY  Project  \* MERGEFORMAT </w:instrText>
    </w:r>
    <w:r w:rsidR="00B85B36">
      <w:fldChar w:fldCharType="separate"/>
    </w:r>
    <w:r w:rsidRPr="00FA0140">
      <w:rPr>
        <w:sz w:val="18"/>
        <w:szCs w:val="18"/>
      </w:rPr>
      <w:t>Ship Anchorage Management in Great Barrier Reef World Heritage Area</w:t>
    </w:r>
    <w:r w:rsidR="00B85B36">
      <w:rPr>
        <w:sz w:val="18"/>
        <w:szCs w:val="18"/>
      </w:rPr>
      <w:fldChar w:fldCharType="end"/>
    </w:r>
    <w:r>
      <w:rPr>
        <w:sz w:val="18"/>
        <w:szCs w:val="18"/>
      </w:rPr>
      <w:t xml:space="preserve"> </w:t>
    </w:r>
    <w:r>
      <w:rPr>
        <w:rFonts w:cs="Arial"/>
        <w:sz w:val="18"/>
        <w:szCs w:val="18"/>
      </w:rPr>
      <w:t>│</w:t>
    </w:r>
    <w:r w:rsidR="00B85B36">
      <w:fldChar w:fldCharType="begin"/>
    </w:r>
    <w:r w:rsidR="00B85B36">
      <w:instrText xml:space="preserve"> DOCPROPERTY  GHDSubject  \* MERGEFORMAT </w:instrText>
    </w:r>
    <w:r w:rsidR="00B85B36">
      <w:fldChar w:fldCharType="separate"/>
    </w:r>
    <w:r w:rsidRPr="00FA0140">
      <w:rPr>
        <w:sz w:val="18"/>
        <w:szCs w:val="18"/>
      </w:rPr>
      <w:t>Cost Benefit Analysis</w:t>
    </w:r>
    <w:r w:rsidR="00B85B36">
      <w:rPr>
        <w:sz w:val="18"/>
        <w:szCs w:val="18"/>
      </w:rPr>
      <w:fldChar w:fldCharType="end"/>
    </w:r>
    <w:r>
      <w:rPr>
        <w:sz w:val="18"/>
        <w:szCs w:val="18"/>
      </w:rPr>
      <w:t xml:space="preserve"> </w:t>
    </w:r>
    <w:r>
      <w:rPr>
        <w:rFonts w:cs="Arial"/>
        <w:sz w:val="18"/>
        <w:szCs w:val="18"/>
      </w:rPr>
      <w:t>│</w:t>
    </w:r>
    <w:r w:rsidRPr="00482761">
      <w:rPr>
        <w:sz w:val="18"/>
        <w:szCs w:val="18"/>
      </w:rPr>
      <w:fldChar w:fldCharType="begin"/>
    </w:r>
    <w:r w:rsidRPr="00482761">
      <w:rPr>
        <w:sz w:val="18"/>
        <w:szCs w:val="18"/>
      </w:rPr>
      <w:instrText xml:space="preserve"> PAGE   \* MERGEFORMAT </w:instrText>
    </w:r>
    <w:r w:rsidRPr="00482761">
      <w:rPr>
        <w:sz w:val="18"/>
        <w:szCs w:val="18"/>
      </w:rPr>
      <w:fldChar w:fldCharType="separate"/>
    </w:r>
    <w:r w:rsidR="00DB625B">
      <w:rPr>
        <w:noProof/>
        <w:sz w:val="18"/>
        <w:szCs w:val="18"/>
      </w:rPr>
      <w:t>36</w:t>
    </w:r>
    <w:r w:rsidRPr="00482761">
      <w:rPr>
        <w:noProof/>
        <w:sz w:val="18"/>
        <w:szCs w:val="18"/>
      </w:rP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Pr="00482761" w:rsidRDefault="00B85B36" w:rsidP="004220FD">
    <w:pPr>
      <w:pStyle w:val="Footer"/>
      <w:tabs>
        <w:tab w:val="right" w:pos="9214"/>
      </w:tabs>
      <w:jc w:val="left"/>
      <w:rPr>
        <w:sz w:val="18"/>
        <w:szCs w:val="18"/>
      </w:rPr>
    </w:pPr>
    <w:r>
      <w:fldChar w:fldCharType="begin"/>
    </w:r>
    <w:r>
      <w:instrText xml:space="preserve"> DOCPROPERTY  Project  \* MERGEFORMAT </w:instrText>
    </w:r>
    <w:r>
      <w:fldChar w:fldCharType="separate"/>
    </w:r>
    <w:r w:rsidR="00EC4514" w:rsidRPr="00FA0140">
      <w:rPr>
        <w:sz w:val="18"/>
        <w:szCs w:val="18"/>
      </w:rPr>
      <w:t>Ship Anchorage Management in Great Barrier Reef World Heritage Area</w:t>
    </w:r>
    <w:r>
      <w:rPr>
        <w:sz w:val="18"/>
        <w:szCs w:val="18"/>
      </w:rPr>
      <w:fldChar w:fldCharType="end"/>
    </w:r>
    <w:r w:rsidR="00EC4514">
      <w:rPr>
        <w:sz w:val="18"/>
        <w:szCs w:val="18"/>
      </w:rPr>
      <w:t xml:space="preserve"> </w:t>
    </w:r>
    <w:r w:rsidR="00EC4514">
      <w:rPr>
        <w:rFonts w:cs="Arial"/>
        <w:sz w:val="18"/>
        <w:szCs w:val="18"/>
      </w:rPr>
      <w:t>│</w:t>
    </w:r>
    <w:r>
      <w:fldChar w:fldCharType="begin"/>
    </w:r>
    <w:r>
      <w:instrText xml:space="preserve"> DOCPROPERTY  GHDSubject  \* MERGEFORMAT </w:instrText>
    </w:r>
    <w:r>
      <w:fldChar w:fldCharType="separate"/>
    </w:r>
    <w:r w:rsidR="00EC4514" w:rsidRPr="00FA0140">
      <w:rPr>
        <w:sz w:val="18"/>
        <w:szCs w:val="18"/>
      </w:rPr>
      <w:t>Cost Benefit Analysis</w:t>
    </w:r>
    <w:r>
      <w:rPr>
        <w:sz w:val="18"/>
        <w:szCs w:val="18"/>
      </w:rPr>
      <w:fldChar w:fldCharType="end"/>
    </w:r>
    <w:r w:rsidR="00EC4514">
      <w:rPr>
        <w:sz w:val="18"/>
        <w:szCs w:val="18"/>
      </w:rPr>
      <w:t xml:space="preserve"> </w:t>
    </w:r>
    <w:r w:rsidR="00EC4514">
      <w:rPr>
        <w:rFonts w:cs="Arial"/>
        <w:sz w:val="18"/>
        <w:szCs w:val="18"/>
      </w:rPr>
      <w:t>│</w:t>
    </w:r>
    <w:r w:rsidR="00EC4514" w:rsidRPr="00482761">
      <w:rPr>
        <w:sz w:val="18"/>
        <w:szCs w:val="18"/>
      </w:rPr>
      <w:fldChar w:fldCharType="begin"/>
    </w:r>
    <w:r w:rsidR="00EC4514" w:rsidRPr="00482761">
      <w:rPr>
        <w:sz w:val="18"/>
        <w:szCs w:val="18"/>
      </w:rPr>
      <w:instrText xml:space="preserve"> PAGE   \* MERGEFORMAT </w:instrText>
    </w:r>
    <w:r w:rsidR="00EC4514" w:rsidRPr="00482761">
      <w:rPr>
        <w:sz w:val="18"/>
        <w:szCs w:val="18"/>
      </w:rPr>
      <w:fldChar w:fldCharType="separate"/>
    </w:r>
    <w:r w:rsidR="00DB625B">
      <w:rPr>
        <w:noProof/>
        <w:sz w:val="18"/>
        <w:szCs w:val="18"/>
      </w:rPr>
      <w:t>40</w:t>
    </w:r>
    <w:r w:rsidR="00EC4514" w:rsidRPr="00482761">
      <w:rPr>
        <w:noProof/>
        <w:sz w:val="18"/>
        <w:szCs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066E" w:rsidRDefault="0041066E">
      <w:r>
        <w:separator/>
      </w:r>
    </w:p>
  </w:footnote>
  <w:footnote w:type="continuationSeparator" w:id="0">
    <w:p w:rsidR="0041066E" w:rsidRDefault="0041066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66E" w:rsidRDefault="0041066E">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Default="00EC4514">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Default="00EC4514">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Default="00EC4514">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Default="00EC4514">
    <w:pPr>
      <w:pStyle w:val="Head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Default="00EC4514">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Default="00EC4514">
    <w:pPr>
      <w:pStyle w:val="Heade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Default="00EC4514">
    <w:pPr>
      <w:pStyle w:val="Heade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Default="00EC4514">
    <w:pPr>
      <w:pStyle w:val="Heade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Default="00EC4514">
    <w:pPr>
      <w:pStyle w:val="Heade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Default="00EC451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66E" w:rsidRDefault="0041066E">
    <w:pPr>
      <w:pStyle w:val="Heade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Default="00EC4514">
    <w:pPr>
      <w:pStyle w:val="Heade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Default="00EC4514">
    <w:pPr>
      <w:pStyle w:val="Header"/>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Default="00EC4514">
    <w:pPr>
      <w:pStyle w:val="Heade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Default="00EC4514">
    <w:pPr>
      <w:pStyle w:val="Header"/>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Default="00EC4514">
    <w:pPr>
      <w:pStyle w:val="Header"/>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66E" w:rsidRDefault="0041066E">
    <w:pPr>
      <w:pStyle w:val="Header"/>
    </w:pP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66E" w:rsidRDefault="0041066E">
    <w:pPr>
      <w:pStyle w:val="Header"/>
    </w:pP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1870" w:rsidRDefault="00F51870">
    <w:pPr>
      <w:pStyle w:val="Header"/>
    </w:pP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1870" w:rsidRDefault="00F51870">
    <w:pPr>
      <w:pStyle w:val="Header"/>
    </w:pP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66E" w:rsidRDefault="0041066E"/>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Default="00EC4514">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Default="00EC4514">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Default="00EC4514">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Default="00EC4514">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Default="00EC4514">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Default="00EC4514">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4" w:rsidRDefault="00EC451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A1F4C"/>
    <w:multiLevelType w:val="multilevel"/>
    <w:tmpl w:val="0B68DB4A"/>
    <w:name w:val="GHDOutlineTemplate12"/>
    <w:lvl w:ilvl="0">
      <w:start w:val="1"/>
      <w:numFmt w:val="decimal"/>
      <w:lvlText w:val="%1."/>
      <w:lvlJc w:val="left"/>
      <w:pPr>
        <w:tabs>
          <w:tab w:val="num" w:pos="567"/>
        </w:tabs>
        <w:ind w:left="567" w:hanging="1134"/>
      </w:pPr>
      <w:rPr>
        <w:rFonts w:hint="default"/>
        <w:b w:val="0"/>
      </w:rPr>
    </w:lvl>
    <w:lvl w:ilvl="1">
      <w:start w:val="1"/>
      <w:numFmt w:val="decimal"/>
      <w:lvlText w:val="%1.%2"/>
      <w:lvlJc w:val="left"/>
      <w:pPr>
        <w:tabs>
          <w:tab w:val="num" w:pos="1417"/>
        </w:tabs>
        <w:ind w:left="1417" w:hanging="850"/>
      </w:pPr>
      <w:rPr>
        <w:rFonts w:hint="default"/>
        <w:b w:val="0"/>
      </w:rPr>
    </w:lvl>
    <w:lvl w:ilvl="2">
      <w:start w:val="1"/>
      <w:numFmt w:val="decimal"/>
      <w:lvlText w:val="%1.%2.%3"/>
      <w:lvlJc w:val="left"/>
      <w:pPr>
        <w:tabs>
          <w:tab w:val="num" w:pos="1417"/>
        </w:tabs>
        <w:ind w:left="1417" w:hanging="850"/>
      </w:pPr>
      <w:rPr>
        <w:rFonts w:hint="default"/>
        <w:b/>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nsid w:val="042A6909"/>
    <w:multiLevelType w:val="hybridMultilevel"/>
    <w:tmpl w:val="388A58B6"/>
    <w:lvl w:ilvl="0" w:tplc="9364DF22">
      <w:start w:val="1"/>
      <w:numFmt w:val="bullet"/>
      <w:lvlText w:val=""/>
      <w:lvlJc w:val="left"/>
      <w:pPr>
        <w:ind w:left="360" w:hanging="360"/>
      </w:pPr>
      <w:rPr>
        <w:rFonts w:ascii="Symbol" w:hAnsi="Symbol" w:hint="default"/>
        <w:sz w:val="20"/>
        <w:szCs w:val="2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nsid w:val="054E38AD"/>
    <w:multiLevelType w:val="hybridMultilevel"/>
    <w:tmpl w:val="320EA12C"/>
    <w:lvl w:ilvl="0" w:tplc="E0B4F7D8">
      <w:start w:val="1"/>
      <w:numFmt w:val="bullet"/>
      <w:pStyle w:val="Bullets"/>
      <w:lvlText w:val=""/>
      <w:lvlJc w:val="left"/>
      <w:pPr>
        <w:tabs>
          <w:tab w:val="num" w:pos="1080"/>
        </w:tabs>
        <w:ind w:left="1080" w:hanging="360"/>
      </w:pPr>
      <w:rPr>
        <w:rFonts w:ascii="Symbol" w:hAnsi="Symbol" w:hint="default"/>
      </w:rPr>
    </w:lvl>
    <w:lvl w:ilvl="1" w:tplc="C8946950">
      <w:start w:val="1"/>
      <w:numFmt w:val="bullet"/>
      <w:pStyle w:val="Bullets"/>
      <w:lvlText w:val=""/>
      <w:lvlJc w:val="left"/>
      <w:pPr>
        <w:tabs>
          <w:tab w:val="num" w:pos="1080"/>
        </w:tabs>
        <w:ind w:left="1080" w:hanging="360"/>
      </w:pPr>
      <w:rPr>
        <w:rFonts w:ascii="Symbol" w:hAnsi="Symbol" w:hint="default"/>
      </w:rPr>
    </w:lvl>
    <w:lvl w:ilvl="2" w:tplc="FFFFFFFF">
      <w:start w:val="1"/>
      <w:numFmt w:val="bullet"/>
      <w:lvlText w:val=""/>
      <w:legacy w:legacy="1" w:legacySpace="360" w:legacyIndent="283"/>
      <w:lvlJc w:val="left"/>
      <w:pPr>
        <w:ind w:left="1723" w:hanging="283"/>
      </w:pPr>
      <w:rPr>
        <w:rFonts w:ascii="Symbol" w:hAnsi="Symbol" w:cs="Times New Roman" w:hint="default"/>
      </w:rPr>
    </w:lvl>
    <w:lvl w:ilvl="3" w:tplc="0409000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
    <w:nsid w:val="074A5531"/>
    <w:multiLevelType w:val="hybridMultilevel"/>
    <w:tmpl w:val="96D290CA"/>
    <w:lvl w:ilvl="0" w:tplc="0C09000D">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0ADE1D9D"/>
    <w:multiLevelType w:val="hybridMultilevel"/>
    <w:tmpl w:val="36780398"/>
    <w:lvl w:ilvl="0" w:tplc="4D924302">
      <w:start w:val="1"/>
      <w:numFmt w:val="bullet"/>
      <w:lvlText w:val=""/>
      <w:lvlJc w:val="left"/>
      <w:pPr>
        <w:ind w:left="360" w:hanging="360"/>
      </w:pPr>
      <w:rPr>
        <w:rFonts w:ascii="Symbol" w:hAnsi="Symbol" w:hint="default"/>
        <w:sz w:val="20"/>
        <w:szCs w:val="2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nsid w:val="12BE3293"/>
    <w:multiLevelType w:val="hybridMultilevel"/>
    <w:tmpl w:val="C438370C"/>
    <w:lvl w:ilvl="0" w:tplc="58B0D7A2">
      <w:start w:val="1"/>
      <w:numFmt w:val="upperLetter"/>
      <w:pStyle w:val="TOC9"/>
      <w:lvlText w:val="%1"/>
      <w:lvlJc w:val="left"/>
      <w:pPr>
        <w:tabs>
          <w:tab w:val="num" w:pos="851"/>
        </w:tabs>
        <w:ind w:left="851" w:hanging="567"/>
      </w:pPr>
      <w:rPr>
        <w:rFonts w:ascii="Arial" w:hAnsi="Arial" w:hint="default"/>
        <w:caps w:val="0"/>
        <w:strike w:val="0"/>
        <w:dstrike w:val="0"/>
        <w:vanish w:val="0"/>
        <w:color w:val="000000"/>
        <w:sz w:val="20"/>
        <w:vertAlign w:val="baseli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31A0289"/>
    <w:multiLevelType w:val="multilevel"/>
    <w:tmpl w:val="7716FDF0"/>
    <w:lvl w:ilvl="0">
      <w:start w:val="1"/>
      <w:numFmt w:val="decimal"/>
      <w:lvlText w:val="%1."/>
      <w:lvlJc w:val="left"/>
      <w:pPr>
        <w:tabs>
          <w:tab w:val="num" w:pos="992"/>
        </w:tabs>
        <w:ind w:left="992" w:hanging="992"/>
      </w:pPr>
      <w:rPr>
        <w:rFonts w:hint="default"/>
        <w:b w:val="0"/>
      </w:rPr>
    </w:lvl>
    <w:lvl w:ilvl="1">
      <w:start w:val="1"/>
      <w:numFmt w:val="decimal"/>
      <w:lvlText w:val="%1.%2"/>
      <w:lvlJc w:val="left"/>
      <w:pPr>
        <w:tabs>
          <w:tab w:val="num" w:pos="851"/>
        </w:tabs>
        <w:ind w:left="851" w:hanging="851"/>
      </w:pPr>
      <w:rPr>
        <w:rFonts w:hint="default"/>
        <w:b w:val="0"/>
      </w:rPr>
    </w:lvl>
    <w:lvl w:ilvl="2">
      <w:start w:val="1"/>
      <w:numFmt w:val="decimal"/>
      <w:lvlText w:val="%1.%2.%3"/>
      <w:lvlJc w:val="left"/>
      <w:pPr>
        <w:tabs>
          <w:tab w:val="num" w:pos="851"/>
        </w:tabs>
        <w:ind w:left="851" w:hanging="851"/>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7">
    <w:nsid w:val="142E6854"/>
    <w:multiLevelType w:val="hybridMultilevel"/>
    <w:tmpl w:val="7F789E1E"/>
    <w:lvl w:ilvl="0" w:tplc="8BD4A93A">
      <w:start w:val="1"/>
      <w:numFmt w:val="bullet"/>
      <w:pStyle w:val="Bullet"/>
      <w:lvlText w:val=""/>
      <w:lvlJc w:val="left"/>
      <w:pPr>
        <w:ind w:left="360" w:hanging="360"/>
      </w:pPr>
      <w:rPr>
        <w:rFonts w:ascii="Symbol" w:hAnsi="Symbol" w:hint="default"/>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149415FD"/>
    <w:multiLevelType w:val="hybridMultilevel"/>
    <w:tmpl w:val="8AA4170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19102447"/>
    <w:multiLevelType w:val="hybridMultilevel"/>
    <w:tmpl w:val="B4EE7E48"/>
    <w:lvl w:ilvl="0" w:tplc="F35838B4">
      <w:start w:val="1"/>
      <w:numFmt w:val="bullet"/>
      <w:lvlText w:val=""/>
      <w:lvlJc w:val="left"/>
      <w:pPr>
        <w:ind w:left="360" w:hanging="360"/>
      </w:pPr>
      <w:rPr>
        <w:rFonts w:ascii="Symbol" w:hAnsi="Symbol" w:hint="default"/>
        <w:sz w:val="20"/>
        <w:szCs w:val="2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nsid w:val="1B17733A"/>
    <w:multiLevelType w:val="hybridMultilevel"/>
    <w:tmpl w:val="99909940"/>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
    <w:nsid w:val="1D224844"/>
    <w:multiLevelType w:val="hybridMultilevel"/>
    <w:tmpl w:val="410CD9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1E834E84"/>
    <w:multiLevelType w:val="hybridMultilevel"/>
    <w:tmpl w:val="B9CEB2E8"/>
    <w:lvl w:ilvl="0" w:tplc="09C41338">
      <w:start w:val="1"/>
      <w:numFmt w:val="lowerLetter"/>
      <w:lvlText w:val="(%1)"/>
      <w:lvlJc w:val="left"/>
      <w:pPr>
        <w:ind w:left="360" w:hanging="360"/>
      </w:pPr>
      <w:rPr>
        <w:rFonts w:ascii="Arial" w:eastAsiaTheme="minorHAnsi" w:hAnsi="Arial" w:cs="Arial"/>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3">
    <w:nsid w:val="22567B31"/>
    <w:multiLevelType w:val="hybridMultilevel"/>
    <w:tmpl w:val="8E1EBFB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nsid w:val="23343034"/>
    <w:multiLevelType w:val="hybridMultilevel"/>
    <w:tmpl w:val="59EE5296"/>
    <w:lvl w:ilvl="0" w:tplc="B8AADF9C">
      <w:start w:val="1"/>
      <w:numFmt w:val="bullet"/>
      <w:lvlText w:val=""/>
      <w:lvlJc w:val="left"/>
      <w:pPr>
        <w:ind w:left="360" w:hanging="360"/>
      </w:pPr>
      <w:rPr>
        <w:rFonts w:ascii="Symbol" w:hAnsi="Symbol" w:hint="default"/>
        <w:sz w:val="20"/>
        <w:szCs w:val="2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5">
    <w:nsid w:val="24440CB3"/>
    <w:multiLevelType w:val="hybridMultilevel"/>
    <w:tmpl w:val="AE1039B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6">
    <w:nsid w:val="26140B5C"/>
    <w:multiLevelType w:val="hybridMultilevel"/>
    <w:tmpl w:val="6A0E2A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6D327DB"/>
    <w:multiLevelType w:val="multilevel"/>
    <w:tmpl w:val="301898CC"/>
    <w:name w:val="GHD_AlphaList"/>
    <w:lvl w:ilvl="0">
      <w:start w:val="1"/>
      <w:numFmt w:val="decimal"/>
      <w:isLgl/>
      <w:suff w:val="nothing"/>
      <w:lvlText w:val=""/>
      <w:lvlJc w:val="left"/>
      <w:pPr>
        <w:ind w:left="0" w:firstLine="0"/>
      </w:pPr>
    </w:lvl>
    <w:lvl w:ilvl="1">
      <w:start w:val="1"/>
      <w:numFmt w:val="lowerLetter"/>
      <w:lvlText w:val="%2."/>
      <w:lvlJc w:val="left"/>
      <w:pPr>
        <w:tabs>
          <w:tab w:val="num" w:pos="1134"/>
        </w:tabs>
        <w:ind w:left="1134" w:hanging="567"/>
      </w:pPr>
      <w:rPr>
        <w:b w:val="0"/>
      </w:rPr>
    </w:lvl>
    <w:lvl w:ilvl="2">
      <w:start w:val="1"/>
      <w:numFmt w:val="decimal"/>
      <w:suff w:val="space"/>
      <w:lvlText w:val=""/>
      <w:lvlJc w:val="left"/>
      <w:pPr>
        <w:ind w:left="720" w:hanging="432"/>
      </w:pPr>
      <w:rPr>
        <w:b w:val="0"/>
      </w:rPr>
    </w:lvl>
    <w:lvl w:ilvl="3">
      <w:start w:val="1"/>
      <w:numFmt w:val="decimal"/>
      <w:suff w:val="space"/>
      <w:lvlText w:val=""/>
      <w:lvlJc w:val="left"/>
      <w:pPr>
        <w:ind w:left="1296" w:hanging="576"/>
      </w:pPr>
      <w:rPr>
        <w:b w:val="0"/>
      </w:rPr>
    </w:lvl>
    <w:lvl w:ilvl="4">
      <w:start w:val="1"/>
      <w:numFmt w:val="decimal"/>
      <w:suff w:val="space"/>
      <w:lvlText w:val=""/>
      <w:lvlJc w:val="left"/>
      <w:pPr>
        <w:ind w:left="1296" w:hanging="576"/>
      </w:pPr>
      <w:rPr>
        <w:b w:val="0"/>
      </w:rPr>
    </w:lvl>
    <w:lvl w:ilvl="5">
      <w:start w:val="1"/>
      <w:numFmt w:val="decimal"/>
      <w:suff w:val="space"/>
      <w:lvlText w:val=""/>
      <w:lvlJc w:val="left"/>
      <w:pPr>
        <w:ind w:left="1296" w:hanging="576"/>
      </w:pPr>
      <w:rPr>
        <w:b w:val="0"/>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nsid w:val="2A135301"/>
    <w:multiLevelType w:val="hybridMultilevel"/>
    <w:tmpl w:val="224C0AF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2B7604CC"/>
    <w:multiLevelType w:val="hybridMultilevel"/>
    <w:tmpl w:val="58CAD78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0">
    <w:nsid w:val="2B871DC6"/>
    <w:multiLevelType w:val="hybridMultilevel"/>
    <w:tmpl w:val="56FC9BCC"/>
    <w:lvl w:ilvl="0" w:tplc="6F30F222">
      <w:start w:val="1"/>
      <w:numFmt w:val="bullet"/>
      <w:lvlText w:val=""/>
      <w:lvlJc w:val="left"/>
      <w:pPr>
        <w:ind w:left="360" w:hanging="360"/>
      </w:pPr>
      <w:rPr>
        <w:rFonts w:ascii="Symbol" w:hAnsi="Symbol" w:hint="default"/>
        <w:sz w:val="20"/>
        <w:szCs w:val="2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1">
    <w:nsid w:val="2BD7202D"/>
    <w:multiLevelType w:val="hybridMultilevel"/>
    <w:tmpl w:val="30CC564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2">
    <w:nsid w:val="2C2D7BDF"/>
    <w:multiLevelType w:val="hybridMultilevel"/>
    <w:tmpl w:val="ED544252"/>
    <w:lvl w:ilvl="0" w:tplc="09C41338">
      <w:start w:val="1"/>
      <w:numFmt w:val="lowerLetter"/>
      <w:lvlText w:val="(%1)"/>
      <w:lvlJc w:val="left"/>
      <w:pPr>
        <w:ind w:left="360" w:hanging="360"/>
      </w:pPr>
      <w:rPr>
        <w:rFonts w:ascii="Arial" w:eastAsiaTheme="minorHAnsi" w:hAnsi="Arial" w:cs="Arial"/>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3">
    <w:nsid w:val="2CA20729"/>
    <w:multiLevelType w:val="hybridMultilevel"/>
    <w:tmpl w:val="6C30E41C"/>
    <w:lvl w:ilvl="0" w:tplc="AFACF430">
      <w:start w:val="1"/>
      <w:numFmt w:val="bullet"/>
      <w:pStyle w:val="Bullet2"/>
      <w:lvlText w:val="–"/>
      <w:lvlJc w:val="left"/>
      <w:pPr>
        <w:tabs>
          <w:tab w:val="num" w:pos="680"/>
        </w:tabs>
        <w:ind w:left="680" w:hanging="340"/>
      </w:pPr>
      <w:rPr>
        <w:rFonts w:ascii="Arial" w:hAnsi="Aria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2FEA66B3"/>
    <w:multiLevelType w:val="hybridMultilevel"/>
    <w:tmpl w:val="543CD5E4"/>
    <w:lvl w:ilvl="0" w:tplc="CF00D2C8">
      <w:start w:val="1"/>
      <w:numFmt w:val="lowerRoman"/>
      <w:lvlText w:val="(%1)"/>
      <w:lvlJc w:val="left"/>
      <w:pPr>
        <w:ind w:left="720" w:hanging="360"/>
      </w:pPr>
      <w:rPr>
        <w:rFonts w:ascii="Arial" w:eastAsiaTheme="minorHAnsi" w:hAnsi="Arial" w:cs="Aria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nsid w:val="33574B1C"/>
    <w:multiLevelType w:val="hybridMultilevel"/>
    <w:tmpl w:val="32E4CC72"/>
    <w:lvl w:ilvl="0" w:tplc="A8E84AE2">
      <w:start w:val="1"/>
      <w:numFmt w:val="bullet"/>
      <w:lvlText w:val=""/>
      <w:lvlJc w:val="left"/>
      <w:pPr>
        <w:ind w:left="360" w:hanging="360"/>
      </w:pPr>
      <w:rPr>
        <w:rFonts w:ascii="Symbol" w:hAnsi="Symbol" w:hint="default"/>
        <w:sz w:val="20"/>
        <w:szCs w:val="2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6">
    <w:nsid w:val="341B369C"/>
    <w:multiLevelType w:val="hybridMultilevel"/>
    <w:tmpl w:val="75F475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364839C4"/>
    <w:multiLevelType w:val="hybridMultilevel"/>
    <w:tmpl w:val="A7ECB0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36632485"/>
    <w:multiLevelType w:val="multilevel"/>
    <w:tmpl w:val="F084BE94"/>
    <w:name w:val="GHD_NumberList"/>
    <w:lvl w:ilvl="0">
      <w:start w:val="1"/>
      <w:numFmt w:val="decimal"/>
      <w:isLgl/>
      <w:suff w:val="nothing"/>
      <w:lvlText w:val=""/>
      <w:lvlJc w:val="left"/>
      <w:pPr>
        <w:ind w:left="0" w:firstLine="0"/>
      </w:pPr>
    </w:lvl>
    <w:lvl w:ilvl="1">
      <w:start w:val="1"/>
      <w:numFmt w:val="decimal"/>
      <w:lvlText w:val="%2."/>
      <w:lvlJc w:val="left"/>
      <w:pPr>
        <w:tabs>
          <w:tab w:val="num" w:pos="1134"/>
        </w:tabs>
        <w:ind w:left="1134" w:hanging="567"/>
      </w:pPr>
      <w:rPr>
        <w:b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nsid w:val="368E2CE7"/>
    <w:multiLevelType w:val="hybridMultilevel"/>
    <w:tmpl w:val="940C21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nsid w:val="375E5025"/>
    <w:multiLevelType w:val="hybridMultilevel"/>
    <w:tmpl w:val="73562A68"/>
    <w:lvl w:ilvl="0" w:tplc="4A32BD38">
      <w:start w:val="1"/>
      <w:numFmt w:val="bullet"/>
      <w:pStyle w:val="Disclaimer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3A1B520F"/>
    <w:multiLevelType w:val="hybridMultilevel"/>
    <w:tmpl w:val="9E92DD90"/>
    <w:lvl w:ilvl="0" w:tplc="9DBE27BE">
      <w:start w:val="1"/>
      <w:numFmt w:val="decimal"/>
      <w:lvlText w:val="%1."/>
      <w:lvlJc w:val="left"/>
      <w:pPr>
        <w:tabs>
          <w:tab w:val="num" w:pos="340"/>
        </w:tabs>
        <w:ind w:left="340" w:hanging="340"/>
      </w:pPr>
      <w:rPr>
        <w:rFonts w:hint="default"/>
      </w:rPr>
    </w:lvl>
    <w:lvl w:ilvl="1" w:tplc="09C41338">
      <w:start w:val="1"/>
      <w:numFmt w:val="lowerLetter"/>
      <w:lvlText w:val="(%2)"/>
      <w:lvlJc w:val="left"/>
      <w:pPr>
        <w:tabs>
          <w:tab w:val="num" w:pos="1440"/>
        </w:tabs>
        <w:ind w:left="1440" w:hanging="360"/>
      </w:pPr>
      <w:rPr>
        <w:rFonts w:ascii="Arial" w:eastAsiaTheme="minorHAnsi" w:hAnsi="Arial" w:cs="Arial"/>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3A840EC8"/>
    <w:multiLevelType w:val="hybridMultilevel"/>
    <w:tmpl w:val="9ADC95F8"/>
    <w:lvl w:ilvl="0" w:tplc="CF00D2C8">
      <w:start w:val="1"/>
      <w:numFmt w:val="lowerRoman"/>
      <w:lvlText w:val="(%1)"/>
      <w:lvlJc w:val="left"/>
      <w:pPr>
        <w:ind w:left="720" w:hanging="360"/>
      </w:pPr>
      <w:rPr>
        <w:rFonts w:ascii="Arial" w:eastAsiaTheme="minorHAnsi" w:hAnsi="Arial" w:cs="Arial"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3">
    <w:nsid w:val="3D006969"/>
    <w:multiLevelType w:val="hybridMultilevel"/>
    <w:tmpl w:val="522AA4BC"/>
    <w:lvl w:ilvl="0" w:tplc="5F1AE15E">
      <w:start w:val="1"/>
      <w:numFmt w:val="bullet"/>
      <w:lvlText w:val=""/>
      <w:lvlJc w:val="left"/>
      <w:pPr>
        <w:ind w:left="360" w:hanging="360"/>
      </w:pPr>
      <w:rPr>
        <w:rFonts w:ascii="Symbol" w:hAnsi="Symbol" w:hint="default"/>
        <w:sz w:val="20"/>
        <w:szCs w:val="2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4">
    <w:nsid w:val="435B4457"/>
    <w:multiLevelType w:val="hybridMultilevel"/>
    <w:tmpl w:val="DB34FC3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5">
    <w:nsid w:val="452905A1"/>
    <w:multiLevelType w:val="hybridMultilevel"/>
    <w:tmpl w:val="B9B4BBA4"/>
    <w:lvl w:ilvl="0" w:tplc="963CFFFA">
      <w:start w:val="1"/>
      <w:numFmt w:val="bullet"/>
      <w:lvlText w:val="—"/>
      <w:lvlJc w:val="left"/>
      <w:pPr>
        <w:tabs>
          <w:tab w:val="num" w:pos="360"/>
        </w:tabs>
        <w:ind w:left="360" w:hanging="360"/>
      </w:pPr>
      <w:rPr>
        <w:rFonts w:ascii="Wingdings 2" w:hAnsi="Wingdings 2"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49306F73"/>
    <w:multiLevelType w:val="hybridMultilevel"/>
    <w:tmpl w:val="16647E50"/>
    <w:lvl w:ilvl="0" w:tplc="5B565E96">
      <w:start w:val="1"/>
      <w:numFmt w:val="bullet"/>
      <w:lvlText w:val=""/>
      <w:lvlJc w:val="left"/>
      <w:pPr>
        <w:ind w:left="360" w:hanging="360"/>
      </w:pPr>
      <w:rPr>
        <w:rFonts w:ascii="Symbol" w:hAnsi="Symbol" w:hint="default"/>
        <w:sz w:val="20"/>
        <w:szCs w:val="2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7">
    <w:nsid w:val="499A5178"/>
    <w:multiLevelType w:val="multilevel"/>
    <w:tmpl w:val="A97462D2"/>
    <w:name w:val="GHDOutlineTemplate1"/>
    <w:lvl w:ilvl="0">
      <w:start w:val="1"/>
      <w:numFmt w:val="decimal"/>
      <w:pStyle w:val="Heading1"/>
      <w:lvlText w:val="%1."/>
      <w:lvlJc w:val="left"/>
      <w:pPr>
        <w:tabs>
          <w:tab w:val="num" w:pos="567"/>
        </w:tabs>
        <w:ind w:left="567" w:hanging="1134"/>
      </w:pPr>
      <w:rPr>
        <w:b w:val="0"/>
      </w:rPr>
    </w:lvl>
    <w:lvl w:ilvl="1">
      <w:start w:val="1"/>
      <w:numFmt w:val="decimal"/>
      <w:pStyle w:val="Heading2"/>
      <w:lvlText w:val="%1.%2"/>
      <w:lvlJc w:val="left"/>
      <w:pPr>
        <w:tabs>
          <w:tab w:val="num" w:pos="1417"/>
        </w:tabs>
        <w:ind w:left="1417" w:hanging="850"/>
      </w:pPr>
      <w:rPr>
        <w:b w:val="0"/>
        <w:sz w:val="24"/>
        <w:szCs w:val="24"/>
      </w:rPr>
    </w:lvl>
    <w:lvl w:ilvl="2">
      <w:start w:val="1"/>
      <w:numFmt w:val="decimal"/>
      <w:pStyle w:val="Heading3"/>
      <w:lvlText w:val="%1.%2.%3"/>
      <w:lvlJc w:val="left"/>
      <w:pPr>
        <w:tabs>
          <w:tab w:val="num" w:pos="1417"/>
        </w:tabs>
        <w:ind w:left="1417" w:hanging="850"/>
      </w:pPr>
      <w:rPr>
        <w:b/>
        <w:sz w:val="24"/>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8">
    <w:nsid w:val="4A544058"/>
    <w:multiLevelType w:val="hybridMultilevel"/>
    <w:tmpl w:val="53F2D1CC"/>
    <w:lvl w:ilvl="0" w:tplc="04090001">
      <w:start w:val="1"/>
      <w:numFmt w:val="bullet"/>
      <w:lvlText w:val=""/>
      <w:lvlJc w:val="left"/>
      <w:pPr>
        <w:ind w:left="771" w:hanging="360"/>
      </w:pPr>
      <w:rPr>
        <w:rFonts w:ascii="Symbol" w:hAnsi="Symbol" w:hint="default"/>
      </w:rPr>
    </w:lvl>
    <w:lvl w:ilvl="1" w:tplc="04090003" w:tentative="1">
      <w:start w:val="1"/>
      <w:numFmt w:val="bullet"/>
      <w:lvlText w:val="o"/>
      <w:lvlJc w:val="left"/>
      <w:pPr>
        <w:ind w:left="1491" w:hanging="360"/>
      </w:pPr>
      <w:rPr>
        <w:rFonts w:ascii="Courier New" w:hAnsi="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39">
    <w:nsid w:val="4D0632DD"/>
    <w:multiLevelType w:val="hybridMultilevel"/>
    <w:tmpl w:val="0DBC6964"/>
    <w:lvl w:ilvl="0" w:tplc="B352FE84">
      <w:start w:val="1"/>
      <w:numFmt w:val="bullet"/>
      <w:lvlText w:val=""/>
      <w:lvlJc w:val="left"/>
      <w:pPr>
        <w:ind w:left="360" w:hanging="360"/>
      </w:pPr>
      <w:rPr>
        <w:rFonts w:ascii="Symbol" w:hAnsi="Symbol" w:hint="default"/>
        <w:sz w:val="20"/>
        <w:szCs w:val="2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0">
    <w:nsid w:val="4E9910EB"/>
    <w:multiLevelType w:val="hybridMultilevel"/>
    <w:tmpl w:val="0CD83AFA"/>
    <w:lvl w:ilvl="0" w:tplc="08B0AA12">
      <w:start w:val="1"/>
      <w:numFmt w:val="bullet"/>
      <w:lvlText w:val=""/>
      <w:lvlJc w:val="left"/>
      <w:pPr>
        <w:ind w:left="360" w:hanging="360"/>
      </w:pPr>
      <w:rPr>
        <w:rFonts w:ascii="Symbol" w:hAnsi="Symbol" w:hint="default"/>
        <w:sz w:val="20"/>
        <w:szCs w:val="2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1">
    <w:nsid w:val="562A4243"/>
    <w:multiLevelType w:val="hybridMultilevel"/>
    <w:tmpl w:val="847051D2"/>
    <w:lvl w:ilvl="0" w:tplc="09C41338">
      <w:start w:val="1"/>
      <w:numFmt w:val="lowerLetter"/>
      <w:lvlText w:val="(%1)"/>
      <w:lvlJc w:val="left"/>
      <w:pPr>
        <w:ind w:left="720" w:hanging="360"/>
      </w:pPr>
      <w:rPr>
        <w:rFonts w:ascii="Arial" w:eastAsiaTheme="minorHAnsi" w:hAnsi="Arial" w:cs="Arial"/>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2">
    <w:nsid w:val="58591940"/>
    <w:multiLevelType w:val="hybridMultilevel"/>
    <w:tmpl w:val="2F30C558"/>
    <w:lvl w:ilvl="0" w:tplc="71B0D8AE">
      <w:start w:val="1"/>
      <w:numFmt w:val="bullet"/>
      <w:lvlText w:val=""/>
      <w:lvlJc w:val="left"/>
      <w:pPr>
        <w:ind w:left="360" w:hanging="360"/>
      </w:pPr>
      <w:rPr>
        <w:rFonts w:ascii="Symbol" w:hAnsi="Symbol" w:hint="default"/>
        <w:sz w:val="20"/>
        <w:szCs w:val="2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3">
    <w:nsid w:val="58743222"/>
    <w:multiLevelType w:val="hybridMultilevel"/>
    <w:tmpl w:val="F474BDB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4">
    <w:nsid w:val="587F4A80"/>
    <w:multiLevelType w:val="hybridMultilevel"/>
    <w:tmpl w:val="B478FD1C"/>
    <w:lvl w:ilvl="0" w:tplc="9EB86826">
      <w:start w:val="1"/>
      <w:numFmt w:val="decimal"/>
      <w:pStyle w:val="DisclaimerNumb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5FCB3989"/>
    <w:multiLevelType w:val="hybridMultilevel"/>
    <w:tmpl w:val="E9E0EFE0"/>
    <w:lvl w:ilvl="0" w:tplc="A386D046">
      <w:start w:val="1"/>
      <w:numFmt w:val="decimal"/>
      <w:lvlText w:val="%1."/>
      <w:lvlJc w:val="left"/>
      <w:pPr>
        <w:ind w:left="360" w:hanging="360"/>
      </w:pPr>
      <w:rPr>
        <w:rFonts w:ascii="Trebuchet MS" w:hAnsi="Trebuchet MS" w:hint="default"/>
        <w:sz w:val="20"/>
      </w:rPr>
    </w:lvl>
    <w:lvl w:ilvl="1" w:tplc="FCBAF8F2">
      <w:start w:val="1"/>
      <w:numFmt w:val="lowerRoman"/>
      <w:lvlText w:val="(%2)"/>
      <w:lvlJc w:val="left"/>
      <w:pPr>
        <w:ind w:left="1800" w:hanging="720"/>
      </w:pPr>
      <w:rPr>
        <w:rFonts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6">
    <w:nsid w:val="61B1012D"/>
    <w:multiLevelType w:val="hybridMultilevel"/>
    <w:tmpl w:val="8E388E80"/>
    <w:lvl w:ilvl="0" w:tplc="432A2646">
      <w:start w:val="1"/>
      <w:numFmt w:val="lowerLetter"/>
      <w:lvlText w:val="(%1)"/>
      <w:lvlJc w:val="left"/>
      <w:pPr>
        <w:ind w:left="720" w:hanging="72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7">
    <w:nsid w:val="61DC03ED"/>
    <w:multiLevelType w:val="hybridMultilevel"/>
    <w:tmpl w:val="4CAE3E44"/>
    <w:lvl w:ilvl="0" w:tplc="41CEC67E">
      <w:start w:val="1"/>
      <w:numFmt w:val="bullet"/>
      <w:lvlText w:val=""/>
      <w:lvlJc w:val="left"/>
      <w:pPr>
        <w:ind w:left="360" w:hanging="360"/>
      </w:pPr>
      <w:rPr>
        <w:rFonts w:ascii="Symbol" w:hAnsi="Symbol" w:hint="default"/>
        <w:sz w:val="20"/>
        <w:szCs w:val="2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8">
    <w:nsid w:val="63CC59F6"/>
    <w:multiLevelType w:val="hybridMultilevel"/>
    <w:tmpl w:val="6B6A5540"/>
    <w:lvl w:ilvl="0" w:tplc="C994D9AC">
      <w:start w:val="1"/>
      <w:numFmt w:val="bullet"/>
      <w:pStyle w:val="TableBullet"/>
      <w:lvlText w:val=""/>
      <w:lvlJc w:val="left"/>
      <w:pPr>
        <w:tabs>
          <w:tab w:val="num" w:pos="360"/>
        </w:tabs>
        <w:ind w:left="284" w:hanging="284"/>
      </w:pPr>
      <w:rPr>
        <w:rFonts w:ascii="Wingdings 2" w:hAnsi="Wingdings 2"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nsid w:val="67F441D3"/>
    <w:multiLevelType w:val="multilevel"/>
    <w:tmpl w:val="0AF01CA4"/>
    <w:lvl w:ilvl="0">
      <w:start w:val="1"/>
      <w:numFmt w:val="cardinalText"/>
      <w:suff w:val="nothing"/>
      <w:lvlText w:val="Appendix %1"/>
      <w:lvlJc w:val="left"/>
      <w:pPr>
        <w:ind w:left="1590" w:firstLine="0"/>
      </w:pPr>
      <w:rPr>
        <w:rFonts w:ascii="Arial" w:hAnsi="Arial" w:hint="default"/>
        <w:sz w:val="28"/>
      </w:rPr>
    </w:lvl>
    <w:lvl w:ilvl="1">
      <w:start w:val="1"/>
      <w:numFmt w:val="decimal"/>
      <w:suff w:val="nothing"/>
      <w:lvlText w:val="Appendix %1%2"/>
      <w:lvlJc w:val="left"/>
      <w:pPr>
        <w:ind w:left="1590" w:firstLine="0"/>
      </w:pPr>
      <w:rPr>
        <w:rFonts w:ascii="Arial" w:hAnsi="Arial" w:hint="default"/>
        <w:sz w:val="28"/>
      </w:rPr>
    </w:lvl>
    <w:lvl w:ilvl="2">
      <w:start w:val="1"/>
      <w:numFmt w:val="none"/>
      <w:lvlText w:val="%3"/>
      <w:lvlJc w:val="left"/>
      <w:pPr>
        <w:tabs>
          <w:tab w:val="num" w:pos="2670"/>
        </w:tabs>
        <w:ind w:left="2670" w:hanging="360"/>
      </w:pPr>
      <w:rPr>
        <w:rFonts w:hint="default"/>
      </w:rPr>
    </w:lvl>
    <w:lvl w:ilvl="3">
      <w:start w:val="1"/>
      <w:numFmt w:val="none"/>
      <w:lvlText w:val=""/>
      <w:lvlJc w:val="left"/>
      <w:pPr>
        <w:tabs>
          <w:tab w:val="num" w:pos="3030"/>
        </w:tabs>
        <w:ind w:left="3030" w:hanging="360"/>
      </w:pPr>
      <w:rPr>
        <w:rFonts w:hint="default"/>
      </w:rPr>
    </w:lvl>
    <w:lvl w:ilvl="4">
      <w:start w:val="1"/>
      <w:numFmt w:val="none"/>
      <w:lvlText w:val=""/>
      <w:lvlJc w:val="left"/>
      <w:pPr>
        <w:tabs>
          <w:tab w:val="num" w:pos="3390"/>
        </w:tabs>
        <w:ind w:left="3390" w:hanging="360"/>
      </w:pPr>
      <w:rPr>
        <w:rFonts w:hint="default"/>
      </w:rPr>
    </w:lvl>
    <w:lvl w:ilvl="5">
      <w:start w:val="1"/>
      <w:numFmt w:val="none"/>
      <w:lvlText w:val=""/>
      <w:lvlJc w:val="left"/>
      <w:pPr>
        <w:tabs>
          <w:tab w:val="num" w:pos="3750"/>
        </w:tabs>
        <w:ind w:left="3750" w:hanging="360"/>
      </w:pPr>
      <w:rPr>
        <w:rFonts w:hint="default"/>
      </w:rPr>
    </w:lvl>
    <w:lvl w:ilvl="6">
      <w:start w:val="1"/>
      <w:numFmt w:val="none"/>
      <w:lvlText w:val="%7"/>
      <w:lvlJc w:val="left"/>
      <w:pPr>
        <w:tabs>
          <w:tab w:val="num" w:pos="4110"/>
        </w:tabs>
        <w:ind w:left="4110" w:hanging="360"/>
      </w:pPr>
      <w:rPr>
        <w:rFonts w:hint="default"/>
      </w:rPr>
    </w:lvl>
    <w:lvl w:ilvl="7">
      <w:start w:val="1"/>
      <w:numFmt w:val="none"/>
      <w:lvlText w:val="%8"/>
      <w:lvlJc w:val="left"/>
      <w:pPr>
        <w:tabs>
          <w:tab w:val="num" w:pos="4470"/>
        </w:tabs>
        <w:ind w:left="4470" w:hanging="360"/>
      </w:pPr>
      <w:rPr>
        <w:rFonts w:hint="default"/>
      </w:rPr>
    </w:lvl>
    <w:lvl w:ilvl="8">
      <w:start w:val="1"/>
      <w:numFmt w:val="none"/>
      <w:lvlText w:val="%9"/>
      <w:lvlJc w:val="left"/>
      <w:pPr>
        <w:tabs>
          <w:tab w:val="num" w:pos="4830"/>
        </w:tabs>
        <w:ind w:left="4830" w:hanging="360"/>
      </w:pPr>
      <w:rPr>
        <w:rFonts w:hint="default"/>
      </w:rPr>
    </w:lvl>
  </w:abstractNum>
  <w:abstractNum w:abstractNumId="50">
    <w:nsid w:val="69A82534"/>
    <w:multiLevelType w:val="hybridMultilevel"/>
    <w:tmpl w:val="2E08499A"/>
    <w:lvl w:ilvl="0" w:tplc="9DBE27BE">
      <w:start w:val="1"/>
      <w:numFmt w:val="decimal"/>
      <w:pStyle w:val="BulletNumber"/>
      <w:lvlText w:val="%1."/>
      <w:lvlJc w:val="left"/>
      <w:pPr>
        <w:tabs>
          <w:tab w:val="num" w:pos="340"/>
        </w:tabs>
        <w:ind w:left="340" w:hanging="34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6CE30D2B"/>
    <w:multiLevelType w:val="hybridMultilevel"/>
    <w:tmpl w:val="0DF4A752"/>
    <w:lvl w:ilvl="0" w:tplc="9B826E94">
      <w:start w:val="1"/>
      <w:numFmt w:val="bullet"/>
      <w:lvlText w:val=""/>
      <w:lvlJc w:val="left"/>
      <w:pPr>
        <w:ind w:left="360" w:hanging="360"/>
      </w:pPr>
      <w:rPr>
        <w:rFonts w:ascii="Symbol" w:hAnsi="Symbol" w:hint="default"/>
        <w:sz w:val="20"/>
        <w:szCs w:val="2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2">
    <w:nsid w:val="742F0B2F"/>
    <w:multiLevelType w:val="hybridMultilevel"/>
    <w:tmpl w:val="6040E074"/>
    <w:lvl w:ilvl="0" w:tplc="0C090001">
      <w:start w:val="1"/>
      <w:numFmt w:val="bullet"/>
      <w:lvlText w:val=""/>
      <w:lvlJc w:val="left"/>
      <w:pPr>
        <w:ind w:left="776" w:hanging="360"/>
      </w:pPr>
      <w:rPr>
        <w:rFonts w:ascii="Symbol" w:hAnsi="Symbol" w:hint="default"/>
      </w:rPr>
    </w:lvl>
    <w:lvl w:ilvl="1" w:tplc="0C090003" w:tentative="1">
      <w:start w:val="1"/>
      <w:numFmt w:val="bullet"/>
      <w:lvlText w:val="o"/>
      <w:lvlJc w:val="left"/>
      <w:pPr>
        <w:ind w:left="1496" w:hanging="360"/>
      </w:pPr>
      <w:rPr>
        <w:rFonts w:ascii="Courier New" w:hAnsi="Courier New" w:cs="Courier New" w:hint="default"/>
      </w:rPr>
    </w:lvl>
    <w:lvl w:ilvl="2" w:tplc="0C090005" w:tentative="1">
      <w:start w:val="1"/>
      <w:numFmt w:val="bullet"/>
      <w:lvlText w:val=""/>
      <w:lvlJc w:val="left"/>
      <w:pPr>
        <w:ind w:left="2216" w:hanging="360"/>
      </w:pPr>
      <w:rPr>
        <w:rFonts w:ascii="Wingdings" w:hAnsi="Wingdings" w:hint="default"/>
      </w:rPr>
    </w:lvl>
    <w:lvl w:ilvl="3" w:tplc="0C090001" w:tentative="1">
      <w:start w:val="1"/>
      <w:numFmt w:val="bullet"/>
      <w:lvlText w:val=""/>
      <w:lvlJc w:val="left"/>
      <w:pPr>
        <w:ind w:left="2936" w:hanging="360"/>
      </w:pPr>
      <w:rPr>
        <w:rFonts w:ascii="Symbol" w:hAnsi="Symbol" w:hint="default"/>
      </w:rPr>
    </w:lvl>
    <w:lvl w:ilvl="4" w:tplc="0C090003" w:tentative="1">
      <w:start w:val="1"/>
      <w:numFmt w:val="bullet"/>
      <w:lvlText w:val="o"/>
      <w:lvlJc w:val="left"/>
      <w:pPr>
        <w:ind w:left="3656" w:hanging="360"/>
      </w:pPr>
      <w:rPr>
        <w:rFonts w:ascii="Courier New" w:hAnsi="Courier New" w:cs="Courier New" w:hint="default"/>
      </w:rPr>
    </w:lvl>
    <w:lvl w:ilvl="5" w:tplc="0C090005" w:tentative="1">
      <w:start w:val="1"/>
      <w:numFmt w:val="bullet"/>
      <w:lvlText w:val=""/>
      <w:lvlJc w:val="left"/>
      <w:pPr>
        <w:ind w:left="4376" w:hanging="360"/>
      </w:pPr>
      <w:rPr>
        <w:rFonts w:ascii="Wingdings" w:hAnsi="Wingdings" w:hint="default"/>
      </w:rPr>
    </w:lvl>
    <w:lvl w:ilvl="6" w:tplc="0C090001" w:tentative="1">
      <w:start w:val="1"/>
      <w:numFmt w:val="bullet"/>
      <w:lvlText w:val=""/>
      <w:lvlJc w:val="left"/>
      <w:pPr>
        <w:ind w:left="5096" w:hanging="360"/>
      </w:pPr>
      <w:rPr>
        <w:rFonts w:ascii="Symbol" w:hAnsi="Symbol" w:hint="default"/>
      </w:rPr>
    </w:lvl>
    <w:lvl w:ilvl="7" w:tplc="0C090003" w:tentative="1">
      <w:start w:val="1"/>
      <w:numFmt w:val="bullet"/>
      <w:lvlText w:val="o"/>
      <w:lvlJc w:val="left"/>
      <w:pPr>
        <w:ind w:left="5816" w:hanging="360"/>
      </w:pPr>
      <w:rPr>
        <w:rFonts w:ascii="Courier New" w:hAnsi="Courier New" w:cs="Courier New" w:hint="default"/>
      </w:rPr>
    </w:lvl>
    <w:lvl w:ilvl="8" w:tplc="0C090005" w:tentative="1">
      <w:start w:val="1"/>
      <w:numFmt w:val="bullet"/>
      <w:lvlText w:val=""/>
      <w:lvlJc w:val="left"/>
      <w:pPr>
        <w:ind w:left="6536" w:hanging="360"/>
      </w:pPr>
      <w:rPr>
        <w:rFonts w:ascii="Wingdings" w:hAnsi="Wingdings" w:hint="default"/>
      </w:rPr>
    </w:lvl>
  </w:abstractNum>
  <w:abstractNum w:abstractNumId="53">
    <w:nsid w:val="752C7B78"/>
    <w:multiLevelType w:val="hybridMultilevel"/>
    <w:tmpl w:val="361AD51A"/>
    <w:lvl w:ilvl="0" w:tplc="C1767348">
      <w:start w:val="1"/>
      <w:numFmt w:val="bullet"/>
      <w:lvlText w:val=""/>
      <w:lvlJc w:val="left"/>
      <w:pPr>
        <w:ind w:left="360" w:hanging="360"/>
      </w:pPr>
      <w:rPr>
        <w:rFonts w:ascii="Symbol" w:hAnsi="Symbol" w:hint="default"/>
        <w:sz w:val="20"/>
        <w:szCs w:val="2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4">
    <w:nsid w:val="7768158D"/>
    <w:multiLevelType w:val="hybridMultilevel"/>
    <w:tmpl w:val="0E262C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5">
    <w:nsid w:val="791C0BE8"/>
    <w:multiLevelType w:val="hybridMultilevel"/>
    <w:tmpl w:val="F8CAEDDC"/>
    <w:lvl w:ilvl="0" w:tplc="8F2AD82C">
      <w:start w:val="1"/>
      <w:numFmt w:val="decimal"/>
      <w:lvlText w:val="%1."/>
      <w:lvlJc w:val="left"/>
      <w:pPr>
        <w:ind w:left="360" w:hanging="360"/>
      </w:pPr>
      <w:rPr>
        <w:rFonts w:hint="default"/>
        <w:sz w:val="24"/>
        <w:szCs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6">
    <w:nsid w:val="7F1D5656"/>
    <w:multiLevelType w:val="hybridMultilevel"/>
    <w:tmpl w:val="B018F802"/>
    <w:lvl w:ilvl="0" w:tplc="0C090001">
      <w:start w:val="1"/>
      <w:numFmt w:val="bullet"/>
      <w:lvlText w:val=""/>
      <w:lvlJc w:val="left"/>
      <w:pPr>
        <w:ind w:left="832" w:hanging="360"/>
      </w:pPr>
      <w:rPr>
        <w:rFonts w:ascii="Symbol" w:hAnsi="Symbol" w:hint="default"/>
      </w:rPr>
    </w:lvl>
    <w:lvl w:ilvl="1" w:tplc="0C090003" w:tentative="1">
      <w:start w:val="1"/>
      <w:numFmt w:val="bullet"/>
      <w:lvlText w:val="o"/>
      <w:lvlJc w:val="left"/>
      <w:pPr>
        <w:ind w:left="1552" w:hanging="360"/>
      </w:pPr>
      <w:rPr>
        <w:rFonts w:ascii="Courier New" w:hAnsi="Courier New" w:cs="Courier New" w:hint="default"/>
      </w:rPr>
    </w:lvl>
    <w:lvl w:ilvl="2" w:tplc="0C090005" w:tentative="1">
      <w:start w:val="1"/>
      <w:numFmt w:val="bullet"/>
      <w:lvlText w:val=""/>
      <w:lvlJc w:val="left"/>
      <w:pPr>
        <w:ind w:left="2272" w:hanging="360"/>
      </w:pPr>
      <w:rPr>
        <w:rFonts w:ascii="Wingdings" w:hAnsi="Wingdings" w:hint="default"/>
      </w:rPr>
    </w:lvl>
    <w:lvl w:ilvl="3" w:tplc="0C090001" w:tentative="1">
      <w:start w:val="1"/>
      <w:numFmt w:val="bullet"/>
      <w:lvlText w:val=""/>
      <w:lvlJc w:val="left"/>
      <w:pPr>
        <w:ind w:left="2992" w:hanging="360"/>
      </w:pPr>
      <w:rPr>
        <w:rFonts w:ascii="Symbol" w:hAnsi="Symbol" w:hint="default"/>
      </w:rPr>
    </w:lvl>
    <w:lvl w:ilvl="4" w:tplc="0C090003" w:tentative="1">
      <w:start w:val="1"/>
      <w:numFmt w:val="bullet"/>
      <w:lvlText w:val="o"/>
      <w:lvlJc w:val="left"/>
      <w:pPr>
        <w:ind w:left="3712" w:hanging="360"/>
      </w:pPr>
      <w:rPr>
        <w:rFonts w:ascii="Courier New" w:hAnsi="Courier New" w:cs="Courier New" w:hint="default"/>
      </w:rPr>
    </w:lvl>
    <w:lvl w:ilvl="5" w:tplc="0C090005" w:tentative="1">
      <w:start w:val="1"/>
      <w:numFmt w:val="bullet"/>
      <w:lvlText w:val=""/>
      <w:lvlJc w:val="left"/>
      <w:pPr>
        <w:ind w:left="4432" w:hanging="360"/>
      </w:pPr>
      <w:rPr>
        <w:rFonts w:ascii="Wingdings" w:hAnsi="Wingdings" w:hint="default"/>
      </w:rPr>
    </w:lvl>
    <w:lvl w:ilvl="6" w:tplc="0C090001" w:tentative="1">
      <w:start w:val="1"/>
      <w:numFmt w:val="bullet"/>
      <w:lvlText w:val=""/>
      <w:lvlJc w:val="left"/>
      <w:pPr>
        <w:ind w:left="5152" w:hanging="360"/>
      </w:pPr>
      <w:rPr>
        <w:rFonts w:ascii="Symbol" w:hAnsi="Symbol" w:hint="default"/>
      </w:rPr>
    </w:lvl>
    <w:lvl w:ilvl="7" w:tplc="0C090003" w:tentative="1">
      <w:start w:val="1"/>
      <w:numFmt w:val="bullet"/>
      <w:lvlText w:val="o"/>
      <w:lvlJc w:val="left"/>
      <w:pPr>
        <w:ind w:left="5872" w:hanging="360"/>
      </w:pPr>
      <w:rPr>
        <w:rFonts w:ascii="Courier New" w:hAnsi="Courier New" w:cs="Courier New" w:hint="default"/>
      </w:rPr>
    </w:lvl>
    <w:lvl w:ilvl="8" w:tplc="0C090005" w:tentative="1">
      <w:start w:val="1"/>
      <w:numFmt w:val="bullet"/>
      <w:lvlText w:val=""/>
      <w:lvlJc w:val="left"/>
      <w:pPr>
        <w:ind w:left="6592" w:hanging="360"/>
      </w:pPr>
      <w:rPr>
        <w:rFonts w:ascii="Wingdings" w:hAnsi="Wingdings" w:hint="default"/>
      </w:rPr>
    </w:lvl>
  </w:abstractNum>
  <w:num w:numId="1">
    <w:abstractNumId w:val="7"/>
  </w:num>
  <w:num w:numId="2">
    <w:abstractNumId w:val="23"/>
  </w:num>
  <w:num w:numId="3">
    <w:abstractNumId w:val="6"/>
  </w:num>
  <w:num w:numId="4">
    <w:abstractNumId w:val="5"/>
  </w:num>
  <w:num w:numId="5">
    <w:abstractNumId w:val="49"/>
  </w:num>
  <w:num w:numId="6">
    <w:abstractNumId w:val="50"/>
  </w:num>
  <w:num w:numId="7">
    <w:abstractNumId w:val="48"/>
  </w:num>
  <w:num w:numId="8">
    <w:abstractNumId w:val="2"/>
  </w:num>
  <w:num w:numId="9">
    <w:abstractNumId w:val="44"/>
  </w:num>
  <w:num w:numId="10">
    <w:abstractNumId w:val="30"/>
  </w:num>
  <w:num w:numId="11">
    <w:abstractNumId w:val="55"/>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18"/>
  </w:num>
  <w:num w:numId="15">
    <w:abstractNumId w:val="47"/>
  </w:num>
  <w:num w:numId="16">
    <w:abstractNumId w:val="36"/>
  </w:num>
  <w:num w:numId="17">
    <w:abstractNumId w:val="53"/>
  </w:num>
  <w:num w:numId="18">
    <w:abstractNumId w:val="43"/>
  </w:num>
  <w:num w:numId="19">
    <w:abstractNumId w:val="21"/>
  </w:num>
  <w:num w:numId="20">
    <w:abstractNumId w:val="33"/>
  </w:num>
  <w:num w:numId="21">
    <w:abstractNumId w:val="39"/>
  </w:num>
  <w:num w:numId="22">
    <w:abstractNumId w:val="34"/>
  </w:num>
  <w:num w:numId="23">
    <w:abstractNumId w:val="15"/>
  </w:num>
  <w:num w:numId="24">
    <w:abstractNumId w:val="19"/>
  </w:num>
  <w:num w:numId="25">
    <w:abstractNumId w:val="3"/>
  </w:num>
  <w:num w:numId="26">
    <w:abstractNumId w:val="20"/>
  </w:num>
  <w:num w:numId="27">
    <w:abstractNumId w:val="1"/>
  </w:num>
  <w:num w:numId="28">
    <w:abstractNumId w:val="35"/>
  </w:num>
  <w:num w:numId="29">
    <w:abstractNumId w:val="9"/>
  </w:num>
  <w:num w:numId="30">
    <w:abstractNumId w:val="14"/>
  </w:num>
  <w:num w:numId="31">
    <w:abstractNumId w:val="25"/>
  </w:num>
  <w:num w:numId="32">
    <w:abstractNumId w:val="8"/>
  </w:num>
  <w:num w:numId="33">
    <w:abstractNumId w:val="52"/>
  </w:num>
  <w:num w:numId="34">
    <w:abstractNumId w:val="27"/>
  </w:num>
  <w:num w:numId="35">
    <w:abstractNumId w:val="10"/>
  </w:num>
  <w:num w:numId="36">
    <w:abstractNumId w:val="40"/>
  </w:num>
  <w:num w:numId="37">
    <w:abstractNumId w:val="42"/>
  </w:num>
  <w:num w:numId="38">
    <w:abstractNumId w:val="51"/>
  </w:num>
  <w:num w:numId="39">
    <w:abstractNumId w:val="46"/>
  </w:num>
  <w:num w:numId="40">
    <w:abstractNumId w:val="45"/>
  </w:num>
  <w:num w:numId="41">
    <w:abstractNumId w:val="41"/>
  </w:num>
  <w:num w:numId="42">
    <w:abstractNumId w:val="32"/>
  </w:num>
  <w:num w:numId="43">
    <w:abstractNumId w:val="22"/>
  </w:num>
  <w:num w:numId="44">
    <w:abstractNumId w:val="24"/>
  </w:num>
  <w:num w:numId="45">
    <w:abstractNumId w:val="12"/>
  </w:num>
  <w:num w:numId="46">
    <w:abstractNumId w:val="37"/>
  </w:num>
  <w:num w:numId="47">
    <w:abstractNumId w:val="37"/>
  </w:num>
  <w:num w:numId="48">
    <w:abstractNumId w:val="37"/>
  </w:num>
  <w:num w:numId="49">
    <w:abstractNumId w:val="0"/>
  </w:num>
  <w:num w:numId="5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3"/>
  </w:num>
  <w:num w:numId="52">
    <w:abstractNumId w:val="56"/>
  </w:num>
  <w:num w:numId="53">
    <w:abstractNumId w:val="26"/>
  </w:num>
  <w:num w:numId="54">
    <w:abstractNumId w:val="29"/>
  </w:num>
  <w:num w:numId="55">
    <w:abstractNumId w:val="54"/>
  </w:num>
  <w:num w:numId="56">
    <w:abstractNumId w:val="16"/>
  </w:num>
  <w:num w:numId="57">
    <w:abstractNumId w:val="38"/>
  </w:num>
  <w:num w:numId="58">
    <w:abstractNumId w:val="11"/>
  </w:num>
  <w:num w:numId="59">
    <w:abstractNumId w:val="7"/>
  </w:num>
  <w:num w:numId="60">
    <w:abstractNumId w:val="7"/>
  </w:num>
  <w:num w:numId="61">
    <w:abstractNumId w:val="3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819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BB0"/>
    <w:rsid w:val="00000085"/>
    <w:rsid w:val="00001AD8"/>
    <w:rsid w:val="00002354"/>
    <w:rsid w:val="00002F48"/>
    <w:rsid w:val="0000364E"/>
    <w:rsid w:val="0000585A"/>
    <w:rsid w:val="00005D38"/>
    <w:rsid w:val="0000624F"/>
    <w:rsid w:val="0000647D"/>
    <w:rsid w:val="00007A4A"/>
    <w:rsid w:val="00010684"/>
    <w:rsid w:val="000128A0"/>
    <w:rsid w:val="00013270"/>
    <w:rsid w:val="00014ABE"/>
    <w:rsid w:val="00017B62"/>
    <w:rsid w:val="0002071F"/>
    <w:rsid w:val="000218F9"/>
    <w:rsid w:val="00022C64"/>
    <w:rsid w:val="000234D5"/>
    <w:rsid w:val="00023EFC"/>
    <w:rsid w:val="0002550A"/>
    <w:rsid w:val="00027689"/>
    <w:rsid w:val="000305C1"/>
    <w:rsid w:val="0003148B"/>
    <w:rsid w:val="0003237F"/>
    <w:rsid w:val="000332A0"/>
    <w:rsid w:val="00033EFB"/>
    <w:rsid w:val="000340B7"/>
    <w:rsid w:val="00034A98"/>
    <w:rsid w:val="00036644"/>
    <w:rsid w:val="00037A52"/>
    <w:rsid w:val="000401CC"/>
    <w:rsid w:val="00040AA7"/>
    <w:rsid w:val="0004114D"/>
    <w:rsid w:val="00043FC6"/>
    <w:rsid w:val="000451D1"/>
    <w:rsid w:val="00045C91"/>
    <w:rsid w:val="0004756A"/>
    <w:rsid w:val="00047B64"/>
    <w:rsid w:val="00047EFC"/>
    <w:rsid w:val="0005120A"/>
    <w:rsid w:val="000533C5"/>
    <w:rsid w:val="000566C8"/>
    <w:rsid w:val="00060E5F"/>
    <w:rsid w:val="0006375D"/>
    <w:rsid w:val="00064EFB"/>
    <w:rsid w:val="00065318"/>
    <w:rsid w:val="00066ACD"/>
    <w:rsid w:val="00067A64"/>
    <w:rsid w:val="00072CBA"/>
    <w:rsid w:val="00073E19"/>
    <w:rsid w:val="0007595E"/>
    <w:rsid w:val="0007696D"/>
    <w:rsid w:val="00080617"/>
    <w:rsid w:val="0008333A"/>
    <w:rsid w:val="000838C6"/>
    <w:rsid w:val="00086181"/>
    <w:rsid w:val="00087960"/>
    <w:rsid w:val="00090FD9"/>
    <w:rsid w:val="00093FF9"/>
    <w:rsid w:val="00094AA6"/>
    <w:rsid w:val="00094E90"/>
    <w:rsid w:val="00096AB5"/>
    <w:rsid w:val="00097027"/>
    <w:rsid w:val="00097D4D"/>
    <w:rsid w:val="000A2D88"/>
    <w:rsid w:val="000A301F"/>
    <w:rsid w:val="000A78F9"/>
    <w:rsid w:val="000A7E7D"/>
    <w:rsid w:val="000B080C"/>
    <w:rsid w:val="000B0A94"/>
    <w:rsid w:val="000B0FF8"/>
    <w:rsid w:val="000B1E9B"/>
    <w:rsid w:val="000B37DF"/>
    <w:rsid w:val="000B3BB5"/>
    <w:rsid w:val="000B5CEC"/>
    <w:rsid w:val="000B688A"/>
    <w:rsid w:val="000C0271"/>
    <w:rsid w:val="000C215D"/>
    <w:rsid w:val="000C5AD8"/>
    <w:rsid w:val="000D0EC1"/>
    <w:rsid w:val="000D1712"/>
    <w:rsid w:val="000D177A"/>
    <w:rsid w:val="000D21BB"/>
    <w:rsid w:val="000D233C"/>
    <w:rsid w:val="000D2578"/>
    <w:rsid w:val="000D7DBC"/>
    <w:rsid w:val="000D7F38"/>
    <w:rsid w:val="000E12CB"/>
    <w:rsid w:val="000E14CC"/>
    <w:rsid w:val="000E14CD"/>
    <w:rsid w:val="000E1532"/>
    <w:rsid w:val="000E18FB"/>
    <w:rsid w:val="000E4052"/>
    <w:rsid w:val="000E620B"/>
    <w:rsid w:val="000E63DA"/>
    <w:rsid w:val="000F20B5"/>
    <w:rsid w:val="000F2C78"/>
    <w:rsid w:val="000F302A"/>
    <w:rsid w:val="000F4468"/>
    <w:rsid w:val="000F540C"/>
    <w:rsid w:val="000F6435"/>
    <w:rsid w:val="000F6921"/>
    <w:rsid w:val="000F6F2C"/>
    <w:rsid w:val="001012C3"/>
    <w:rsid w:val="00101D9B"/>
    <w:rsid w:val="0010258A"/>
    <w:rsid w:val="001027CB"/>
    <w:rsid w:val="00102B08"/>
    <w:rsid w:val="00103FF9"/>
    <w:rsid w:val="001048FB"/>
    <w:rsid w:val="0010538A"/>
    <w:rsid w:val="00105F43"/>
    <w:rsid w:val="00111CC0"/>
    <w:rsid w:val="00112514"/>
    <w:rsid w:val="00112985"/>
    <w:rsid w:val="00112BD0"/>
    <w:rsid w:val="0011316C"/>
    <w:rsid w:val="00113776"/>
    <w:rsid w:val="00114796"/>
    <w:rsid w:val="001154F5"/>
    <w:rsid w:val="001166DD"/>
    <w:rsid w:val="00116D81"/>
    <w:rsid w:val="00120DF1"/>
    <w:rsid w:val="001225EF"/>
    <w:rsid w:val="00127FFD"/>
    <w:rsid w:val="00130635"/>
    <w:rsid w:val="00130848"/>
    <w:rsid w:val="00133166"/>
    <w:rsid w:val="001361DC"/>
    <w:rsid w:val="00136A97"/>
    <w:rsid w:val="00143FC4"/>
    <w:rsid w:val="0014512F"/>
    <w:rsid w:val="001509FA"/>
    <w:rsid w:val="00151889"/>
    <w:rsid w:val="00151958"/>
    <w:rsid w:val="00151E3E"/>
    <w:rsid w:val="00151FCC"/>
    <w:rsid w:val="00153713"/>
    <w:rsid w:val="001554ED"/>
    <w:rsid w:val="001576A9"/>
    <w:rsid w:val="00160C8C"/>
    <w:rsid w:val="001614B6"/>
    <w:rsid w:val="00163FE5"/>
    <w:rsid w:val="00167BF4"/>
    <w:rsid w:val="001715DF"/>
    <w:rsid w:val="001717F0"/>
    <w:rsid w:val="00171C5A"/>
    <w:rsid w:val="00173643"/>
    <w:rsid w:val="001745F8"/>
    <w:rsid w:val="0017537D"/>
    <w:rsid w:val="00175609"/>
    <w:rsid w:val="00177A20"/>
    <w:rsid w:val="00177BC0"/>
    <w:rsid w:val="00177E92"/>
    <w:rsid w:val="001804F2"/>
    <w:rsid w:val="00181389"/>
    <w:rsid w:val="00181682"/>
    <w:rsid w:val="00181C73"/>
    <w:rsid w:val="001835D3"/>
    <w:rsid w:val="00183CAA"/>
    <w:rsid w:val="0018493D"/>
    <w:rsid w:val="001877E7"/>
    <w:rsid w:val="00190896"/>
    <w:rsid w:val="0019579A"/>
    <w:rsid w:val="0019721B"/>
    <w:rsid w:val="001A0B15"/>
    <w:rsid w:val="001A0CC2"/>
    <w:rsid w:val="001A1533"/>
    <w:rsid w:val="001A22B8"/>
    <w:rsid w:val="001A3C2C"/>
    <w:rsid w:val="001A405D"/>
    <w:rsid w:val="001A5F9C"/>
    <w:rsid w:val="001A657F"/>
    <w:rsid w:val="001B4D56"/>
    <w:rsid w:val="001B6C85"/>
    <w:rsid w:val="001B73DA"/>
    <w:rsid w:val="001C0F84"/>
    <w:rsid w:val="001C148E"/>
    <w:rsid w:val="001C36E1"/>
    <w:rsid w:val="001C60B0"/>
    <w:rsid w:val="001C6A5A"/>
    <w:rsid w:val="001C7037"/>
    <w:rsid w:val="001C750D"/>
    <w:rsid w:val="001C7928"/>
    <w:rsid w:val="001D451A"/>
    <w:rsid w:val="001D47B6"/>
    <w:rsid w:val="001D5BF5"/>
    <w:rsid w:val="001E086F"/>
    <w:rsid w:val="001E0CAE"/>
    <w:rsid w:val="001E4BC8"/>
    <w:rsid w:val="001E51A1"/>
    <w:rsid w:val="001E5972"/>
    <w:rsid w:val="001E7FAF"/>
    <w:rsid w:val="001F0242"/>
    <w:rsid w:val="001F0C83"/>
    <w:rsid w:val="001F2EF9"/>
    <w:rsid w:val="001F3057"/>
    <w:rsid w:val="001F46C6"/>
    <w:rsid w:val="001F4D4C"/>
    <w:rsid w:val="001F52E5"/>
    <w:rsid w:val="001F7E83"/>
    <w:rsid w:val="00200261"/>
    <w:rsid w:val="00200D36"/>
    <w:rsid w:val="00204352"/>
    <w:rsid w:val="00204BCA"/>
    <w:rsid w:val="00205893"/>
    <w:rsid w:val="00206EA4"/>
    <w:rsid w:val="002070C3"/>
    <w:rsid w:val="00207572"/>
    <w:rsid w:val="00210949"/>
    <w:rsid w:val="002117F4"/>
    <w:rsid w:val="00211E73"/>
    <w:rsid w:val="00212B55"/>
    <w:rsid w:val="00212D3F"/>
    <w:rsid w:val="00216F1C"/>
    <w:rsid w:val="00222CAF"/>
    <w:rsid w:val="00223999"/>
    <w:rsid w:val="00226425"/>
    <w:rsid w:val="00227354"/>
    <w:rsid w:val="00227EA0"/>
    <w:rsid w:val="00230631"/>
    <w:rsid w:val="00232C6A"/>
    <w:rsid w:val="002334D8"/>
    <w:rsid w:val="002344AB"/>
    <w:rsid w:val="00234CAB"/>
    <w:rsid w:val="00235DF8"/>
    <w:rsid w:val="0024420A"/>
    <w:rsid w:val="00250906"/>
    <w:rsid w:val="00252373"/>
    <w:rsid w:val="002543B7"/>
    <w:rsid w:val="0025484C"/>
    <w:rsid w:val="0025499E"/>
    <w:rsid w:val="00254B80"/>
    <w:rsid w:val="002569CC"/>
    <w:rsid w:val="00256AF7"/>
    <w:rsid w:val="00257356"/>
    <w:rsid w:val="002575D9"/>
    <w:rsid w:val="002576EA"/>
    <w:rsid w:val="00257863"/>
    <w:rsid w:val="00260282"/>
    <w:rsid w:val="00262E35"/>
    <w:rsid w:val="00263F42"/>
    <w:rsid w:val="00265A9A"/>
    <w:rsid w:val="0027060E"/>
    <w:rsid w:val="00275CCB"/>
    <w:rsid w:val="00276AF1"/>
    <w:rsid w:val="00280093"/>
    <w:rsid w:val="002808B1"/>
    <w:rsid w:val="00280DE5"/>
    <w:rsid w:val="00282CFF"/>
    <w:rsid w:val="0028378F"/>
    <w:rsid w:val="0028511B"/>
    <w:rsid w:val="0029083F"/>
    <w:rsid w:val="002914C2"/>
    <w:rsid w:val="002919CB"/>
    <w:rsid w:val="00293B0A"/>
    <w:rsid w:val="00295B28"/>
    <w:rsid w:val="002966A8"/>
    <w:rsid w:val="002A15C5"/>
    <w:rsid w:val="002A16D6"/>
    <w:rsid w:val="002A21D1"/>
    <w:rsid w:val="002A4A47"/>
    <w:rsid w:val="002A5614"/>
    <w:rsid w:val="002A648D"/>
    <w:rsid w:val="002B0141"/>
    <w:rsid w:val="002B17EC"/>
    <w:rsid w:val="002B22DE"/>
    <w:rsid w:val="002B3C2E"/>
    <w:rsid w:val="002B536F"/>
    <w:rsid w:val="002B71DC"/>
    <w:rsid w:val="002C0C46"/>
    <w:rsid w:val="002C2FE5"/>
    <w:rsid w:val="002C35AB"/>
    <w:rsid w:val="002C39A8"/>
    <w:rsid w:val="002C64A2"/>
    <w:rsid w:val="002D0791"/>
    <w:rsid w:val="002D0B04"/>
    <w:rsid w:val="002D0B08"/>
    <w:rsid w:val="002D1C5D"/>
    <w:rsid w:val="002D26DB"/>
    <w:rsid w:val="002D432A"/>
    <w:rsid w:val="002D48D1"/>
    <w:rsid w:val="002D5D25"/>
    <w:rsid w:val="002D6380"/>
    <w:rsid w:val="002D6B97"/>
    <w:rsid w:val="002D7794"/>
    <w:rsid w:val="002E0099"/>
    <w:rsid w:val="002E36C2"/>
    <w:rsid w:val="002E43AD"/>
    <w:rsid w:val="002E4E48"/>
    <w:rsid w:val="002E7B85"/>
    <w:rsid w:val="002F2E2D"/>
    <w:rsid w:val="002F30A9"/>
    <w:rsid w:val="002F3368"/>
    <w:rsid w:val="002F45C6"/>
    <w:rsid w:val="002F45E2"/>
    <w:rsid w:val="002F53D2"/>
    <w:rsid w:val="002F6663"/>
    <w:rsid w:val="002F6C09"/>
    <w:rsid w:val="003006AE"/>
    <w:rsid w:val="00300D7C"/>
    <w:rsid w:val="00301DB6"/>
    <w:rsid w:val="00302987"/>
    <w:rsid w:val="003042C7"/>
    <w:rsid w:val="00304BD7"/>
    <w:rsid w:val="0030540A"/>
    <w:rsid w:val="0031185A"/>
    <w:rsid w:val="00311C36"/>
    <w:rsid w:val="00314062"/>
    <w:rsid w:val="003155A4"/>
    <w:rsid w:val="00316FE4"/>
    <w:rsid w:val="003259DA"/>
    <w:rsid w:val="00325A0B"/>
    <w:rsid w:val="00325DBF"/>
    <w:rsid w:val="00326275"/>
    <w:rsid w:val="00327573"/>
    <w:rsid w:val="003325CB"/>
    <w:rsid w:val="00332A21"/>
    <w:rsid w:val="00335B68"/>
    <w:rsid w:val="00337CAE"/>
    <w:rsid w:val="003405F5"/>
    <w:rsid w:val="00341261"/>
    <w:rsid w:val="00345177"/>
    <w:rsid w:val="00345C7E"/>
    <w:rsid w:val="00345CCA"/>
    <w:rsid w:val="00350266"/>
    <w:rsid w:val="003503AF"/>
    <w:rsid w:val="003512A9"/>
    <w:rsid w:val="00351F47"/>
    <w:rsid w:val="00353ECC"/>
    <w:rsid w:val="003548C2"/>
    <w:rsid w:val="003557F0"/>
    <w:rsid w:val="00355F5F"/>
    <w:rsid w:val="003569F9"/>
    <w:rsid w:val="00357E2C"/>
    <w:rsid w:val="0036529F"/>
    <w:rsid w:val="003668D4"/>
    <w:rsid w:val="003674F0"/>
    <w:rsid w:val="0037139B"/>
    <w:rsid w:val="00374F9D"/>
    <w:rsid w:val="00375175"/>
    <w:rsid w:val="003753DE"/>
    <w:rsid w:val="00377D6E"/>
    <w:rsid w:val="00385547"/>
    <w:rsid w:val="00391634"/>
    <w:rsid w:val="00391D29"/>
    <w:rsid w:val="0039222B"/>
    <w:rsid w:val="00392F24"/>
    <w:rsid w:val="00393557"/>
    <w:rsid w:val="003949E8"/>
    <w:rsid w:val="00394A26"/>
    <w:rsid w:val="00395AAB"/>
    <w:rsid w:val="003A23AE"/>
    <w:rsid w:val="003A3DDF"/>
    <w:rsid w:val="003A60CE"/>
    <w:rsid w:val="003B1A86"/>
    <w:rsid w:val="003B4A63"/>
    <w:rsid w:val="003B4CC3"/>
    <w:rsid w:val="003B581B"/>
    <w:rsid w:val="003B5C56"/>
    <w:rsid w:val="003B5D84"/>
    <w:rsid w:val="003B62E5"/>
    <w:rsid w:val="003B6C29"/>
    <w:rsid w:val="003B6C4C"/>
    <w:rsid w:val="003B73E0"/>
    <w:rsid w:val="003B7B12"/>
    <w:rsid w:val="003C04D8"/>
    <w:rsid w:val="003C058A"/>
    <w:rsid w:val="003C0E48"/>
    <w:rsid w:val="003C17BA"/>
    <w:rsid w:val="003C4C9B"/>
    <w:rsid w:val="003C6D77"/>
    <w:rsid w:val="003D09F6"/>
    <w:rsid w:val="003D16B4"/>
    <w:rsid w:val="003D687D"/>
    <w:rsid w:val="003E30C7"/>
    <w:rsid w:val="003E34A2"/>
    <w:rsid w:val="003E57B2"/>
    <w:rsid w:val="003E59DB"/>
    <w:rsid w:val="003E711D"/>
    <w:rsid w:val="003F4246"/>
    <w:rsid w:val="003F431B"/>
    <w:rsid w:val="003F4660"/>
    <w:rsid w:val="003F4A73"/>
    <w:rsid w:val="003F7DBC"/>
    <w:rsid w:val="00401F93"/>
    <w:rsid w:val="004048E6"/>
    <w:rsid w:val="0040609C"/>
    <w:rsid w:val="0041066E"/>
    <w:rsid w:val="00410CD8"/>
    <w:rsid w:val="0041236B"/>
    <w:rsid w:val="00413FA9"/>
    <w:rsid w:val="00414F37"/>
    <w:rsid w:val="004174B4"/>
    <w:rsid w:val="00417688"/>
    <w:rsid w:val="00417D2C"/>
    <w:rsid w:val="0042142F"/>
    <w:rsid w:val="004220FD"/>
    <w:rsid w:val="00422BDE"/>
    <w:rsid w:val="00422CF6"/>
    <w:rsid w:val="004327D9"/>
    <w:rsid w:val="004334E6"/>
    <w:rsid w:val="00434FE0"/>
    <w:rsid w:val="0043554B"/>
    <w:rsid w:val="00435F02"/>
    <w:rsid w:val="00437DF6"/>
    <w:rsid w:val="00440E73"/>
    <w:rsid w:val="004422C1"/>
    <w:rsid w:val="00442613"/>
    <w:rsid w:val="004442F4"/>
    <w:rsid w:val="0044714F"/>
    <w:rsid w:val="0044746F"/>
    <w:rsid w:val="004474E9"/>
    <w:rsid w:val="00450127"/>
    <w:rsid w:val="0045276D"/>
    <w:rsid w:val="00453D80"/>
    <w:rsid w:val="00454B77"/>
    <w:rsid w:val="00454DB3"/>
    <w:rsid w:val="004602EA"/>
    <w:rsid w:val="0046289C"/>
    <w:rsid w:val="004628DE"/>
    <w:rsid w:val="0046647D"/>
    <w:rsid w:val="00466B28"/>
    <w:rsid w:val="004677B3"/>
    <w:rsid w:val="0046782E"/>
    <w:rsid w:val="00467B37"/>
    <w:rsid w:val="00467F9B"/>
    <w:rsid w:val="00472D63"/>
    <w:rsid w:val="004739CD"/>
    <w:rsid w:val="004753D6"/>
    <w:rsid w:val="0047666F"/>
    <w:rsid w:val="00477627"/>
    <w:rsid w:val="00482761"/>
    <w:rsid w:val="00482CA0"/>
    <w:rsid w:val="00484C10"/>
    <w:rsid w:val="00487618"/>
    <w:rsid w:val="00490EA8"/>
    <w:rsid w:val="004917BC"/>
    <w:rsid w:val="00493511"/>
    <w:rsid w:val="00493D6B"/>
    <w:rsid w:val="00495415"/>
    <w:rsid w:val="004958F0"/>
    <w:rsid w:val="0049628C"/>
    <w:rsid w:val="0049767A"/>
    <w:rsid w:val="004A3019"/>
    <w:rsid w:val="004A721E"/>
    <w:rsid w:val="004B0D1A"/>
    <w:rsid w:val="004B1671"/>
    <w:rsid w:val="004B1820"/>
    <w:rsid w:val="004B281C"/>
    <w:rsid w:val="004B41AB"/>
    <w:rsid w:val="004B4C29"/>
    <w:rsid w:val="004B4D7D"/>
    <w:rsid w:val="004B5B21"/>
    <w:rsid w:val="004C02E0"/>
    <w:rsid w:val="004C0658"/>
    <w:rsid w:val="004C17E4"/>
    <w:rsid w:val="004C4642"/>
    <w:rsid w:val="004C4BF2"/>
    <w:rsid w:val="004C5547"/>
    <w:rsid w:val="004C56F7"/>
    <w:rsid w:val="004C5E6F"/>
    <w:rsid w:val="004C6420"/>
    <w:rsid w:val="004C7404"/>
    <w:rsid w:val="004D3E19"/>
    <w:rsid w:val="004D4239"/>
    <w:rsid w:val="004D427B"/>
    <w:rsid w:val="004D5009"/>
    <w:rsid w:val="004D5559"/>
    <w:rsid w:val="004D5799"/>
    <w:rsid w:val="004E02F3"/>
    <w:rsid w:val="004E04A2"/>
    <w:rsid w:val="004E48F3"/>
    <w:rsid w:val="004E4AA4"/>
    <w:rsid w:val="004E4EB1"/>
    <w:rsid w:val="004E64AA"/>
    <w:rsid w:val="004E6D7D"/>
    <w:rsid w:val="004E7FF0"/>
    <w:rsid w:val="004F0213"/>
    <w:rsid w:val="004F05FB"/>
    <w:rsid w:val="004F0CAD"/>
    <w:rsid w:val="004F0E43"/>
    <w:rsid w:val="004F17E8"/>
    <w:rsid w:val="004F2D71"/>
    <w:rsid w:val="004F379F"/>
    <w:rsid w:val="004F63AB"/>
    <w:rsid w:val="005024DB"/>
    <w:rsid w:val="005033FD"/>
    <w:rsid w:val="00503B2C"/>
    <w:rsid w:val="0050643A"/>
    <w:rsid w:val="00511E8E"/>
    <w:rsid w:val="00512D94"/>
    <w:rsid w:val="00514C77"/>
    <w:rsid w:val="00515443"/>
    <w:rsid w:val="005178CD"/>
    <w:rsid w:val="00517F50"/>
    <w:rsid w:val="005202DB"/>
    <w:rsid w:val="00520823"/>
    <w:rsid w:val="00520916"/>
    <w:rsid w:val="005223D0"/>
    <w:rsid w:val="00522767"/>
    <w:rsid w:val="00523C31"/>
    <w:rsid w:val="00525C6C"/>
    <w:rsid w:val="00525C77"/>
    <w:rsid w:val="00525FB8"/>
    <w:rsid w:val="00526BEF"/>
    <w:rsid w:val="005329F2"/>
    <w:rsid w:val="00532A24"/>
    <w:rsid w:val="0053391D"/>
    <w:rsid w:val="00534866"/>
    <w:rsid w:val="00534A35"/>
    <w:rsid w:val="005354DA"/>
    <w:rsid w:val="00536953"/>
    <w:rsid w:val="00540AAE"/>
    <w:rsid w:val="00540ECC"/>
    <w:rsid w:val="00541612"/>
    <w:rsid w:val="00542883"/>
    <w:rsid w:val="0054366D"/>
    <w:rsid w:val="0054588B"/>
    <w:rsid w:val="005473B5"/>
    <w:rsid w:val="0054771A"/>
    <w:rsid w:val="00547C85"/>
    <w:rsid w:val="00554B9E"/>
    <w:rsid w:val="00555675"/>
    <w:rsid w:val="0055605B"/>
    <w:rsid w:val="005560FA"/>
    <w:rsid w:val="00556D89"/>
    <w:rsid w:val="005605D9"/>
    <w:rsid w:val="00560A3D"/>
    <w:rsid w:val="00561B16"/>
    <w:rsid w:val="00562692"/>
    <w:rsid w:val="00564A59"/>
    <w:rsid w:val="00566468"/>
    <w:rsid w:val="00570011"/>
    <w:rsid w:val="00570DA3"/>
    <w:rsid w:val="00572B21"/>
    <w:rsid w:val="00573BC0"/>
    <w:rsid w:val="00575154"/>
    <w:rsid w:val="005751BA"/>
    <w:rsid w:val="005754EE"/>
    <w:rsid w:val="0057593C"/>
    <w:rsid w:val="00577218"/>
    <w:rsid w:val="005772E5"/>
    <w:rsid w:val="00583B95"/>
    <w:rsid w:val="00584E9B"/>
    <w:rsid w:val="005871F6"/>
    <w:rsid w:val="005919F5"/>
    <w:rsid w:val="00591CDE"/>
    <w:rsid w:val="005927F0"/>
    <w:rsid w:val="00594761"/>
    <w:rsid w:val="005947E3"/>
    <w:rsid w:val="00594983"/>
    <w:rsid w:val="005953F9"/>
    <w:rsid w:val="00597034"/>
    <w:rsid w:val="005977B6"/>
    <w:rsid w:val="005A184E"/>
    <w:rsid w:val="005A2B31"/>
    <w:rsid w:val="005A426F"/>
    <w:rsid w:val="005A441F"/>
    <w:rsid w:val="005A5D08"/>
    <w:rsid w:val="005A669E"/>
    <w:rsid w:val="005A6E72"/>
    <w:rsid w:val="005A722D"/>
    <w:rsid w:val="005A7877"/>
    <w:rsid w:val="005B2DB4"/>
    <w:rsid w:val="005B3316"/>
    <w:rsid w:val="005B64B8"/>
    <w:rsid w:val="005C08C3"/>
    <w:rsid w:val="005C092B"/>
    <w:rsid w:val="005C0B80"/>
    <w:rsid w:val="005C1F8C"/>
    <w:rsid w:val="005C3A86"/>
    <w:rsid w:val="005C5373"/>
    <w:rsid w:val="005C541B"/>
    <w:rsid w:val="005D183F"/>
    <w:rsid w:val="005D6834"/>
    <w:rsid w:val="005D6A6C"/>
    <w:rsid w:val="005E0A48"/>
    <w:rsid w:val="005E2170"/>
    <w:rsid w:val="005E28EE"/>
    <w:rsid w:val="005E31AE"/>
    <w:rsid w:val="005E4A4C"/>
    <w:rsid w:val="005F0167"/>
    <w:rsid w:val="005F5C34"/>
    <w:rsid w:val="005F6595"/>
    <w:rsid w:val="005F6E51"/>
    <w:rsid w:val="00602250"/>
    <w:rsid w:val="006040D3"/>
    <w:rsid w:val="00605A24"/>
    <w:rsid w:val="00607964"/>
    <w:rsid w:val="00612556"/>
    <w:rsid w:val="00614850"/>
    <w:rsid w:val="006202DD"/>
    <w:rsid w:val="00623ACF"/>
    <w:rsid w:val="00624C11"/>
    <w:rsid w:val="00624DF4"/>
    <w:rsid w:val="00626219"/>
    <w:rsid w:val="0062623D"/>
    <w:rsid w:val="0063279B"/>
    <w:rsid w:val="00633C53"/>
    <w:rsid w:val="006414AC"/>
    <w:rsid w:val="00651345"/>
    <w:rsid w:val="00654B47"/>
    <w:rsid w:val="0065723C"/>
    <w:rsid w:val="00657C24"/>
    <w:rsid w:val="00657FAB"/>
    <w:rsid w:val="00664EF4"/>
    <w:rsid w:val="00666126"/>
    <w:rsid w:val="0067009E"/>
    <w:rsid w:val="00671443"/>
    <w:rsid w:val="006721A0"/>
    <w:rsid w:val="00674BA7"/>
    <w:rsid w:val="006751DF"/>
    <w:rsid w:val="00675272"/>
    <w:rsid w:val="00677D74"/>
    <w:rsid w:val="00680236"/>
    <w:rsid w:val="0068268E"/>
    <w:rsid w:val="00683252"/>
    <w:rsid w:val="00684563"/>
    <w:rsid w:val="00684C1A"/>
    <w:rsid w:val="00684E7F"/>
    <w:rsid w:val="0068641F"/>
    <w:rsid w:val="00686C24"/>
    <w:rsid w:val="00687DEB"/>
    <w:rsid w:val="006947BF"/>
    <w:rsid w:val="006958AD"/>
    <w:rsid w:val="006960C4"/>
    <w:rsid w:val="00696794"/>
    <w:rsid w:val="006973E1"/>
    <w:rsid w:val="006978BA"/>
    <w:rsid w:val="006A194E"/>
    <w:rsid w:val="006A4558"/>
    <w:rsid w:val="006A50ED"/>
    <w:rsid w:val="006B0DFF"/>
    <w:rsid w:val="006B37B1"/>
    <w:rsid w:val="006B54C4"/>
    <w:rsid w:val="006B659B"/>
    <w:rsid w:val="006B6DCE"/>
    <w:rsid w:val="006B7A4E"/>
    <w:rsid w:val="006C08B3"/>
    <w:rsid w:val="006C1D37"/>
    <w:rsid w:val="006C5CB2"/>
    <w:rsid w:val="006D16BC"/>
    <w:rsid w:val="006D2ED0"/>
    <w:rsid w:val="006D6DD2"/>
    <w:rsid w:val="006E0266"/>
    <w:rsid w:val="006E11CB"/>
    <w:rsid w:val="006E29C8"/>
    <w:rsid w:val="006E3423"/>
    <w:rsid w:val="006E3B9A"/>
    <w:rsid w:val="006E48D0"/>
    <w:rsid w:val="006E49C0"/>
    <w:rsid w:val="006E5828"/>
    <w:rsid w:val="006E61D2"/>
    <w:rsid w:val="006E62DE"/>
    <w:rsid w:val="006E6C3D"/>
    <w:rsid w:val="006E71D1"/>
    <w:rsid w:val="006F07DA"/>
    <w:rsid w:val="006F1831"/>
    <w:rsid w:val="006F33C2"/>
    <w:rsid w:val="006F39AC"/>
    <w:rsid w:val="006F4DCC"/>
    <w:rsid w:val="006F71E1"/>
    <w:rsid w:val="00700052"/>
    <w:rsid w:val="007017DA"/>
    <w:rsid w:val="007032F4"/>
    <w:rsid w:val="0070415B"/>
    <w:rsid w:val="00704552"/>
    <w:rsid w:val="00704E7F"/>
    <w:rsid w:val="007051A3"/>
    <w:rsid w:val="0070599E"/>
    <w:rsid w:val="00705FB6"/>
    <w:rsid w:val="0070690B"/>
    <w:rsid w:val="00707663"/>
    <w:rsid w:val="00710CD1"/>
    <w:rsid w:val="007112BC"/>
    <w:rsid w:val="00712DF4"/>
    <w:rsid w:val="007133C7"/>
    <w:rsid w:val="00713B75"/>
    <w:rsid w:val="007142E5"/>
    <w:rsid w:val="007205F2"/>
    <w:rsid w:val="007238EB"/>
    <w:rsid w:val="0072575A"/>
    <w:rsid w:val="00725F5D"/>
    <w:rsid w:val="007275C8"/>
    <w:rsid w:val="00731912"/>
    <w:rsid w:val="00731F21"/>
    <w:rsid w:val="007325C6"/>
    <w:rsid w:val="00734781"/>
    <w:rsid w:val="007350F1"/>
    <w:rsid w:val="0073592F"/>
    <w:rsid w:val="0074209A"/>
    <w:rsid w:val="00743FE8"/>
    <w:rsid w:val="00744F94"/>
    <w:rsid w:val="00745668"/>
    <w:rsid w:val="00746D1A"/>
    <w:rsid w:val="00751883"/>
    <w:rsid w:val="0075468D"/>
    <w:rsid w:val="00757521"/>
    <w:rsid w:val="00761D92"/>
    <w:rsid w:val="0076248A"/>
    <w:rsid w:val="00763BD5"/>
    <w:rsid w:val="00763F29"/>
    <w:rsid w:val="00764D50"/>
    <w:rsid w:val="00764F14"/>
    <w:rsid w:val="007665CE"/>
    <w:rsid w:val="0077015D"/>
    <w:rsid w:val="00770E20"/>
    <w:rsid w:val="00770F64"/>
    <w:rsid w:val="00771BA4"/>
    <w:rsid w:val="007721EA"/>
    <w:rsid w:val="00774B89"/>
    <w:rsid w:val="00775AF9"/>
    <w:rsid w:val="00777E98"/>
    <w:rsid w:val="00780B7A"/>
    <w:rsid w:val="00781804"/>
    <w:rsid w:val="0078682D"/>
    <w:rsid w:val="00786D98"/>
    <w:rsid w:val="00790777"/>
    <w:rsid w:val="00791A25"/>
    <w:rsid w:val="00792C06"/>
    <w:rsid w:val="00793724"/>
    <w:rsid w:val="007939D9"/>
    <w:rsid w:val="007948D6"/>
    <w:rsid w:val="00794DEF"/>
    <w:rsid w:val="00796EF7"/>
    <w:rsid w:val="00797E14"/>
    <w:rsid w:val="007A2C35"/>
    <w:rsid w:val="007A48DA"/>
    <w:rsid w:val="007A5614"/>
    <w:rsid w:val="007A5AC8"/>
    <w:rsid w:val="007A63F2"/>
    <w:rsid w:val="007B2A5B"/>
    <w:rsid w:val="007B2E4C"/>
    <w:rsid w:val="007B3610"/>
    <w:rsid w:val="007B4044"/>
    <w:rsid w:val="007B5984"/>
    <w:rsid w:val="007B667A"/>
    <w:rsid w:val="007B6E3B"/>
    <w:rsid w:val="007C3E43"/>
    <w:rsid w:val="007C48A4"/>
    <w:rsid w:val="007C6163"/>
    <w:rsid w:val="007C7787"/>
    <w:rsid w:val="007D0B4E"/>
    <w:rsid w:val="007D12EA"/>
    <w:rsid w:val="007D3561"/>
    <w:rsid w:val="007D37B0"/>
    <w:rsid w:val="007D3A6C"/>
    <w:rsid w:val="007D4E35"/>
    <w:rsid w:val="007D6C3D"/>
    <w:rsid w:val="007D7020"/>
    <w:rsid w:val="007E15B1"/>
    <w:rsid w:val="007E163F"/>
    <w:rsid w:val="007E1EA8"/>
    <w:rsid w:val="007E2129"/>
    <w:rsid w:val="007E517C"/>
    <w:rsid w:val="007E5542"/>
    <w:rsid w:val="007E6C59"/>
    <w:rsid w:val="007E6FCC"/>
    <w:rsid w:val="007F0E73"/>
    <w:rsid w:val="007F25E3"/>
    <w:rsid w:val="007F37C3"/>
    <w:rsid w:val="007F3C1E"/>
    <w:rsid w:val="007F412E"/>
    <w:rsid w:val="007F54C1"/>
    <w:rsid w:val="007F5F15"/>
    <w:rsid w:val="007F6B6D"/>
    <w:rsid w:val="007F7736"/>
    <w:rsid w:val="007F7DB8"/>
    <w:rsid w:val="008004E8"/>
    <w:rsid w:val="00801BC0"/>
    <w:rsid w:val="00803C0D"/>
    <w:rsid w:val="0080423D"/>
    <w:rsid w:val="00804919"/>
    <w:rsid w:val="00805E4F"/>
    <w:rsid w:val="00807320"/>
    <w:rsid w:val="00807CCC"/>
    <w:rsid w:val="0081014B"/>
    <w:rsid w:val="0081233C"/>
    <w:rsid w:val="00813989"/>
    <w:rsid w:val="008144C7"/>
    <w:rsid w:val="00815037"/>
    <w:rsid w:val="00815FEA"/>
    <w:rsid w:val="0081602A"/>
    <w:rsid w:val="00816180"/>
    <w:rsid w:val="008200E2"/>
    <w:rsid w:val="008209FE"/>
    <w:rsid w:val="00826B71"/>
    <w:rsid w:val="00826CD7"/>
    <w:rsid w:val="00826E0D"/>
    <w:rsid w:val="008270CE"/>
    <w:rsid w:val="00827A2D"/>
    <w:rsid w:val="00830211"/>
    <w:rsid w:val="00832E55"/>
    <w:rsid w:val="00835A30"/>
    <w:rsid w:val="00836258"/>
    <w:rsid w:val="008368DD"/>
    <w:rsid w:val="008413E5"/>
    <w:rsid w:val="00841C56"/>
    <w:rsid w:val="0084270A"/>
    <w:rsid w:val="00843311"/>
    <w:rsid w:val="00844219"/>
    <w:rsid w:val="00844842"/>
    <w:rsid w:val="0084618E"/>
    <w:rsid w:val="0084665B"/>
    <w:rsid w:val="008510C0"/>
    <w:rsid w:val="008517B8"/>
    <w:rsid w:val="00856F11"/>
    <w:rsid w:val="008573CC"/>
    <w:rsid w:val="00863BB1"/>
    <w:rsid w:val="00864363"/>
    <w:rsid w:val="00864A4B"/>
    <w:rsid w:val="00864B90"/>
    <w:rsid w:val="00867113"/>
    <w:rsid w:val="0086783D"/>
    <w:rsid w:val="00867D7A"/>
    <w:rsid w:val="00867DAB"/>
    <w:rsid w:val="00870CD3"/>
    <w:rsid w:val="0087236C"/>
    <w:rsid w:val="00875791"/>
    <w:rsid w:val="00880996"/>
    <w:rsid w:val="00882E8F"/>
    <w:rsid w:val="0088398F"/>
    <w:rsid w:val="008853AE"/>
    <w:rsid w:val="00890644"/>
    <w:rsid w:val="00890B82"/>
    <w:rsid w:val="008912B8"/>
    <w:rsid w:val="008931C5"/>
    <w:rsid w:val="00893AB6"/>
    <w:rsid w:val="008961AB"/>
    <w:rsid w:val="00897CED"/>
    <w:rsid w:val="008A3932"/>
    <w:rsid w:val="008A3AB6"/>
    <w:rsid w:val="008A43D6"/>
    <w:rsid w:val="008A4552"/>
    <w:rsid w:val="008A6014"/>
    <w:rsid w:val="008A6347"/>
    <w:rsid w:val="008A708C"/>
    <w:rsid w:val="008B23D8"/>
    <w:rsid w:val="008B5B8D"/>
    <w:rsid w:val="008C148F"/>
    <w:rsid w:val="008C23D8"/>
    <w:rsid w:val="008C2DA9"/>
    <w:rsid w:val="008C3871"/>
    <w:rsid w:val="008C73DB"/>
    <w:rsid w:val="008D1963"/>
    <w:rsid w:val="008D2A6D"/>
    <w:rsid w:val="008D545D"/>
    <w:rsid w:val="008D5859"/>
    <w:rsid w:val="008D7304"/>
    <w:rsid w:val="008E0600"/>
    <w:rsid w:val="008E0F23"/>
    <w:rsid w:val="008E2663"/>
    <w:rsid w:val="008E3C3E"/>
    <w:rsid w:val="008E753F"/>
    <w:rsid w:val="008F0150"/>
    <w:rsid w:val="008F0E99"/>
    <w:rsid w:val="008F14F0"/>
    <w:rsid w:val="008F1574"/>
    <w:rsid w:val="008F2D6C"/>
    <w:rsid w:val="008F361C"/>
    <w:rsid w:val="008F40BE"/>
    <w:rsid w:val="008F4CBC"/>
    <w:rsid w:val="008F549F"/>
    <w:rsid w:val="008F58C4"/>
    <w:rsid w:val="008F5E53"/>
    <w:rsid w:val="008F61A8"/>
    <w:rsid w:val="009028EB"/>
    <w:rsid w:val="00902A7C"/>
    <w:rsid w:val="00902B0C"/>
    <w:rsid w:val="00903767"/>
    <w:rsid w:val="009057C4"/>
    <w:rsid w:val="00905CF3"/>
    <w:rsid w:val="00906BA8"/>
    <w:rsid w:val="009108AD"/>
    <w:rsid w:val="00913828"/>
    <w:rsid w:val="00915B9B"/>
    <w:rsid w:val="0091628C"/>
    <w:rsid w:val="0091630F"/>
    <w:rsid w:val="00916D9D"/>
    <w:rsid w:val="00917256"/>
    <w:rsid w:val="009173AF"/>
    <w:rsid w:val="0092011F"/>
    <w:rsid w:val="009216E8"/>
    <w:rsid w:val="0092360D"/>
    <w:rsid w:val="009243F2"/>
    <w:rsid w:val="00924CA4"/>
    <w:rsid w:val="00924E31"/>
    <w:rsid w:val="00925800"/>
    <w:rsid w:val="00926088"/>
    <w:rsid w:val="009320D6"/>
    <w:rsid w:val="009321E7"/>
    <w:rsid w:val="0093517A"/>
    <w:rsid w:val="0093609A"/>
    <w:rsid w:val="00936995"/>
    <w:rsid w:val="009406D8"/>
    <w:rsid w:val="00940C20"/>
    <w:rsid w:val="00940E2A"/>
    <w:rsid w:val="009421F3"/>
    <w:rsid w:val="009448FB"/>
    <w:rsid w:val="00945863"/>
    <w:rsid w:val="00945CFD"/>
    <w:rsid w:val="009465D3"/>
    <w:rsid w:val="00946AD6"/>
    <w:rsid w:val="00950515"/>
    <w:rsid w:val="00951591"/>
    <w:rsid w:val="0095371A"/>
    <w:rsid w:val="0095456E"/>
    <w:rsid w:val="00954B4B"/>
    <w:rsid w:val="00955F44"/>
    <w:rsid w:val="0096485D"/>
    <w:rsid w:val="009661FD"/>
    <w:rsid w:val="00973239"/>
    <w:rsid w:val="00973900"/>
    <w:rsid w:val="00974889"/>
    <w:rsid w:val="009761A5"/>
    <w:rsid w:val="00983235"/>
    <w:rsid w:val="00984283"/>
    <w:rsid w:val="00985025"/>
    <w:rsid w:val="0098549F"/>
    <w:rsid w:val="009904A7"/>
    <w:rsid w:val="009916C2"/>
    <w:rsid w:val="009928F7"/>
    <w:rsid w:val="009930C8"/>
    <w:rsid w:val="0099317E"/>
    <w:rsid w:val="00993332"/>
    <w:rsid w:val="0099416B"/>
    <w:rsid w:val="0099439E"/>
    <w:rsid w:val="009948AA"/>
    <w:rsid w:val="00994E83"/>
    <w:rsid w:val="00995CC3"/>
    <w:rsid w:val="00995CCB"/>
    <w:rsid w:val="009A0E49"/>
    <w:rsid w:val="009A1592"/>
    <w:rsid w:val="009A2506"/>
    <w:rsid w:val="009A5FF5"/>
    <w:rsid w:val="009B007E"/>
    <w:rsid w:val="009B07C0"/>
    <w:rsid w:val="009B0CA4"/>
    <w:rsid w:val="009B0E8C"/>
    <w:rsid w:val="009B316F"/>
    <w:rsid w:val="009B3701"/>
    <w:rsid w:val="009C02E3"/>
    <w:rsid w:val="009C0510"/>
    <w:rsid w:val="009C0ABE"/>
    <w:rsid w:val="009C3F60"/>
    <w:rsid w:val="009C4046"/>
    <w:rsid w:val="009C4624"/>
    <w:rsid w:val="009C5518"/>
    <w:rsid w:val="009C6995"/>
    <w:rsid w:val="009C75FF"/>
    <w:rsid w:val="009D3F7E"/>
    <w:rsid w:val="009D439B"/>
    <w:rsid w:val="009D77E8"/>
    <w:rsid w:val="009E0397"/>
    <w:rsid w:val="009E243F"/>
    <w:rsid w:val="009E50E5"/>
    <w:rsid w:val="009E51CD"/>
    <w:rsid w:val="009E55AC"/>
    <w:rsid w:val="009E61F8"/>
    <w:rsid w:val="009E7351"/>
    <w:rsid w:val="009F230F"/>
    <w:rsid w:val="009F24A8"/>
    <w:rsid w:val="009F2D85"/>
    <w:rsid w:val="009F39F5"/>
    <w:rsid w:val="009F4720"/>
    <w:rsid w:val="009F51B9"/>
    <w:rsid w:val="009F5BE3"/>
    <w:rsid w:val="009F7299"/>
    <w:rsid w:val="00A00315"/>
    <w:rsid w:val="00A00674"/>
    <w:rsid w:val="00A00B57"/>
    <w:rsid w:val="00A013AE"/>
    <w:rsid w:val="00A01A1A"/>
    <w:rsid w:val="00A023FD"/>
    <w:rsid w:val="00A034E7"/>
    <w:rsid w:val="00A10FC0"/>
    <w:rsid w:val="00A1123B"/>
    <w:rsid w:val="00A11377"/>
    <w:rsid w:val="00A11E4B"/>
    <w:rsid w:val="00A12ED9"/>
    <w:rsid w:val="00A15E9C"/>
    <w:rsid w:val="00A17468"/>
    <w:rsid w:val="00A2699D"/>
    <w:rsid w:val="00A26C94"/>
    <w:rsid w:val="00A32157"/>
    <w:rsid w:val="00A3270D"/>
    <w:rsid w:val="00A32F39"/>
    <w:rsid w:val="00A33068"/>
    <w:rsid w:val="00A3455B"/>
    <w:rsid w:val="00A34764"/>
    <w:rsid w:val="00A34E00"/>
    <w:rsid w:val="00A415B8"/>
    <w:rsid w:val="00A42278"/>
    <w:rsid w:val="00A46399"/>
    <w:rsid w:val="00A4701B"/>
    <w:rsid w:val="00A47FB2"/>
    <w:rsid w:val="00A500A9"/>
    <w:rsid w:val="00A511D1"/>
    <w:rsid w:val="00A5221D"/>
    <w:rsid w:val="00A531C8"/>
    <w:rsid w:val="00A53C53"/>
    <w:rsid w:val="00A54325"/>
    <w:rsid w:val="00A5518B"/>
    <w:rsid w:val="00A55579"/>
    <w:rsid w:val="00A56C25"/>
    <w:rsid w:val="00A57DF2"/>
    <w:rsid w:val="00A57E59"/>
    <w:rsid w:val="00A66EDA"/>
    <w:rsid w:val="00A70D75"/>
    <w:rsid w:val="00A74606"/>
    <w:rsid w:val="00A748A4"/>
    <w:rsid w:val="00A761A5"/>
    <w:rsid w:val="00A76443"/>
    <w:rsid w:val="00A80582"/>
    <w:rsid w:val="00A80CD4"/>
    <w:rsid w:val="00A8132A"/>
    <w:rsid w:val="00A814E1"/>
    <w:rsid w:val="00A834B5"/>
    <w:rsid w:val="00A834C4"/>
    <w:rsid w:val="00A85BFA"/>
    <w:rsid w:val="00A922C8"/>
    <w:rsid w:val="00A9283A"/>
    <w:rsid w:val="00A931A9"/>
    <w:rsid w:val="00A931EC"/>
    <w:rsid w:val="00A938F1"/>
    <w:rsid w:val="00A943EC"/>
    <w:rsid w:val="00A94D37"/>
    <w:rsid w:val="00A967BA"/>
    <w:rsid w:val="00AA1F65"/>
    <w:rsid w:val="00AA4A18"/>
    <w:rsid w:val="00AA53F7"/>
    <w:rsid w:val="00AB1A00"/>
    <w:rsid w:val="00AB3207"/>
    <w:rsid w:val="00AB421A"/>
    <w:rsid w:val="00AB4DDF"/>
    <w:rsid w:val="00AB77CE"/>
    <w:rsid w:val="00AC0136"/>
    <w:rsid w:val="00AC047D"/>
    <w:rsid w:val="00AC0D0B"/>
    <w:rsid w:val="00AC1098"/>
    <w:rsid w:val="00AC451F"/>
    <w:rsid w:val="00AC4823"/>
    <w:rsid w:val="00AC555F"/>
    <w:rsid w:val="00AC6C71"/>
    <w:rsid w:val="00AD1206"/>
    <w:rsid w:val="00AD30E9"/>
    <w:rsid w:val="00AD34C2"/>
    <w:rsid w:val="00AD45DF"/>
    <w:rsid w:val="00AD483B"/>
    <w:rsid w:val="00AD726F"/>
    <w:rsid w:val="00AE0C0C"/>
    <w:rsid w:val="00AE1349"/>
    <w:rsid w:val="00AE3B85"/>
    <w:rsid w:val="00AE4BE3"/>
    <w:rsid w:val="00AE7E7D"/>
    <w:rsid w:val="00AF16BF"/>
    <w:rsid w:val="00AF2158"/>
    <w:rsid w:val="00AF3BC2"/>
    <w:rsid w:val="00AF3D6F"/>
    <w:rsid w:val="00AF426C"/>
    <w:rsid w:val="00AF4B4B"/>
    <w:rsid w:val="00AF53FE"/>
    <w:rsid w:val="00AF55A9"/>
    <w:rsid w:val="00AF5C69"/>
    <w:rsid w:val="00AF71EC"/>
    <w:rsid w:val="00AF721F"/>
    <w:rsid w:val="00B0005A"/>
    <w:rsid w:val="00B014C3"/>
    <w:rsid w:val="00B0299E"/>
    <w:rsid w:val="00B04295"/>
    <w:rsid w:val="00B0456C"/>
    <w:rsid w:val="00B06A82"/>
    <w:rsid w:val="00B07751"/>
    <w:rsid w:val="00B07B11"/>
    <w:rsid w:val="00B10928"/>
    <w:rsid w:val="00B10E4A"/>
    <w:rsid w:val="00B114A2"/>
    <w:rsid w:val="00B11D7B"/>
    <w:rsid w:val="00B130D0"/>
    <w:rsid w:val="00B13733"/>
    <w:rsid w:val="00B15A4D"/>
    <w:rsid w:val="00B15AEF"/>
    <w:rsid w:val="00B16A21"/>
    <w:rsid w:val="00B22C15"/>
    <w:rsid w:val="00B25E93"/>
    <w:rsid w:val="00B272E5"/>
    <w:rsid w:val="00B30AA7"/>
    <w:rsid w:val="00B340B5"/>
    <w:rsid w:val="00B3418B"/>
    <w:rsid w:val="00B35212"/>
    <w:rsid w:val="00B3567F"/>
    <w:rsid w:val="00B356B6"/>
    <w:rsid w:val="00B36464"/>
    <w:rsid w:val="00B3680C"/>
    <w:rsid w:val="00B368D3"/>
    <w:rsid w:val="00B3704D"/>
    <w:rsid w:val="00B41CFA"/>
    <w:rsid w:val="00B43C70"/>
    <w:rsid w:val="00B441EA"/>
    <w:rsid w:val="00B45C68"/>
    <w:rsid w:val="00B517BA"/>
    <w:rsid w:val="00B51848"/>
    <w:rsid w:val="00B52EEC"/>
    <w:rsid w:val="00B546A8"/>
    <w:rsid w:val="00B55E07"/>
    <w:rsid w:val="00B6174B"/>
    <w:rsid w:val="00B63823"/>
    <w:rsid w:val="00B63C54"/>
    <w:rsid w:val="00B63F04"/>
    <w:rsid w:val="00B63F81"/>
    <w:rsid w:val="00B64A62"/>
    <w:rsid w:val="00B64CDE"/>
    <w:rsid w:val="00B65C26"/>
    <w:rsid w:val="00B67580"/>
    <w:rsid w:val="00B70177"/>
    <w:rsid w:val="00B72DE6"/>
    <w:rsid w:val="00B77D2B"/>
    <w:rsid w:val="00B80DF1"/>
    <w:rsid w:val="00B81C4F"/>
    <w:rsid w:val="00B82978"/>
    <w:rsid w:val="00B83CF2"/>
    <w:rsid w:val="00B85B36"/>
    <w:rsid w:val="00B9023E"/>
    <w:rsid w:val="00B91E18"/>
    <w:rsid w:val="00B92D44"/>
    <w:rsid w:val="00B9371C"/>
    <w:rsid w:val="00B93E81"/>
    <w:rsid w:val="00B94B7E"/>
    <w:rsid w:val="00B960CD"/>
    <w:rsid w:val="00B96712"/>
    <w:rsid w:val="00BA027F"/>
    <w:rsid w:val="00BA08D3"/>
    <w:rsid w:val="00BA0D5F"/>
    <w:rsid w:val="00BA28F7"/>
    <w:rsid w:val="00BA4DCB"/>
    <w:rsid w:val="00BA5ADE"/>
    <w:rsid w:val="00BA6234"/>
    <w:rsid w:val="00BA6C03"/>
    <w:rsid w:val="00BB1BDD"/>
    <w:rsid w:val="00BB2DCE"/>
    <w:rsid w:val="00BB3C23"/>
    <w:rsid w:val="00BB3DB6"/>
    <w:rsid w:val="00BB42BD"/>
    <w:rsid w:val="00BB6B39"/>
    <w:rsid w:val="00BB6BA8"/>
    <w:rsid w:val="00BC3154"/>
    <w:rsid w:val="00BC53E8"/>
    <w:rsid w:val="00BC648A"/>
    <w:rsid w:val="00BD4DB8"/>
    <w:rsid w:val="00BD68BB"/>
    <w:rsid w:val="00BD6DD9"/>
    <w:rsid w:val="00BD73FB"/>
    <w:rsid w:val="00BE3136"/>
    <w:rsid w:val="00BE3C8D"/>
    <w:rsid w:val="00BE4CDE"/>
    <w:rsid w:val="00BE5948"/>
    <w:rsid w:val="00BE724E"/>
    <w:rsid w:val="00BF4980"/>
    <w:rsid w:val="00C01BF9"/>
    <w:rsid w:val="00C03299"/>
    <w:rsid w:val="00C11303"/>
    <w:rsid w:val="00C11D47"/>
    <w:rsid w:val="00C11EA7"/>
    <w:rsid w:val="00C13CD9"/>
    <w:rsid w:val="00C13F4D"/>
    <w:rsid w:val="00C167A9"/>
    <w:rsid w:val="00C20EDB"/>
    <w:rsid w:val="00C22740"/>
    <w:rsid w:val="00C229CA"/>
    <w:rsid w:val="00C22DCC"/>
    <w:rsid w:val="00C2422C"/>
    <w:rsid w:val="00C245D1"/>
    <w:rsid w:val="00C25544"/>
    <w:rsid w:val="00C267DC"/>
    <w:rsid w:val="00C275C6"/>
    <w:rsid w:val="00C279A4"/>
    <w:rsid w:val="00C34635"/>
    <w:rsid w:val="00C36018"/>
    <w:rsid w:val="00C36C85"/>
    <w:rsid w:val="00C37214"/>
    <w:rsid w:val="00C42826"/>
    <w:rsid w:val="00C45094"/>
    <w:rsid w:val="00C465C0"/>
    <w:rsid w:val="00C47C6C"/>
    <w:rsid w:val="00C52484"/>
    <w:rsid w:val="00C52AB6"/>
    <w:rsid w:val="00C52AC8"/>
    <w:rsid w:val="00C53D99"/>
    <w:rsid w:val="00C543CA"/>
    <w:rsid w:val="00C55F11"/>
    <w:rsid w:val="00C63CAF"/>
    <w:rsid w:val="00C707CF"/>
    <w:rsid w:val="00C73866"/>
    <w:rsid w:val="00C739BD"/>
    <w:rsid w:val="00C74613"/>
    <w:rsid w:val="00C75F50"/>
    <w:rsid w:val="00C76308"/>
    <w:rsid w:val="00C82CCD"/>
    <w:rsid w:val="00C856C9"/>
    <w:rsid w:val="00C85729"/>
    <w:rsid w:val="00C85EF3"/>
    <w:rsid w:val="00C86AAF"/>
    <w:rsid w:val="00C86B03"/>
    <w:rsid w:val="00C8735D"/>
    <w:rsid w:val="00C942AE"/>
    <w:rsid w:val="00C94C01"/>
    <w:rsid w:val="00C953AC"/>
    <w:rsid w:val="00C972BC"/>
    <w:rsid w:val="00CA25CE"/>
    <w:rsid w:val="00CA6880"/>
    <w:rsid w:val="00CA6902"/>
    <w:rsid w:val="00CA7085"/>
    <w:rsid w:val="00CA7C13"/>
    <w:rsid w:val="00CB0031"/>
    <w:rsid w:val="00CB63FC"/>
    <w:rsid w:val="00CB6A36"/>
    <w:rsid w:val="00CB6D81"/>
    <w:rsid w:val="00CB7A93"/>
    <w:rsid w:val="00CC0268"/>
    <w:rsid w:val="00CC0B4B"/>
    <w:rsid w:val="00CC2250"/>
    <w:rsid w:val="00CC22C5"/>
    <w:rsid w:val="00CC2601"/>
    <w:rsid w:val="00CC29BD"/>
    <w:rsid w:val="00CC359F"/>
    <w:rsid w:val="00CC4D36"/>
    <w:rsid w:val="00CC4DBB"/>
    <w:rsid w:val="00CC6DEA"/>
    <w:rsid w:val="00CD07B5"/>
    <w:rsid w:val="00CD19B4"/>
    <w:rsid w:val="00CD3010"/>
    <w:rsid w:val="00CD38ED"/>
    <w:rsid w:val="00CD5CA2"/>
    <w:rsid w:val="00CE0217"/>
    <w:rsid w:val="00CE0AE0"/>
    <w:rsid w:val="00CE4E71"/>
    <w:rsid w:val="00CE6684"/>
    <w:rsid w:val="00CE67A0"/>
    <w:rsid w:val="00CE722F"/>
    <w:rsid w:val="00CF1183"/>
    <w:rsid w:val="00CF3C84"/>
    <w:rsid w:val="00CF3EA9"/>
    <w:rsid w:val="00CF5886"/>
    <w:rsid w:val="00CF5B92"/>
    <w:rsid w:val="00CF6303"/>
    <w:rsid w:val="00D00630"/>
    <w:rsid w:val="00D00B15"/>
    <w:rsid w:val="00D01963"/>
    <w:rsid w:val="00D02175"/>
    <w:rsid w:val="00D0414A"/>
    <w:rsid w:val="00D04336"/>
    <w:rsid w:val="00D0461C"/>
    <w:rsid w:val="00D059F0"/>
    <w:rsid w:val="00D108B7"/>
    <w:rsid w:val="00D111D1"/>
    <w:rsid w:val="00D11BB0"/>
    <w:rsid w:val="00D1653C"/>
    <w:rsid w:val="00D20E25"/>
    <w:rsid w:val="00D24132"/>
    <w:rsid w:val="00D24693"/>
    <w:rsid w:val="00D25969"/>
    <w:rsid w:val="00D26F47"/>
    <w:rsid w:val="00D2746A"/>
    <w:rsid w:val="00D30460"/>
    <w:rsid w:val="00D3057F"/>
    <w:rsid w:val="00D3072F"/>
    <w:rsid w:val="00D30D77"/>
    <w:rsid w:val="00D311B9"/>
    <w:rsid w:val="00D31781"/>
    <w:rsid w:val="00D33C8B"/>
    <w:rsid w:val="00D348AA"/>
    <w:rsid w:val="00D351E8"/>
    <w:rsid w:val="00D37EEE"/>
    <w:rsid w:val="00D37EF3"/>
    <w:rsid w:val="00D41D3C"/>
    <w:rsid w:val="00D43F01"/>
    <w:rsid w:val="00D45317"/>
    <w:rsid w:val="00D462B6"/>
    <w:rsid w:val="00D47124"/>
    <w:rsid w:val="00D5002E"/>
    <w:rsid w:val="00D51C19"/>
    <w:rsid w:val="00D52DB2"/>
    <w:rsid w:val="00D52F2E"/>
    <w:rsid w:val="00D5305B"/>
    <w:rsid w:val="00D5306F"/>
    <w:rsid w:val="00D553C4"/>
    <w:rsid w:val="00D636A9"/>
    <w:rsid w:val="00D7107B"/>
    <w:rsid w:val="00D71C0A"/>
    <w:rsid w:val="00D72413"/>
    <w:rsid w:val="00D72B4C"/>
    <w:rsid w:val="00D75F3D"/>
    <w:rsid w:val="00D82068"/>
    <w:rsid w:val="00D85604"/>
    <w:rsid w:val="00D85B4D"/>
    <w:rsid w:val="00DA01A1"/>
    <w:rsid w:val="00DA08D6"/>
    <w:rsid w:val="00DA0C2B"/>
    <w:rsid w:val="00DA38DF"/>
    <w:rsid w:val="00DA59E7"/>
    <w:rsid w:val="00DA6351"/>
    <w:rsid w:val="00DA64E2"/>
    <w:rsid w:val="00DA6B45"/>
    <w:rsid w:val="00DB28AA"/>
    <w:rsid w:val="00DB2974"/>
    <w:rsid w:val="00DB2D49"/>
    <w:rsid w:val="00DB625B"/>
    <w:rsid w:val="00DB76A3"/>
    <w:rsid w:val="00DC1C1C"/>
    <w:rsid w:val="00DC3805"/>
    <w:rsid w:val="00DC44EF"/>
    <w:rsid w:val="00DC4740"/>
    <w:rsid w:val="00DD11AA"/>
    <w:rsid w:val="00DD2700"/>
    <w:rsid w:val="00DD6C16"/>
    <w:rsid w:val="00DE10DC"/>
    <w:rsid w:val="00DE219A"/>
    <w:rsid w:val="00DE21DB"/>
    <w:rsid w:val="00DE22A2"/>
    <w:rsid w:val="00DE2A47"/>
    <w:rsid w:val="00DF024F"/>
    <w:rsid w:val="00DF04EB"/>
    <w:rsid w:val="00DF0C97"/>
    <w:rsid w:val="00DF482E"/>
    <w:rsid w:val="00DF48A6"/>
    <w:rsid w:val="00DF519F"/>
    <w:rsid w:val="00E00C8D"/>
    <w:rsid w:val="00E02118"/>
    <w:rsid w:val="00E0366C"/>
    <w:rsid w:val="00E05087"/>
    <w:rsid w:val="00E05552"/>
    <w:rsid w:val="00E0683A"/>
    <w:rsid w:val="00E06EAE"/>
    <w:rsid w:val="00E071AA"/>
    <w:rsid w:val="00E1015A"/>
    <w:rsid w:val="00E11D37"/>
    <w:rsid w:val="00E11E5E"/>
    <w:rsid w:val="00E1347D"/>
    <w:rsid w:val="00E14C91"/>
    <w:rsid w:val="00E16592"/>
    <w:rsid w:val="00E1702D"/>
    <w:rsid w:val="00E2067F"/>
    <w:rsid w:val="00E210DA"/>
    <w:rsid w:val="00E21215"/>
    <w:rsid w:val="00E255A3"/>
    <w:rsid w:val="00E260CF"/>
    <w:rsid w:val="00E262C7"/>
    <w:rsid w:val="00E26B66"/>
    <w:rsid w:val="00E27881"/>
    <w:rsid w:val="00E300BF"/>
    <w:rsid w:val="00E31D58"/>
    <w:rsid w:val="00E32FCA"/>
    <w:rsid w:val="00E33FC6"/>
    <w:rsid w:val="00E36452"/>
    <w:rsid w:val="00E36572"/>
    <w:rsid w:val="00E36961"/>
    <w:rsid w:val="00E36A43"/>
    <w:rsid w:val="00E37886"/>
    <w:rsid w:val="00E378F6"/>
    <w:rsid w:val="00E379A5"/>
    <w:rsid w:val="00E4044A"/>
    <w:rsid w:val="00E42A01"/>
    <w:rsid w:val="00E44021"/>
    <w:rsid w:val="00E45082"/>
    <w:rsid w:val="00E4564D"/>
    <w:rsid w:val="00E47A48"/>
    <w:rsid w:val="00E504BC"/>
    <w:rsid w:val="00E5081D"/>
    <w:rsid w:val="00E519C3"/>
    <w:rsid w:val="00E528D9"/>
    <w:rsid w:val="00E53DE4"/>
    <w:rsid w:val="00E569C8"/>
    <w:rsid w:val="00E5760B"/>
    <w:rsid w:val="00E57DC7"/>
    <w:rsid w:val="00E6073D"/>
    <w:rsid w:val="00E60A49"/>
    <w:rsid w:val="00E666A3"/>
    <w:rsid w:val="00E66F9B"/>
    <w:rsid w:val="00E67DE8"/>
    <w:rsid w:val="00E73FEF"/>
    <w:rsid w:val="00E74128"/>
    <w:rsid w:val="00E752F7"/>
    <w:rsid w:val="00E769A6"/>
    <w:rsid w:val="00E81F6D"/>
    <w:rsid w:val="00E8241A"/>
    <w:rsid w:val="00E8644D"/>
    <w:rsid w:val="00E93AB7"/>
    <w:rsid w:val="00E93B02"/>
    <w:rsid w:val="00E947C2"/>
    <w:rsid w:val="00E9592A"/>
    <w:rsid w:val="00E97073"/>
    <w:rsid w:val="00E97555"/>
    <w:rsid w:val="00EA00B5"/>
    <w:rsid w:val="00EA1E01"/>
    <w:rsid w:val="00EA224F"/>
    <w:rsid w:val="00EA3001"/>
    <w:rsid w:val="00EA410C"/>
    <w:rsid w:val="00EA4A88"/>
    <w:rsid w:val="00EA67B0"/>
    <w:rsid w:val="00EB0A2E"/>
    <w:rsid w:val="00EB18E2"/>
    <w:rsid w:val="00EB1FEA"/>
    <w:rsid w:val="00EB5B92"/>
    <w:rsid w:val="00EC0145"/>
    <w:rsid w:val="00EC1782"/>
    <w:rsid w:val="00EC1BFD"/>
    <w:rsid w:val="00EC24C1"/>
    <w:rsid w:val="00EC407B"/>
    <w:rsid w:val="00EC4514"/>
    <w:rsid w:val="00ED39F9"/>
    <w:rsid w:val="00ED6C0C"/>
    <w:rsid w:val="00EE1405"/>
    <w:rsid w:val="00EE192E"/>
    <w:rsid w:val="00EE4F20"/>
    <w:rsid w:val="00EE5A7E"/>
    <w:rsid w:val="00EE65BE"/>
    <w:rsid w:val="00EE666C"/>
    <w:rsid w:val="00EF50BC"/>
    <w:rsid w:val="00F00CEB"/>
    <w:rsid w:val="00F00EFE"/>
    <w:rsid w:val="00F01315"/>
    <w:rsid w:val="00F014D2"/>
    <w:rsid w:val="00F03E20"/>
    <w:rsid w:val="00F04D97"/>
    <w:rsid w:val="00F07FAA"/>
    <w:rsid w:val="00F15F0D"/>
    <w:rsid w:val="00F15F8F"/>
    <w:rsid w:val="00F16C41"/>
    <w:rsid w:val="00F16CC2"/>
    <w:rsid w:val="00F20A14"/>
    <w:rsid w:val="00F2358A"/>
    <w:rsid w:val="00F24F8A"/>
    <w:rsid w:val="00F33448"/>
    <w:rsid w:val="00F335DE"/>
    <w:rsid w:val="00F3427A"/>
    <w:rsid w:val="00F37250"/>
    <w:rsid w:val="00F455EE"/>
    <w:rsid w:val="00F4602D"/>
    <w:rsid w:val="00F50B28"/>
    <w:rsid w:val="00F5136C"/>
    <w:rsid w:val="00F51870"/>
    <w:rsid w:val="00F51F8A"/>
    <w:rsid w:val="00F52509"/>
    <w:rsid w:val="00F53E40"/>
    <w:rsid w:val="00F56E4F"/>
    <w:rsid w:val="00F60B2B"/>
    <w:rsid w:val="00F63397"/>
    <w:rsid w:val="00F64896"/>
    <w:rsid w:val="00F65484"/>
    <w:rsid w:val="00F67758"/>
    <w:rsid w:val="00F72763"/>
    <w:rsid w:val="00F72E11"/>
    <w:rsid w:val="00F73F56"/>
    <w:rsid w:val="00F74260"/>
    <w:rsid w:val="00F75682"/>
    <w:rsid w:val="00F77C65"/>
    <w:rsid w:val="00F80E76"/>
    <w:rsid w:val="00F82888"/>
    <w:rsid w:val="00F82CCE"/>
    <w:rsid w:val="00F83E83"/>
    <w:rsid w:val="00F85FD9"/>
    <w:rsid w:val="00F90CA4"/>
    <w:rsid w:val="00F917AA"/>
    <w:rsid w:val="00F91C47"/>
    <w:rsid w:val="00F928B6"/>
    <w:rsid w:val="00F952C1"/>
    <w:rsid w:val="00F97467"/>
    <w:rsid w:val="00FA0140"/>
    <w:rsid w:val="00FA1E54"/>
    <w:rsid w:val="00FA57D0"/>
    <w:rsid w:val="00FA726B"/>
    <w:rsid w:val="00FA782B"/>
    <w:rsid w:val="00FA786D"/>
    <w:rsid w:val="00FA7890"/>
    <w:rsid w:val="00FB16D6"/>
    <w:rsid w:val="00FB25FC"/>
    <w:rsid w:val="00FB5FF0"/>
    <w:rsid w:val="00FC1ADE"/>
    <w:rsid w:val="00FC1BDC"/>
    <w:rsid w:val="00FC3756"/>
    <w:rsid w:val="00FC71DD"/>
    <w:rsid w:val="00FD172B"/>
    <w:rsid w:val="00FD1730"/>
    <w:rsid w:val="00FE19B3"/>
    <w:rsid w:val="00FE2140"/>
    <w:rsid w:val="00FE2D47"/>
    <w:rsid w:val="00FE35DF"/>
    <w:rsid w:val="00FE468C"/>
    <w:rsid w:val="00FE52A1"/>
    <w:rsid w:val="00FF22E2"/>
    <w:rsid w:val="00FF490E"/>
    <w:rsid w:val="00FF663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annotation reference" w:uiPriority="99"/>
    <w:lsdException w:name="Title" w:qFormat="1"/>
    <w:lsdException w:name="Subtitle" w:qFormat="1"/>
    <w:lsdException w:name="Hyperlink" w:uiPriority="99"/>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b/>
      <w:color w:val="999999"/>
      <w:lang w:eastAsia="en-US"/>
    </w:rPr>
  </w:style>
  <w:style w:type="paragraph" w:styleId="Heading1">
    <w:name w:val="heading 1"/>
    <w:aliases w:val="h1"/>
    <w:basedOn w:val="Body"/>
    <w:next w:val="Body"/>
    <w:link w:val="Heading1Char"/>
    <w:qFormat/>
    <w:rsid w:val="0086783D"/>
    <w:pPr>
      <w:keepNext/>
      <w:keepLines/>
      <w:pageBreakBefore/>
      <w:numPr>
        <w:numId w:val="46"/>
      </w:numPr>
      <w:tabs>
        <w:tab w:val="left" w:pos="850"/>
      </w:tabs>
      <w:spacing w:before="0" w:after="480"/>
      <w:outlineLvl w:val="0"/>
    </w:pPr>
    <w:rPr>
      <w:rFonts w:ascii="Segoe UI" w:hAnsi="Segoe UI" w:cs="Segoe UI"/>
      <w:b/>
      <w:bCs/>
      <w:caps/>
      <w:kern w:val="32"/>
      <w:sz w:val="28"/>
      <w:szCs w:val="28"/>
    </w:rPr>
  </w:style>
  <w:style w:type="paragraph" w:styleId="Heading2">
    <w:name w:val="heading 2"/>
    <w:aliases w:val="h2"/>
    <w:basedOn w:val="Body"/>
    <w:next w:val="Body"/>
    <w:qFormat/>
    <w:rsid w:val="00B22C15"/>
    <w:pPr>
      <w:keepNext/>
      <w:keepLines/>
      <w:numPr>
        <w:ilvl w:val="1"/>
        <w:numId w:val="46"/>
      </w:numPr>
      <w:spacing w:before="380" w:after="80"/>
      <w:outlineLvl w:val="1"/>
    </w:pPr>
    <w:rPr>
      <w:rFonts w:ascii="Segoe UI" w:hAnsi="Segoe UI" w:cs="Segoe UI"/>
      <w:b/>
      <w:bCs/>
      <w:iCs/>
      <w:sz w:val="22"/>
      <w:szCs w:val="28"/>
    </w:rPr>
  </w:style>
  <w:style w:type="paragraph" w:styleId="Heading3">
    <w:name w:val="heading 3"/>
    <w:aliases w:val="h3"/>
    <w:basedOn w:val="Body"/>
    <w:next w:val="Body"/>
    <w:qFormat/>
    <w:rsid w:val="00826CD7"/>
    <w:pPr>
      <w:keepNext/>
      <w:numPr>
        <w:ilvl w:val="2"/>
        <w:numId w:val="46"/>
      </w:numPr>
      <w:spacing w:before="380" w:after="80"/>
      <w:outlineLvl w:val="2"/>
    </w:pPr>
    <w:rPr>
      <w:rFonts w:ascii="Segoe UI" w:hAnsi="Segoe UI" w:cs="Segoe UI"/>
      <w:b/>
      <w:bCs/>
    </w:rPr>
  </w:style>
  <w:style w:type="paragraph" w:styleId="Heading4">
    <w:name w:val="heading 4"/>
    <w:basedOn w:val="Normal"/>
    <w:next w:val="Normal"/>
    <w:qFormat/>
    <w:rsid w:val="00564A59"/>
    <w:pPr>
      <w:keepNext/>
      <w:numPr>
        <w:ilvl w:val="3"/>
        <w:numId w:val="3"/>
      </w:numPr>
      <w:tabs>
        <w:tab w:val="clear" w:pos="864"/>
        <w:tab w:val="left" w:pos="567"/>
      </w:tabs>
      <w:spacing w:before="240" w:after="60"/>
      <w:ind w:left="567" w:hanging="567"/>
      <w:outlineLvl w:val="3"/>
    </w:pPr>
    <w:rPr>
      <w:rFonts w:ascii="Arial" w:hAnsi="Arial"/>
      <w:b w:val="0"/>
      <w:bCs/>
      <w:sz w:val="22"/>
      <w:szCs w:val="28"/>
    </w:rPr>
  </w:style>
  <w:style w:type="paragraph" w:styleId="Heading5">
    <w:name w:val="heading 5"/>
    <w:basedOn w:val="Normal"/>
    <w:next w:val="Normal"/>
    <w:qFormat/>
    <w:pPr>
      <w:numPr>
        <w:ilvl w:val="4"/>
        <w:numId w:val="3"/>
      </w:numPr>
      <w:spacing w:before="240" w:after="60"/>
      <w:outlineLvl w:val="4"/>
    </w:pPr>
    <w:rPr>
      <w:b w:val="0"/>
      <w:bCs/>
      <w:i/>
      <w:iCs/>
      <w:sz w:val="26"/>
      <w:szCs w:val="26"/>
    </w:rPr>
  </w:style>
  <w:style w:type="paragraph" w:styleId="Heading6">
    <w:name w:val="heading 6"/>
    <w:basedOn w:val="Normal"/>
    <w:next w:val="Normal"/>
    <w:qFormat/>
    <w:pPr>
      <w:numPr>
        <w:ilvl w:val="5"/>
        <w:numId w:val="3"/>
      </w:numPr>
      <w:spacing w:before="240" w:after="60"/>
      <w:outlineLvl w:val="5"/>
    </w:pPr>
    <w:rPr>
      <w:b w:val="0"/>
      <w:bCs/>
      <w:sz w:val="22"/>
      <w:szCs w:val="22"/>
    </w:rPr>
  </w:style>
  <w:style w:type="paragraph" w:styleId="Heading7">
    <w:name w:val="heading 7"/>
    <w:basedOn w:val="Normal"/>
    <w:next w:val="Normal"/>
    <w:qFormat/>
    <w:pPr>
      <w:numPr>
        <w:ilvl w:val="6"/>
        <w:numId w:val="3"/>
      </w:numPr>
      <w:spacing w:before="240" w:after="60"/>
      <w:outlineLvl w:val="6"/>
    </w:pPr>
    <w:rPr>
      <w:sz w:val="24"/>
      <w:szCs w:val="24"/>
    </w:rPr>
  </w:style>
  <w:style w:type="paragraph" w:styleId="Heading8">
    <w:name w:val="heading 8"/>
    <w:basedOn w:val="Normal"/>
    <w:next w:val="Normal"/>
    <w:qFormat/>
    <w:pPr>
      <w:numPr>
        <w:ilvl w:val="7"/>
        <w:numId w:val="3"/>
      </w:numPr>
      <w:spacing w:before="240" w:after="60"/>
      <w:outlineLvl w:val="7"/>
    </w:pPr>
    <w:rPr>
      <w:i/>
      <w:iCs/>
      <w:sz w:val="24"/>
      <w:szCs w:val="24"/>
    </w:rPr>
  </w:style>
  <w:style w:type="paragraph" w:styleId="Heading9">
    <w:name w:val="heading 9"/>
    <w:basedOn w:val="Normal"/>
    <w:next w:val="Normal"/>
    <w:qFormat/>
    <w:pPr>
      <w:numPr>
        <w:ilvl w:val="8"/>
        <w:numId w:val="3"/>
      </w:numPr>
      <w:spacing w:before="240" w:after="60"/>
      <w:outlineLvl w:val="8"/>
    </w:pPr>
    <w:rPr>
      <w:rFonts w:ascii="Arial" w:hAnsi="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aliases w:val="b,bullet,bu,B,Body1,body,Macro,Plain,Body Char Char,Body Char Char Char,bold,ba,b Char Char Char Cha,b Char Char Char Char Char,b Char Char,b Char Char Char,b Char Char Char Char Char Char,Text,Block,First,Indent,Body Char1 Char,Body Char1 Char1,b3"/>
    <w:link w:val="BodyChar"/>
    <w:qFormat/>
    <w:rsid w:val="00564A59"/>
    <w:pPr>
      <w:spacing w:before="60" w:after="120"/>
    </w:pPr>
    <w:rPr>
      <w:rFonts w:ascii="Arial" w:hAnsi="Arial"/>
      <w:lang w:eastAsia="en-US"/>
    </w:rPr>
  </w:style>
  <w:style w:type="paragraph" w:customStyle="1" w:styleId="Bullet">
    <w:name w:val="Bullet"/>
    <w:aliases w:val="b1,bullet1,Bullet 1,bullet 1,MA Bullet 1,Alt.,Bullet for no #'s,body Char Char,body Char Char Char5,body Char Char Char Char,body Char Char Char Char Char Char Char Char,body Char Char Char Char Char Char Char,body Char Char Char Char Char,bod,B1"/>
    <w:basedOn w:val="Body"/>
    <w:link w:val="BulletChar"/>
    <w:qFormat/>
    <w:rsid w:val="002E7B85"/>
    <w:pPr>
      <w:numPr>
        <w:numId w:val="1"/>
      </w:numPr>
      <w:spacing w:before="0" w:after="100"/>
    </w:pPr>
  </w:style>
  <w:style w:type="paragraph" w:customStyle="1" w:styleId="Bullet2">
    <w:name w:val="Bullet2"/>
    <w:aliases w:val="b2"/>
    <w:basedOn w:val="Body"/>
    <w:rsid w:val="00793724"/>
    <w:pPr>
      <w:numPr>
        <w:numId w:val="2"/>
      </w:numPr>
      <w:spacing w:before="0" w:after="60"/>
    </w:pPr>
  </w:style>
  <w:style w:type="paragraph" w:styleId="Caption">
    <w:name w:val="caption"/>
    <w:basedOn w:val="Body"/>
    <w:next w:val="Body"/>
    <w:qFormat/>
    <w:rsid w:val="002C39A8"/>
    <w:pPr>
      <w:keepNext/>
      <w:keepLines/>
      <w:tabs>
        <w:tab w:val="left" w:pos="1134"/>
      </w:tabs>
      <w:spacing w:before="240"/>
      <w:ind w:left="567" w:hanging="567"/>
    </w:pPr>
    <w:rPr>
      <w:rFonts w:cs="Arial"/>
      <w:b/>
      <w:bCs/>
    </w:rPr>
  </w:style>
  <w:style w:type="paragraph" w:styleId="Header">
    <w:name w:val="header"/>
    <w:basedOn w:val="Body"/>
    <w:pPr>
      <w:spacing w:before="0" w:after="0"/>
    </w:pPr>
    <w:rPr>
      <w:szCs w:val="24"/>
    </w:rPr>
  </w:style>
  <w:style w:type="paragraph" w:customStyle="1" w:styleId="TableHead">
    <w:name w:val="Table Head"/>
    <w:aliases w:val="th,Table heading,Table Head2,th2"/>
    <w:basedOn w:val="Body"/>
    <w:link w:val="TableHeadChar"/>
    <w:qFormat/>
    <w:pPr>
      <w:keepNext/>
      <w:keepLines/>
      <w:spacing w:before="120" w:after="60"/>
    </w:pPr>
    <w:rPr>
      <w:b/>
      <w:bCs/>
    </w:rPr>
  </w:style>
  <w:style w:type="paragraph" w:customStyle="1" w:styleId="TableBody">
    <w:name w:val="Table Body"/>
    <w:aliases w:val="tb"/>
    <w:basedOn w:val="Body"/>
    <w:link w:val="TableBodyChar"/>
    <w:qFormat/>
    <w:pPr>
      <w:spacing w:before="120" w:after="60"/>
    </w:pPr>
  </w:style>
  <w:style w:type="paragraph" w:styleId="Footer">
    <w:name w:val="footer"/>
    <w:basedOn w:val="Body"/>
    <w:pPr>
      <w:spacing w:before="0" w:after="0"/>
      <w:jc w:val="right"/>
    </w:pPr>
    <w:rPr>
      <w:sz w:val="17"/>
      <w:szCs w:val="24"/>
    </w:rPr>
  </w:style>
  <w:style w:type="character" w:styleId="PageNumber">
    <w:name w:val="page number"/>
    <w:basedOn w:val="DefaultParagraphFont"/>
    <w:rPr>
      <w:rFonts w:ascii="Arial" w:hAnsi="Arial"/>
      <w:noProof/>
      <w:sz w:val="17"/>
      <w:lang w:val="en-AU"/>
    </w:rPr>
  </w:style>
  <w:style w:type="paragraph" w:customStyle="1" w:styleId="StatusBold">
    <w:name w:val="Status Bold"/>
    <w:basedOn w:val="Status"/>
    <w:pPr>
      <w:spacing w:before="160" w:after="80"/>
    </w:pPr>
    <w:rPr>
      <w:b/>
      <w:bCs/>
    </w:rPr>
  </w:style>
  <w:style w:type="paragraph" w:customStyle="1" w:styleId="Status">
    <w:name w:val="Status"/>
    <w:basedOn w:val="Body"/>
  </w:style>
  <w:style w:type="paragraph" w:customStyle="1" w:styleId="StatusHead">
    <w:name w:val="Status Head"/>
    <w:basedOn w:val="Status"/>
    <w:next w:val="Status"/>
    <w:pPr>
      <w:spacing w:before="6600"/>
    </w:pPr>
    <w:rPr>
      <w:b/>
      <w:bCs/>
    </w:rPr>
  </w:style>
  <w:style w:type="paragraph" w:customStyle="1" w:styleId="ContentsHeading">
    <w:name w:val="Contents Heading"/>
    <w:aliases w:val="ch"/>
    <w:basedOn w:val="Body"/>
    <w:next w:val="Body"/>
    <w:pPr>
      <w:spacing w:before="0" w:after="600" w:line="320" w:lineRule="atLeast"/>
    </w:pPr>
    <w:rPr>
      <w:sz w:val="44"/>
    </w:rPr>
  </w:style>
  <w:style w:type="paragraph" w:customStyle="1" w:styleId="Filename">
    <w:name w:val="Filename"/>
    <w:pPr>
      <w:framePr w:w="2200" w:h="386" w:hRule="exact" w:hSpace="181" w:vSpace="181" w:wrap="around" w:vAnchor="text" w:hAnchor="page" w:x="1657" w:y="1"/>
    </w:pPr>
    <w:rPr>
      <w:rFonts w:ascii="Arial" w:hAnsi="Arial"/>
      <w:noProof/>
      <w:sz w:val="14"/>
      <w:lang w:eastAsia="en-US"/>
    </w:rPr>
  </w:style>
  <w:style w:type="paragraph" w:styleId="TOC1">
    <w:name w:val="toc 1"/>
    <w:basedOn w:val="Body"/>
    <w:next w:val="Body"/>
    <w:uiPriority w:val="39"/>
    <w:rsid w:val="00DE21DB"/>
    <w:pPr>
      <w:tabs>
        <w:tab w:val="right" w:leader="dot" w:pos="9071"/>
      </w:tabs>
      <w:spacing w:before="240"/>
      <w:ind w:left="567" w:hanging="567"/>
    </w:pPr>
    <w:rPr>
      <w:rFonts w:ascii="Arial Bold" w:hAnsi="Arial Bold"/>
      <w:b/>
      <w:caps/>
      <w:noProof/>
      <w:sz w:val="24"/>
    </w:rPr>
  </w:style>
  <w:style w:type="paragraph" w:styleId="TOC8">
    <w:name w:val="toc 8"/>
    <w:basedOn w:val="Normal"/>
    <w:next w:val="Normal"/>
    <w:autoRedefine/>
    <w:uiPriority w:val="39"/>
    <w:pPr>
      <w:ind w:left="1400"/>
    </w:pPr>
  </w:style>
  <w:style w:type="paragraph" w:customStyle="1" w:styleId="ContentsLabels">
    <w:name w:val="Contents Labels"/>
    <w:aliases w:val="cl"/>
    <w:basedOn w:val="ContentsHeading"/>
    <w:next w:val="TableofFigures"/>
    <w:rsid w:val="007D12EA"/>
    <w:pPr>
      <w:spacing w:before="600" w:after="60" w:line="280" w:lineRule="atLeast"/>
    </w:pPr>
    <w:rPr>
      <w:rFonts w:ascii="Arial Bold" w:hAnsi="Arial Bold"/>
      <w:b/>
      <w:caps/>
      <w:sz w:val="24"/>
    </w:rPr>
  </w:style>
  <w:style w:type="paragraph" w:styleId="TOC2">
    <w:name w:val="toc 2"/>
    <w:basedOn w:val="Body"/>
    <w:next w:val="Body"/>
    <w:uiPriority w:val="39"/>
    <w:pPr>
      <w:tabs>
        <w:tab w:val="right" w:leader="dot" w:pos="9071"/>
      </w:tabs>
      <w:spacing w:after="60"/>
      <w:ind w:left="1134" w:right="906" w:hanging="567"/>
    </w:pPr>
    <w:rPr>
      <w:noProof/>
      <w:szCs w:val="23"/>
    </w:rPr>
  </w:style>
  <w:style w:type="paragraph" w:styleId="TOC3">
    <w:name w:val="toc 3"/>
    <w:basedOn w:val="Body"/>
    <w:next w:val="Body"/>
    <w:uiPriority w:val="39"/>
    <w:rsid w:val="00DE21DB"/>
    <w:pPr>
      <w:tabs>
        <w:tab w:val="left" w:pos="1985"/>
        <w:tab w:val="right" w:leader="dot" w:pos="9072"/>
      </w:tabs>
      <w:spacing w:after="60"/>
      <w:ind w:left="1985" w:right="906" w:hanging="851"/>
    </w:pPr>
    <w:rPr>
      <w:rFonts w:cs="Arial"/>
      <w:noProof/>
      <w:sz w:val="18"/>
    </w:rPr>
  </w:style>
  <w:style w:type="paragraph" w:styleId="TOC4">
    <w:name w:val="toc 4"/>
    <w:basedOn w:val="Normal"/>
    <w:next w:val="Normal"/>
    <w:autoRedefine/>
    <w:uiPriority w:val="39"/>
    <w:pPr>
      <w:ind w:left="600"/>
    </w:pPr>
  </w:style>
  <w:style w:type="paragraph" w:styleId="TOC5">
    <w:name w:val="toc 5"/>
    <w:basedOn w:val="Normal"/>
    <w:next w:val="Normal"/>
    <w:autoRedefine/>
    <w:uiPriority w:val="39"/>
    <w:pPr>
      <w:ind w:left="800"/>
    </w:pPr>
  </w:style>
  <w:style w:type="paragraph" w:styleId="TOC6">
    <w:name w:val="toc 6"/>
    <w:basedOn w:val="Normal"/>
    <w:next w:val="Normal"/>
    <w:autoRedefine/>
    <w:uiPriority w:val="39"/>
    <w:pPr>
      <w:ind w:left="1000"/>
    </w:pPr>
  </w:style>
  <w:style w:type="paragraph" w:styleId="TOC7">
    <w:name w:val="toc 7"/>
    <w:basedOn w:val="Normal"/>
    <w:next w:val="Normal"/>
    <w:autoRedefine/>
    <w:uiPriority w:val="39"/>
    <w:pPr>
      <w:ind w:left="1200"/>
    </w:pPr>
  </w:style>
  <w:style w:type="paragraph" w:customStyle="1" w:styleId="Appendix">
    <w:name w:val="Appendix"/>
    <w:aliases w:val="a"/>
    <w:basedOn w:val="Body"/>
    <w:next w:val="Body"/>
    <w:rsid w:val="00EC0145"/>
    <w:pPr>
      <w:pageBreakBefore/>
      <w:pBdr>
        <w:bottom w:val="single" w:sz="4" w:space="1" w:color="auto"/>
      </w:pBdr>
      <w:spacing w:before="0" w:after="480"/>
    </w:pPr>
    <w:rPr>
      <w:b/>
      <w:sz w:val="28"/>
    </w:rPr>
  </w:style>
  <w:style w:type="paragraph" w:styleId="TOC9">
    <w:name w:val="toc 9"/>
    <w:basedOn w:val="TableofFigures"/>
    <w:uiPriority w:val="39"/>
    <w:pPr>
      <w:numPr>
        <w:numId w:val="4"/>
      </w:numPr>
      <w:tabs>
        <w:tab w:val="clear" w:pos="851"/>
        <w:tab w:val="num" w:pos="567"/>
      </w:tabs>
      <w:ind w:left="567" w:hanging="425"/>
    </w:pPr>
    <w:rPr>
      <w:szCs w:val="40"/>
    </w:rPr>
  </w:style>
  <w:style w:type="character" w:styleId="Hyperlink">
    <w:name w:val="Hyperlink"/>
    <w:basedOn w:val="DefaultParagraphFont"/>
    <w:uiPriority w:val="99"/>
    <w:rPr>
      <w:color w:val="0000FF"/>
      <w:u w:val="single"/>
    </w:rPr>
  </w:style>
  <w:style w:type="paragraph" w:styleId="TableofFigures">
    <w:name w:val="table of figures"/>
    <w:basedOn w:val="Normal"/>
    <w:next w:val="Normal"/>
    <w:uiPriority w:val="99"/>
    <w:rsid w:val="00A10FC0"/>
    <w:pPr>
      <w:tabs>
        <w:tab w:val="left" w:pos="1985"/>
        <w:tab w:val="right" w:leader="dot" w:pos="9072"/>
      </w:tabs>
      <w:spacing w:before="60" w:after="60" w:line="280" w:lineRule="atLeast"/>
      <w:ind w:left="1985" w:right="567" w:hanging="1418"/>
    </w:pPr>
    <w:rPr>
      <w:rFonts w:ascii="Arial" w:hAnsi="Arial"/>
      <w:b w:val="0"/>
      <w:noProof/>
      <w:color w:val="auto"/>
      <w:sz w:val="21"/>
      <w:szCs w:val="15"/>
    </w:rPr>
  </w:style>
  <w:style w:type="paragraph" w:customStyle="1" w:styleId="AppendixHeading">
    <w:name w:val="Appendix Heading"/>
    <w:basedOn w:val="Body"/>
    <w:next w:val="AppendixContents"/>
    <w:pPr>
      <w:spacing w:before="0" w:after="480" w:line="336" w:lineRule="atLeast"/>
      <w:ind w:left="1559"/>
    </w:pPr>
    <w:rPr>
      <w:sz w:val="40"/>
    </w:rPr>
  </w:style>
  <w:style w:type="paragraph" w:customStyle="1" w:styleId="AppendixContents">
    <w:name w:val="Appendix Contents"/>
    <w:basedOn w:val="Body"/>
    <w:pPr>
      <w:spacing w:before="0" w:line="336" w:lineRule="atLeast"/>
      <w:ind w:left="1559"/>
    </w:pPr>
    <w:rPr>
      <w:sz w:val="28"/>
    </w:rPr>
  </w:style>
  <w:style w:type="paragraph" w:customStyle="1" w:styleId="Logo">
    <w:name w:val="Logo"/>
    <w:pPr>
      <w:framePr w:hSpace="181" w:vSpace="181" w:wrap="around" w:vAnchor="page" w:hAnchor="page" w:x="1702" w:y="823"/>
    </w:pPr>
    <w:rPr>
      <w:rFonts w:ascii="Arial" w:hAnsi="Arial"/>
      <w:noProof/>
      <w:sz w:val="16"/>
      <w:lang w:val="en-US" w:eastAsia="en-US"/>
    </w:rPr>
  </w:style>
  <w:style w:type="paragraph" w:customStyle="1" w:styleId="DocDate">
    <w:name w:val="Doc Date"/>
    <w:pPr>
      <w:shd w:val="solid" w:color="FFFFFF" w:fill="auto"/>
      <w:spacing w:before="100" w:after="100"/>
      <w:jc w:val="right"/>
    </w:pPr>
    <w:rPr>
      <w:rFonts w:ascii="Arial" w:hAnsi="Arial"/>
      <w:noProof/>
      <w:sz w:val="28"/>
      <w:lang w:eastAsia="en-US"/>
    </w:rPr>
  </w:style>
  <w:style w:type="paragraph" w:customStyle="1" w:styleId="Client">
    <w:name w:val="Client"/>
    <w:next w:val="Project"/>
    <w:pPr>
      <w:spacing w:before="240" w:after="240" w:line="280" w:lineRule="atLeast"/>
      <w:ind w:left="1559" w:right="-58"/>
      <w:jc w:val="right"/>
    </w:pPr>
    <w:rPr>
      <w:rFonts w:ascii="Arial" w:hAnsi="Arial"/>
      <w:b/>
      <w:bCs/>
      <w:sz w:val="36"/>
      <w:lang w:eastAsia="en-US"/>
    </w:rPr>
  </w:style>
  <w:style w:type="paragraph" w:customStyle="1" w:styleId="Project">
    <w:name w:val="Project"/>
    <w:next w:val="Subject"/>
    <w:pPr>
      <w:spacing w:before="120" w:after="120" w:line="280" w:lineRule="atLeast"/>
      <w:ind w:left="709" w:right="-58"/>
      <w:jc w:val="right"/>
    </w:pPr>
    <w:rPr>
      <w:rFonts w:ascii="Arial" w:hAnsi="Arial" w:cs="Arial"/>
      <w:sz w:val="36"/>
      <w:lang w:eastAsia="en-US"/>
    </w:rPr>
  </w:style>
  <w:style w:type="paragraph" w:customStyle="1" w:styleId="Report">
    <w:name w:val="Report"/>
    <w:basedOn w:val="Body"/>
    <w:next w:val="Body"/>
    <w:pPr>
      <w:spacing w:before="360"/>
    </w:pPr>
    <w:rPr>
      <w:sz w:val="28"/>
    </w:rPr>
  </w:style>
  <w:style w:type="paragraph" w:customStyle="1" w:styleId="Bold">
    <w:name w:val="Bold"/>
    <w:aliases w:val="bs"/>
    <w:basedOn w:val="Body"/>
    <w:next w:val="Body"/>
    <w:pPr>
      <w:keepNext/>
      <w:keepLines/>
      <w:spacing w:before="240" w:after="60"/>
    </w:pPr>
    <w:rPr>
      <w:b/>
    </w:rPr>
  </w:style>
  <w:style w:type="paragraph" w:customStyle="1" w:styleId="BoldItalics">
    <w:name w:val="Bold/Italics"/>
    <w:aliases w:val="bi"/>
    <w:basedOn w:val="Body"/>
    <w:next w:val="Body"/>
    <w:pPr>
      <w:keepNext/>
      <w:keepLines/>
      <w:spacing w:before="240" w:after="60"/>
    </w:pPr>
    <w:rPr>
      <w:b/>
      <w:i/>
    </w:rPr>
  </w:style>
  <w:style w:type="character" w:styleId="CommentReference">
    <w:name w:val="annotation reference"/>
    <w:basedOn w:val="DefaultParagraphFont"/>
    <w:uiPriority w:val="99"/>
    <w:semiHidden/>
    <w:rPr>
      <w:sz w:val="16"/>
      <w:szCs w:val="16"/>
    </w:rPr>
  </w:style>
  <w:style w:type="paragraph" w:styleId="CommentText">
    <w:name w:val="annotation text"/>
    <w:basedOn w:val="Normal"/>
    <w:link w:val="CommentTextChar"/>
    <w:semiHidden/>
  </w:style>
  <w:style w:type="paragraph" w:customStyle="1" w:styleId="SectionBreak">
    <w:name w:val="Section Break"/>
    <w:aliases w:val="sb"/>
    <w:basedOn w:val="Appendix"/>
    <w:next w:val="SectionHeading"/>
    <w:pPr>
      <w:ind w:left="1560"/>
    </w:pPr>
  </w:style>
  <w:style w:type="paragraph" w:customStyle="1" w:styleId="SectionContents">
    <w:name w:val="Section Contents"/>
    <w:aliases w:val="sc"/>
    <w:basedOn w:val="AppendixContents"/>
  </w:style>
  <w:style w:type="paragraph" w:customStyle="1" w:styleId="SectionHeading">
    <w:name w:val="Section Heading"/>
    <w:aliases w:val="sh"/>
    <w:basedOn w:val="AppendixHeading"/>
    <w:next w:val="SectionContents"/>
  </w:style>
  <w:style w:type="paragraph" w:customStyle="1" w:styleId="Contents">
    <w:name w:val="Contents"/>
    <w:basedOn w:val="Normal"/>
    <w:next w:val="Normal"/>
    <w:rsid w:val="007D12EA"/>
    <w:pPr>
      <w:spacing w:after="600" w:line="320" w:lineRule="atLeast"/>
    </w:pPr>
    <w:rPr>
      <w:rFonts w:ascii="Arial Bold" w:hAnsi="Arial Bold"/>
      <w:caps/>
      <w:color w:val="auto"/>
      <w:sz w:val="24"/>
    </w:rPr>
  </w:style>
  <w:style w:type="paragraph" w:customStyle="1" w:styleId="ContentsList">
    <w:name w:val="Contents List"/>
    <w:pPr>
      <w:spacing w:before="600" w:after="60" w:line="280" w:lineRule="atLeast"/>
    </w:pPr>
    <w:rPr>
      <w:rFonts w:ascii="Arial" w:hAnsi="Arial"/>
      <w:b/>
      <w:bCs/>
      <w:noProof/>
      <w:sz w:val="32"/>
      <w:lang w:eastAsia="en-US"/>
    </w:rPr>
  </w:style>
  <w:style w:type="paragraph" w:customStyle="1" w:styleId="BulletNumber">
    <w:name w:val="Bullet Number"/>
    <w:aliases w:val="bn"/>
    <w:basedOn w:val="Body"/>
    <w:rsid w:val="00793724"/>
    <w:pPr>
      <w:numPr>
        <w:numId w:val="6"/>
      </w:numPr>
      <w:spacing w:before="0" w:after="100"/>
    </w:pPr>
  </w:style>
  <w:style w:type="paragraph" w:customStyle="1" w:styleId="TableBullet">
    <w:name w:val="Table Bullet"/>
    <w:aliases w:val="tbu"/>
    <w:basedOn w:val="Bullet"/>
    <w:pPr>
      <w:numPr>
        <w:numId w:val="7"/>
      </w:numPr>
      <w:tabs>
        <w:tab w:val="clear" w:pos="360"/>
        <w:tab w:val="left" w:pos="284"/>
      </w:tabs>
      <w:spacing w:before="120" w:after="60"/>
    </w:pPr>
  </w:style>
  <w:style w:type="paragraph" w:customStyle="1" w:styleId="Subject">
    <w:name w:val="Subject"/>
    <w:next w:val="DocDate"/>
    <w:pPr>
      <w:spacing w:after="240" w:line="280" w:lineRule="atLeast"/>
      <w:ind w:left="1559" w:right="-57"/>
      <w:jc w:val="right"/>
    </w:pPr>
    <w:rPr>
      <w:rFonts w:ascii="Arial" w:hAnsi="Arial"/>
      <w:sz w:val="32"/>
      <w:lang w:eastAsia="en-US"/>
    </w:rPr>
  </w:style>
  <w:style w:type="paragraph" w:styleId="FootnoteText">
    <w:name w:val="footnote text"/>
    <w:basedOn w:val="Body"/>
    <w:semiHidden/>
    <w:pPr>
      <w:spacing w:before="100" w:after="100"/>
      <w:ind w:left="142" w:hanging="142"/>
    </w:pPr>
    <w:rPr>
      <w:sz w:val="16"/>
    </w:rPr>
  </w:style>
  <w:style w:type="paragraph" w:customStyle="1" w:styleId="CaptionTable">
    <w:name w:val="Caption Table"/>
    <w:basedOn w:val="Caption"/>
    <w:next w:val="Body"/>
    <w:link w:val="CaptionTableChar"/>
    <w:rsid w:val="002C39A8"/>
  </w:style>
  <w:style w:type="character" w:styleId="FootnoteReference">
    <w:name w:val="footnote reference"/>
    <w:basedOn w:val="DefaultParagraphFont"/>
    <w:semiHidden/>
    <w:rPr>
      <w:color w:val="auto"/>
      <w:vertAlign w:val="superscript"/>
    </w:rPr>
  </w:style>
  <w:style w:type="paragraph" w:customStyle="1" w:styleId="FooterProjSub">
    <w:name w:val="Footer Proj/Sub"/>
    <w:basedOn w:val="Filename"/>
    <w:pPr>
      <w:framePr w:w="7235" w:h="482" w:hRule="exact" w:wrap="around" w:x="3273" w:yAlign="inside" w:anchorLock="1"/>
    </w:pPr>
    <w:rPr>
      <w:bCs/>
    </w:rPr>
  </w:style>
  <w:style w:type="paragraph" w:customStyle="1" w:styleId="ExecSum">
    <w:name w:val="ExecSum"/>
    <w:basedOn w:val="Heading1"/>
    <w:next w:val="Body"/>
    <w:rsid w:val="00033EFB"/>
  </w:style>
  <w:style w:type="paragraph" w:customStyle="1" w:styleId="HeaderFooter">
    <w:name w:val="Header/Footer"/>
    <w:basedOn w:val="Footer"/>
  </w:style>
  <w:style w:type="paragraph" w:customStyle="1" w:styleId="TableIndex">
    <w:name w:val="Table Index"/>
    <w:pPr>
      <w:spacing w:before="600" w:after="60" w:line="280" w:lineRule="atLeast"/>
    </w:pPr>
    <w:rPr>
      <w:rFonts w:ascii="Arial" w:hAnsi="Arial"/>
      <w:sz w:val="28"/>
      <w:lang w:eastAsia="en-US"/>
    </w:rPr>
  </w:style>
  <w:style w:type="paragraph" w:styleId="BodyText">
    <w:name w:val="Body Text"/>
    <w:basedOn w:val="Normal"/>
    <w:pPr>
      <w:autoSpaceDE w:val="0"/>
      <w:autoSpaceDN w:val="0"/>
      <w:adjustRightInd w:val="0"/>
    </w:pPr>
    <w:rPr>
      <w:rFonts w:ascii="Arial Narrow" w:hAnsi="Arial Narrow"/>
      <w:b w:val="0"/>
      <w:color w:val="0000FF"/>
      <w:sz w:val="14"/>
      <w:lang w:val="en-US"/>
    </w:rPr>
  </w:style>
  <w:style w:type="paragraph" w:customStyle="1" w:styleId="GHDDisclaimer">
    <w:name w:val="GHDDisclaimer"/>
    <w:basedOn w:val="Normal"/>
    <w:pPr>
      <w:framePr w:w="9356" w:h="1134" w:hRule="exact" w:hSpace="181" w:vSpace="181" w:wrap="notBeside" w:vAnchor="page" w:hAnchor="page" w:x="1617" w:y="14743"/>
      <w:shd w:val="solid" w:color="FFFFFF" w:fill="FFFFFF"/>
    </w:pPr>
  </w:style>
  <w:style w:type="paragraph" w:customStyle="1" w:styleId="GHDDisclaimerL">
    <w:name w:val="GHDDisclaimer(L)"/>
    <w:basedOn w:val="GHDDisclaimer"/>
    <w:pPr>
      <w:framePr w:wrap="notBeside" w:y="9640"/>
    </w:pPr>
  </w:style>
  <w:style w:type="paragraph" w:styleId="BalloonText">
    <w:name w:val="Balloon Text"/>
    <w:basedOn w:val="Normal"/>
    <w:semiHidden/>
    <w:rsid w:val="004E02F3"/>
    <w:rPr>
      <w:rFonts w:ascii="Tahoma" w:hAnsi="Tahoma" w:cs="Tahoma"/>
      <w:sz w:val="16"/>
      <w:szCs w:val="16"/>
    </w:rPr>
  </w:style>
  <w:style w:type="paragraph" w:customStyle="1" w:styleId="BlockText1">
    <w:name w:val="Block Text 1"/>
    <w:basedOn w:val="BodyText2"/>
    <w:rsid w:val="00B91E18"/>
    <w:pPr>
      <w:spacing w:after="0" w:line="240" w:lineRule="auto"/>
    </w:pPr>
    <w:rPr>
      <w:rFonts w:ascii="Arial (W1)" w:hAnsi="Arial (W1)"/>
      <w:b w:val="0"/>
      <w:color w:val="000000"/>
      <w:sz w:val="24"/>
      <w:szCs w:val="24"/>
    </w:rPr>
  </w:style>
  <w:style w:type="paragraph" w:customStyle="1" w:styleId="Bullets">
    <w:name w:val="Bullets"/>
    <w:basedOn w:val="Normal"/>
    <w:rsid w:val="00B91E18"/>
    <w:pPr>
      <w:numPr>
        <w:ilvl w:val="1"/>
        <w:numId w:val="8"/>
      </w:numPr>
      <w:tabs>
        <w:tab w:val="left" w:pos="357"/>
      </w:tabs>
      <w:spacing w:before="120"/>
      <w:ind w:left="357" w:hanging="357"/>
    </w:pPr>
    <w:rPr>
      <w:rFonts w:ascii="Arial" w:hAnsi="Arial" w:cs="Arial"/>
      <w:b w:val="0"/>
      <w:color w:val="auto"/>
      <w:sz w:val="24"/>
      <w:szCs w:val="22"/>
    </w:rPr>
  </w:style>
  <w:style w:type="paragraph" w:styleId="BodyText2">
    <w:name w:val="Body Text 2"/>
    <w:basedOn w:val="Normal"/>
    <w:rsid w:val="00B91E18"/>
    <w:pPr>
      <w:spacing w:after="120" w:line="480" w:lineRule="auto"/>
    </w:pPr>
  </w:style>
  <w:style w:type="table" w:styleId="TableGrid">
    <w:name w:val="Table Grid"/>
    <w:basedOn w:val="TableNormal"/>
    <w:uiPriority w:val="59"/>
    <w:rsid w:val="00B91E1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isclaimerText">
    <w:name w:val="Disclaimer Text"/>
    <w:basedOn w:val="Body"/>
    <w:rsid w:val="00B114A2"/>
    <w:rPr>
      <w:rFonts w:cs="Arial"/>
      <w:i/>
      <w:sz w:val="18"/>
      <w:szCs w:val="18"/>
      <w:lang w:val="en-US"/>
    </w:rPr>
  </w:style>
  <w:style w:type="paragraph" w:customStyle="1" w:styleId="DisclaimerNumber">
    <w:name w:val="Disclaimer Number"/>
    <w:basedOn w:val="DisclaimerText"/>
    <w:rsid w:val="004E04A2"/>
    <w:pPr>
      <w:numPr>
        <w:numId w:val="9"/>
      </w:numPr>
    </w:pPr>
  </w:style>
  <w:style w:type="paragraph" w:customStyle="1" w:styleId="DisclaimerBullet">
    <w:name w:val="Disclaimer Bullet"/>
    <w:basedOn w:val="DisclaimerText"/>
    <w:rsid w:val="004E04A2"/>
    <w:pPr>
      <w:numPr>
        <w:numId w:val="10"/>
      </w:numPr>
    </w:pPr>
  </w:style>
  <w:style w:type="paragraph" w:styleId="DocumentMap">
    <w:name w:val="Document Map"/>
    <w:basedOn w:val="Normal"/>
    <w:semiHidden/>
    <w:rsid w:val="00C01BF9"/>
    <w:pPr>
      <w:shd w:val="clear" w:color="auto" w:fill="000080"/>
    </w:pPr>
    <w:rPr>
      <w:rFonts w:ascii="Tahoma" w:hAnsi="Tahoma" w:cs="Tahoma"/>
    </w:rPr>
  </w:style>
  <w:style w:type="paragraph" w:customStyle="1" w:styleId="Default">
    <w:name w:val="Default"/>
    <w:rsid w:val="00564A59"/>
    <w:pPr>
      <w:autoSpaceDE w:val="0"/>
      <w:autoSpaceDN w:val="0"/>
      <w:adjustRightInd w:val="0"/>
    </w:pPr>
    <w:rPr>
      <w:rFonts w:ascii="Arial" w:hAnsi="Arial" w:cs="Arial"/>
      <w:color w:val="000000"/>
      <w:sz w:val="24"/>
      <w:szCs w:val="24"/>
    </w:rPr>
  </w:style>
  <w:style w:type="paragraph" w:styleId="CommentSubject">
    <w:name w:val="annotation subject"/>
    <w:basedOn w:val="CommentText"/>
    <w:next w:val="CommentText"/>
    <w:link w:val="CommentSubjectChar"/>
    <w:rsid w:val="00867113"/>
    <w:rPr>
      <w:bCs/>
    </w:rPr>
  </w:style>
  <w:style w:type="character" w:customStyle="1" w:styleId="CommentTextChar">
    <w:name w:val="Comment Text Char"/>
    <w:basedOn w:val="DefaultParagraphFont"/>
    <w:link w:val="CommentText"/>
    <w:semiHidden/>
    <w:rsid w:val="00867113"/>
    <w:rPr>
      <w:b/>
      <w:color w:val="999999"/>
      <w:lang w:eastAsia="en-US"/>
    </w:rPr>
  </w:style>
  <w:style w:type="character" w:customStyle="1" w:styleId="CommentSubjectChar">
    <w:name w:val="Comment Subject Char"/>
    <w:basedOn w:val="CommentTextChar"/>
    <w:link w:val="CommentSubject"/>
    <w:rsid w:val="00867113"/>
    <w:rPr>
      <w:b/>
      <w:bCs/>
      <w:color w:val="999999"/>
      <w:lang w:eastAsia="en-US"/>
    </w:rPr>
  </w:style>
  <w:style w:type="character" w:customStyle="1" w:styleId="BulletChar">
    <w:name w:val="Bullet Char"/>
    <w:aliases w:val="b1 Char,bullet1 Char,Bullet 1 Char,bullet 1 Char,body Char Char Char,body Char Char Char5 Char,body Char Char Char Char Char1,body Char Char Char Char Char Char Char Char Char,body Char Char Char Char Char Char Char Char1,bullet 1 Char Char"/>
    <w:link w:val="Bullet"/>
    <w:locked/>
    <w:rsid w:val="004C02E0"/>
    <w:rPr>
      <w:rFonts w:ascii="Arial" w:hAnsi="Arial"/>
      <w:lang w:eastAsia="en-US"/>
    </w:rPr>
  </w:style>
  <w:style w:type="character" w:customStyle="1" w:styleId="BodyChar">
    <w:name w:val="Body Char"/>
    <w:aliases w:val="b Char,bullet Char,bu Char,B Char,body Char,b Char Char Char Char Char Char Char Char Char,b Char Char Char Char,b Char Char Char Char Char Char Char,b Char Char Char1,Body Char1 Char1 Char,Body1 Char,Body Char1,b Char1,b Char Char1,b4,b Char2"/>
    <w:link w:val="Body"/>
    <w:locked/>
    <w:rsid w:val="004C02E0"/>
    <w:rPr>
      <w:rFonts w:ascii="Arial" w:hAnsi="Arial"/>
      <w:lang w:eastAsia="en-US"/>
    </w:rPr>
  </w:style>
  <w:style w:type="character" w:customStyle="1" w:styleId="TableHeadChar">
    <w:name w:val="Table Head Char"/>
    <w:aliases w:val="th Char,Table heading Char"/>
    <w:basedOn w:val="DefaultParagraphFont"/>
    <w:link w:val="TableHead"/>
    <w:rsid w:val="004C02E0"/>
    <w:rPr>
      <w:rFonts w:ascii="Arial" w:hAnsi="Arial"/>
      <w:b/>
      <w:bCs/>
      <w:lang w:eastAsia="en-US"/>
    </w:rPr>
  </w:style>
  <w:style w:type="character" w:customStyle="1" w:styleId="TableBodyChar">
    <w:name w:val="Table Body Char"/>
    <w:aliases w:val="tb Char,tb Char Char"/>
    <w:basedOn w:val="DefaultParagraphFont"/>
    <w:link w:val="TableBody"/>
    <w:uiPriority w:val="99"/>
    <w:rsid w:val="004C02E0"/>
    <w:rPr>
      <w:rFonts w:ascii="Arial" w:hAnsi="Arial"/>
      <w:lang w:eastAsia="en-US"/>
    </w:rPr>
  </w:style>
  <w:style w:type="character" w:customStyle="1" w:styleId="CaptionTableChar">
    <w:name w:val="Caption Table Char"/>
    <w:basedOn w:val="DefaultParagraphFont"/>
    <w:link w:val="CaptionTable"/>
    <w:rsid w:val="002C39A8"/>
    <w:rPr>
      <w:rFonts w:ascii="Arial" w:hAnsi="Arial" w:cs="Arial"/>
      <w:b/>
      <w:bCs/>
      <w:lang w:eastAsia="en-US"/>
    </w:rPr>
  </w:style>
  <w:style w:type="character" w:customStyle="1" w:styleId="Heading1Char">
    <w:name w:val="Heading 1 Char"/>
    <w:aliases w:val="h1 Char"/>
    <w:basedOn w:val="DefaultParagraphFont"/>
    <w:link w:val="Heading1"/>
    <w:rsid w:val="00B6174B"/>
    <w:rPr>
      <w:rFonts w:ascii="Segoe UI" w:hAnsi="Segoe UI" w:cs="Segoe UI"/>
      <w:b/>
      <w:bCs/>
      <w:caps/>
      <w:kern w:val="32"/>
      <w:sz w:val="28"/>
      <w:szCs w:val="28"/>
      <w:lang w:eastAsia="en-US"/>
    </w:rPr>
  </w:style>
  <w:style w:type="paragraph" w:styleId="EndnoteText">
    <w:name w:val="endnote text"/>
    <w:basedOn w:val="Normal"/>
    <w:link w:val="EndnoteTextChar"/>
    <w:rsid w:val="00047B64"/>
  </w:style>
  <w:style w:type="character" w:customStyle="1" w:styleId="EndnoteTextChar">
    <w:name w:val="Endnote Text Char"/>
    <w:basedOn w:val="DefaultParagraphFont"/>
    <w:link w:val="EndnoteText"/>
    <w:rsid w:val="00047B64"/>
    <w:rPr>
      <w:b/>
      <w:color w:val="999999"/>
      <w:lang w:eastAsia="en-US"/>
    </w:rPr>
  </w:style>
  <w:style w:type="character" w:styleId="EndnoteReference">
    <w:name w:val="endnote reference"/>
    <w:basedOn w:val="DefaultParagraphFont"/>
    <w:rsid w:val="00047B64"/>
    <w:rPr>
      <w:vertAlign w:val="superscript"/>
    </w:rPr>
  </w:style>
  <w:style w:type="paragraph" w:styleId="Revision">
    <w:name w:val="Revision"/>
    <w:hidden/>
    <w:uiPriority w:val="99"/>
    <w:semiHidden/>
    <w:rsid w:val="002F6663"/>
    <w:rPr>
      <w:b/>
      <w:color w:val="999999"/>
      <w:lang w:eastAsia="en-US"/>
    </w:rPr>
  </w:style>
  <w:style w:type="paragraph" w:customStyle="1" w:styleId="StyleCaptionNotBold">
    <w:name w:val="Style Caption + Not Bold"/>
    <w:basedOn w:val="Caption"/>
    <w:rsid w:val="00E8241A"/>
    <w:pPr>
      <w:tabs>
        <w:tab w:val="clear" w:pos="1134"/>
        <w:tab w:val="left" w:pos="567"/>
      </w:tabs>
    </w:pPr>
    <w:rPr>
      <w:b w:val="0"/>
      <w:bCs w:val="0"/>
    </w:rPr>
  </w:style>
  <w:style w:type="paragraph" w:styleId="ListParagraph">
    <w:name w:val="List Paragraph"/>
    <w:basedOn w:val="Normal"/>
    <w:uiPriority w:val="34"/>
    <w:qFormat/>
    <w:rsid w:val="00D52F2E"/>
    <w:pPr>
      <w:ind w:left="720"/>
      <w:contextualSpacing/>
    </w:pPr>
  </w:style>
  <w:style w:type="table" w:customStyle="1" w:styleId="TableGrid1">
    <w:name w:val="Table Grid1"/>
    <w:basedOn w:val="TableNormal"/>
    <w:next w:val="TableGrid"/>
    <w:uiPriority w:val="59"/>
    <w:rsid w:val="004E48F3"/>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4E48F3"/>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4E48F3"/>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59"/>
    <w:rsid w:val="00705FB6"/>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TableNormal"/>
    <w:next w:val="TableGrid"/>
    <w:uiPriority w:val="59"/>
    <w:rsid w:val="00705FB6"/>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annotation reference" w:uiPriority="99"/>
    <w:lsdException w:name="Title" w:qFormat="1"/>
    <w:lsdException w:name="Subtitle" w:qFormat="1"/>
    <w:lsdException w:name="Hyperlink" w:uiPriority="99"/>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b/>
      <w:color w:val="999999"/>
      <w:lang w:eastAsia="en-US"/>
    </w:rPr>
  </w:style>
  <w:style w:type="paragraph" w:styleId="Heading1">
    <w:name w:val="heading 1"/>
    <w:aliases w:val="h1"/>
    <w:basedOn w:val="Body"/>
    <w:next w:val="Body"/>
    <w:link w:val="Heading1Char"/>
    <w:qFormat/>
    <w:rsid w:val="0086783D"/>
    <w:pPr>
      <w:keepNext/>
      <w:keepLines/>
      <w:pageBreakBefore/>
      <w:numPr>
        <w:numId w:val="46"/>
      </w:numPr>
      <w:tabs>
        <w:tab w:val="left" w:pos="850"/>
      </w:tabs>
      <w:spacing w:before="0" w:after="480"/>
      <w:outlineLvl w:val="0"/>
    </w:pPr>
    <w:rPr>
      <w:rFonts w:ascii="Segoe UI" w:hAnsi="Segoe UI" w:cs="Segoe UI"/>
      <w:b/>
      <w:bCs/>
      <w:caps/>
      <w:kern w:val="32"/>
      <w:sz w:val="28"/>
      <w:szCs w:val="28"/>
    </w:rPr>
  </w:style>
  <w:style w:type="paragraph" w:styleId="Heading2">
    <w:name w:val="heading 2"/>
    <w:aliases w:val="h2"/>
    <w:basedOn w:val="Body"/>
    <w:next w:val="Body"/>
    <w:qFormat/>
    <w:rsid w:val="00B22C15"/>
    <w:pPr>
      <w:keepNext/>
      <w:keepLines/>
      <w:numPr>
        <w:ilvl w:val="1"/>
        <w:numId w:val="46"/>
      </w:numPr>
      <w:spacing w:before="380" w:after="80"/>
      <w:outlineLvl w:val="1"/>
    </w:pPr>
    <w:rPr>
      <w:rFonts w:ascii="Segoe UI" w:hAnsi="Segoe UI" w:cs="Segoe UI"/>
      <w:b/>
      <w:bCs/>
      <w:iCs/>
      <w:sz w:val="22"/>
      <w:szCs w:val="28"/>
    </w:rPr>
  </w:style>
  <w:style w:type="paragraph" w:styleId="Heading3">
    <w:name w:val="heading 3"/>
    <w:aliases w:val="h3"/>
    <w:basedOn w:val="Body"/>
    <w:next w:val="Body"/>
    <w:qFormat/>
    <w:rsid w:val="00826CD7"/>
    <w:pPr>
      <w:keepNext/>
      <w:numPr>
        <w:ilvl w:val="2"/>
        <w:numId w:val="46"/>
      </w:numPr>
      <w:spacing w:before="380" w:after="80"/>
      <w:outlineLvl w:val="2"/>
    </w:pPr>
    <w:rPr>
      <w:rFonts w:ascii="Segoe UI" w:hAnsi="Segoe UI" w:cs="Segoe UI"/>
      <w:b/>
      <w:bCs/>
    </w:rPr>
  </w:style>
  <w:style w:type="paragraph" w:styleId="Heading4">
    <w:name w:val="heading 4"/>
    <w:basedOn w:val="Normal"/>
    <w:next w:val="Normal"/>
    <w:qFormat/>
    <w:rsid w:val="00564A59"/>
    <w:pPr>
      <w:keepNext/>
      <w:numPr>
        <w:ilvl w:val="3"/>
        <w:numId w:val="3"/>
      </w:numPr>
      <w:tabs>
        <w:tab w:val="clear" w:pos="864"/>
        <w:tab w:val="left" w:pos="567"/>
      </w:tabs>
      <w:spacing w:before="240" w:after="60"/>
      <w:ind w:left="567" w:hanging="567"/>
      <w:outlineLvl w:val="3"/>
    </w:pPr>
    <w:rPr>
      <w:rFonts w:ascii="Arial" w:hAnsi="Arial"/>
      <w:b w:val="0"/>
      <w:bCs/>
      <w:sz w:val="22"/>
      <w:szCs w:val="28"/>
    </w:rPr>
  </w:style>
  <w:style w:type="paragraph" w:styleId="Heading5">
    <w:name w:val="heading 5"/>
    <w:basedOn w:val="Normal"/>
    <w:next w:val="Normal"/>
    <w:qFormat/>
    <w:pPr>
      <w:numPr>
        <w:ilvl w:val="4"/>
        <w:numId w:val="3"/>
      </w:numPr>
      <w:spacing w:before="240" w:after="60"/>
      <w:outlineLvl w:val="4"/>
    </w:pPr>
    <w:rPr>
      <w:b w:val="0"/>
      <w:bCs/>
      <w:i/>
      <w:iCs/>
      <w:sz w:val="26"/>
      <w:szCs w:val="26"/>
    </w:rPr>
  </w:style>
  <w:style w:type="paragraph" w:styleId="Heading6">
    <w:name w:val="heading 6"/>
    <w:basedOn w:val="Normal"/>
    <w:next w:val="Normal"/>
    <w:qFormat/>
    <w:pPr>
      <w:numPr>
        <w:ilvl w:val="5"/>
        <w:numId w:val="3"/>
      </w:numPr>
      <w:spacing w:before="240" w:after="60"/>
      <w:outlineLvl w:val="5"/>
    </w:pPr>
    <w:rPr>
      <w:b w:val="0"/>
      <w:bCs/>
      <w:sz w:val="22"/>
      <w:szCs w:val="22"/>
    </w:rPr>
  </w:style>
  <w:style w:type="paragraph" w:styleId="Heading7">
    <w:name w:val="heading 7"/>
    <w:basedOn w:val="Normal"/>
    <w:next w:val="Normal"/>
    <w:qFormat/>
    <w:pPr>
      <w:numPr>
        <w:ilvl w:val="6"/>
        <w:numId w:val="3"/>
      </w:numPr>
      <w:spacing w:before="240" w:after="60"/>
      <w:outlineLvl w:val="6"/>
    </w:pPr>
    <w:rPr>
      <w:sz w:val="24"/>
      <w:szCs w:val="24"/>
    </w:rPr>
  </w:style>
  <w:style w:type="paragraph" w:styleId="Heading8">
    <w:name w:val="heading 8"/>
    <w:basedOn w:val="Normal"/>
    <w:next w:val="Normal"/>
    <w:qFormat/>
    <w:pPr>
      <w:numPr>
        <w:ilvl w:val="7"/>
        <w:numId w:val="3"/>
      </w:numPr>
      <w:spacing w:before="240" w:after="60"/>
      <w:outlineLvl w:val="7"/>
    </w:pPr>
    <w:rPr>
      <w:i/>
      <w:iCs/>
      <w:sz w:val="24"/>
      <w:szCs w:val="24"/>
    </w:rPr>
  </w:style>
  <w:style w:type="paragraph" w:styleId="Heading9">
    <w:name w:val="heading 9"/>
    <w:basedOn w:val="Normal"/>
    <w:next w:val="Normal"/>
    <w:qFormat/>
    <w:pPr>
      <w:numPr>
        <w:ilvl w:val="8"/>
        <w:numId w:val="3"/>
      </w:numPr>
      <w:spacing w:before="240" w:after="60"/>
      <w:outlineLvl w:val="8"/>
    </w:pPr>
    <w:rPr>
      <w:rFonts w:ascii="Arial" w:hAnsi="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aliases w:val="b,bullet,bu,B,Body1,body,Macro,Plain,Body Char Char,Body Char Char Char,bold,ba,b Char Char Char Cha,b Char Char Char Char Char,b Char Char,b Char Char Char,b Char Char Char Char Char Char,Text,Block,First,Indent,Body Char1 Char,Body Char1 Char1,b3"/>
    <w:link w:val="BodyChar"/>
    <w:qFormat/>
    <w:rsid w:val="00564A59"/>
    <w:pPr>
      <w:spacing w:before="60" w:after="120"/>
    </w:pPr>
    <w:rPr>
      <w:rFonts w:ascii="Arial" w:hAnsi="Arial"/>
      <w:lang w:eastAsia="en-US"/>
    </w:rPr>
  </w:style>
  <w:style w:type="paragraph" w:customStyle="1" w:styleId="Bullet">
    <w:name w:val="Bullet"/>
    <w:aliases w:val="b1,bullet1,Bullet 1,bullet 1,MA Bullet 1,Alt.,Bullet for no #'s,body Char Char,body Char Char Char5,body Char Char Char Char,body Char Char Char Char Char Char Char Char,body Char Char Char Char Char Char Char,body Char Char Char Char Char,bod,B1"/>
    <w:basedOn w:val="Body"/>
    <w:link w:val="BulletChar"/>
    <w:qFormat/>
    <w:rsid w:val="002E7B85"/>
    <w:pPr>
      <w:numPr>
        <w:numId w:val="1"/>
      </w:numPr>
      <w:spacing w:before="0" w:after="100"/>
    </w:pPr>
  </w:style>
  <w:style w:type="paragraph" w:customStyle="1" w:styleId="Bullet2">
    <w:name w:val="Bullet2"/>
    <w:aliases w:val="b2"/>
    <w:basedOn w:val="Body"/>
    <w:rsid w:val="00793724"/>
    <w:pPr>
      <w:numPr>
        <w:numId w:val="2"/>
      </w:numPr>
      <w:spacing w:before="0" w:after="60"/>
    </w:pPr>
  </w:style>
  <w:style w:type="paragraph" w:styleId="Caption">
    <w:name w:val="caption"/>
    <w:basedOn w:val="Body"/>
    <w:next w:val="Body"/>
    <w:qFormat/>
    <w:rsid w:val="002C39A8"/>
    <w:pPr>
      <w:keepNext/>
      <w:keepLines/>
      <w:tabs>
        <w:tab w:val="left" w:pos="1134"/>
      </w:tabs>
      <w:spacing w:before="240"/>
      <w:ind w:left="567" w:hanging="567"/>
    </w:pPr>
    <w:rPr>
      <w:rFonts w:cs="Arial"/>
      <w:b/>
      <w:bCs/>
    </w:rPr>
  </w:style>
  <w:style w:type="paragraph" w:styleId="Header">
    <w:name w:val="header"/>
    <w:basedOn w:val="Body"/>
    <w:pPr>
      <w:spacing w:before="0" w:after="0"/>
    </w:pPr>
    <w:rPr>
      <w:szCs w:val="24"/>
    </w:rPr>
  </w:style>
  <w:style w:type="paragraph" w:customStyle="1" w:styleId="TableHead">
    <w:name w:val="Table Head"/>
    <w:aliases w:val="th,Table heading,Table Head2,th2"/>
    <w:basedOn w:val="Body"/>
    <w:link w:val="TableHeadChar"/>
    <w:qFormat/>
    <w:pPr>
      <w:keepNext/>
      <w:keepLines/>
      <w:spacing w:before="120" w:after="60"/>
    </w:pPr>
    <w:rPr>
      <w:b/>
      <w:bCs/>
    </w:rPr>
  </w:style>
  <w:style w:type="paragraph" w:customStyle="1" w:styleId="TableBody">
    <w:name w:val="Table Body"/>
    <w:aliases w:val="tb"/>
    <w:basedOn w:val="Body"/>
    <w:link w:val="TableBodyChar"/>
    <w:qFormat/>
    <w:pPr>
      <w:spacing w:before="120" w:after="60"/>
    </w:pPr>
  </w:style>
  <w:style w:type="paragraph" w:styleId="Footer">
    <w:name w:val="footer"/>
    <w:basedOn w:val="Body"/>
    <w:pPr>
      <w:spacing w:before="0" w:after="0"/>
      <w:jc w:val="right"/>
    </w:pPr>
    <w:rPr>
      <w:sz w:val="17"/>
      <w:szCs w:val="24"/>
    </w:rPr>
  </w:style>
  <w:style w:type="character" w:styleId="PageNumber">
    <w:name w:val="page number"/>
    <w:basedOn w:val="DefaultParagraphFont"/>
    <w:rPr>
      <w:rFonts w:ascii="Arial" w:hAnsi="Arial"/>
      <w:noProof/>
      <w:sz w:val="17"/>
      <w:lang w:val="en-AU"/>
    </w:rPr>
  </w:style>
  <w:style w:type="paragraph" w:customStyle="1" w:styleId="StatusBold">
    <w:name w:val="Status Bold"/>
    <w:basedOn w:val="Status"/>
    <w:pPr>
      <w:spacing w:before="160" w:after="80"/>
    </w:pPr>
    <w:rPr>
      <w:b/>
      <w:bCs/>
    </w:rPr>
  </w:style>
  <w:style w:type="paragraph" w:customStyle="1" w:styleId="Status">
    <w:name w:val="Status"/>
    <w:basedOn w:val="Body"/>
  </w:style>
  <w:style w:type="paragraph" w:customStyle="1" w:styleId="StatusHead">
    <w:name w:val="Status Head"/>
    <w:basedOn w:val="Status"/>
    <w:next w:val="Status"/>
    <w:pPr>
      <w:spacing w:before="6600"/>
    </w:pPr>
    <w:rPr>
      <w:b/>
      <w:bCs/>
    </w:rPr>
  </w:style>
  <w:style w:type="paragraph" w:customStyle="1" w:styleId="ContentsHeading">
    <w:name w:val="Contents Heading"/>
    <w:aliases w:val="ch"/>
    <w:basedOn w:val="Body"/>
    <w:next w:val="Body"/>
    <w:pPr>
      <w:spacing w:before="0" w:after="600" w:line="320" w:lineRule="atLeast"/>
    </w:pPr>
    <w:rPr>
      <w:sz w:val="44"/>
    </w:rPr>
  </w:style>
  <w:style w:type="paragraph" w:customStyle="1" w:styleId="Filename">
    <w:name w:val="Filename"/>
    <w:pPr>
      <w:framePr w:w="2200" w:h="386" w:hRule="exact" w:hSpace="181" w:vSpace="181" w:wrap="around" w:vAnchor="text" w:hAnchor="page" w:x="1657" w:y="1"/>
    </w:pPr>
    <w:rPr>
      <w:rFonts w:ascii="Arial" w:hAnsi="Arial"/>
      <w:noProof/>
      <w:sz w:val="14"/>
      <w:lang w:eastAsia="en-US"/>
    </w:rPr>
  </w:style>
  <w:style w:type="paragraph" w:styleId="TOC1">
    <w:name w:val="toc 1"/>
    <w:basedOn w:val="Body"/>
    <w:next w:val="Body"/>
    <w:uiPriority w:val="39"/>
    <w:rsid w:val="00DE21DB"/>
    <w:pPr>
      <w:tabs>
        <w:tab w:val="right" w:leader="dot" w:pos="9071"/>
      </w:tabs>
      <w:spacing w:before="240"/>
      <w:ind w:left="567" w:hanging="567"/>
    </w:pPr>
    <w:rPr>
      <w:rFonts w:ascii="Arial Bold" w:hAnsi="Arial Bold"/>
      <w:b/>
      <w:caps/>
      <w:noProof/>
      <w:sz w:val="24"/>
    </w:rPr>
  </w:style>
  <w:style w:type="paragraph" w:styleId="TOC8">
    <w:name w:val="toc 8"/>
    <w:basedOn w:val="Normal"/>
    <w:next w:val="Normal"/>
    <w:autoRedefine/>
    <w:uiPriority w:val="39"/>
    <w:pPr>
      <w:ind w:left="1400"/>
    </w:pPr>
  </w:style>
  <w:style w:type="paragraph" w:customStyle="1" w:styleId="ContentsLabels">
    <w:name w:val="Contents Labels"/>
    <w:aliases w:val="cl"/>
    <w:basedOn w:val="ContentsHeading"/>
    <w:next w:val="TableofFigures"/>
    <w:rsid w:val="007D12EA"/>
    <w:pPr>
      <w:spacing w:before="600" w:after="60" w:line="280" w:lineRule="atLeast"/>
    </w:pPr>
    <w:rPr>
      <w:rFonts w:ascii="Arial Bold" w:hAnsi="Arial Bold"/>
      <w:b/>
      <w:caps/>
      <w:sz w:val="24"/>
    </w:rPr>
  </w:style>
  <w:style w:type="paragraph" w:styleId="TOC2">
    <w:name w:val="toc 2"/>
    <w:basedOn w:val="Body"/>
    <w:next w:val="Body"/>
    <w:uiPriority w:val="39"/>
    <w:pPr>
      <w:tabs>
        <w:tab w:val="right" w:leader="dot" w:pos="9071"/>
      </w:tabs>
      <w:spacing w:after="60"/>
      <w:ind w:left="1134" w:right="906" w:hanging="567"/>
    </w:pPr>
    <w:rPr>
      <w:noProof/>
      <w:szCs w:val="23"/>
    </w:rPr>
  </w:style>
  <w:style w:type="paragraph" w:styleId="TOC3">
    <w:name w:val="toc 3"/>
    <w:basedOn w:val="Body"/>
    <w:next w:val="Body"/>
    <w:uiPriority w:val="39"/>
    <w:rsid w:val="00DE21DB"/>
    <w:pPr>
      <w:tabs>
        <w:tab w:val="left" w:pos="1985"/>
        <w:tab w:val="right" w:leader="dot" w:pos="9072"/>
      </w:tabs>
      <w:spacing w:after="60"/>
      <w:ind w:left="1985" w:right="906" w:hanging="851"/>
    </w:pPr>
    <w:rPr>
      <w:rFonts w:cs="Arial"/>
      <w:noProof/>
      <w:sz w:val="18"/>
    </w:rPr>
  </w:style>
  <w:style w:type="paragraph" w:styleId="TOC4">
    <w:name w:val="toc 4"/>
    <w:basedOn w:val="Normal"/>
    <w:next w:val="Normal"/>
    <w:autoRedefine/>
    <w:uiPriority w:val="39"/>
    <w:pPr>
      <w:ind w:left="600"/>
    </w:pPr>
  </w:style>
  <w:style w:type="paragraph" w:styleId="TOC5">
    <w:name w:val="toc 5"/>
    <w:basedOn w:val="Normal"/>
    <w:next w:val="Normal"/>
    <w:autoRedefine/>
    <w:uiPriority w:val="39"/>
    <w:pPr>
      <w:ind w:left="800"/>
    </w:pPr>
  </w:style>
  <w:style w:type="paragraph" w:styleId="TOC6">
    <w:name w:val="toc 6"/>
    <w:basedOn w:val="Normal"/>
    <w:next w:val="Normal"/>
    <w:autoRedefine/>
    <w:uiPriority w:val="39"/>
    <w:pPr>
      <w:ind w:left="1000"/>
    </w:pPr>
  </w:style>
  <w:style w:type="paragraph" w:styleId="TOC7">
    <w:name w:val="toc 7"/>
    <w:basedOn w:val="Normal"/>
    <w:next w:val="Normal"/>
    <w:autoRedefine/>
    <w:uiPriority w:val="39"/>
    <w:pPr>
      <w:ind w:left="1200"/>
    </w:pPr>
  </w:style>
  <w:style w:type="paragraph" w:customStyle="1" w:styleId="Appendix">
    <w:name w:val="Appendix"/>
    <w:aliases w:val="a"/>
    <w:basedOn w:val="Body"/>
    <w:next w:val="Body"/>
    <w:rsid w:val="00EC0145"/>
    <w:pPr>
      <w:pageBreakBefore/>
      <w:pBdr>
        <w:bottom w:val="single" w:sz="4" w:space="1" w:color="auto"/>
      </w:pBdr>
      <w:spacing w:before="0" w:after="480"/>
    </w:pPr>
    <w:rPr>
      <w:b/>
      <w:sz w:val="28"/>
    </w:rPr>
  </w:style>
  <w:style w:type="paragraph" w:styleId="TOC9">
    <w:name w:val="toc 9"/>
    <w:basedOn w:val="TableofFigures"/>
    <w:uiPriority w:val="39"/>
    <w:pPr>
      <w:numPr>
        <w:numId w:val="4"/>
      </w:numPr>
      <w:tabs>
        <w:tab w:val="clear" w:pos="851"/>
        <w:tab w:val="num" w:pos="567"/>
      </w:tabs>
      <w:ind w:left="567" w:hanging="425"/>
    </w:pPr>
    <w:rPr>
      <w:szCs w:val="40"/>
    </w:rPr>
  </w:style>
  <w:style w:type="character" w:styleId="Hyperlink">
    <w:name w:val="Hyperlink"/>
    <w:basedOn w:val="DefaultParagraphFont"/>
    <w:uiPriority w:val="99"/>
    <w:rPr>
      <w:color w:val="0000FF"/>
      <w:u w:val="single"/>
    </w:rPr>
  </w:style>
  <w:style w:type="paragraph" w:styleId="TableofFigures">
    <w:name w:val="table of figures"/>
    <w:basedOn w:val="Normal"/>
    <w:next w:val="Normal"/>
    <w:uiPriority w:val="99"/>
    <w:rsid w:val="00A10FC0"/>
    <w:pPr>
      <w:tabs>
        <w:tab w:val="left" w:pos="1985"/>
        <w:tab w:val="right" w:leader="dot" w:pos="9072"/>
      </w:tabs>
      <w:spacing w:before="60" w:after="60" w:line="280" w:lineRule="atLeast"/>
      <w:ind w:left="1985" w:right="567" w:hanging="1418"/>
    </w:pPr>
    <w:rPr>
      <w:rFonts w:ascii="Arial" w:hAnsi="Arial"/>
      <w:b w:val="0"/>
      <w:noProof/>
      <w:color w:val="auto"/>
      <w:sz w:val="21"/>
      <w:szCs w:val="15"/>
    </w:rPr>
  </w:style>
  <w:style w:type="paragraph" w:customStyle="1" w:styleId="AppendixHeading">
    <w:name w:val="Appendix Heading"/>
    <w:basedOn w:val="Body"/>
    <w:next w:val="AppendixContents"/>
    <w:pPr>
      <w:spacing w:before="0" w:after="480" w:line="336" w:lineRule="atLeast"/>
      <w:ind w:left="1559"/>
    </w:pPr>
    <w:rPr>
      <w:sz w:val="40"/>
    </w:rPr>
  </w:style>
  <w:style w:type="paragraph" w:customStyle="1" w:styleId="AppendixContents">
    <w:name w:val="Appendix Contents"/>
    <w:basedOn w:val="Body"/>
    <w:pPr>
      <w:spacing w:before="0" w:line="336" w:lineRule="atLeast"/>
      <w:ind w:left="1559"/>
    </w:pPr>
    <w:rPr>
      <w:sz w:val="28"/>
    </w:rPr>
  </w:style>
  <w:style w:type="paragraph" w:customStyle="1" w:styleId="Logo">
    <w:name w:val="Logo"/>
    <w:pPr>
      <w:framePr w:hSpace="181" w:vSpace="181" w:wrap="around" w:vAnchor="page" w:hAnchor="page" w:x="1702" w:y="823"/>
    </w:pPr>
    <w:rPr>
      <w:rFonts w:ascii="Arial" w:hAnsi="Arial"/>
      <w:noProof/>
      <w:sz w:val="16"/>
      <w:lang w:val="en-US" w:eastAsia="en-US"/>
    </w:rPr>
  </w:style>
  <w:style w:type="paragraph" w:customStyle="1" w:styleId="DocDate">
    <w:name w:val="Doc Date"/>
    <w:pPr>
      <w:shd w:val="solid" w:color="FFFFFF" w:fill="auto"/>
      <w:spacing w:before="100" w:after="100"/>
      <w:jc w:val="right"/>
    </w:pPr>
    <w:rPr>
      <w:rFonts w:ascii="Arial" w:hAnsi="Arial"/>
      <w:noProof/>
      <w:sz w:val="28"/>
      <w:lang w:eastAsia="en-US"/>
    </w:rPr>
  </w:style>
  <w:style w:type="paragraph" w:customStyle="1" w:styleId="Client">
    <w:name w:val="Client"/>
    <w:next w:val="Project"/>
    <w:pPr>
      <w:spacing w:before="240" w:after="240" w:line="280" w:lineRule="atLeast"/>
      <w:ind w:left="1559" w:right="-58"/>
      <w:jc w:val="right"/>
    </w:pPr>
    <w:rPr>
      <w:rFonts w:ascii="Arial" w:hAnsi="Arial"/>
      <w:b/>
      <w:bCs/>
      <w:sz w:val="36"/>
      <w:lang w:eastAsia="en-US"/>
    </w:rPr>
  </w:style>
  <w:style w:type="paragraph" w:customStyle="1" w:styleId="Project">
    <w:name w:val="Project"/>
    <w:next w:val="Subject"/>
    <w:pPr>
      <w:spacing w:before="120" w:after="120" w:line="280" w:lineRule="atLeast"/>
      <w:ind w:left="709" w:right="-58"/>
      <w:jc w:val="right"/>
    </w:pPr>
    <w:rPr>
      <w:rFonts w:ascii="Arial" w:hAnsi="Arial" w:cs="Arial"/>
      <w:sz w:val="36"/>
      <w:lang w:eastAsia="en-US"/>
    </w:rPr>
  </w:style>
  <w:style w:type="paragraph" w:customStyle="1" w:styleId="Report">
    <w:name w:val="Report"/>
    <w:basedOn w:val="Body"/>
    <w:next w:val="Body"/>
    <w:pPr>
      <w:spacing w:before="360"/>
    </w:pPr>
    <w:rPr>
      <w:sz w:val="28"/>
    </w:rPr>
  </w:style>
  <w:style w:type="paragraph" w:customStyle="1" w:styleId="Bold">
    <w:name w:val="Bold"/>
    <w:aliases w:val="bs"/>
    <w:basedOn w:val="Body"/>
    <w:next w:val="Body"/>
    <w:pPr>
      <w:keepNext/>
      <w:keepLines/>
      <w:spacing w:before="240" w:after="60"/>
    </w:pPr>
    <w:rPr>
      <w:b/>
    </w:rPr>
  </w:style>
  <w:style w:type="paragraph" w:customStyle="1" w:styleId="BoldItalics">
    <w:name w:val="Bold/Italics"/>
    <w:aliases w:val="bi"/>
    <w:basedOn w:val="Body"/>
    <w:next w:val="Body"/>
    <w:pPr>
      <w:keepNext/>
      <w:keepLines/>
      <w:spacing w:before="240" w:after="60"/>
    </w:pPr>
    <w:rPr>
      <w:b/>
      <w:i/>
    </w:rPr>
  </w:style>
  <w:style w:type="character" w:styleId="CommentReference">
    <w:name w:val="annotation reference"/>
    <w:basedOn w:val="DefaultParagraphFont"/>
    <w:uiPriority w:val="99"/>
    <w:semiHidden/>
    <w:rPr>
      <w:sz w:val="16"/>
      <w:szCs w:val="16"/>
    </w:rPr>
  </w:style>
  <w:style w:type="paragraph" w:styleId="CommentText">
    <w:name w:val="annotation text"/>
    <w:basedOn w:val="Normal"/>
    <w:link w:val="CommentTextChar"/>
    <w:semiHidden/>
  </w:style>
  <w:style w:type="paragraph" w:customStyle="1" w:styleId="SectionBreak">
    <w:name w:val="Section Break"/>
    <w:aliases w:val="sb"/>
    <w:basedOn w:val="Appendix"/>
    <w:next w:val="SectionHeading"/>
    <w:pPr>
      <w:ind w:left="1560"/>
    </w:pPr>
  </w:style>
  <w:style w:type="paragraph" w:customStyle="1" w:styleId="SectionContents">
    <w:name w:val="Section Contents"/>
    <w:aliases w:val="sc"/>
    <w:basedOn w:val="AppendixContents"/>
  </w:style>
  <w:style w:type="paragraph" w:customStyle="1" w:styleId="SectionHeading">
    <w:name w:val="Section Heading"/>
    <w:aliases w:val="sh"/>
    <w:basedOn w:val="AppendixHeading"/>
    <w:next w:val="SectionContents"/>
  </w:style>
  <w:style w:type="paragraph" w:customStyle="1" w:styleId="Contents">
    <w:name w:val="Contents"/>
    <w:basedOn w:val="Normal"/>
    <w:next w:val="Normal"/>
    <w:rsid w:val="007D12EA"/>
    <w:pPr>
      <w:spacing w:after="600" w:line="320" w:lineRule="atLeast"/>
    </w:pPr>
    <w:rPr>
      <w:rFonts w:ascii="Arial Bold" w:hAnsi="Arial Bold"/>
      <w:caps/>
      <w:color w:val="auto"/>
      <w:sz w:val="24"/>
    </w:rPr>
  </w:style>
  <w:style w:type="paragraph" w:customStyle="1" w:styleId="ContentsList">
    <w:name w:val="Contents List"/>
    <w:pPr>
      <w:spacing w:before="600" w:after="60" w:line="280" w:lineRule="atLeast"/>
    </w:pPr>
    <w:rPr>
      <w:rFonts w:ascii="Arial" w:hAnsi="Arial"/>
      <w:b/>
      <w:bCs/>
      <w:noProof/>
      <w:sz w:val="32"/>
      <w:lang w:eastAsia="en-US"/>
    </w:rPr>
  </w:style>
  <w:style w:type="paragraph" w:customStyle="1" w:styleId="BulletNumber">
    <w:name w:val="Bullet Number"/>
    <w:aliases w:val="bn"/>
    <w:basedOn w:val="Body"/>
    <w:rsid w:val="00793724"/>
    <w:pPr>
      <w:numPr>
        <w:numId w:val="6"/>
      </w:numPr>
      <w:spacing w:before="0" w:after="100"/>
    </w:pPr>
  </w:style>
  <w:style w:type="paragraph" w:customStyle="1" w:styleId="TableBullet">
    <w:name w:val="Table Bullet"/>
    <w:aliases w:val="tbu"/>
    <w:basedOn w:val="Bullet"/>
    <w:pPr>
      <w:numPr>
        <w:numId w:val="7"/>
      </w:numPr>
      <w:tabs>
        <w:tab w:val="clear" w:pos="360"/>
        <w:tab w:val="left" w:pos="284"/>
      </w:tabs>
      <w:spacing w:before="120" w:after="60"/>
    </w:pPr>
  </w:style>
  <w:style w:type="paragraph" w:customStyle="1" w:styleId="Subject">
    <w:name w:val="Subject"/>
    <w:next w:val="DocDate"/>
    <w:pPr>
      <w:spacing w:after="240" w:line="280" w:lineRule="atLeast"/>
      <w:ind w:left="1559" w:right="-57"/>
      <w:jc w:val="right"/>
    </w:pPr>
    <w:rPr>
      <w:rFonts w:ascii="Arial" w:hAnsi="Arial"/>
      <w:sz w:val="32"/>
      <w:lang w:eastAsia="en-US"/>
    </w:rPr>
  </w:style>
  <w:style w:type="paragraph" w:styleId="FootnoteText">
    <w:name w:val="footnote text"/>
    <w:basedOn w:val="Body"/>
    <w:semiHidden/>
    <w:pPr>
      <w:spacing w:before="100" w:after="100"/>
      <w:ind w:left="142" w:hanging="142"/>
    </w:pPr>
    <w:rPr>
      <w:sz w:val="16"/>
    </w:rPr>
  </w:style>
  <w:style w:type="paragraph" w:customStyle="1" w:styleId="CaptionTable">
    <w:name w:val="Caption Table"/>
    <w:basedOn w:val="Caption"/>
    <w:next w:val="Body"/>
    <w:link w:val="CaptionTableChar"/>
    <w:rsid w:val="002C39A8"/>
  </w:style>
  <w:style w:type="character" w:styleId="FootnoteReference">
    <w:name w:val="footnote reference"/>
    <w:basedOn w:val="DefaultParagraphFont"/>
    <w:semiHidden/>
    <w:rPr>
      <w:color w:val="auto"/>
      <w:vertAlign w:val="superscript"/>
    </w:rPr>
  </w:style>
  <w:style w:type="paragraph" w:customStyle="1" w:styleId="FooterProjSub">
    <w:name w:val="Footer Proj/Sub"/>
    <w:basedOn w:val="Filename"/>
    <w:pPr>
      <w:framePr w:w="7235" w:h="482" w:hRule="exact" w:wrap="around" w:x="3273" w:yAlign="inside" w:anchorLock="1"/>
    </w:pPr>
    <w:rPr>
      <w:bCs/>
    </w:rPr>
  </w:style>
  <w:style w:type="paragraph" w:customStyle="1" w:styleId="ExecSum">
    <w:name w:val="ExecSum"/>
    <w:basedOn w:val="Heading1"/>
    <w:next w:val="Body"/>
    <w:rsid w:val="00033EFB"/>
  </w:style>
  <w:style w:type="paragraph" w:customStyle="1" w:styleId="HeaderFooter">
    <w:name w:val="Header/Footer"/>
    <w:basedOn w:val="Footer"/>
  </w:style>
  <w:style w:type="paragraph" w:customStyle="1" w:styleId="TableIndex">
    <w:name w:val="Table Index"/>
    <w:pPr>
      <w:spacing w:before="600" w:after="60" w:line="280" w:lineRule="atLeast"/>
    </w:pPr>
    <w:rPr>
      <w:rFonts w:ascii="Arial" w:hAnsi="Arial"/>
      <w:sz w:val="28"/>
      <w:lang w:eastAsia="en-US"/>
    </w:rPr>
  </w:style>
  <w:style w:type="paragraph" w:styleId="BodyText">
    <w:name w:val="Body Text"/>
    <w:basedOn w:val="Normal"/>
    <w:pPr>
      <w:autoSpaceDE w:val="0"/>
      <w:autoSpaceDN w:val="0"/>
      <w:adjustRightInd w:val="0"/>
    </w:pPr>
    <w:rPr>
      <w:rFonts w:ascii="Arial Narrow" w:hAnsi="Arial Narrow"/>
      <w:b w:val="0"/>
      <w:color w:val="0000FF"/>
      <w:sz w:val="14"/>
      <w:lang w:val="en-US"/>
    </w:rPr>
  </w:style>
  <w:style w:type="paragraph" w:customStyle="1" w:styleId="GHDDisclaimer">
    <w:name w:val="GHDDisclaimer"/>
    <w:basedOn w:val="Normal"/>
    <w:pPr>
      <w:framePr w:w="9356" w:h="1134" w:hRule="exact" w:hSpace="181" w:vSpace="181" w:wrap="notBeside" w:vAnchor="page" w:hAnchor="page" w:x="1617" w:y="14743"/>
      <w:shd w:val="solid" w:color="FFFFFF" w:fill="FFFFFF"/>
    </w:pPr>
  </w:style>
  <w:style w:type="paragraph" w:customStyle="1" w:styleId="GHDDisclaimerL">
    <w:name w:val="GHDDisclaimer(L)"/>
    <w:basedOn w:val="GHDDisclaimer"/>
    <w:pPr>
      <w:framePr w:wrap="notBeside" w:y="9640"/>
    </w:pPr>
  </w:style>
  <w:style w:type="paragraph" w:styleId="BalloonText">
    <w:name w:val="Balloon Text"/>
    <w:basedOn w:val="Normal"/>
    <w:semiHidden/>
    <w:rsid w:val="004E02F3"/>
    <w:rPr>
      <w:rFonts w:ascii="Tahoma" w:hAnsi="Tahoma" w:cs="Tahoma"/>
      <w:sz w:val="16"/>
      <w:szCs w:val="16"/>
    </w:rPr>
  </w:style>
  <w:style w:type="paragraph" w:customStyle="1" w:styleId="BlockText1">
    <w:name w:val="Block Text 1"/>
    <w:basedOn w:val="BodyText2"/>
    <w:rsid w:val="00B91E18"/>
    <w:pPr>
      <w:spacing w:after="0" w:line="240" w:lineRule="auto"/>
    </w:pPr>
    <w:rPr>
      <w:rFonts w:ascii="Arial (W1)" w:hAnsi="Arial (W1)"/>
      <w:b w:val="0"/>
      <w:color w:val="000000"/>
      <w:sz w:val="24"/>
      <w:szCs w:val="24"/>
    </w:rPr>
  </w:style>
  <w:style w:type="paragraph" w:customStyle="1" w:styleId="Bullets">
    <w:name w:val="Bullets"/>
    <w:basedOn w:val="Normal"/>
    <w:rsid w:val="00B91E18"/>
    <w:pPr>
      <w:numPr>
        <w:ilvl w:val="1"/>
        <w:numId w:val="8"/>
      </w:numPr>
      <w:tabs>
        <w:tab w:val="left" w:pos="357"/>
      </w:tabs>
      <w:spacing w:before="120"/>
      <w:ind w:left="357" w:hanging="357"/>
    </w:pPr>
    <w:rPr>
      <w:rFonts w:ascii="Arial" w:hAnsi="Arial" w:cs="Arial"/>
      <w:b w:val="0"/>
      <w:color w:val="auto"/>
      <w:sz w:val="24"/>
      <w:szCs w:val="22"/>
    </w:rPr>
  </w:style>
  <w:style w:type="paragraph" w:styleId="BodyText2">
    <w:name w:val="Body Text 2"/>
    <w:basedOn w:val="Normal"/>
    <w:rsid w:val="00B91E18"/>
    <w:pPr>
      <w:spacing w:after="120" w:line="480" w:lineRule="auto"/>
    </w:pPr>
  </w:style>
  <w:style w:type="table" w:styleId="TableGrid">
    <w:name w:val="Table Grid"/>
    <w:basedOn w:val="TableNormal"/>
    <w:uiPriority w:val="59"/>
    <w:rsid w:val="00B91E1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isclaimerText">
    <w:name w:val="Disclaimer Text"/>
    <w:basedOn w:val="Body"/>
    <w:rsid w:val="00B114A2"/>
    <w:rPr>
      <w:rFonts w:cs="Arial"/>
      <w:i/>
      <w:sz w:val="18"/>
      <w:szCs w:val="18"/>
      <w:lang w:val="en-US"/>
    </w:rPr>
  </w:style>
  <w:style w:type="paragraph" w:customStyle="1" w:styleId="DisclaimerNumber">
    <w:name w:val="Disclaimer Number"/>
    <w:basedOn w:val="DisclaimerText"/>
    <w:rsid w:val="004E04A2"/>
    <w:pPr>
      <w:numPr>
        <w:numId w:val="9"/>
      </w:numPr>
    </w:pPr>
  </w:style>
  <w:style w:type="paragraph" w:customStyle="1" w:styleId="DisclaimerBullet">
    <w:name w:val="Disclaimer Bullet"/>
    <w:basedOn w:val="DisclaimerText"/>
    <w:rsid w:val="004E04A2"/>
    <w:pPr>
      <w:numPr>
        <w:numId w:val="10"/>
      </w:numPr>
    </w:pPr>
  </w:style>
  <w:style w:type="paragraph" w:styleId="DocumentMap">
    <w:name w:val="Document Map"/>
    <w:basedOn w:val="Normal"/>
    <w:semiHidden/>
    <w:rsid w:val="00C01BF9"/>
    <w:pPr>
      <w:shd w:val="clear" w:color="auto" w:fill="000080"/>
    </w:pPr>
    <w:rPr>
      <w:rFonts w:ascii="Tahoma" w:hAnsi="Tahoma" w:cs="Tahoma"/>
    </w:rPr>
  </w:style>
  <w:style w:type="paragraph" w:customStyle="1" w:styleId="Default">
    <w:name w:val="Default"/>
    <w:rsid w:val="00564A59"/>
    <w:pPr>
      <w:autoSpaceDE w:val="0"/>
      <w:autoSpaceDN w:val="0"/>
      <w:adjustRightInd w:val="0"/>
    </w:pPr>
    <w:rPr>
      <w:rFonts w:ascii="Arial" w:hAnsi="Arial" w:cs="Arial"/>
      <w:color w:val="000000"/>
      <w:sz w:val="24"/>
      <w:szCs w:val="24"/>
    </w:rPr>
  </w:style>
  <w:style w:type="paragraph" w:styleId="CommentSubject">
    <w:name w:val="annotation subject"/>
    <w:basedOn w:val="CommentText"/>
    <w:next w:val="CommentText"/>
    <w:link w:val="CommentSubjectChar"/>
    <w:rsid w:val="00867113"/>
    <w:rPr>
      <w:bCs/>
    </w:rPr>
  </w:style>
  <w:style w:type="character" w:customStyle="1" w:styleId="CommentTextChar">
    <w:name w:val="Comment Text Char"/>
    <w:basedOn w:val="DefaultParagraphFont"/>
    <w:link w:val="CommentText"/>
    <w:semiHidden/>
    <w:rsid w:val="00867113"/>
    <w:rPr>
      <w:b/>
      <w:color w:val="999999"/>
      <w:lang w:eastAsia="en-US"/>
    </w:rPr>
  </w:style>
  <w:style w:type="character" w:customStyle="1" w:styleId="CommentSubjectChar">
    <w:name w:val="Comment Subject Char"/>
    <w:basedOn w:val="CommentTextChar"/>
    <w:link w:val="CommentSubject"/>
    <w:rsid w:val="00867113"/>
    <w:rPr>
      <w:b/>
      <w:bCs/>
      <w:color w:val="999999"/>
      <w:lang w:eastAsia="en-US"/>
    </w:rPr>
  </w:style>
  <w:style w:type="character" w:customStyle="1" w:styleId="BulletChar">
    <w:name w:val="Bullet Char"/>
    <w:aliases w:val="b1 Char,bullet1 Char,Bullet 1 Char,bullet 1 Char,body Char Char Char,body Char Char Char5 Char,body Char Char Char Char Char1,body Char Char Char Char Char Char Char Char Char,body Char Char Char Char Char Char Char Char1,bullet 1 Char Char"/>
    <w:link w:val="Bullet"/>
    <w:locked/>
    <w:rsid w:val="004C02E0"/>
    <w:rPr>
      <w:rFonts w:ascii="Arial" w:hAnsi="Arial"/>
      <w:lang w:eastAsia="en-US"/>
    </w:rPr>
  </w:style>
  <w:style w:type="character" w:customStyle="1" w:styleId="BodyChar">
    <w:name w:val="Body Char"/>
    <w:aliases w:val="b Char,bullet Char,bu Char,B Char,body Char,b Char Char Char Char Char Char Char Char Char,b Char Char Char Char,b Char Char Char Char Char Char Char,b Char Char Char1,Body Char1 Char1 Char,Body1 Char,Body Char1,b Char1,b Char Char1,b4,b Char2"/>
    <w:link w:val="Body"/>
    <w:locked/>
    <w:rsid w:val="004C02E0"/>
    <w:rPr>
      <w:rFonts w:ascii="Arial" w:hAnsi="Arial"/>
      <w:lang w:eastAsia="en-US"/>
    </w:rPr>
  </w:style>
  <w:style w:type="character" w:customStyle="1" w:styleId="TableHeadChar">
    <w:name w:val="Table Head Char"/>
    <w:aliases w:val="th Char,Table heading Char"/>
    <w:basedOn w:val="DefaultParagraphFont"/>
    <w:link w:val="TableHead"/>
    <w:rsid w:val="004C02E0"/>
    <w:rPr>
      <w:rFonts w:ascii="Arial" w:hAnsi="Arial"/>
      <w:b/>
      <w:bCs/>
      <w:lang w:eastAsia="en-US"/>
    </w:rPr>
  </w:style>
  <w:style w:type="character" w:customStyle="1" w:styleId="TableBodyChar">
    <w:name w:val="Table Body Char"/>
    <w:aliases w:val="tb Char,tb Char Char"/>
    <w:basedOn w:val="DefaultParagraphFont"/>
    <w:link w:val="TableBody"/>
    <w:uiPriority w:val="99"/>
    <w:rsid w:val="004C02E0"/>
    <w:rPr>
      <w:rFonts w:ascii="Arial" w:hAnsi="Arial"/>
      <w:lang w:eastAsia="en-US"/>
    </w:rPr>
  </w:style>
  <w:style w:type="character" w:customStyle="1" w:styleId="CaptionTableChar">
    <w:name w:val="Caption Table Char"/>
    <w:basedOn w:val="DefaultParagraphFont"/>
    <w:link w:val="CaptionTable"/>
    <w:rsid w:val="002C39A8"/>
    <w:rPr>
      <w:rFonts w:ascii="Arial" w:hAnsi="Arial" w:cs="Arial"/>
      <w:b/>
      <w:bCs/>
      <w:lang w:eastAsia="en-US"/>
    </w:rPr>
  </w:style>
  <w:style w:type="character" w:customStyle="1" w:styleId="Heading1Char">
    <w:name w:val="Heading 1 Char"/>
    <w:aliases w:val="h1 Char"/>
    <w:basedOn w:val="DefaultParagraphFont"/>
    <w:link w:val="Heading1"/>
    <w:rsid w:val="00B6174B"/>
    <w:rPr>
      <w:rFonts w:ascii="Segoe UI" w:hAnsi="Segoe UI" w:cs="Segoe UI"/>
      <w:b/>
      <w:bCs/>
      <w:caps/>
      <w:kern w:val="32"/>
      <w:sz w:val="28"/>
      <w:szCs w:val="28"/>
      <w:lang w:eastAsia="en-US"/>
    </w:rPr>
  </w:style>
  <w:style w:type="paragraph" w:styleId="EndnoteText">
    <w:name w:val="endnote text"/>
    <w:basedOn w:val="Normal"/>
    <w:link w:val="EndnoteTextChar"/>
    <w:rsid w:val="00047B64"/>
  </w:style>
  <w:style w:type="character" w:customStyle="1" w:styleId="EndnoteTextChar">
    <w:name w:val="Endnote Text Char"/>
    <w:basedOn w:val="DefaultParagraphFont"/>
    <w:link w:val="EndnoteText"/>
    <w:rsid w:val="00047B64"/>
    <w:rPr>
      <w:b/>
      <w:color w:val="999999"/>
      <w:lang w:eastAsia="en-US"/>
    </w:rPr>
  </w:style>
  <w:style w:type="character" w:styleId="EndnoteReference">
    <w:name w:val="endnote reference"/>
    <w:basedOn w:val="DefaultParagraphFont"/>
    <w:rsid w:val="00047B64"/>
    <w:rPr>
      <w:vertAlign w:val="superscript"/>
    </w:rPr>
  </w:style>
  <w:style w:type="paragraph" w:styleId="Revision">
    <w:name w:val="Revision"/>
    <w:hidden/>
    <w:uiPriority w:val="99"/>
    <w:semiHidden/>
    <w:rsid w:val="002F6663"/>
    <w:rPr>
      <w:b/>
      <w:color w:val="999999"/>
      <w:lang w:eastAsia="en-US"/>
    </w:rPr>
  </w:style>
  <w:style w:type="paragraph" w:customStyle="1" w:styleId="StyleCaptionNotBold">
    <w:name w:val="Style Caption + Not Bold"/>
    <w:basedOn w:val="Caption"/>
    <w:rsid w:val="00E8241A"/>
    <w:pPr>
      <w:tabs>
        <w:tab w:val="clear" w:pos="1134"/>
        <w:tab w:val="left" w:pos="567"/>
      </w:tabs>
    </w:pPr>
    <w:rPr>
      <w:b w:val="0"/>
      <w:bCs w:val="0"/>
    </w:rPr>
  </w:style>
  <w:style w:type="paragraph" w:styleId="ListParagraph">
    <w:name w:val="List Paragraph"/>
    <w:basedOn w:val="Normal"/>
    <w:uiPriority w:val="34"/>
    <w:qFormat/>
    <w:rsid w:val="00D52F2E"/>
    <w:pPr>
      <w:ind w:left="720"/>
      <w:contextualSpacing/>
    </w:pPr>
  </w:style>
  <w:style w:type="table" w:customStyle="1" w:styleId="TableGrid1">
    <w:name w:val="Table Grid1"/>
    <w:basedOn w:val="TableNormal"/>
    <w:next w:val="TableGrid"/>
    <w:uiPriority w:val="59"/>
    <w:rsid w:val="004E48F3"/>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4E48F3"/>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4E48F3"/>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59"/>
    <w:rsid w:val="00705FB6"/>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TableNormal"/>
    <w:next w:val="TableGrid"/>
    <w:uiPriority w:val="59"/>
    <w:rsid w:val="00705FB6"/>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0553357">
      <w:bodyDiv w:val="1"/>
      <w:marLeft w:val="0"/>
      <w:marRight w:val="0"/>
      <w:marTop w:val="0"/>
      <w:marBottom w:val="0"/>
      <w:divBdr>
        <w:top w:val="none" w:sz="0" w:space="0" w:color="auto"/>
        <w:left w:val="none" w:sz="0" w:space="0" w:color="auto"/>
        <w:bottom w:val="none" w:sz="0" w:space="0" w:color="auto"/>
        <w:right w:val="none" w:sz="0" w:space="0" w:color="auto"/>
      </w:divBdr>
    </w:div>
    <w:div w:id="328676404">
      <w:bodyDiv w:val="1"/>
      <w:marLeft w:val="0"/>
      <w:marRight w:val="0"/>
      <w:marTop w:val="0"/>
      <w:marBottom w:val="0"/>
      <w:divBdr>
        <w:top w:val="none" w:sz="0" w:space="0" w:color="auto"/>
        <w:left w:val="none" w:sz="0" w:space="0" w:color="auto"/>
        <w:bottom w:val="none" w:sz="0" w:space="0" w:color="auto"/>
        <w:right w:val="none" w:sz="0" w:space="0" w:color="auto"/>
      </w:divBdr>
    </w:div>
    <w:div w:id="601644929">
      <w:bodyDiv w:val="1"/>
      <w:marLeft w:val="0"/>
      <w:marRight w:val="0"/>
      <w:marTop w:val="0"/>
      <w:marBottom w:val="0"/>
      <w:divBdr>
        <w:top w:val="none" w:sz="0" w:space="0" w:color="auto"/>
        <w:left w:val="none" w:sz="0" w:space="0" w:color="auto"/>
        <w:bottom w:val="none" w:sz="0" w:space="0" w:color="auto"/>
        <w:right w:val="none" w:sz="0" w:space="0" w:color="auto"/>
      </w:divBdr>
    </w:div>
    <w:div w:id="702634042">
      <w:bodyDiv w:val="1"/>
      <w:marLeft w:val="0"/>
      <w:marRight w:val="0"/>
      <w:marTop w:val="0"/>
      <w:marBottom w:val="0"/>
      <w:divBdr>
        <w:top w:val="none" w:sz="0" w:space="0" w:color="auto"/>
        <w:left w:val="none" w:sz="0" w:space="0" w:color="auto"/>
        <w:bottom w:val="none" w:sz="0" w:space="0" w:color="auto"/>
        <w:right w:val="none" w:sz="0" w:space="0" w:color="auto"/>
      </w:divBdr>
    </w:div>
    <w:div w:id="1118640779">
      <w:bodyDiv w:val="1"/>
      <w:marLeft w:val="0"/>
      <w:marRight w:val="0"/>
      <w:marTop w:val="0"/>
      <w:marBottom w:val="0"/>
      <w:divBdr>
        <w:top w:val="none" w:sz="0" w:space="0" w:color="auto"/>
        <w:left w:val="none" w:sz="0" w:space="0" w:color="auto"/>
        <w:bottom w:val="none" w:sz="0" w:space="0" w:color="auto"/>
        <w:right w:val="none" w:sz="0" w:space="0" w:color="auto"/>
      </w:divBdr>
    </w:div>
    <w:div w:id="1450472598">
      <w:bodyDiv w:val="1"/>
      <w:marLeft w:val="0"/>
      <w:marRight w:val="0"/>
      <w:marTop w:val="0"/>
      <w:marBottom w:val="0"/>
      <w:divBdr>
        <w:top w:val="none" w:sz="0" w:space="0" w:color="auto"/>
        <w:left w:val="none" w:sz="0" w:space="0" w:color="auto"/>
        <w:bottom w:val="none" w:sz="0" w:space="0" w:color="auto"/>
        <w:right w:val="none" w:sz="0" w:space="0" w:color="auto"/>
      </w:divBdr>
    </w:div>
    <w:div w:id="1516726964">
      <w:bodyDiv w:val="1"/>
      <w:marLeft w:val="0"/>
      <w:marRight w:val="0"/>
      <w:marTop w:val="0"/>
      <w:marBottom w:val="0"/>
      <w:divBdr>
        <w:top w:val="none" w:sz="0" w:space="0" w:color="auto"/>
        <w:left w:val="none" w:sz="0" w:space="0" w:color="auto"/>
        <w:bottom w:val="none" w:sz="0" w:space="0" w:color="auto"/>
        <w:right w:val="none" w:sz="0" w:space="0" w:color="auto"/>
      </w:divBdr>
    </w:div>
    <w:div w:id="1823620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eader" Target="header6.xml"/><Relationship Id="rId21" Type="http://schemas.openxmlformats.org/officeDocument/2006/relationships/header" Target="header4.xml"/><Relationship Id="rId42" Type="http://schemas.openxmlformats.org/officeDocument/2006/relationships/image" Target="media/image10.png"/><Relationship Id="rId47" Type="http://schemas.openxmlformats.org/officeDocument/2006/relationships/header" Target="header12.xml"/><Relationship Id="rId63" Type="http://schemas.openxmlformats.org/officeDocument/2006/relationships/footer" Target="footer19.xml"/><Relationship Id="rId68" Type="http://schemas.openxmlformats.org/officeDocument/2006/relationships/header" Target="header20.xml"/><Relationship Id="rId84" Type="http://schemas.openxmlformats.org/officeDocument/2006/relationships/header" Target="header28.xml"/><Relationship Id="rId89" Type="http://schemas.openxmlformats.org/officeDocument/2006/relationships/theme" Target="theme/theme1.xml"/><Relationship Id="rId16" Type="http://schemas.openxmlformats.org/officeDocument/2006/relationships/header" Target="header3.xml"/><Relationship Id="rId11" Type="http://schemas.openxmlformats.org/officeDocument/2006/relationships/header" Target="header1.xml"/><Relationship Id="rId32" Type="http://schemas.openxmlformats.org/officeDocument/2006/relationships/image" Target="media/image7.jpeg"/><Relationship Id="rId37" Type="http://schemas.openxmlformats.org/officeDocument/2006/relationships/header" Target="header9.xml"/><Relationship Id="rId53" Type="http://schemas.openxmlformats.org/officeDocument/2006/relationships/image" Target="media/image13.jpeg"/><Relationship Id="rId58" Type="http://schemas.openxmlformats.org/officeDocument/2006/relationships/header" Target="header15.xml"/><Relationship Id="rId74" Type="http://schemas.openxmlformats.org/officeDocument/2006/relationships/header" Target="header23.xml"/><Relationship Id="rId79" Type="http://schemas.openxmlformats.org/officeDocument/2006/relationships/footer" Target="footer27.xml"/><Relationship Id="rId5" Type="http://schemas.openxmlformats.org/officeDocument/2006/relationships/settings" Target="settings.xml"/><Relationship Id="rId90" Type="http://schemas.openxmlformats.org/officeDocument/2006/relationships/customXml" Target="../customXml/item2.xml"/><Relationship Id="rId14" Type="http://schemas.openxmlformats.org/officeDocument/2006/relationships/header" Target="header2.xml"/><Relationship Id="rId22" Type="http://schemas.openxmlformats.org/officeDocument/2006/relationships/footer" Target="footer6.xml"/><Relationship Id="rId27" Type="http://schemas.openxmlformats.org/officeDocument/2006/relationships/footer" Target="footer8.xml"/><Relationship Id="rId30" Type="http://schemas.openxmlformats.org/officeDocument/2006/relationships/header" Target="header7.xml"/><Relationship Id="rId35" Type="http://schemas.openxmlformats.org/officeDocument/2006/relationships/image" Target="media/image8.png"/><Relationship Id="rId43" Type="http://schemas.microsoft.com/office/2007/relationships/hdphoto" Target="media/hdphoto3.wdp"/><Relationship Id="rId48" Type="http://schemas.openxmlformats.org/officeDocument/2006/relationships/footer" Target="footer14.xml"/><Relationship Id="rId56" Type="http://schemas.openxmlformats.org/officeDocument/2006/relationships/image" Target="media/image14.png"/><Relationship Id="rId64" Type="http://schemas.openxmlformats.org/officeDocument/2006/relationships/header" Target="header18.xml"/><Relationship Id="rId69" Type="http://schemas.openxmlformats.org/officeDocument/2006/relationships/footer" Target="footer22.xml"/><Relationship Id="rId77" Type="http://schemas.openxmlformats.org/officeDocument/2006/relationships/footer" Target="footer26.xml"/><Relationship Id="rId8" Type="http://schemas.openxmlformats.org/officeDocument/2006/relationships/endnotes" Target="endnotes.xml"/><Relationship Id="rId51" Type="http://schemas.openxmlformats.org/officeDocument/2006/relationships/header" Target="header13.xml"/><Relationship Id="rId72" Type="http://schemas.openxmlformats.org/officeDocument/2006/relationships/header" Target="header22.xml"/><Relationship Id="rId80" Type="http://schemas.openxmlformats.org/officeDocument/2006/relationships/header" Target="header26.xml"/><Relationship Id="rId85" Type="http://schemas.openxmlformats.org/officeDocument/2006/relationships/footer" Target="footer30.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footer" Target="footer5.xml"/><Relationship Id="rId25" Type="http://schemas.openxmlformats.org/officeDocument/2006/relationships/image" Target="media/image5.jpeg"/><Relationship Id="rId33" Type="http://schemas.openxmlformats.org/officeDocument/2006/relationships/header" Target="header8.xml"/><Relationship Id="rId38" Type="http://schemas.openxmlformats.org/officeDocument/2006/relationships/footer" Target="footer11.xml"/><Relationship Id="rId46" Type="http://schemas.openxmlformats.org/officeDocument/2006/relationships/image" Target="media/image11.jpeg"/><Relationship Id="rId59" Type="http://schemas.openxmlformats.org/officeDocument/2006/relationships/footer" Target="footer17.xml"/><Relationship Id="rId67" Type="http://schemas.openxmlformats.org/officeDocument/2006/relationships/footer" Target="footer21.xml"/><Relationship Id="rId20" Type="http://schemas.openxmlformats.org/officeDocument/2006/relationships/image" Target="media/image4.png"/><Relationship Id="rId41" Type="http://schemas.openxmlformats.org/officeDocument/2006/relationships/footer" Target="footer12.xml"/><Relationship Id="rId54" Type="http://schemas.openxmlformats.org/officeDocument/2006/relationships/header" Target="header14.xml"/><Relationship Id="rId62" Type="http://schemas.openxmlformats.org/officeDocument/2006/relationships/header" Target="header17.xml"/><Relationship Id="rId70" Type="http://schemas.openxmlformats.org/officeDocument/2006/relationships/header" Target="header21.xml"/><Relationship Id="rId75" Type="http://schemas.openxmlformats.org/officeDocument/2006/relationships/footer" Target="footer25.xml"/><Relationship Id="rId83" Type="http://schemas.openxmlformats.org/officeDocument/2006/relationships/footer" Target="footer29.xml"/><Relationship Id="rId88" Type="http://schemas.openxmlformats.org/officeDocument/2006/relationships/fontTable" Target="fontTable.xml"/><Relationship Id="rId91"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header" Target="header5.xml"/><Relationship Id="rId28" Type="http://schemas.openxmlformats.org/officeDocument/2006/relationships/image" Target="media/image6.png"/><Relationship Id="rId36" Type="http://schemas.microsoft.com/office/2007/relationships/hdphoto" Target="media/hdphoto2.wdp"/><Relationship Id="rId49" Type="http://schemas.openxmlformats.org/officeDocument/2006/relationships/image" Target="media/image12.png"/><Relationship Id="rId57" Type="http://schemas.microsoft.com/office/2007/relationships/hdphoto" Target="media/hdphoto5.wdp"/><Relationship Id="rId10" Type="http://schemas.openxmlformats.org/officeDocument/2006/relationships/footer" Target="footer1.xml"/><Relationship Id="rId31" Type="http://schemas.openxmlformats.org/officeDocument/2006/relationships/footer" Target="footer9.xml"/><Relationship Id="rId44" Type="http://schemas.openxmlformats.org/officeDocument/2006/relationships/header" Target="header11.xml"/><Relationship Id="rId52" Type="http://schemas.openxmlformats.org/officeDocument/2006/relationships/footer" Target="footer15.xml"/><Relationship Id="rId60" Type="http://schemas.openxmlformats.org/officeDocument/2006/relationships/header" Target="header16.xml"/><Relationship Id="rId65" Type="http://schemas.openxmlformats.org/officeDocument/2006/relationships/footer" Target="footer20.xml"/><Relationship Id="rId73" Type="http://schemas.openxmlformats.org/officeDocument/2006/relationships/footer" Target="footer24.xml"/><Relationship Id="rId78" Type="http://schemas.openxmlformats.org/officeDocument/2006/relationships/header" Target="header25.xml"/><Relationship Id="rId81" Type="http://schemas.openxmlformats.org/officeDocument/2006/relationships/footer" Target="footer28.xml"/><Relationship Id="rId86" Type="http://schemas.openxmlformats.org/officeDocument/2006/relationships/header" Target="header29.xm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footer" Target="footer3.xml"/><Relationship Id="rId18" Type="http://schemas.openxmlformats.org/officeDocument/2006/relationships/image" Target="media/image2.jpeg"/><Relationship Id="rId39" Type="http://schemas.openxmlformats.org/officeDocument/2006/relationships/image" Target="media/image9.jpeg"/><Relationship Id="rId34" Type="http://schemas.openxmlformats.org/officeDocument/2006/relationships/footer" Target="footer10.xml"/><Relationship Id="rId50" Type="http://schemas.microsoft.com/office/2007/relationships/hdphoto" Target="media/hdphoto4.wdp"/><Relationship Id="rId55" Type="http://schemas.openxmlformats.org/officeDocument/2006/relationships/footer" Target="footer16.xml"/><Relationship Id="rId76" Type="http://schemas.openxmlformats.org/officeDocument/2006/relationships/header" Target="header24.xml"/><Relationship Id="rId7" Type="http://schemas.openxmlformats.org/officeDocument/2006/relationships/footnotes" Target="footnotes.xml"/><Relationship Id="rId71" Type="http://schemas.openxmlformats.org/officeDocument/2006/relationships/footer" Target="footer23.xml"/><Relationship Id="rId92" Type="http://schemas.openxmlformats.org/officeDocument/2006/relationships/customXml" Target="../customXml/item4.xml"/><Relationship Id="rId2" Type="http://schemas.openxmlformats.org/officeDocument/2006/relationships/numbering" Target="numbering.xml"/><Relationship Id="rId29" Type="http://schemas.microsoft.com/office/2007/relationships/hdphoto" Target="media/hdphoto1.wdp"/><Relationship Id="rId24" Type="http://schemas.openxmlformats.org/officeDocument/2006/relationships/footer" Target="footer7.xml"/><Relationship Id="rId40" Type="http://schemas.openxmlformats.org/officeDocument/2006/relationships/header" Target="header10.xml"/><Relationship Id="rId45" Type="http://schemas.openxmlformats.org/officeDocument/2006/relationships/footer" Target="footer13.xml"/><Relationship Id="rId66" Type="http://schemas.openxmlformats.org/officeDocument/2006/relationships/header" Target="header19.xml"/><Relationship Id="rId87" Type="http://schemas.openxmlformats.org/officeDocument/2006/relationships/footer" Target="footer31.xml"/><Relationship Id="rId61" Type="http://schemas.openxmlformats.org/officeDocument/2006/relationships/footer" Target="footer18.xml"/><Relationship Id="rId82" Type="http://schemas.openxmlformats.org/officeDocument/2006/relationships/header" Target="header27.xml"/><Relationship Id="rId19"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data\templates\2010\DTC-A4\GHD_Report_2012.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88984309824B1146AAD399139940223E" ma:contentTypeVersion="6" ma:contentTypeDescription="Create a new document." ma:contentTypeScope="" ma:versionID="fb9091c4133060688c268c0bf67af37d">
  <xsd:schema xmlns:xsd="http://www.w3.org/2001/XMLSchema" xmlns:xs="http://www.w3.org/2001/XMLSchema" xmlns:p="http://schemas.microsoft.com/office/2006/metadata/properties" xmlns:ns1="http://schemas.microsoft.com/sharepoint/v3" xmlns:ns2="deda4f78-c946-4019-9afe-72b647367a98" xmlns:ns3="d3d3a9f2-d6b9-4ac6-938b-c1d69a470220" targetNamespace="http://schemas.microsoft.com/office/2006/metadata/properties" ma:root="true" ma:fieldsID="a53a83e65b02302350f7007a8d08f9b5" ns1:_="" ns2:_="" ns3:_="">
    <xsd:import namespace="http://schemas.microsoft.com/sharepoint/v3"/>
    <xsd:import namespace="deda4f78-c946-4019-9afe-72b647367a98"/>
    <xsd:import namespace="d3d3a9f2-d6b9-4ac6-938b-c1d69a470220"/>
    <xsd:element name="properties">
      <xsd:complexType>
        <xsd:sequence>
          <xsd:element name="documentManagement">
            <xsd:complexType>
              <xsd:all>
                <xsd:element ref="ns2:Departmental_x0020_Keywords" minOccurs="0"/>
                <xsd:element ref="ns3:Publishing_x0020_Section"/>
                <xsd:element ref="ns3:Keywords1" minOccurs="0"/>
                <xsd:element ref="ns3:Themes"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9" nillable="true" ma:displayName="Scheduling Start Date" ma:description="" ma:hidden="true" ma:internalName="PublishingStartDate">
      <xsd:simpleType>
        <xsd:restriction base="dms:Unknown"/>
      </xsd:simpleType>
    </xsd:element>
    <xsd:element name="PublishingExpirationDate" ma:index="10" nillable="true" ma:displayName="Scheduling End Date" ma:description=""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eda4f78-c946-4019-9afe-72b647367a98" elementFormDefault="qualified">
    <xsd:import namespace="http://schemas.microsoft.com/office/2006/documentManagement/types"/>
    <xsd:import namespace="http://schemas.microsoft.com/office/infopath/2007/PartnerControls"/>
    <xsd:element name="Departmental_x0020_Keywords" ma:index="2" nillable="true" ma:displayName="Departmental Keywords" ma:internalName="Departmental_x0020_Keyword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3d3a9f2-d6b9-4ac6-938b-c1d69a470220" elementFormDefault="qualified">
    <xsd:import namespace="http://schemas.microsoft.com/office/2006/documentManagement/types"/>
    <xsd:import namespace="http://schemas.microsoft.com/office/infopath/2007/PartnerControls"/>
    <xsd:element name="Publishing_x0020_Section" ma:index="3" ma:displayName="Publishing Section" ma:description="Select a departmental owner" ma:format="Dropdown" ma:internalName="Publishing_x0020_Section">
      <xsd:simpleType>
        <xsd:restriction base="dms:Choice">
          <xsd:enumeration value="All Department"/>
          <xsd:enumeration value="Australian Antarctic Division"/>
          <xsd:enumeration value="Biodiversity Conservation Division"/>
          <xsd:enumeration value="Business Improvement Division"/>
          <xsd:enumeration value="Corporate Strategies Division"/>
          <xsd:enumeration value="Department of Climate Change"/>
          <xsd:enumeration value="Director of National Parks"/>
          <xsd:enumeration value="Environment Assessment and Compliance Division"/>
          <xsd:enumeration value="Environment Quality Division"/>
          <xsd:enumeration value="Executive"/>
          <xsd:enumeration value="Great Barrier Reef Marine Park Authority"/>
          <xsd:enumeration value="Heritage and Wildlife Division"/>
          <xsd:enumeration value="Information Management Division"/>
          <xsd:enumeration value="Marine Division"/>
          <xsd:enumeration value="National Water Commission"/>
          <xsd:enumeration value="Natural Resource Management Programs Division"/>
          <xsd:enumeration value="Office of the Renewable Energy Regulator"/>
          <xsd:enumeration value="Parks Australia"/>
          <xsd:enumeration value="Policy and Communications Division"/>
          <xsd:enumeration value="Renewable &amp; Energy Efficiency Division"/>
          <xsd:enumeration value="Supervising Scientist Division"/>
          <xsd:enumeration value="Sustainability Policy and Analysis Division"/>
          <xsd:enumeration value="Sustainable Population Division"/>
          <xsd:enumeration value="Sydney Harbour Federation Trust"/>
          <xsd:enumeration value="Water Group"/>
        </xsd:restriction>
      </xsd:simpleType>
    </xsd:element>
    <xsd:element name="Keywords1" ma:index="4" nillable="true" ma:displayName="Category keywords" ma:internalName="Keywords1">
      <xsd:simpleType>
        <xsd:restriction base="dms:Text">
          <xsd:maxLength value="255"/>
        </xsd:restriction>
      </xsd:simpleType>
    </xsd:element>
    <xsd:element name="Themes" ma:index="6" nillable="true" ma:displayName="Themes" ma:default="" ma:description="Select a theme that applies" ma:internalName="Themes">
      <xsd:complexType>
        <xsd:complexContent>
          <xsd:extension base="dms:MultiChoice">
            <xsd:sequence>
              <xsd:element name="Value" maxOccurs="unbounded" minOccurs="0" nillable="true">
                <xsd:simpleType>
                  <xsd:restriction base="dms:Choice">
                    <xsd:enumeration value="Arts and Culture"/>
                    <xsd:enumeration value="Atmosphere"/>
                    <xsd:enumeration value="Biodiversity"/>
                    <xsd:enumeration value="Coasts and Oceans"/>
                    <xsd:enumeration value="Education for Sustainability"/>
                    <xsd:enumeration value="Energy"/>
                    <xsd:enumeration value="EPBC Act"/>
                    <xsd:enumeration value="Heritage"/>
                    <xsd:enumeration value="Indigenous"/>
                    <xsd:enumeration value="Land management"/>
                    <xsd:enumeration value="Natural Resource Management"/>
                    <xsd:enumeration value="Parks and reserves"/>
                    <xsd:enumeration value="Water"/>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ma:index="5"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ublishing_x0020_Section xmlns="d3d3a9f2-d6b9-4ac6-938b-c1d69a470220">Environment Assessment and Compliance Division</Publishing_x0020_Section>
    <Keywords1 xmlns="d3d3a9f2-d6b9-4ac6-938b-c1d69a470220" xsi:nil="true"/>
    <PublishingExpirationDate xmlns="http://schemas.microsoft.com/sharepoint/v3" xsi:nil="true"/>
    <Departmental_x0020_Keywords xmlns="deda4f78-c946-4019-9afe-72b647367a98" xsi:nil="true"/>
    <PublishingStartDate xmlns="http://schemas.microsoft.com/sharepoint/v3" xsi:nil="true"/>
    <Themes xmlns="d3d3a9f2-d6b9-4ac6-938b-c1d69a470220"/>
  </documentManagement>
</p:properties>
</file>

<file path=customXml/itemProps1.xml><?xml version="1.0" encoding="utf-8"?>
<ds:datastoreItem xmlns:ds="http://schemas.openxmlformats.org/officeDocument/2006/customXml" ds:itemID="{F98C2962-372B-44BE-A837-41ECB6772CB7}"/>
</file>

<file path=customXml/itemProps2.xml><?xml version="1.0" encoding="utf-8"?>
<ds:datastoreItem xmlns:ds="http://schemas.openxmlformats.org/officeDocument/2006/customXml" ds:itemID="{3C2C6E57-1890-4035-892D-7293E86BB02A}"/>
</file>

<file path=customXml/itemProps3.xml><?xml version="1.0" encoding="utf-8"?>
<ds:datastoreItem xmlns:ds="http://schemas.openxmlformats.org/officeDocument/2006/customXml" ds:itemID="{B7B4C942-BF6B-4EA3-881D-2EA5A9BC7D44}"/>
</file>

<file path=customXml/itemProps4.xml><?xml version="1.0" encoding="utf-8"?>
<ds:datastoreItem xmlns:ds="http://schemas.openxmlformats.org/officeDocument/2006/customXml" ds:itemID="{6DFC938D-9647-400F-B16D-F4A16B7E0385}"/>
</file>

<file path=docProps/app.xml><?xml version="1.0" encoding="utf-8"?>
<Properties xmlns="http://schemas.openxmlformats.org/officeDocument/2006/extended-properties" xmlns:vt="http://schemas.openxmlformats.org/officeDocument/2006/docPropsVTypes">
  <Template>GHD_Report_2012</Template>
  <TotalTime>1</TotalTime>
  <Pages>34</Pages>
  <Words>39137</Words>
  <Characters>223082</Characters>
  <Application>Microsoft Office Word</Application>
  <DocSecurity>0</DocSecurity>
  <Lines>1859</Lines>
  <Paragraphs>523</Paragraphs>
  <ScaleCrop>false</ScaleCrop>
  <HeadingPairs>
    <vt:vector size="2" baseType="variant">
      <vt:variant>
        <vt:lpstr>Title</vt:lpstr>
      </vt:variant>
      <vt:variant>
        <vt:i4>1</vt:i4>
      </vt:variant>
    </vt:vector>
  </HeadingPairs>
  <TitlesOfParts>
    <vt:vector size="1" baseType="lpstr">
      <vt:lpstr>Cover Page</vt:lpstr>
    </vt:vector>
  </TitlesOfParts>
  <Company>GHD</Company>
  <LinksUpToDate>false</LinksUpToDate>
  <CharactersWithSpaces>261696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Cover Page</dc:title>
  <dc:creator>Marsha Gibson/Adelaide/GHD/AU</dc:creator>
  <dc:description/>
  <cp:lastModifiedBy>Katrina Goudkamp</cp:lastModifiedBy>
  <cp:revision>2</cp:revision>
  <cp:lastPrinted>2013-03-25T05:35:00Z</cp:lastPrinted>
  <dcterms:created xsi:type="dcterms:W3CDTF">2013-07-25T04:10:00Z</dcterms:created>
  <dcterms:modified xsi:type="dcterms:W3CDTF">2013-07-25T04:10:00Z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PCosting">
    <vt:filetime>2013-07-25T01:22:13Z</vt:filetime>
  </property>
  <property fmtid="{D5CDD505-2E9C-101B-9397-08002B2CF9AE}" pid="3" name="GHDAuthor">
    <vt:lpwstr>Guy Reynolds</vt:lpwstr>
  </property>
  <property fmtid="{D5CDD505-2E9C-101B-9397-08002B2CF9AE}" pid="4" name="GHDSubject">
    <vt:lpwstr>Cost Benefit Analysis</vt:lpwstr>
  </property>
  <property fmtid="{D5CDD505-2E9C-101B-9397-08002B2CF9AE}" pid="5" name="Project">
    <vt:lpwstr>Ship Anchorage Management in Great Barrier Reef World Heritage Area</vt:lpwstr>
  </property>
  <property fmtid="{D5CDD505-2E9C-101B-9397-08002B2CF9AE}" pid="6" name="ToCompany">
    <vt:lpwstr>Great Barrier Reef Marine Park Authority</vt:lpwstr>
  </property>
  <property fmtid="{D5CDD505-2E9C-101B-9397-08002B2CF9AE}" pid="7" name="ToContact">
    <vt:lpwstr/>
  </property>
  <property fmtid="{D5CDD505-2E9C-101B-9397-08002B2CF9AE}" pid="8" name="ToTitle">
    <vt:lpwstr/>
  </property>
  <property fmtid="{D5CDD505-2E9C-101B-9397-08002B2CF9AE}" pid="9" name="ToStreet">
    <vt:lpwstr/>
  </property>
  <property fmtid="{D5CDD505-2E9C-101B-9397-08002B2CF9AE}" pid="10" name="ToSuburb">
    <vt:lpwstr/>
  </property>
  <property fmtid="{D5CDD505-2E9C-101B-9397-08002B2CF9AE}" pid="11" name="ToState">
    <vt:lpwstr/>
  </property>
  <property fmtid="{D5CDD505-2E9C-101B-9397-08002B2CF9AE}" pid="12" name="ToFax">
    <vt:lpwstr/>
  </property>
  <property fmtid="{D5CDD505-2E9C-101B-9397-08002B2CF9AE}" pid="13" name="ToPhone">
    <vt:lpwstr/>
  </property>
  <property fmtid="{D5CDD505-2E9C-101B-9397-08002B2CF9AE}" pid="14" name="ToEmail">
    <vt:lpwstr/>
  </property>
  <property fmtid="{D5CDD505-2E9C-101B-9397-08002B2CF9AE}" pid="15" name="OfficeAddressFull">
    <vt:lpwstr>145 Ann Street Brisbane QLD 4000</vt:lpwstr>
  </property>
  <property fmtid="{D5CDD505-2E9C-101B-9397-08002B2CF9AE}" pid="16" name="OfficeAddressLine1">
    <vt:lpwstr>145 Ann Street Brisbane QLD 4000</vt:lpwstr>
  </property>
  <property fmtid="{D5CDD505-2E9C-101B-9397-08002B2CF9AE}" pid="17" name="OfficeAddressLine2">
    <vt:lpwstr>GPO Box 668 Brisbane QLD 4001</vt:lpwstr>
  </property>
  <property fmtid="{D5CDD505-2E9C-101B-9397-08002B2CF9AE}" pid="18" name="OfficeTelephone">
    <vt:lpwstr>(07) 3316 3000</vt:lpwstr>
  </property>
  <property fmtid="{D5CDD505-2E9C-101B-9397-08002B2CF9AE}" pid="19" name="OfficeFax">
    <vt:lpwstr>(07) 3316 3333</vt:lpwstr>
  </property>
  <property fmtid="{D5CDD505-2E9C-101B-9397-08002B2CF9AE}" pid="20" name="OfficeEmail">
    <vt:lpwstr>bnemail@ghd.com.au</vt:lpwstr>
  </property>
  <property fmtid="{D5CDD505-2E9C-101B-9397-08002B2CF9AE}" pid="21" name="AuthorName">
    <vt:lpwstr>Guy Reynolds</vt:lpwstr>
  </property>
  <property fmtid="{D5CDD505-2E9C-101B-9397-08002B2CF9AE}" pid="22" name="AuthorInitials">
    <vt:lpwstr>GJR</vt:lpwstr>
  </property>
  <property fmtid="{D5CDD505-2E9C-101B-9397-08002B2CF9AE}" pid="23" name="AuthorShortName">
    <vt:lpwstr>G reynolds</vt:lpwstr>
  </property>
  <property fmtid="{D5CDD505-2E9C-101B-9397-08002B2CF9AE}" pid="24" name="AuthorTitle">
    <vt:lpwstr>Principal Consultant - Shipping and Marine</vt:lpwstr>
  </property>
  <property fmtid="{D5CDD505-2E9C-101B-9397-08002B2CF9AE}" pid="25" name="AuthorDirectLine">
    <vt:lpwstr>(03) 86878398</vt:lpwstr>
  </property>
  <property fmtid="{D5CDD505-2E9C-101B-9397-08002B2CF9AE}" pid="26" name="AuthorFAXNumber">
    <vt:lpwstr>(07) 3316 3333</vt:lpwstr>
  </property>
  <property fmtid="{D5CDD505-2E9C-101B-9397-08002B2CF9AE}" pid="27" name="AuthorEmailAddress">
    <vt:lpwstr>guy.reynolds@ghd.com</vt:lpwstr>
  </property>
  <property fmtid="{D5CDD505-2E9C-101B-9397-08002B2CF9AE}" pid="28" name="Typist">
    <vt:lpwstr>GJR</vt:lpwstr>
  </property>
  <property fmtid="{D5CDD505-2E9C-101B-9397-08002B2CF9AE}" pid="29" name="DocType">
    <vt:lpwstr>8</vt:lpwstr>
  </property>
  <property fmtid="{D5CDD505-2E9C-101B-9397-08002B2CF9AE}" pid="30" name="ReplyRequested">
    <vt:lpwstr>No</vt:lpwstr>
  </property>
  <property fmtid="{D5CDD505-2E9C-101B-9397-08002B2CF9AE}" pid="31" name="DocDate">
    <vt:lpwstr>19 September 2012</vt:lpwstr>
  </property>
  <property fmtid="{D5CDD505-2E9C-101B-9397-08002B2CF9AE}" pid="32" name="ToPostCode">
    <vt:lpwstr/>
  </property>
  <property fmtid="{D5CDD505-2E9C-101B-9397-08002B2CF9AE}" pid="33" name="Recipient">
    <vt:lpwstr/>
  </property>
  <property fmtid="{D5CDD505-2E9C-101B-9397-08002B2CF9AE}" pid="34" name="Client">
    <vt:lpwstr>Great Barrier Reef Marine Park Authority</vt:lpwstr>
  </property>
  <property fmtid="{D5CDD505-2E9C-101B-9397-08002B2CF9AE}" pid="35" name="Margins">
    <vt:lpwstr>Decrease</vt:lpwstr>
  </property>
  <property fmtid="{D5CDD505-2E9C-101B-9397-08002B2CF9AE}" pid="36" name="Branding">
    <vt:lpwstr>GHD</vt:lpwstr>
  </property>
  <property fmtid="{D5CDD505-2E9C-101B-9397-08002B2CF9AE}" pid="37" name="GraphicPath">
    <vt:lpwstr>C:\\Program Files\\Dtc2001\\</vt:lpwstr>
  </property>
  <property fmtid="{D5CDD505-2E9C-101B-9397-08002B2CF9AE}" pid="38" name="ContentTypeId">
    <vt:lpwstr>0x01010088984309824B1146AAD399139940223E</vt:lpwstr>
  </property>
</Properties>
</file>