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2EF" w:rsidRPr="00370E70" w:rsidRDefault="007B15AB" w:rsidP="00034AD4">
      <w:r>
        <w:rPr>
          <w:noProof/>
          <w:lang w:eastAsia="en-AU"/>
        </w:rPr>
        <w:drawing>
          <wp:anchor distT="0" distB="0" distL="114300" distR="114300" simplePos="0" relativeHeight="251655168" behindDoc="1" locked="0" layoutInCell="1" allowOverlap="1">
            <wp:simplePos x="0" y="0"/>
            <wp:positionH relativeFrom="column">
              <wp:posOffset>-910590</wp:posOffset>
            </wp:positionH>
            <wp:positionV relativeFrom="paragraph">
              <wp:posOffset>-908050</wp:posOffset>
            </wp:positionV>
            <wp:extent cx="7588250" cy="7779385"/>
            <wp:effectExtent l="0" t="0" r="0" b="0"/>
            <wp:wrapNone/>
            <wp:docPr id="244" name="Picture 13" descr="2011_12_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011_12_Cove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88250" cy="7779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 w:rsidR="005132EF" w:rsidRPr="00370E70" w:rsidRDefault="005132EF" w:rsidP="00034AD4">
      <w:pPr>
        <w:ind w:right="3401"/>
        <w:jc w:val="right"/>
      </w:pPr>
    </w:p>
    <w:p w:rsidR="005132EF" w:rsidRPr="00370E70" w:rsidRDefault="005132EF" w:rsidP="00034AD4">
      <w:pPr>
        <w:pStyle w:val="TitlePage1"/>
        <w:spacing w:before="0" w:after="0"/>
        <w:ind w:left="-709" w:right="3402"/>
        <w:jc w:val="right"/>
        <w:rPr>
          <w:sz w:val="48"/>
          <w:szCs w:val="48"/>
          <w:lang w:val="en-AU"/>
        </w:rPr>
      </w:pPr>
      <w:r w:rsidRPr="00370E70">
        <w:rPr>
          <w:sz w:val="48"/>
          <w:szCs w:val="48"/>
          <w:lang w:val="en-AU"/>
        </w:rPr>
        <w:t>Reef Rescue</w:t>
      </w:r>
    </w:p>
    <w:p w:rsidR="005132EF" w:rsidRPr="00370E70" w:rsidRDefault="005132EF" w:rsidP="00034AD4">
      <w:pPr>
        <w:pStyle w:val="TitlePage1"/>
        <w:spacing w:before="0" w:after="0"/>
        <w:ind w:left="-709" w:right="3402"/>
        <w:jc w:val="right"/>
        <w:rPr>
          <w:sz w:val="28"/>
          <w:szCs w:val="28"/>
          <w:lang w:val="en-AU"/>
        </w:rPr>
      </w:pPr>
      <w:r w:rsidRPr="00370E70">
        <w:rPr>
          <w:sz w:val="28"/>
          <w:szCs w:val="28"/>
          <w:lang w:val="en-AU"/>
        </w:rPr>
        <w:t>Marine Monitoring Program</w:t>
      </w:r>
    </w:p>
    <w:p w:rsidR="005132EF" w:rsidRPr="00370E70" w:rsidRDefault="005132EF" w:rsidP="00034AD4">
      <w:pPr>
        <w:pStyle w:val="TitlePage1"/>
        <w:spacing w:before="0" w:after="0"/>
        <w:ind w:left="-709" w:right="3402"/>
        <w:jc w:val="right"/>
        <w:rPr>
          <w:sz w:val="28"/>
          <w:szCs w:val="28"/>
          <w:lang w:val="en-AU"/>
        </w:rPr>
      </w:pPr>
      <w:r w:rsidRPr="00370E70">
        <w:rPr>
          <w:sz w:val="28"/>
          <w:szCs w:val="28"/>
          <w:lang w:val="en-AU"/>
        </w:rPr>
        <w:t>Inshore Seagrass</w:t>
      </w:r>
    </w:p>
    <w:p w:rsidR="005132EF" w:rsidRPr="00370E70" w:rsidRDefault="005132EF" w:rsidP="00034AD4">
      <w:pPr>
        <w:pStyle w:val="TitlePage1"/>
        <w:spacing w:before="0" w:after="0"/>
        <w:ind w:left="-709" w:right="3401"/>
        <w:jc w:val="right"/>
        <w:rPr>
          <w:rFonts w:ascii="Arial Narrow" w:hAnsi="Arial Narrow"/>
          <w:sz w:val="24"/>
          <w:szCs w:val="24"/>
          <w:lang w:val="en-AU"/>
        </w:rPr>
      </w:pPr>
      <w:r w:rsidRPr="00370E70">
        <w:rPr>
          <w:rFonts w:ascii="Arial Narrow" w:hAnsi="Arial Narrow"/>
          <w:sz w:val="24"/>
          <w:szCs w:val="24"/>
          <w:lang w:val="en-AU"/>
        </w:rPr>
        <w:t>ANNUAL REPORT</w:t>
      </w:r>
    </w:p>
    <w:p w:rsidR="005132EF" w:rsidRPr="00370E70" w:rsidRDefault="005132EF" w:rsidP="00034AD4">
      <w:pPr>
        <w:pStyle w:val="TitlePage1"/>
        <w:spacing w:before="0" w:after="0"/>
        <w:ind w:left="-709" w:right="3401"/>
        <w:jc w:val="right"/>
        <w:rPr>
          <w:rFonts w:ascii="Arial Narrow" w:hAnsi="Arial Narrow"/>
          <w:i/>
          <w:sz w:val="24"/>
          <w:szCs w:val="24"/>
          <w:lang w:val="en-AU"/>
        </w:rPr>
      </w:pPr>
      <w:r w:rsidRPr="00370E70">
        <w:rPr>
          <w:rFonts w:ascii="Arial Narrow" w:hAnsi="Arial Narrow"/>
          <w:i/>
          <w:sz w:val="24"/>
          <w:szCs w:val="24"/>
          <w:lang w:val="en-AU"/>
        </w:rPr>
        <w:t>For the sampling period 1st July 2011 – 31st May 2012</w:t>
      </w:r>
    </w:p>
    <w:p w:rsidR="005132EF" w:rsidRPr="00370E70" w:rsidRDefault="005132EF" w:rsidP="00034AD4">
      <w:pPr>
        <w:pStyle w:val="Authors"/>
        <w:spacing w:before="0" w:after="0"/>
        <w:ind w:left="5812" w:right="-852"/>
        <w:jc w:val="left"/>
      </w:pPr>
    </w:p>
    <w:p w:rsidR="005132EF" w:rsidRPr="00370E70" w:rsidRDefault="005132EF" w:rsidP="00034AD4">
      <w:pPr>
        <w:pStyle w:val="Authors"/>
        <w:spacing w:before="0" w:after="0"/>
        <w:ind w:left="5812" w:right="-852"/>
        <w:jc w:val="left"/>
      </w:pPr>
      <w:r w:rsidRPr="00370E70">
        <w:t>Len McKenzie, Catherine Collier &amp; Michelle Waycott</w:t>
      </w:r>
    </w:p>
    <w:p w:rsidR="005132EF" w:rsidRPr="00370E70" w:rsidRDefault="005132EF" w:rsidP="00034AD4">
      <w:pPr>
        <w:pStyle w:val="Authors"/>
        <w:spacing w:before="0" w:after="0"/>
        <w:ind w:left="5812" w:right="-852"/>
        <w:jc w:val="left"/>
      </w:pPr>
    </w:p>
    <w:p w:rsidR="005132EF" w:rsidRPr="00370E70" w:rsidRDefault="005132EF" w:rsidP="00034AD4">
      <w:pPr>
        <w:sectPr w:rsidR="005132EF" w:rsidRPr="00370E70" w:rsidSect="00034AD4">
          <w:footerReference w:type="even" r:id="rId9"/>
          <w:pgSz w:w="11907" w:h="16840" w:code="9"/>
          <w:pgMar w:top="1418" w:right="1418" w:bottom="993" w:left="1418" w:header="720" w:footer="720" w:gutter="0"/>
          <w:cols w:space="720"/>
          <w:docGrid w:linePitch="360"/>
        </w:sectPr>
      </w:pPr>
    </w:p>
    <w:p w:rsidR="005132EF" w:rsidRPr="00370E70" w:rsidRDefault="005132EF" w:rsidP="00034AD4">
      <w:pPr>
        <w:jc w:val="both"/>
        <w:rPr>
          <w:noProof/>
        </w:rPr>
      </w:pPr>
    </w:p>
    <w:p w:rsidR="005132EF" w:rsidRPr="00370E70" w:rsidRDefault="005132EF" w:rsidP="00034AD4">
      <w:pPr>
        <w:jc w:val="both"/>
        <w:rPr>
          <w:noProof/>
        </w:rPr>
      </w:pPr>
    </w:p>
    <w:p w:rsidR="005132EF" w:rsidRPr="00370E70" w:rsidRDefault="005132EF" w:rsidP="00034AD4">
      <w:pPr>
        <w:pStyle w:val="Imprint"/>
      </w:pPr>
      <w:proofErr w:type="gramStart"/>
      <w:r w:rsidRPr="00370E70">
        <w:rPr>
          <w:rFonts w:cs="Arial"/>
        </w:rPr>
        <w:t>©</w:t>
      </w:r>
      <w:r w:rsidRPr="00370E70">
        <w:t xml:space="preserve"> 201</w:t>
      </w:r>
      <w:r w:rsidR="00235AF2" w:rsidRPr="00370E70">
        <w:t>4</w:t>
      </w:r>
      <w:r w:rsidRPr="00370E70">
        <w:t>.</w:t>
      </w:r>
      <w:proofErr w:type="gramEnd"/>
    </w:p>
    <w:p w:rsidR="005132EF" w:rsidRPr="00370E70" w:rsidRDefault="005132EF" w:rsidP="00034AD4">
      <w:pPr>
        <w:pStyle w:val="Imprint"/>
      </w:pPr>
    </w:p>
    <w:p w:rsidR="005132EF" w:rsidRPr="00370E70" w:rsidRDefault="005132EF" w:rsidP="00034AD4">
      <w:pPr>
        <w:pStyle w:val="Imprint"/>
        <w:rPr>
          <w:color w:val="000000"/>
        </w:rPr>
      </w:pPr>
      <w:r w:rsidRPr="00370E70">
        <w:rPr>
          <w:color w:val="000000"/>
        </w:rPr>
        <w:t>This report should be cited as:</w:t>
      </w:r>
    </w:p>
    <w:p w:rsidR="005132EF" w:rsidRPr="00370E70" w:rsidRDefault="005132EF" w:rsidP="00034AD4">
      <w:pPr>
        <w:pStyle w:val="Imprint"/>
        <w:rPr>
          <w:color w:val="000000"/>
        </w:rPr>
      </w:pPr>
      <w:r w:rsidRPr="00370E70">
        <w:rPr>
          <w:color w:val="000000"/>
        </w:rPr>
        <w:t>McKenzie, L.J., Collier, C. and Waycott, M. (201</w:t>
      </w:r>
      <w:r w:rsidR="00235AF2" w:rsidRPr="00370E70">
        <w:rPr>
          <w:color w:val="000000"/>
        </w:rPr>
        <w:t>4</w:t>
      </w:r>
      <w:r w:rsidRPr="00370E70">
        <w:rPr>
          <w:color w:val="000000"/>
        </w:rPr>
        <w:t xml:space="preserve">) Reef Rescue Marine Monitoring Program - Inshore Seagrass, Annual Report for the sampling period 1st July 2011 – 31st May 2012.  </w:t>
      </w:r>
      <w:proofErr w:type="gramStart"/>
      <w:r w:rsidRPr="00370E70">
        <w:rPr>
          <w:color w:val="000000"/>
        </w:rPr>
        <w:t>TropWATER, James Cook University, Cairns.</w:t>
      </w:r>
      <w:proofErr w:type="gramEnd"/>
      <w:r w:rsidRPr="00370E70">
        <w:rPr>
          <w:color w:val="000000"/>
        </w:rPr>
        <w:t xml:space="preserve"> </w:t>
      </w:r>
      <w:r w:rsidR="00CA35F6" w:rsidRPr="00370E70">
        <w:rPr>
          <w:color w:val="000000"/>
        </w:rPr>
        <w:t>1</w:t>
      </w:r>
      <w:r w:rsidR="00A91077" w:rsidRPr="00370E70">
        <w:rPr>
          <w:color w:val="000000"/>
        </w:rPr>
        <w:t>7</w:t>
      </w:r>
      <w:r w:rsidR="00244339">
        <w:rPr>
          <w:color w:val="000000"/>
        </w:rPr>
        <w:t>6</w:t>
      </w:r>
      <w:r w:rsidRPr="00370E70">
        <w:rPr>
          <w:color w:val="000000"/>
        </w:rPr>
        <w:t>pp.</w:t>
      </w:r>
    </w:p>
    <w:p w:rsidR="005132EF" w:rsidRPr="00370E70" w:rsidRDefault="005132EF" w:rsidP="00034AD4">
      <w:pPr>
        <w:pStyle w:val="Imprint"/>
        <w:rPr>
          <w:color w:val="000000"/>
        </w:rPr>
      </w:pPr>
    </w:p>
    <w:p w:rsidR="005132EF" w:rsidRPr="00370E70" w:rsidRDefault="005132EF" w:rsidP="00034AD4">
      <w:pPr>
        <w:pStyle w:val="Imprint"/>
      </w:pPr>
      <w:r w:rsidRPr="00370E70">
        <w:t xml:space="preserve">Published through </w:t>
      </w:r>
      <w:smartTag w:uri="urn:schemas-microsoft-com:office:smarttags" w:element="place">
        <w:smartTag w:uri="urn:schemas-microsoft-com:office:smarttags" w:element="PlaceName">
          <w:r w:rsidRPr="00370E70">
            <w:t>James</w:t>
          </w:r>
        </w:smartTag>
        <w:r w:rsidRPr="00370E70">
          <w:t xml:space="preserve"> </w:t>
        </w:r>
        <w:smartTag w:uri="urn:schemas-microsoft-com:office:smarttags" w:element="PlaceName">
          <w:r w:rsidRPr="00370E70">
            <w:t>Cook</w:t>
          </w:r>
        </w:smartTag>
        <w:r w:rsidRPr="00370E70">
          <w:t xml:space="preserve"> </w:t>
        </w:r>
        <w:smartTag w:uri="urn:schemas-microsoft-com:office:smarttags" w:element="PlaceType">
          <w:r w:rsidRPr="00370E70">
            <w:t>University</w:t>
          </w:r>
        </w:smartTag>
      </w:smartTag>
      <w:r w:rsidRPr="00370E70">
        <w:t xml:space="preserve"> a research provider.</w:t>
      </w:r>
    </w:p>
    <w:p w:rsidR="005132EF" w:rsidRPr="00370E70" w:rsidRDefault="005132EF" w:rsidP="00034AD4">
      <w:pPr>
        <w:pStyle w:val="Imprint"/>
      </w:pPr>
    </w:p>
    <w:p w:rsidR="005132EF" w:rsidRPr="00370E70" w:rsidRDefault="005132EF" w:rsidP="00034AD4">
      <w:pPr>
        <w:pStyle w:val="Imprint"/>
      </w:pPr>
      <w:r w:rsidRPr="00370E70">
        <w:t>This publication is copyright.  The Copyright Act 1968 permits fair dealing for study, research, information or educational purposes subject to inclusion of a sufficient acknowledgement of the source.</w:t>
      </w:r>
    </w:p>
    <w:p w:rsidR="005132EF" w:rsidRPr="00370E70" w:rsidRDefault="005132EF" w:rsidP="00034AD4">
      <w:pPr>
        <w:pStyle w:val="Imprint"/>
      </w:pPr>
    </w:p>
    <w:p w:rsidR="005132EF" w:rsidRPr="00370E70" w:rsidRDefault="005132EF" w:rsidP="00034AD4">
      <w:pPr>
        <w:pStyle w:val="Imprint"/>
      </w:pPr>
      <w:r w:rsidRPr="00370E70">
        <w:t xml:space="preserve">The views and opinions expressed in this publication are those of the authors and do not necessarily reflect those of the State of </w:t>
      </w:r>
      <w:smartTag w:uri="urn:schemas-microsoft-com:office:smarttags" w:element="place">
        <w:smartTag w:uri="urn:schemas-microsoft-com:office:smarttags" w:element="State">
          <w:r w:rsidRPr="00370E70">
            <w:t>Queensland</w:t>
          </w:r>
        </w:smartTag>
      </w:smartTag>
      <w:r w:rsidRPr="00370E70">
        <w:t>.</w:t>
      </w:r>
    </w:p>
    <w:p w:rsidR="005132EF" w:rsidRPr="00370E70" w:rsidRDefault="005132EF" w:rsidP="00034AD4">
      <w:pPr>
        <w:pStyle w:val="Imprint"/>
      </w:pPr>
    </w:p>
    <w:p w:rsidR="005132EF" w:rsidRPr="00370E70" w:rsidRDefault="005132EF" w:rsidP="00034AD4">
      <w:pPr>
        <w:pStyle w:val="Imprint"/>
      </w:pPr>
      <w:r w:rsidRPr="00370E70">
        <w:t>While reasonable effort has been made to ensure that the contents of this publication are factually correct, the State does not accept responsibility for the accuracy or completeness of the contents, and shall not be liable for any loss or damage that may be occasioned directly or indirectly through the use of, or reliance on, the contents of this publication.</w:t>
      </w:r>
    </w:p>
    <w:p w:rsidR="005132EF" w:rsidRPr="00370E70" w:rsidRDefault="005132EF" w:rsidP="00034AD4">
      <w:pPr>
        <w:pStyle w:val="Imprint"/>
      </w:pPr>
    </w:p>
    <w:p w:rsidR="005132EF" w:rsidRPr="00370E70" w:rsidRDefault="005132EF" w:rsidP="00034AD4">
      <w:pPr>
        <w:pStyle w:val="Imprint"/>
      </w:pPr>
      <w:r w:rsidRPr="00370E70">
        <w:t>This report has been peer reviewed by three external reviewers.</w:t>
      </w:r>
    </w:p>
    <w:p w:rsidR="005132EF" w:rsidRPr="00370E70" w:rsidRDefault="005132EF" w:rsidP="00034AD4">
      <w:pPr>
        <w:pStyle w:val="Imprint"/>
      </w:pPr>
    </w:p>
    <w:p w:rsidR="00C62601" w:rsidRPr="00370E70" w:rsidRDefault="00C62601" w:rsidP="00034AD4">
      <w:pPr>
        <w:pStyle w:val="Imprint"/>
      </w:pPr>
    </w:p>
    <w:p w:rsidR="00C62601" w:rsidRPr="00370E70" w:rsidRDefault="00C62601" w:rsidP="00034AD4">
      <w:pPr>
        <w:pStyle w:val="Imprint"/>
      </w:pPr>
    </w:p>
    <w:p w:rsidR="00C62601" w:rsidRPr="00370E70" w:rsidRDefault="00C62601" w:rsidP="00034AD4">
      <w:pPr>
        <w:pStyle w:val="Imprint"/>
      </w:pPr>
    </w:p>
    <w:p w:rsidR="005132EF" w:rsidRPr="00370E70" w:rsidRDefault="00C62601" w:rsidP="00034AD4">
      <w:pPr>
        <w:pStyle w:val="Imprint"/>
        <w:rPr>
          <w:noProof/>
        </w:rPr>
      </w:pPr>
      <w:r w:rsidRPr="00370E70">
        <w:rPr>
          <w:noProof/>
        </w:rPr>
        <w:t xml:space="preserve">received April 2013, reviewed October 2013, accepted </w:t>
      </w:r>
      <w:r w:rsidR="00235AF2" w:rsidRPr="00370E70">
        <w:rPr>
          <w:noProof/>
        </w:rPr>
        <w:t>March</w:t>
      </w:r>
      <w:r w:rsidR="005132EF" w:rsidRPr="00370E70">
        <w:rPr>
          <w:noProof/>
        </w:rPr>
        <w:t xml:space="preserve"> 201</w:t>
      </w:r>
      <w:r w:rsidR="00235AF2" w:rsidRPr="00370E70">
        <w:rPr>
          <w:noProof/>
        </w:rPr>
        <w:t>4</w:t>
      </w:r>
    </w:p>
    <w:p w:rsidR="005132EF" w:rsidRPr="00370E70" w:rsidRDefault="005132EF" w:rsidP="00034AD4">
      <w:pPr>
        <w:pStyle w:val="Imprint"/>
        <w:rPr>
          <w:noProof/>
        </w:rPr>
      </w:pPr>
    </w:p>
    <w:p w:rsidR="005132EF" w:rsidRPr="00370E70" w:rsidRDefault="007B15AB" w:rsidP="00034AD4">
      <w:pPr>
        <w:pStyle w:val="Imprint"/>
        <w:rPr>
          <w:noProof/>
        </w:rPr>
      </w:pPr>
      <w:r>
        <w:rPr>
          <w:noProof/>
          <w:lang w:eastAsia="en-AU"/>
        </w:rPr>
        <w:drawing>
          <wp:anchor distT="0" distB="0" distL="114300" distR="114300" simplePos="0" relativeHeight="251660288" behindDoc="0" locked="0" layoutInCell="1" allowOverlap="1">
            <wp:simplePos x="0" y="0"/>
            <wp:positionH relativeFrom="column">
              <wp:posOffset>3959860</wp:posOffset>
            </wp:positionH>
            <wp:positionV relativeFrom="paragraph">
              <wp:posOffset>3571240</wp:posOffset>
            </wp:positionV>
            <wp:extent cx="1332230" cy="572135"/>
            <wp:effectExtent l="0" t="0" r="1270" b="0"/>
            <wp:wrapNone/>
            <wp:docPr id="243" name="Picture 15" descr="Official corporate logo for James Cook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Official corporate logo for James Cook Universit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32230" cy="5721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58240" behindDoc="0" locked="0" layoutInCell="1" allowOverlap="1">
            <wp:simplePos x="0" y="0"/>
            <wp:positionH relativeFrom="column">
              <wp:posOffset>396875</wp:posOffset>
            </wp:positionH>
            <wp:positionV relativeFrom="paragraph">
              <wp:posOffset>3618230</wp:posOffset>
            </wp:positionV>
            <wp:extent cx="2757805" cy="541020"/>
            <wp:effectExtent l="0" t="0" r="4445" b="0"/>
            <wp:wrapNone/>
            <wp:docPr id="15" name="Picture 10" descr="Official corporate logo for the Queensland Gover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fficial corporate logo for the Queensland Governme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7805" cy="5410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57216" behindDoc="0" locked="0" layoutInCell="1" allowOverlap="1">
            <wp:simplePos x="0" y="0"/>
            <wp:positionH relativeFrom="column">
              <wp:posOffset>396875</wp:posOffset>
            </wp:positionH>
            <wp:positionV relativeFrom="paragraph">
              <wp:posOffset>3070225</wp:posOffset>
            </wp:positionV>
            <wp:extent cx="3277235" cy="539750"/>
            <wp:effectExtent l="0" t="0" r="0" b="0"/>
            <wp:wrapNone/>
            <wp:docPr id="5" name="Picture 8" descr="Official corporate logo for the Australian Government Department of the Environment, Water, Heritage and the Arts and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fficial corporate logo for the Australian Government Department of the Environment, Water, Heritage and the Arts and the Great Barrier Reef Marine Park Authorit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77235"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59264" behindDoc="0" locked="0" layoutInCell="1" allowOverlap="1">
            <wp:simplePos x="0" y="0"/>
            <wp:positionH relativeFrom="column">
              <wp:posOffset>3978275</wp:posOffset>
            </wp:positionH>
            <wp:positionV relativeFrom="paragraph">
              <wp:posOffset>2811780</wp:posOffset>
            </wp:positionV>
            <wp:extent cx="1311910" cy="799465"/>
            <wp:effectExtent l="0" t="0" r="2540" b="635"/>
            <wp:wrapNone/>
            <wp:docPr id="14" name="Picture 14" descr="Official corporate logo for the Centre for Tropical Water and Aquatic Ecosystem Research (also know as Trop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fficial corporate logo for the Centre for Tropical Water and Aquatic Ecosystem Research (also know as TropWATE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11910" cy="7994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32EF" w:rsidRPr="00370E70" w:rsidRDefault="005132EF" w:rsidP="00034AD4">
      <w:pPr>
        <w:jc w:val="both"/>
        <w:rPr>
          <w:noProof/>
        </w:rPr>
        <w:sectPr w:rsidR="005132EF" w:rsidRPr="00370E70" w:rsidSect="00034AD4">
          <w:pgSz w:w="11906" w:h="16838" w:code="9"/>
          <w:pgMar w:top="851" w:right="1418" w:bottom="1418" w:left="1418" w:header="720" w:footer="851" w:gutter="0"/>
          <w:pgNumType w:fmt="lowerRoman" w:start="2"/>
          <w:cols w:space="720"/>
        </w:sectPr>
      </w:pPr>
    </w:p>
    <w:p w:rsidR="005132EF" w:rsidRPr="00370E70" w:rsidRDefault="005132EF" w:rsidP="00034AD4">
      <w:pPr>
        <w:spacing w:after="240"/>
        <w:rPr>
          <w:rFonts w:ascii="Century Gothic" w:hAnsi="Century Gothic"/>
          <w:b/>
          <w:sz w:val="36"/>
          <w:szCs w:val="36"/>
        </w:rPr>
      </w:pPr>
      <w:r w:rsidRPr="00370E70">
        <w:rPr>
          <w:rFonts w:ascii="Century Gothic" w:hAnsi="Century Gothic"/>
          <w:b/>
          <w:sz w:val="36"/>
          <w:szCs w:val="36"/>
        </w:rPr>
        <w:lastRenderedPageBreak/>
        <w:t>Contents</w:t>
      </w:r>
    </w:p>
    <w:p w:rsidR="003C440C" w:rsidRDefault="005132EF">
      <w:pPr>
        <w:pStyle w:val="TOC1"/>
        <w:rPr>
          <w:rFonts w:ascii="Times New Roman" w:hAnsi="Times New Roman"/>
          <w:b w:val="0"/>
          <w:noProof/>
          <w:sz w:val="24"/>
          <w:lang w:eastAsia="en-AU"/>
        </w:rPr>
      </w:pPr>
      <w:r w:rsidRPr="00370E70">
        <w:fldChar w:fldCharType="begin"/>
      </w:r>
      <w:r w:rsidRPr="00370E70">
        <w:instrText xml:space="preserve"> TOC \o "1-3" \h \z \u </w:instrText>
      </w:r>
      <w:r w:rsidRPr="00370E70">
        <w:fldChar w:fldCharType="separate"/>
      </w:r>
      <w:hyperlink w:anchor="_Toc384196101" w:history="1">
        <w:r w:rsidR="003C440C" w:rsidRPr="00AF364A">
          <w:rPr>
            <w:rStyle w:val="Hyperlink"/>
            <w:rFonts w:ascii="Century Gothic" w:hAnsi="Century Gothic"/>
            <w:noProof/>
          </w:rPr>
          <w:t>Acronyms Used In This Report</w:t>
        </w:r>
        <w:r w:rsidR="003C440C">
          <w:rPr>
            <w:noProof/>
            <w:webHidden/>
          </w:rPr>
          <w:tab/>
        </w:r>
        <w:r w:rsidR="003C440C">
          <w:rPr>
            <w:noProof/>
            <w:webHidden/>
          </w:rPr>
          <w:fldChar w:fldCharType="begin"/>
        </w:r>
        <w:r w:rsidR="003C440C">
          <w:rPr>
            <w:noProof/>
            <w:webHidden/>
          </w:rPr>
          <w:instrText xml:space="preserve"> PAGEREF _Toc384196101 \h </w:instrText>
        </w:r>
        <w:r w:rsidR="003C440C">
          <w:rPr>
            <w:noProof/>
            <w:webHidden/>
          </w:rPr>
        </w:r>
        <w:r w:rsidR="003C440C">
          <w:rPr>
            <w:noProof/>
            <w:webHidden/>
          </w:rPr>
          <w:fldChar w:fldCharType="separate"/>
        </w:r>
        <w:r w:rsidR="005B5FD6">
          <w:rPr>
            <w:noProof/>
            <w:webHidden/>
          </w:rPr>
          <w:t>xiv</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02" w:history="1">
        <w:r w:rsidR="003C440C" w:rsidRPr="00AF364A">
          <w:rPr>
            <w:rStyle w:val="Hyperlink"/>
            <w:rFonts w:ascii="Century Gothic" w:hAnsi="Century Gothic"/>
            <w:noProof/>
          </w:rPr>
          <w:t>Acknowledgements</w:t>
        </w:r>
        <w:r w:rsidR="003C440C">
          <w:rPr>
            <w:noProof/>
            <w:webHidden/>
          </w:rPr>
          <w:tab/>
        </w:r>
        <w:r w:rsidR="003C440C">
          <w:rPr>
            <w:noProof/>
            <w:webHidden/>
          </w:rPr>
          <w:fldChar w:fldCharType="begin"/>
        </w:r>
        <w:r w:rsidR="003C440C">
          <w:rPr>
            <w:noProof/>
            <w:webHidden/>
          </w:rPr>
          <w:instrText xml:space="preserve"> PAGEREF _Toc384196102 \h </w:instrText>
        </w:r>
        <w:r w:rsidR="003C440C">
          <w:rPr>
            <w:noProof/>
            <w:webHidden/>
          </w:rPr>
        </w:r>
        <w:r w:rsidR="003C440C">
          <w:rPr>
            <w:noProof/>
            <w:webHidden/>
          </w:rPr>
          <w:fldChar w:fldCharType="separate"/>
        </w:r>
        <w:r w:rsidR="005B5FD6">
          <w:rPr>
            <w:noProof/>
            <w:webHidden/>
          </w:rPr>
          <w:t>xv</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03" w:history="1">
        <w:r w:rsidR="003C440C" w:rsidRPr="00AF364A">
          <w:rPr>
            <w:rStyle w:val="Hyperlink"/>
            <w:rFonts w:ascii="Century Gothic" w:hAnsi="Century Gothic"/>
            <w:noProof/>
          </w:rPr>
          <w:t>Executive summary</w:t>
        </w:r>
        <w:r w:rsidR="003C440C">
          <w:rPr>
            <w:noProof/>
            <w:webHidden/>
          </w:rPr>
          <w:tab/>
        </w:r>
        <w:r w:rsidR="003C440C">
          <w:rPr>
            <w:noProof/>
            <w:webHidden/>
          </w:rPr>
          <w:fldChar w:fldCharType="begin"/>
        </w:r>
        <w:r w:rsidR="003C440C">
          <w:rPr>
            <w:noProof/>
            <w:webHidden/>
          </w:rPr>
          <w:instrText xml:space="preserve"> PAGEREF _Toc384196103 \h </w:instrText>
        </w:r>
        <w:r w:rsidR="003C440C">
          <w:rPr>
            <w:noProof/>
            <w:webHidden/>
          </w:rPr>
        </w:r>
        <w:r w:rsidR="003C440C">
          <w:rPr>
            <w:noProof/>
            <w:webHidden/>
          </w:rPr>
          <w:fldChar w:fldCharType="separate"/>
        </w:r>
        <w:r w:rsidR="005B5FD6">
          <w:rPr>
            <w:noProof/>
            <w:webHidden/>
          </w:rPr>
          <w:t>1</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04" w:history="1">
        <w:r w:rsidR="003C440C" w:rsidRPr="00AF364A">
          <w:rPr>
            <w:rStyle w:val="Hyperlink"/>
            <w:rFonts w:ascii="Century Gothic" w:hAnsi="Century Gothic"/>
            <w:noProof/>
          </w:rPr>
          <w:t>1. Introduction</w:t>
        </w:r>
        <w:r w:rsidR="003C440C">
          <w:rPr>
            <w:noProof/>
            <w:webHidden/>
          </w:rPr>
          <w:tab/>
        </w:r>
        <w:r w:rsidR="003C440C">
          <w:rPr>
            <w:noProof/>
            <w:webHidden/>
          </w:rPr>
          <w:fldChar w:fldCharType="begin"/>
        </w:r>
        <w:r w:rsidR="003C440C">
          <w:rPr>
            <w:noProof/>
            <w:webHidden/>
          </w:rPr>
          <w:instrText xml:space="preserve"> PAGEREF _Toc384196104 \h </w:instrText>
        </w:r>
        <w:r w:rsidR="003C440C">
          <w:rPr>
            <w:noProof/>
            <w:webHidden/>
          </w:rPr>
        </w:r>
        <w:r w:rsidR="003C440C">
          <w:rPr>
            <w:noProof/>
            <w:webHidden/>
          </w:rPr>
          <w:fldChar w:fldCharType="separate"/>
        </w:r>
        <w:r w:rsidR="005B5FD6">
          <w:rPr>
            <w:noProof/>
            <w:webHidden/>
          </w:rPr>
          <w:t>3</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05" w:history="1">
        <w:r w:rsidR="003C440C" w:rsidRPr="00AF364A">
          <w:rPr>
            <w:rStyle w:val="Hyperlink"/>
            <w:rFonts w:ascii="Century Gothic" w:hAnsi="Century Gothic"/>
            <w:noProof/>
          </w:rPr>
          <w:t>Background</w:t>
        </w:r>
        <w:r w:rsidR="003C440C">
          <w:rPr>
            <w:noProof/>
            <w:webHidden/>
          </w:rPr>
          <w:tab/>
        </w:r>
        <w:r w:rsidR="003C440C">
          <w:rPr>
            <w:noProof/>
            <w:webHidden/>
          </w:rPr>
          <w:fldChar w:fldCharType="begin"/>
        </w:r>
        <w:r w:rsidR="003C440C">
          <w:rPr>
            <w:noProof/>
            <w:webHidden/>
          </w:rPr>
          <w:instrText xml:space="preserve"> PAGEREF _Toc384196105 \h </w:instrText>
        </w:r>
        <w:r w:rsidR="003C440C">
          <w:rPr>
            <w:noProof/>
            <w:webHidden/>
          </w:rPr>
        </w:r>
        <w:r w:rsidR="003C440C">
          <w:rPr>
            <w:noProof/>
            <w:webHidden/>
          </w:rPr>
          <w:fldChar w:fldCharType="separate"/>
        </w:r>
        <w:r w:rsidR="005B5FD6">
          <w:rPr>
            <w:noProof/>
            <w:webHidden/>
          </w:rPr>
          <w:t>3</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06" w:history="1">
        <w:r w:rsidR="003C440C" w:rsidRPr="00AF364A">
          <w:rPr>
            <w:rStyle w:val="Hyperlink"/>
            <w:rFonts w:ascii="Century Gothic" w:hAnsi="Century Gothic"/>
            <w:noProof/>
          </w:rPr>
          <w:t>2. Methodolgy</w:t>
        </w:r>
        <w:r w:rsidR="003C440C">
          <w:rPr>
            <w:noProof/>
            <w:webHidden/>
          </w:rPr>
          <w:tab/>
        </w:r>
        <w:r w:rsidR="003C440C">
          <w:rPr>
            <w:noProof/>
            <w:webHidden/>
          </w:rPr>
          <w:fldChar w:fldCharType="begin"/>
        </w:r>
        <w:r w:rsidR="003C440C">
          <w:rPr>
            <w:noProof/>
            <w:webHidden/>
          </w:rPr>
          <w:instrText xml:space="preserve"> PAGEREF _Toc384196106 \h </w:instrText>
        </w:r>
        <w:r w:rsidR="003C440C">
          <w:rPr>
            <w:noProof/>
            <w:webHidden/>
          </w:rPr>
        </w:r>
        <w:r w:rsidR="003C440C">
          <w:rPr>
            <w:noProof/>
            <w:webHidden/>
          </w:rPr>
          <w:fldChar w:fldCharType="separate"/>
        </w:r>
        <w:r w:rsidR="005B5FD6">
          <w:rPr>
            <w:noProof/>
            <w:webHidden/>
          </w:rPr>
          <w:t>6</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07" w:history="1">
        <w:r w:rsidR="003C440C" w:rsidRPr="00AF364A">
          <w:rPr>
            <w:rStyle w:val="Hyperlink"/>
            <w:rFonts w:ascii="Century Gothic" w:hAnsi="Century Gothic"/>
            <w:noProof/>
          </w:rPr>
          <w:t>Sampling design &amp; site selection</w:t>
        </w:r>
        <w:r w:rsidR="003C440C">
          <w:rPr>
            <w:noProof/>
            <w:webHidden/>
          </w:rPr>
          <w:tab/>
        </w:r>
        <w:r w:rsidR="003C440C">
          <w:rPr>
            <w:noProof/>
            <w:webHidden/>
          </w:rPr>
          <w:fldChar w:fldCharType="begin"/>
        </w:r>
        <w:r w:rsidR="003C440C">
          <w:rPr>
            <w:noProof/>
            <w:webHidden/>
          </w:rPr>
          <w:instrText xml:space="preserve"> PAGEREF _Toc384196107 \h </w:instrText>
        </w:r>
        <w:r w:rsidR="003C440C">
          <w:rPr>
            <w:noProof/>
            <w:webHidden/>
          </w:rPr>
        </w:r>
        <w:r w:rsidR="003C440C">
          <w:rPr>
            <w:noProof/>
            <w:webHidden/>
          </w:rPr>
          <w:fldChar w:fldCharType="separate"/>
        </w:r>
        <w:r w:rsidR="005B5FD6">
          <w:rPr>
            <w:noProof/>
            <w:webHidden/>
          </w:rPr>
          <w:t>6</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08" w:history="1">
        <w:r w:rsidR="003C440C" w:rsidRPr="00AF364A">
          <w:rPr>
            <w:rStyle w:val="Hyperlink"/>
            <w:rFonts w:ascii="Century Gothic" w:hAnsi="Century Gothic"/>
            <w:noProof/>
          </w:rPr>
          <w:t>Seagrass abundance, composition and distribution</w:t>
        </w:r>
        <w:r w:rsidR="003C440C">
          <w:rPr>
            <w:noProof/>
            <w:webHidden/>
          </w:rPr>
          <w:tab/>
        </w:r>
        <w:r w:rsidR="003C440C">
          <w:rPr>
            <w:noProof/>
            <w:webHidden/>
          </w:rPr>
          <w:fldChar w:fldCharType="begin"/>
        </w:r>
        <w:r w:rsidR="003C440C">
          <w:rPr>
            <w:noProof/>
            <w:webHidden/>
          </w:rPr>
          <w:instrText xml:space="preserve"> PAGEREF _Toc384196108 \h </w:instrText>
        </w:r>
        <w:r w:rsidR="003C440C">
          <w:rPr>
            <w:noProof/>
            <w:webHidden/>
          </w:rPr>
        </w:r>
        <w:r w:rsidR="003C440C">
          <w:rPr>
            <w:noProof/>
            <w:webHidden/>
          </w:rPr>
          <w:fldChar w:fldCharType="separate"/>
        </w:r>
        <w:r w:rsidR="005B5FD6">
          <w:rPr>
            <w:noProof/>
            <w:webHidden/>
          </w:rPr>
          <w:t>9</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09" w:history="1">
        <w:r w:rsidR="003C440C" w:rsidRPr="00AF364A">
          <w:rPr>
            <w:rStyle w:val="Hyperlink"/>
            <w:rFonts w:ascii="Century Gothic" w:hAnsi="Century Gothic"/>
            <w:noProof/>
          </w:rPr>
          <w:t>Seagrass reproductive health</w:t>
        </w:r>
        <w:r w:rsidR="003C440C">
          <w:rPr>
            <w:noProof/>
            <w:webHidden/>
          </w:rPr>
          <w:tab/>
        </w:r>
        <w:r w:rsidR="003C440C">
          <w:rPr>
            <w:noProof/>
            <w:webHidden/>
          </w:rPr>
          <w:fldChar w:fldCharType="begin"/>
        </w:r>
        <w:r w:rsidR="003C440C">
          <w:rPr>
            <w:noProof/>
            <w:webHidden/>
          </w:rPr>
          <w:instrText xml:space="preserve"> PAGEREF _Toc384196109 \h </w:instrText>
        </w:r>
        <w:r w:rsidR="003C440C">
          <w:rPr>
            <w:noProof/>
            <w:webHidden/>
          </w:rPr>
        </w:r>
        <w:r w:rsidR="003C440C">
          <w:rPr>
            <w:noProof/>
            <w:webHidden/>
          </w:rPr>
          <w:fldChar w:fldCharType="separate"/>
        </w:r>
        <w:r w:rsidR="005B5FD6">
          <w:rPr>
            <w:noProof/>
            <w:webHidden/>
          </w:rPr>
          <w:t>12</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0" w:history="1">
        <w:r w:rsidR="003C440C" w:rsidRPr="00AF364A">
          <w:rPr>
            <w:rStyle w:val="Hyperlink"/>
            <w:rFonts w:ascii="Century Gothic" w:hAnsi="Century Gothic"/>
            <w:noProof/>
          </w:rPr>
          <w:t>Seagrass tissue nutrients</w:t>
        </w:r>
        <w:r w:rsidR="003C440C">
          <w:rPr>
            <w:noProof/>
            <w:webHidden/>
          </w:rPr>
          <w:tab/>
        </w:r>
        <w:r w:rsidR="003C440C">
          <w:rPr>
            <w:noProof/>
            <w:webHidden/>
          </w:rPr>
          <w:fldChar w:fldCharType="begin"/>
        </w:r>
        <w:r w:rsidR="003C440C">
          <w:rPr>
            <w:noProof/>
            <w:webHidden/>
          </w:rPr>
          <w:instrText xml:space="preserve"> PAGEREF _Toc384196110 \h </w:instrText>
        </w:r>
        <w:r w:rsidR="003C440C">
          <w:rPr>
            <w:noProof/>
            <w:webHidden/>
          </w:rPr>
        </w:r>
        <w:r w:rsidR="003C440C">
          <w:rPr>
            <w:noProof/>
            <w:webHidden/>
          </w:rPr>
          <w:fldChar w:fldCharType="separate"/>
        </w:r>
        <w:r w:rsidR="005B5FD6">
          <w:rPr>
            <w:noProof/>
            <w:webHidden/>
          </w:rPr>
          <w:t>13</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1" w:history="1">
        <w:r w:rsidR="003C440C" w:rsidRPr="00AF364A">
          <w:rPr>
            <w:rStyle w:val="Hyperlink"/>
            <w:rFonts w:ascii="Century Gothic" w:hAnsi="Century Gothic"/>
            <w:noProof/>
          </w:rPr>
          <w:t>Epiphyte and macro-algae abundance</w:t>
        </w:r>
        <w:r w:rsidR="003C440C">
          <w:rPr>
            <w:noProof/>
            <w:webHidden/>
          </w:rPr>
          <w:tab/>
        </w:r>
        <w:r w:rsidR="003C440C">
          <w:rPr>
            <w:noProof/>
            <w:webHidden/>
          </w:rPr>
          <w:fldChar w:fldCharType="begin"/>
        </w:r>
        <w:r w:rsidR="003C440C">
          <w:rPr>
            <w:noProof/>
            <w:webHidden/>
          </w:rPr>
          <w:instrText xml:space="preserve"> PAGEREF _Toc384196111 \h </w:instrText>
        </w:r>
        <w:r w:rsidR="003C440C">
          <w:rPr>
            <w:noProof/>
            <w:webHidden/>
          </w:rPr>
        </w:r>
        <w:r w:rsidR="003C440C">
          <w:rPr>
            <w:noProof/>
            <w:webHidden/>
          </w:rPr>
          <w:fldChar w:fldCharType="separate"/>
        </w:r>
        <w:r w:rsidR="005B5FD6">
          <w:rPr>
            <w:noProof/>
            <w:webHidden/>
          </w:rPr>
          <w:t>14</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2" w:history="1">
        <w:r w:rsidR="003C440C" w:rsidRPr="00AF364A">
          <w:rPr>
            <w:rStyle w:val="Hyperlink"/>
            <w:rFonts w:ascii="Century Gothic" w:hAnsi="Century Gothic"/>
            <w:noProof/>
          </w:rPr>
          <w:t>Within seagrass canopy temperature</w:t>
        </w:r>
        <w:r w:rsidR="003C440C">
          <w:rPr>
            <w:noProof/>
            <w:webHidden/>
          </w:rPr>
          <w:tab/>
        </w:r>
        <w:r w:rsidR="003C440C">
          <w:rPr>
            <w:noProof/>
            <w:webHidden/>
          </w:rPr>
          <w:fldChar w:fldCharType="begin"/>
        </w:r>
        <w:r w:rsidR="003C440C">
          <w:rPr>
            <w:noProof/>
            <w:webHidden/>
          </w:rPr>
          <w:instrText xml:space="preserve"> PAGEREF _Toc384196112 \h </w:instrText>
        </w:r>
        <w:r w:rsidR="003C440C">
          <w:rPr>
            <w:noProof/>
            <w:webHidden/>
          </w:rPr>
        </w:r>
        <w:r w:rsidR="003C440C">
          <w:rPr>
            <w:noProof/>
            <w:webHidden/>
          </w:rPr>
          <w:fldChar w:fldCharType="separate"/>
        </w:r>
        <w:r w:rsidR="005B5FD6">
          <w:rPr>
            <w:noProof/>
            <w:webHidden/>
          </w:rPr>
          <w:t>15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3" w:history="1">
        <w:r w:rsidR="003C440C" w:rsidRPr="00AF364A">
          <w:rPr>
            <w:rStyle w:val="Hyperlink"/>
            <w:rFonts w:ascii="Century Gothic" w:hAnsi="Century Gothic"/>
            <w:noProof/>
          </w:rPr>
          <w:t>Seagrass canopy light</w:t>
        </w:r>
        <w:r w:rsidR="003C440C">
          <w:rPr>
            <w:noProof/>
            <w:webHidden/>
          </w:rPr>
          <w:tab/>
        </w:r>
        <w:r w:rsidR="003C440C">
          <w:rPr>
            <w:noProof/>
            <w:webHidden/>
          </w:rPr>
          <w:fldChar w:fldCharType="begin"/>
        </w:r>
        <w:r w:rsidR="003C440C">
          <w:rPr>
            <w:noProof/>
            <w:webHidden/>
          </w:rPr>
          <w:instrText xml:space="preserve"> PAGEREF _Toc384196113 \h </w:instrText>
        </w:r>
        <w:r w:rsidR="003C440C">
          <w:rPr>
            <w:noProof/>
            <w:webHidden/>
          </w:rPr>
        </w:r>
        <w:r w:rsidR="003C440C">
          <w:rPr>
            <w:noProof/>
            <w:webHidden/>
          </w:rPr>
          <w:fldChar w:fldCharType="separate"/>
        </w:r>
        <w:r w:rsidR="005B5FD6">
          <w:rPr>
            <w:noProof/>
            <w:webHidden/>
          </w:rPr>
          <w:t>15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4" w:history="1">
        <w:r w:rsidR="003C440C" w:rsidRPr="00AF364A">
          <w:rPr>
            <w:rStyle w:val="Hyperlink"/>
            <w:rFonts w:ascii="Century Gothic" w:hAnsi="Century Gothic"/>
            <w:noProof/>
          </w:rPr>
          <w:t>Rhizosphere sediment herbicides</w:t>
        </w:r>
        <w:r w:rsidR="003C440C">
          <w:rPr>
            <w:noProof/>
            <w:webHidden/>
          </w:rPr>
          <w:tab/>
        </w:r>
        <w:r w:rsidR="003C440C">
          <w:rPr>
            <w:noProof/>
            <w:webHidden/>
          </w:rPr>
          <w:fldChar w:fldCharType="begin"/>
        </w:r>
        <w:r w:rsidR="003C440C">
          <w:rPr>
            <w:noProof/>
            <w:webHidden/>
          </w:rPr>
          <w:instrText xml:space="preserve"> PAGEREF _Toc384196114 \h </w:instrText>
        </w:r>
        <w:r w:rsidR="003C440C">
          <w:rPr>
            <w:noProof/>
            <w:webHidden/>
          </w:rPr>
        </w:r>
        <w:r w:rsidR="003C440C">
          <w:rPr>
            <w:noProof/>
            <w:webHidden/>
          </w:rPr>
          <w:fldChar w:fldCharType="separate"/>
        </w:r>
        <w:r w:rsidR="005B5FD6">
          <w:rPr>
            <w:noProof/>
            <w:webHidden/>
          </w:rPr>
          <w:t>17</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5" w:history="1">
        <w:r w:rsidR="003C440C" w:rsidRPr="00AF364A">
          <w:rPr>
            <w:rStyle w:val="Hyperlink"/>
            <w:rFonts w:ascii="Century Gothic" w:hAnsi="Century Gothic"/>
            <w:noProof/>
          </w:rPr>
          <w:t>Data analyses</w:t>
        </w:r>
        <w:r w:rsidR="003C440C">
          <w:rPr>
            <w:noProof/>
            <w:webHidden/>
          </w:rPr>
          <w:tab/>
        </w:r>
        <w:r w:rsidR="003C440C">
          <w:rPr>
            <w:noProof/>
            <w:webHidden/>
          </w:rPr>
          <w:fldChar w:fldCharType="begin"/>
        </w:r>
        <w:r w:rsidR="003C440C">
          <w:rPr>
            <w:noProof/>
            <w:webHidden/>
          </w:rPr>
          <w:instrText xml:space="preserve"> PAGEREF _Toc384196115 \h </w:instrText>
        </w:r>
        <w:r w:rsidR="003C440C">
          <w:rPr>
            <w:noProof/>
            <w:webHidden/>
          </w:rPr>
        </w:r>
        <w:r w:rsidR="003C440C">
          <w:rPr>
            <w:noProof/>
            <w:webHidden/>
          </w:rPr>
          <w:fldChar w:fldCharType="separate"/>
        </w:r>
        <w:r w:rsidR="005B5FD6">
          <w:rPr>
            <w:noProof/>
            <w:webHidden/>
          </w:rPr>
          <w:t>17</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6" w:history="1">
        <w:r w:rsidR="003C440C" w:rsidRPr="00AF364A">
          <w:rPr>
            <w:rStyle w:val="Hyperlink"/>
            <w:rFonts w:ascii="Century Gothic" w:hAnsi="Century Gothic"/>
            <w:noProof/>
          </w:rPr>
          <w:t>Reporting Approach</w:t>
        </w:r>
        <w:r w:rsidR="003C440C">
          <w:rPr>
            <w:noProof/>
            <w:webHidden/>
          </w:rPr>
          <w:tab/>
        </w:r>
        <w:r w:rsidR="003C440C">
          <w:rPr>
            <w:noProof/>
            <w:webHidden/>
          </w:rPr>
          <w:fldChar w:fldCharType="begin"/>
        </w:r>
        <w:r w:rsidR="003C440C">
          <w:rPr>
            <w:noProof/>
            <w:webHidden/>
          </w:rPr>
          <w:instrText xml:space="preserve"> PAGEREF _Toc384196116 \h </w:instrText>
        </w:r>
        <w:r w:rsidR="003C440C">
          <w:rPr>
            <w:noProof/>
            <w:webHidden/>
          </w:rPr>
        </w:r>
        <w:r w:rsidR="003C440C">
          <w:rPr>
            <w:noProof/>
            <w:webHidden/>
          </w:rPr>
          <w:fldChar w:fldCharType="separate"/>
        </w:r>
        <w:r w:rsidR="005B5FD6">
          <w:rPr>
            <w:noProof/>
            <w:webHidden/>
          </w:rPr>
          <w:t>17</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17" w:history="1">
        <w:r w:rsidR="003C440C" w:rsidRPr="00AF364A">
          <w:rPr>
            <w:rStyle w:val="Hyperlink"/>
            <w:rFonts w:ascii="Century Gothic" w:hAnsi="Century Gothic"/>
            <w:noProof/>
          </w:rPr>
          <w:t>Report card</w:t>
        </w:r>
        <w:r w:rsidR="003C440C">
          <w:rPr>
            <w:noProof/>
            <w:webHidden/>
          </w:rPr>
          <w:tab/>
        </w:r>
        <w:r w:rsidR="003C440C">
          <w:rPr>
            <w:noProof/>
            <w:webHidden/>
          </w:rPr>
          <w:fldChar w:fldCharType="begin"/>
        </w:r>
        <w:r w:rsidR="003C440C">
          <w:rPr>
            <w:noProof/>
            <w:webHidden/>
          </w:rPr>
          <w:instrText xml:space="preserve"> PAGEREF _Toc384196117 \h </w:instrText>
        </w:r>
        <w:r w:rsidR="003C440C">
          <w:rPr>
            <w:noProof/>
            <w:webHidden/>
          </w:rPr>
        </w:r>
        <w:r w:rsidR="003C440C">
          <w:rPr>
            <w:noProof/>
            <w:webHidden/>
          </w:rPr>
          <w:fldChar w:fldCharType="separate"/>
        </w:r>
        <w:r w:rsidR="005B5FD6">
          <w:rPr>
            <w:noProof/>
            <w:webHidden/>
          </w:rPr>
          <w:t>19</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18" w:history="1">
        <w:r w:rsidR="003C440C" w:rsidRPr="00AF364A">
          <w:rPr>
            <w:rStyle w:val="Hyperlink"/>
            <w:noProof/>
          </w:rPr>
          <w:t>Seagrass abundance</w:t>
        </w:r>
        <w:r w:rsidR="003C440C">
          <w:rPr>
            <w:noProof/>
            <w:webHidden/>
          </w:rPr>
          <w:tab/>
        </w:r>
        <w:r w:rsidR="003C440C">
          <w:rPr>
            <w:noProof/>
            <w:webHidden/>
          </w:rPr>
          <w:fldChar w:fldCharType="begin"/>
        </w:r>
        <w:r w:rsidR="003C440C">
          <w:rPr>
            <w:noProof/>
            <w:webHidden/>
          </w:rPr>
          <w:instrText xml:space="preserve"> PAGEREF _Toc384196118 \h </w:instrText>
        </w:r>
        <w:r w:rsidR="003C440C">
          <w:rPr>
            <w:noProof/>
            <w:webHidden/>
          </w:rPr>
        </w:r>
        <w:r w:rsidR="003C440C">
          <w:rPr>
            <w:noProof/>
            <w:webHidden/>
          </w:rPr>
          <w:fldChar w:fldCharType="separate"/>
        </w:r>
        <w:r w:rsidR="005B5FD6">
          <w:rPr>
            <w:noProof/>
            <w:webHidden/>
          </w:rPr>
          <w:t>19</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19" w:history="1">
        <w:r w:rsidR="003C440C" w:rsidRPr="00AF364A">
          <w:rPr>
            <w:rStyle w:val="Hyperlink"/>
            <w:noProof/>
          </w:rPr>
          <w:t>Seagrass reproductive effort</w:t>
        </w:r>
        <w:r w:rsidR="003C440C">
          <w:rPr>
            <w:noProof/>
            <w:webHidden/>
          </w:rPr>
          <w:tab/>
        </w:r>
        <w:r w:rsidR="003C440C">
          <w:rPr>
            <w:noProof/>
            <w:webHidden/>
          </w:rPr>
          <w:fldChar w:fldCharType="begin"/>
        </w:r>
        <w:r w:rsidR="003C440C">
          <w:rPr>
            <w:noProof/>
            <w:webHidden/>
          </w:rPr>
          <w:instrText xml:space="preserve"> PAGEREF _Toc384196119 \h </w:instrText>
        </w:r>
        <w:r w:rsidR="003C440C">
          <w:rPr>
            <w:noProof/>
            <w:webHidden/>
          </w:rPr>
        </w:r>
        <w:r w:rsidR="003C440C">
          <w:rPr>
            <w:noProof/>
            <w:webHidden/>
          </w:rPr>
          <w:fldChar w:fldCharType="separate"/>
        </w:r>
        <w:r w:rsidR="005B5FD6">
          <w:rPr>
            <w:noProof/>
            <w:webHidden/>
          </w:rPr>
          <w:t>23</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0" w:history="1">
        <w:r w:rsidR="003C440C" w:rsidRPr="00AF364A">
          <w:rPr>
            <w:rStyle w:val="Hyperlink"/>
            <w:noProof/>
          </w:rPr>
          <w:t>Seagrass nutrient status.</w:t>
        </w:r>
        <w:r w:rsidR="003C440C">
          <w:rPr>
            <w:noProof/>
            <w:webHidden/>
          </w:rPr>
          <w:tab/>
        </w:r>
        <w:r w:rsidR="003C440C">
          <w:rPr>
            <w:noProof/>
            <w:webHidden/>
          </w:rPr>
          <w:fldChar w:fldCharType="begin"/>
        </w:r>
        <w:r w:rsidR="003C440C">
          <w:rPr>
            <w:noProof/>
            <w:webHidden/>
          </w:rPr>
          <w:instrText xml:space="preserve"> PAGEREF _Toc384196120 \h </w:instrText>
        </w:r>
        <w:r w:rsidR="003C440C">
          <w:rPr>
            <w:noProof/>
            <w:webHidden/>
          </w:rPr>
        </w:r>
        <w:r w:rsidR="003C440C">
          <w:rPr>
            <w:noProof/>
            <w:webHidden/>
          </w:rPr>
          <w:fldChar w:fldCharType="separate"/>
        </w:r>
        <w:r w:rsidR="005B5FD6">
          <w:rPr>
            <w:noProof/>
            <w:webHidden/>
          </w:rPr>
          <w:t>23</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1" w:history="1">
        <w:r w:rsidR="003C440C" w:rsidRPr="00AF364A">
          <w:rPr>
            <w:rStyle w:val="Hyperlink"/>
            <w:noProof/>
          </w:rPr>
          <w:t>Seagrass index</w:t>
        </w:r>
        <w:r w:rsidR="003C440C">
          <w:rPr>
            <w:noProof/>
            <w:webHidden/>
          </w:rPr>
          <w:tab/>
        </w:r>
        <w:r w:rsidR="003C440C">
          <w:rPr>
            <w:noProof/>
            <w:webHidden/>
          </w:rPr>
          <w:fldChar w:fldCharType="begin"/>
        </w:r>
        <w:r w:rsidR="003C440C">
          <w:rPr>
            <w:noProof/>
            <w:webHidden/>
          </w:rPr>
          <w:instrText xml:space="preserve"> PAGEREF _Toc384196121 \h </w:instrText>
        </w:r>
        <w:r w:rsidR="003C440C">
          <w:rPr>
            <w:noProof/>
            <w:webHidden/>
          </w:rPr>
        </w:r>
        <w:r w:rsidR="003C440C">
          <w:rPr>
            <w:noProof/>
            <w:webHidden/>
          </w:rPr>
          <w:fldChar w:fldCharType="separate"/>
        </w:r>
        <w:r w:rsidR="005B5FD6">
          <w:rPr>
            <w:noProof/>
            <w:webHidden/>
          </w:rPr>
          <w:t>24</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22" w:history="1">
        <w:r w:rsidR="003C440C" w:rsidRPr="00AF364A">
          <w:rPr>
            <w:rStyle w:val="Hyperlink"/>
            <w:rFonts w:ascii="Century Gothic" w:hAnsi="Century Gothic"/>
            <w:noProof/>
          </w:rPr>
          <w:t>3. Results &amp; Discussion</w:t>
        </w:r>
        <w:r w:rsidR="003C440C">
          <w:rPr>
            <w:noProof/>
            <w:webHidden/>
          </w:rPr>
          <w:tab/>
        </w:r>
        <w:r w:rsidR="003C440C">
          <w:rPr>
            <w:noProof/>
            <w:webHidden/>
          </w:rPr>
          <w:fldChar w:fldCharType="begin"/>
        </w:r>
        <w:r w:rsidR="003C440C">
          <w:rPr>
            <w:noProof/>
            <w:webHidden/>
          </w:rPr>
          <w:instrText xml:space="preserve"> PAGEREF _Toc384196122 \h </w:instrText>
        </w:r>
        <w:r w:rsidR="003C440C">
          <w:rPr>
            <w:noProof/>
            <w:webHidden/>
          </w:rPr>
        </w:r>
        <w:r w:rsidR="003C440C">
          <w:rPr>
            <w:noProof/>
            <w:webHidden/>
          </w:rPr>
          <w:fldChar w:fldCharType="separate"/>
        </w:r>
        <w:r w:rsidR="005B5FD6">
          <w:rPr>
            <w:noProof/>
            <w:webHidden/>
          </w:rPr>
          <w:t>25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23" w:history="1">
        <w:r w:rsidR="003C440C" w:rsidRPr="00AF364A">
          <w:rPr>
            <w:rStyle w:val="Hyperlink"/>
            <w:rFonts w:ascii="Century Gothic" w:hAnsi="Century Gothic"/>
            <w:noProof/>
          </w:rPr>
          <w:t>GBR Summary</w:t>
        </w:r>
        <w:r w:rsidR="003C440C">
          <w:rPr>
            <w:noProof/>
            <w:webHidden/>
          </w:rPr>
          <w:tab/>
        </w:r>
        <w:r w:rsidR="003C440C">
          <w:rPr>
            <w:noProof/>
            <w:webHidden/>
          </w:rPr>
          <w:fldChar w:fldCharType="begin"/>
        </w:r>
        <w:r w:rsidR="003C440C">
          <w:rPr>
            <w:noProof/>
            <w:webHidden/>
          </w:rPr>
          <w:instrText xml:space="preserve"> PAGEREF _Toc384196123 \h </w:instrText>
        </w:r>
        <w:r w:rsidR="003C440C">
          <w:rPr>
            <w:noProof/>
            <w:webHidden/>
          </w:rPr>
        </w:r>
        <w:r w:rsidR="003C440C">
          <w:rPr>
            <w:noProof/>
            <w:webHidden/>
          </w:rPr>
          <w:fldChar w:fldCharType="separate"/>
        </w:r>
        <w:r w:rsidR="005B5FD6">
          <w:rPr>
            <w:noProof/>
            <w:webHidden/>
          </w:rPr>
          <w:t>25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4"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_Toc384196124 \h </w:instrText>
        </w:r>
        <w:r w:rsidR="003C440C">
          <w:rPr>
            <w:noProof/>
            <w:webHidden/>
          </w:rPr>
        </w:r>
        <w:r w:rsidR="003C440C">
          <w:rPr>
            <w:noProof/>
            <w:webHidden/>
          </w:rPr>
          <w:fldChar w:fldCharType="separate"/>
        </w:r>
        <w:r w:rsidR="005B5FD6">
          <w:rPr>
            <w:noProof/>
            <w:webHidden/>
          </w:rPr>
          <w:t>27</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5"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_Toc384196125 \h </w:instrText>
        </w:r>
        <w:r w:rsidR="003C440C">
          <w:rPr>
            <w:noProof/>
            <w:webHidden/>
          </w:rPr>
        </w:r>
        <w:r w:rsidR="003C440C">
          <w:rPr>
            <w:noProof/>
            <w:webHidden/>
          </w:rPr>
          <w:fldChar w:fldCharType="separate"/>
        </w:r>
        <w:r w:rsidR="005B5FD6">
          <w:rPr>
            <w:noProof/>
            <w:webHidden/>
          </w:rPr>
          <w:t>30</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26" w:history="1">
        <w:r w:rsidR="003C440C" w:rsidRPr="00AF364A">
          <w:rPr>
            <w:rStyle w:val="Hyperlink"/>
            <w:rFonts w:ascii="Century Gothic" w:hAnsi="Century Gothic"/>
            <w:noProof/>
          </w:rPr>
          <w:t>Cape York</w:t>
        </w:r>
        <w:r w:rsidR="003C440C">
          <w:rPr>
            <w:noProof/>
            <w:webHidden/>
          </w:rPr>
          <w:tab/>
        </w:r>
        <w:r w:rsidR="003C440C">
          <w:rPr>
            <w:noProof/>
            <w:webHidden/>
          </w:rPr>
          <w:fldChar w:fldCharType="begin"/>
        </w:r>
        <w:r w:rsidR="003C440C">
          <w:rPr>
            <w:noProof/>
            <w:webHidden/>
          </w:rPr>
          <w:instrText xml:space="preserve"> PAGEREF _Toc384196126 \h </w:instrText>
        </w:r>
        <w:r w:rsidR="003C440C">
          <w:rPr>
            <w:noProof/>
            <w:webHidden/>
          </w:rPr>
        </w:r>
        <w:r w:rsidR="003C440C">
          <w:rPr>
            <w:noProof/>
            <w:webHidden/>
          </w:rPr>
          <w:fldChar w:fldCharType="separate"/>
        </w:r>
        <w:r w:rsidR="005B5FD6">
          <w:rPr>
            <w:noProof/>
            <w:webHidden/>
          </w:rPr>
          <w:t>39</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7"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_Toc384196127 \h </w:instrText>
        </w:r>
        <w:r w:rsidR="003C440C">
          <w:rPr>
            <w:noProof/>
            <w:webHidden/>
          </w:rPr>
        </w:r>
        <w:r w:rsidR="003C440C">
          <w:rPr>
            <w:noProof/>
            <w:webHidden/>
          </w:rPr>
          <w:fldChar w:fldCharType="separate"/>
        </w:r>
        <w:r w:rsidR="005B5FD6">
          <w:rPr>
            <w:noProof/>
            <w:webHidden/>
          </w:rPr>
          <w:t>39</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8"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_Toc384196128 \h </w:instrText>
        </w:r>
        <w:r w:rsidR="003C440C">
          <w:rPr>
            <w:noProof/>
            <w:webHidden/>
          </w:rPr>
        </w:r>
        <w:r w:rsidR="003C440C">
          <w:rPr>
            <w:noProof/>
            <w:webHidden/>
          </w:rPr>
          <w:fldChar w:fldCharType="separate"/>
        </w:r>
        <w:r w:rsidR="005B5FD6">
          <w:rPr>
            <w:noProof/>
            <w:webHidden/>
          </w:rPr>
          <w:t>40</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29"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_Toc384196129 \h </w:instrText>
        </w:r>
        <w:r w:rsidR="003C440C">
          <w:rPr>
            <w:noProof/>
            <w:webHidden/>
          </w:rPr>
        </w:r>
        <w:r w:rsidR="003C440C">
          <w:rPr>
            <w:noProof/>
            <w:webHidden/>
          </w:rPr>
          <w:fldChar w:fldCharType="separate"/>
        </w:r>
        <w:r w:rsidR="005B5FD6">
          <w:rPr>
            <w:noProof/>
            <w:webHidden/>
          </w:rPr>
          <w:t>43</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0"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_Toc384196130 \h </w:instrText>
        </w:r>
        <w:r w:rsidR="003C440C">
          <w:rPr>
            <w:noProof/>
            <w:webHidden/>
          </w:rPr>
        </w:r>
        <w:r w:rsidR="003C440C">
          <w:rPr>
            <w:noProof/>
            <w:webHidden/>
          </w:rPr>
          <w:fldChar w:fldCharType="separate"/>
        </w:r>
        <w:r w:rsidR="005B5FD6">
          <w:rPr>
            <w:noProof/>
            <w:webHidden/>
          </w:rPr>
          <w:t>47</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31" w:history="1">
        <w:r w:rsidR="003C440C" w:rsidRPr="00AF364A">
          <w:rPr>
            <w:rStyle w:val="Hyperlink"/>
            <w:rFonts w:ascii="Century Gothic" w:hAnsi="Century Gothic"/>
            <w:noProof/>
          </w:rPr>
          <w:t>Wet Tropics</w:t>
        </w:r>
        <w:r w:rsidR="003C440C">
          <w:rPr>
            <w:noProof/>
            <w:webHidden/>
          </w:rPr>
          <w:tab/>
        </w:r>
        <w:r w:rsidR="003C440C">
          <w:rPr>
            <w:noProof/>
            <w:webHidden/>
          </w:rPr>
          <w:fldChar w:fldCharType="begin"/>
        </w:r>
        <w:r w:rsidR="003C440C">
          <w:rPr>
            <w:noProof/>
            <w:webHidden/>
          </w:rPr>
          <w:instrText xml:space="preserve"> PAGEREF _Toc384196131 \h </w:instrText>
        </w:r>
        <w:r w:rsidR="003C440C">
          <w:rPr>
            <w:noProof/>
            <w:webHidden/>
          </w:rPr>
        </w:r>
        <w:r w:rsidR="003C440C">
          <w:rPr>
            <w:noProof/>
            <w:webHidden/>
          </w:rPr>
          <w:fldChar w:fldCharType="separate"/>
        </w:r>
        <w:r w:rsidR="005B5FD6">
          <w:rPr>
            <w:noProof/>
            <w:webHidden/>
          </w:rPr>
          <w:t>53</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2"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_Toc384196132 \h </w:instrText>
        </w:r>
        <w:r w:rsidR="003C440C">
          <w:rPr>
            <w:noProof/>
            <w:webHidden/>
          </w:rPr>
        </w:r>
        <w:r w:rsidR="003C440C">
          <w:rPr>
            <w:noProof/>
            <w:webHidden/>
          </w:rPr>
          <w:fldChar w:fldCharType="separate"/>
        </w:r>
        <w:r w:rsidR="005B5FD6">
          <w:rPr>
            <w:noProof/>
            <w:webHidden/>
          </w:rPr>
          <w:t>53</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3"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_Toc384196133 \h </w:instrText>
        </w:r>
        <w:r w:rsidR="003C440C">
          <w:rPr>
            <w:noProof/>
            <w:webHidden/>
          </w:rPr>
        </w:r>
        <w:r w:rsidR="003C440C">
          <w:rPr>
            <w:noProof/>
            <w:webHidden/>
          </w:rPr>
          <w:fldChar w:fldCharType="separate"/>
        </w:r>
        <w:r w:rsidR="005B5FD6">
          <w:rPr>
            <w:noProof/>
            <w:webHidden/>
          </w:rPr>
          <w:t>54</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4"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_Toc384196134 \h </w:instrText>
        </w:r>
        <w:r w:rsidR="003C440C">
          <w:rPr>
            <w:noProof/>
            <w:webHidden/>
          </w:rPr>
        </w:r>
        <w:r w:rsidR="003C440C">
          <w:rPr>
            <w:noProof/>
            <w:webHidden/>
          </w:rPr>
          <w:fldChar w:fldCharType="separate"/>
        </w:r>
        <w:r w:rsidR="005B5FD6">
          <w:rPr>
            <w:noProof/>
            <w:webHidden/>
          </w:rPr>
          <w:t>56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5"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_Toc384196135 \h </w:instrText>
        </w:r>
        <w:r w:rsidR="003C440C">
          <w:rPr>
            <w:noProof/>
            <w:webHidden/>
          </w:rPr>
        </w:r>
        <w:r w:rsidR="003C440C">
          <w:rPr>
            <w:noProof/>
            <w:webHidden/>
          </w:rPr>
          <w:fldChar w:fldCharType="separate"/>
        </w:r>
        <w:r w:rsidR="005B5FD6">
          <w:rPr>
            <w:noProof/>
            <w:webHidden/>
          </w:rPr>
          <w:t>65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36" w:history="1">
        <w:r w:rsidR="003C440C" w:rsidRPr="00AF364A">
          <w:rPr>
            <w:rStyle w:val="Hyperlink"/>
            <w:rFonts w:ascii="Century Gothic" w:hAnsi="Century Gothic"/>
            <w:noProof/>
          </w:rPr>
          <w:t>Burdekin</w:t>
        </w:r>
        <w:r w:rsidR="003C440C">
          <w:rPr>
            <w:noProof/>
            <w:webHidden/>
          </w:rPr>
          <w:tab/>
        </w:r>
        <w:r w:rsidR="003C440C">
          <w:rPr>
            <w:noProof/>
            <w:webHidden/>
          </w:rPr>
          <w:fldChar w:fldCharType="begin"/>
        </w:r>
        <w:r w:rsidR="003C440C">
          <w:rPr>
            <w:noProof/>
            <w:webHidden/>
          </w:rPr>
          <w:instrText xml:space="preserve"> PAGEREF _Toc384196136 \h </w:instrText>
        </w:r>
        <w:r w:rsidR="003C440C">
          <w:rPr>
            <w:noProof/>
            <w:webHidden/>
          </w:rPr>
        </w:r>
        <w:r w:rsidR="003C440C">
          <w:rPr>
            <w:noProof/>
            <w:webHidden/>
          </w:rPr>
          <w:fldChar w:fldCharType="separate"/>
        </w:r>
        <w:r w:rsidR="005B5FD6">
          <w:rPr>
            <w:noProof/>
            <w:webHidden/>
          </w:rPr>
          <w:t>85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7"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_Toc384196137 \h </w:instrText>
        </w:r>
        <w:r w:rsidR="003C440C">
          <w:rPr>
            <w:noProof/>
            <w:webHidden/>
          </w:rPr>
        </w:r>
        <w:r w:rsidR="003C440C">
          <w:rPr>
            <w:noProof/>
            <w:webHidden/>
          </w:rPr>
          <w:fldChar w:fldCharType="separate"/>
        </w:r>
        <w:r w:rsidR="005B5FD6">
          <w:rPr>
            <w:noProof/>
            <w:webHidden/>
          </w:rPr>
          <w:t>85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8"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_Toc384196138 \h </w:instrText>
        </w:r>
        <w:r w:rsidR="003C440C">
          <w:rPr>
            <w:noProof/>
            <w:webHidden/>
          </w:rPr>
        </w:r>
        <w:r w:rsidR="003C440C">
          <w:rPr>
            <w:noProof/>
            <w:webHidden/>
          </w:rPr>
          <w:fldChar w:fldCharType="separate"/>
        </w:r>
        <w:r w:rsidR="005B5FD6">
          <w:rPr>
            <w:noProof/>
            <w:webHidden/>
          </w:rPr>
          <w:t>86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39"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_Toc384196139 \h </w:instrText>
        </w:r>
        <w:r w:rsidR="003C440C">
          <w:rPr>
            <w:noProof/>
            <w:webHidden/>
          </w:rPr>
        </w:r>
        <w:r w:rsidR="003C440C">
          <w:rPr>
            <w:noProof/>
            <w:webHidden/>
          </w:rPr>
          <w:fldChar w:fldCharType="separate"/>
        </w:r>
        <w:r w:rsidR="005B5FD6">
          <w:rPr>
            <w:noProof/>
            <w:webHidden/>
          </w:rPr>
          <w:t>88</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0"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_Toc384196140 \h </w:instrText>
        </w:r>
        <w:r w:rsidR="003C440C">
          <w:rPr>
            <w:noProof/>
            <w:webHidden/>
          </w:rPr>
        </w:r>
        <w:r w:rsidR="003C440C">
          <w:rPr>
            <w:noProof/>
            <w:webHidden/>
          </w:rPr>
          <w:fldChar w:fldCharType="separate"/>
        </w:r>
        <w:r w:rsidR="005B5FD6">
          <w:rPr>
            <w:noProof/>
            <w:webHidden/>
          </w:rPr>
          <w:t>94</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41" w:history="1">
        <w:r w:rsidR="003C440C" w:rsidRPr="00AF364A">
          <w:rPr>
            <w:rStyle w:val="Hyperlink"/>
            <w:rFonts w:ascii="Century Gothic" w:hAnsi="Century Gothic"/>
            <w:noProof/>
          </w:rPr>
          <w:t>Mackay Whitsunday</w:t>
        </w:r>
        <w:r w:rsidR="003C440C">
          <w:rPr>
            <w:noProof/>
            <w:webHidden/>
          </w:rPr>
          <w:tab/>
        </w:r>
        <w:r w:rsidR="003C440C">
          <w:rPr>
            <w:noProof/>
            <w:webHidden/>
          </w:rPr>
          <w:fldChar w:fldCharType="begin"/>
        </w:r>
        <w:r w:rsidR="003C440C">
          <w:rPr>
            <w:noProof/>
            <w:webHidden/>
          </w:rPr>
          <w:instrText xml:space="preserve"> PAGEREF _Toc384196141 \h </w:instrText>
        </w:r>
        <w:r w:rsidR="003C440C">
          <w:rPr>
            <w:noProof/>
            <w:webHidden/>
          </w:rPr>
        </w:r>
        <w:r w:rsidR="003C440C">
          <w:rPr>
            <w:noProof/>
            <w:webHidden/>
          </w:rPr>
          <w:fldChar w:fldCharType="separate"/>
        </w:r>
        <w:r w:rsidR="005B5FD6">
          <w:rPr>
            <w:noProof/>
            <w:webHidden/>
          </w:rPr>
          <w:t>105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2"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_Toc384196142 \h </w:instrText>
        </w:r>
        <w:r w:rsidR="003C440C">
          <w:rPr>
            <w:noProof/>
            <w:webHidden/>
          </w:rPr>
        </w:r>
        <w:r w:rsidR="003C440C">
          <w:rPr>
            <w:noProof/>
            <w:webHidden/>
          </w:rPr>
          <w:fldChar w:fldCharType="separate"/>
        </w:r>
        <w:r w:rsidR="005B5FD6">
          <w:rPr>
            <w:noProof/>
            <w:webHidden/>
          </w:rPr>
          <w:t>105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3"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_Toc384196143 \h </w:instrText>
        </w:r>
        <w:r w:rsidR="003C440C">
          <w:rPr>
            <w:noProof/>
            <w:webHidden/>
          </w:rPr>
        </w:r>
        <w:r w:rsidR="003C440C">
          <w:rPr>
            <w:noProof/>
            <w:webHidden/>
          </w:rPr>
          <w:fldChar w:fldCharType="separate"/>
        </w:r>
        <w:r w:rsidR="005B5FD6">
          <w:rPr>
            <w:noProof/>
            <w:webHidden/>
          </w:rPr>
          <w:t>106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4"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_Toc384196144 \h </w:instrText>
        </w:r>
        <w:r w:rsidR="003C440C">
          <w:rPr>
            <w:noProof/>
            <w:webHidden/>
          </w:rPr>
        </w:r>
        <w:r w:rsidR="003C440C">
          <w:rPr>
            <w:noProof/>
            <w:webHidden/>
          </w:rPr>
          <w:fldChar w:fldCharType="separate"/>
        </w:r>
        <w:r w:rsidR="005B5FD6">
          <w:rPr>
            <w:noProof/>
            <w:webHidden/>
          </w:rPr>
          <w:t>108</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5"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_Toc384196145 \h </w:instrText>
        </w:r>
        <w:r w:rsidR="003C440C">
          <w:rPr>
            <w:noProof/>
            <w:webHidden/>
          </w:rPr>
        </w:r>
        <w:r w:rsidR="003C440C">
          <w:rPr>
            <w:noProof/>
            <w:webHidden/>
          </w:rPr>
          <w:fldChar w:fldCharType="separate"/>
        </w:r>
        <w:r w:rsidR="005B5FD6">
          <w:rPr>
            <w:noProof/>
            <w:webHidden/>
          </w:rPr>
          <w:t>115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46" w:history="1">
        <w:r w:rsidR="003C440C" w:rsidRPr="00AF364A">
          <w:rPr>
            <w:rStyle w:val="Hyperlink"/>
            <w:rFonts w:ascii="Century Gothic" w:hAnsi="Century Gothic"/>
            <w:noProof/>
          </w:rPr>
          <w:t>Fitzroy</w:t>
        </w:r>
        <w:r w:rsidR="003C440C">
          <w:rPr>
            <w:noProof/>
            <w:webHidden/>
          </w:rPr>
          <w:tab/>
        </w:r>
        <w:r w:rsidR="003C440C">
          <w:rPr>
            <w:noProof/>
            <w:webHidden/>
          </w:rPr>
          <w:fldChar w:fldCharType="begin"/>
        </w:r>
        <w:r w:rsidR="003C440C">
          <w:rPr>
            <w:noProof/>
            <w:webHidden/>
          </w:rPr>
          <w:instrText xml:space="preserve"> PAGEREF _Toc384196146 \h </w:instrText>
        </w:r>
        <w:r w:rsidR="003C440C">
          <w:rPr>
            <w:noProof/>
            <w:webHidden/>
          </w:rPr>
        </w:r>
        <w:r w:rsidR="003C440C">
          <w:rPr>
            <w:noProof/>
            <w:webHidden/>
          </w:rPr>
          <w:fldChar w:fldCharType="separate"/>
        </w:r>
        <w:r w:rsidR="005B5FD6">
          <w:rPr>
            <w:noProof/>
            <w:webHidden/>
          </w:rPr>
          <w:t>125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7"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_Toc384196147 \h </w:instrText>
        </w:r>
        <w:r w:rsidR="003C440C">
          <w:rPr>
            <w:noProof/>
            <w:webHidden/>
          </w:rPr>
        </w:r>
        <w:r w:rsidR="003C440C">
          <w:rPr>
            <w:noProof/>
            <w:webHidden/>
          </w:rPr>
          <w:fldChar w:fldCharType="separate"/>
        </w:r>
        <w:r w:rsidR="005B5FD6">
          <w:rPr>
            <w:noProof/>
            <w:webHidden/>
          </w:rPr>
          <w:t>125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8"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_Toc384196148 \h </w:instrText>
        </w:r>
        <w:r w:rsidR="003C440C">
          <w:rPr>
            <w:noProof/>
            <w:webHidden/>
          </w:rPr>
        </w:r>
        <w:r w:rsidR="003C440C">
          <w:rPr>
            <w:noProof/>
            <w:webHidden/>
          </w:rPr>
          <w:fldChar w:fldCharType="separate"/>
        </w:r>
        <w:r w:rsidR="005B5FD6">
          <w:rPr>
            <w:noProof/>
            <w:webHidden/>
          </w:rPr>
          <w:t>126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49"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_Toc384196149 \h </w:instrText>
        </w:r>
        <w:r w:rsidR="003C440C">
          <w:rPr>
            <w:noProof/>
            <w:webHidden/>
          </w:rPr>
        </w:r>
        <w:r w:rsidR="003C440C">
          <w:rPr>
            <w:noProof/>
            <w:webHidden/>
          </w:rPr>
          <w:fldChar w:fldCharType="separate"/>
        </w:r>
        <w:r w:rsidR="005B5FD6">
          <w:rPr>
            <w:noProof/>
            <w:webHidden/>
          </w:rPr>
          <w:t>129</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50"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_Toc384196150 \h </w:instrText>
        </w:r>
        <w:r w:rsidR="003C440C">
          <w:rPr>
            <w:noProof/>
            <w:webHidden/>
          </w:rPr>
        </w:r>
        <w:r w:rsidR="003C440C">
          <w:rPr>
            <w:noProof/>
            <w:webHidden/>
          </w:rPr>
          <w:fldChar w:fldCharType="separate"/>
        </w:r>
        <w:r w:rsidR="005B5FD6">
          <w:rPr>
            <w:noProof/>
            <w:webHidden/>
          </w:rPr>
          <w:t>135</w:t>
        </w:r>
        <w:r w:rsidR="003C440C">
          <w:rPr>
            <w:noProof/>
            <w:webHidden/>
          </w:rPr>
          <w:fldChar w:fldCharType="end"/>
        </w:r>
      </w:hyperlink>
    </w:p>
    <w:p w:rsidR="003C440C" w:rsidRDefault="009A14B8">
      <w:pPr>
        <w:pStyle w:val="TOC2"/>
        <w:rPr>
          <w:rFonts w:ascii="Times New Roman" w:hAnsi="Times New Roman"/>
          <w:b w:val="0"/>
          <w:i w:val="0"/>
          <w:noProof/>
          <w:sz w:val="24"/>
          <w:lang w:eastAsia="en-AU"/>
        </w:rPr>
      </w:pPr>
      <w:hyperlink w:anchor="_Toc384196151" w:history="1">
        <w:r w:rsidR="003C440C" w:rsidRPr="00AF364A">
          <w:rPr>
            <w:rStyle w:val="Hyperlink"/>
            <w:rFonts w:ascii="Century Gothic" w:hAnsi="Century Gothic"/>
            <w:noProof/>
          </w:rPr>
          <w:t>Burnett Mary</w:t>
        </w:r>
        <w:r w:rsidR="003C440C">
          <w:rPr>
            <w:noProof/>
            <w:webHidden/>
          </w:rPr>
          <w:tab/>
        </w:r>
        <w:r w:rsidR="003C440C">
          <w:rPr>
            <w:noProof/>
            <w:webHidden/>
          </w:rPr>
          <w:fldChar w:fldCharType="begin"/>
        </w:r>
        <w:r w:rsidR="003C440C">
          <w:rPr>
            <w:noProof/>
            <w:webHidden/>
          </w:rPr>
          <w:instrText xml:space="preserve"> PAGEREF _Toc384196151 \h </w:instrText>
        </w:r>
        <w:r w:rsidR="003C440C">
          <w:rPr>
            <w:noProof/>
            <w:webHidden/>
          </w:rPr>
        </w:r>
        <w:r w:rsidR="003C440C">
          <w:rPr>
            <w:noProof/>
            <w:webHidden/>
          </w:rPr>
          <w:fldChar w:fldCharType="separate"/>
        </w:r>
        <w:r w:rsidR="005B5FD6">
          <w:rPr>
            <w:noProof/>
            <w:webHidden/>
          </w:rPr>
          <w:t>145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52" w:history="1">
        <w:r w:rsidR="003C440C" w:rsidRPr="00AF364A">
          <w:rPr>
            <w:rStyle w:val="Hyperlink"/>
            <w:noProof/>
          </w:rPr>
          <w:t>2011/12 Summary</w:t>
        </w:r>
        <w:r w:rsidR="003C440C">
          <w:rPr>
            <w:noProof/>
            <w:webHidden/>
          </w:rPr>
          <w:tab/>
        </w:r>
        <w:r w:rsidR="003C440C">
          <w:rPr>
            <w:noProof/>
            <w:webHidden/>
          </w:rPr>
          <w:fldChar w:fldCharType="begin"/>
        </w:r>
        <w:r w:rsidR="003C440C">
          <w:rPr>
            <w:noProof/>
            <w:webHidden/>
          </w:rPr>
          <w:instrText xml:space="preserve"> PAGEREF _Toc384196152 \h </w:instrText>
        </w:r>
        <w:r w:rsidR="003C440C">
          <w:rPr>
            <w:noProof/>
            <w:webHidden/>
          </w:rPr>
        </w:r>
        <w:r w:rsidR="003C440C">
          <w:rPr>
            <w:noProof/>
            <w:webHidden/>
          </w:rPr>
          <w:fldChar w:fldCharType="separate"/>
        </w:r>
        <w:r w:rsidR="005B5FD6">
          <w:rPr>
            <w:noProof/>
            <w:webHidden/>
          </w:rPr>
          <w:t>145</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53" w:history="1">
        <w:r w:rsidR="003C440C" w:rsidRPr="00AF364A">
          <w:rPr>
            <w:rStyle w:val="Hyperlink"/>
            <w:noProof/>
          </w:rPr>
          <w:t>Background</w:t>
        </w:r>
        <w:r w:rsidR="003C440C">
          <w:rPr>
            <w:noProof/>
            <w:webHidden/>
          </w:rPr>
          <w:tab/>
        </w:r>
        <w:r w:rsidR="003C440C">
          <w:rPr>
            <w:noProof/>
            <w:webHidden/>
          </w:rPr>
          <w:fldChar w:fldCharType="begin"/>
        </w:r>
        <w:r w:rsidR="003C440C">
          <w:rPr>
            <w:noProof/>
            <w:webHidden/>
          </w:rPr>
          <w:instrText xml:space="preserve"> PAGEREF _Toc384196153 \h </w:instrText>
        </w:r>
        <w:r w:rsidR="003C440C">
          <w:rPr>
            <w:noProof/>
            <w:webHidden/>
          </w:rPr>
        </w:r>
        <w:r w:rsidR="003C440C">
          <w:rPr>
            <w:noProof/>
            <w:webHidden/>
          </w:rPr>
          <w:fldChar w:fldCharType="separate"/>
        </w:r>
        <w:r w:rsidR="005B5FD6">
          <w:rPr>
            <w:noProof/>
            <w:webHidden/>
          </w:rPr>
          <w:t>146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54" w:history="1">
        <w:r w:rsidR="003C440C" w:rsidRPr="00AF364A">
          <w:rPr>
            <w:rStyle w:val="Hyperlink"/>
            <w:noProof/>
          </w:rPr>
          <w:t>Status of the seagrass community</w:t>
        </w:r>
        <w:r w:rsidR="003C440C">
          <w:rPr>
            <w:noProof/>
            <w:webHidden/>
          </w:rPr>
          <w:tab/>
        </w:r>
        <w:r w:rsidR="003C440C">
          <w:rPr>
            <w:noProof/>
            <w:webHidden/>
          </w:rPr>
          <w:fldChar w:fldCharType="begin"/>
        </w:r>
        <w:r w:rsidR="003C440C">
          <w:rPr>
            <w:noProof/>
            <w:webHidden/>
          </w:rPr>
          <w:instrText xml:space="preserve"> PAGEREF _Toc384196154 \h </w:instrText>
        </w:r>
        <w:r w:rsidR="003C440C">
          <w:rPr>
            <w:noProof/>
            <w:webHidden/>
          </w:rPr>
        </w:r>
        <w:r w:rsidR="003C440C">
          <w:rPr>
            <w:noProof/>
            <w:webHidden/>
          </w:rPr>
          <w:fldChar w:fldCharType="separate"/>
        </w:r>
        <w:r w:rsidR="005B5FD6">
          <w:rPr>
            <w:noProof/>
            <w:webHidden/>
          </w:rPr>
          <w:t>146</w:t>
        </w:r>
        <w:r w:rsidR="003C440C">
          <w:rPr>
            <w:noProof/>
            <w:webHidden/>
          </w:rPr>
          <w:fldChar w:fldCharType="end"/>
        </w:r>
      </w:hyperlink>
    </w:p>
    <w:p w:rsidR="003C440C" w:rsidRDefault="009A14B8">
      <w:pPr>
        <w:pStyle w:val="TOC3"/>
        <w:rPr>
          <w:rFonts w:ascii="Times New Roman" w:hAnsi="Times New Roman"/>
          <w:noProof/>
          <w:sz w:val="24"/>
          <w:lang w:eastAsia="en-AU"/>
        </w:rPr>
      </w:pPr>
      <w:hyperlink w:anchor="_Toc384196155" w:history="1">
        <w:r w:rsidR="003C440C" w:rsidRPr="00AF364A">
          <w:rPr>
            <w:rStyle w:val="Hyperlink"/>
            <w:noProof/>
          </w:rPr>
          <w:t>Status of the seagrass environment</w:t>
        </w:r>
        <w:r w:rsidR="003C440C">
          <w:rPr>
            <w:noProof/>
            <w:webHidden/>
          </w:rPr>
          <w:tab/>
        </w:r>
        <w:r w:rsidR="003C440C">
          <w:rPr>
            <w:noProof/>
            <w:webHidden/>
          </w:rPr>
          <w:fldChar w:fldCharType="begin"/>
        </w:r>
        <w:r w:rsidR="003C440C">
          <w:rPr>
            <w:noProof/>
            <w:webHidden/>
          </w:rPr>
          <w:instrText xml:space="preserve"> PAGEREF _Toc384196155 \h </w:instrText>
        </w:r>
        <w:r w:rsidR="003C440C">
          <w:rPr>
            <w:noProof/>
            <w:webHidden/>
          </w:rPr>
        </w:r>
        <w:r w:rsidR="003C440C">
          <w:rPr>
            <w:noProof/>
            <w:webHidden/>
          </w:rPr>
          <w:fldChar w:fldCharType="separate"/>
        </w:r>
        <w:r w:rsidR="005B5FD6">
          <w:rPr>
            <w:noProof/>
            <w:webHidden/>
          </w:rPr>
          <w:t>152</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56" w:history="1">
        <w:r w:rsidR="003C440C" w:rsidRPr="00AF364A">
          <w:rPr>
            <w:rStyle w:val="Hyperlink"/>
            <w:rFonts w:ascii="Century Gothic" w:hAnsi="Century Gothic"/>
            <w:noProof/>
          </w:rPr>
          <w:t>4. Conclusions</w:t>
        </w:r>
        <w:r w:rsidR="003C440C">
          <w:rPr>
            <w:noProof/>
            <w:webHidden/>
          </w:rPr>
          <w:tab/>
        </w:r>
        <w:r w:rsidR="003C440C">
          <w:rPr>
            <w:noProof/>
            <w:webHidden/>
          </w:rPr>
          <w:fldChar w:fldCharType="begin"/>
        </w:r>
        <w:r w:rsidR="003C440C">
          <w:rPr>
            <w:noProof/>
            <w:webHidden/>
          </w:rPr>
          <w:instrText xml:space="preserve"> PAGEREF _Toc384196156 \h </w:instrText>
        </w:r>
        <w:r w:rsidR="003C440C">
          <w:rPr>
            <w:noProof/>
            <w:webHidden/>
          </w:rPr>
        </w:r>
        <w:r w:rsidR="003C440C">
          <w:rPr>
            <w:noProof/>
            <w:webHidden/>
          </w:rPr>
          <w:fldChar w:fldCharType="separate"/>
        </w:r>
        <w:r w:rsidR="005B5FD6">
          <w:rPr>
            <w:noProof/>
            <w:webHidden/>
          </w:rPr>
          <w:t>159</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57" w:history="1">
        <w:r w:rsidR="003C440C" w:rsidRPr="00AF364A">
          <w:rPr>
            <w:rStyle w:val="Hyperlink"/>
            <w:rFonts w:ascii="Century Gothic" w:hAnsi="Century Gothic"/>
            <w:noProof/>
          </w:rPr>
          <w:t>6. References</w:t>
        </w:r>
        <w:r w:rsidR="003C440C">
          <w:rPr>
            <w:noProof/>
            <w:webHidden/>
          </w:rPr>
          <w:tab/>
        </w:r>
        <w:r w:rsidR="003C440C">
          <w:rPr>
            <w:noProof/>
            <w:webHidden/>
          </w:rPr>
          <w:fldChar w:fldCharType="begin"/>
        </w:r>
        <w:r w:rsidR="003C440C">
          <w:rPr>
            <w:noProof/>
            <w:webHidden/>
          </w:rPr>
          <w:instrText xml:space="preserve"> PAGEREF _Toc384196157 \h </w:instrText>
        </w:r>
        <w:r w:rsidR="003C440C">
          <w:rPr>
            <w:noProof/>
            <w:webHidden/>
          </w:rPr>
        </w:r>
        <w:r w:rsidR="003C440C">
          <w:rPr>
            <w:noProof/>
            <w:webHidden/>
          </w:rPr>
          <w:fldChar w:fldCharType="separate"/>
        </w:r>
        <w:r w:rsidR="005B5FD6">
          <w:rPr>
            <w:noProof/>
            <w:webHidden/>
          </w:rPr>
          <w:t>163</w:t>
        </w:r>
        <w:r w:rsidR="003C440C">
          <w:rPr>
            <w:noProof/>
            <w:webHidden/>
          </w:rPr>
          <w:fldChar w:fldCharType="end"/>
        </w:r>
      </w:hyperlink>
    </w:p>
    <w:p w:rsidR="003C440C" w:rsidRDefault="009A14B8">
      <w:pPr>
        <w:pStyle w:val="TOC1"/>
        <w:rPr>
          <w:rFonts w:ascii="Times New Roman" w:hAnsi="Times New Roman"/>
          <w:b w:val="0"/>
          <w:noProof/>
          <w:sz w:val="24"/>
          <w:lang w:eastAsia="en-AU"/>
        </w:rPr>
      </w:pPr>
      <w:hyperlink w:anchor="_Toc384196158" w:history="1">
        <w:r w:rsidR="003C440C" w:rsidRPr="00AF364A">
          <w:rPr>
            <w:rStyle w:val="Hyperlink"/>
            <w:rFonts w:ascii="Century Gothic" w:hAnsi="Century Gothic"/>
            <w:noProof/>
          </w:rPr>
          <w:t>Appendix 1.</w:t>
        </w:r>
        <w:r w:rsidR="003C440C">
          <w:rPr>
            <w:noProof/>
            <w:webHidden/>
          </w:rPr>
          <w:tab/>
        </w:r>
        <w:r w:rsidR="003C440C">
          <w:rPr>
            <w:noProof/>
            <w:webHidden/>
          </w:rPr>
          <w:fldChar w:fldCharType="begin"/>
        </w:r>
        <w:r w:rsidR="003C440C">
          <w:rPr>
            <w:noProof/>
            <w:webHidden/>
          </w:rPr>
          <w:instrText xml:space="preserve"> PAGEREF _Toc384196158 \h </w:instrText>
        </w:r>
        <w:r w:rsidR="003C440C">
          <w:rPr>
            <w:noProof/>
            <w:webHidden/>
          </w:rPr>
        </w:r>
        <w:r w:rsidR="003C440C">
          <w:rPr>
            <w:noProof/>
            <w:webHidden/>
          </w:rPr>
          <w:fldChar w:fldCharType="separate"/>
        </w:r>
        <w:r w:rsidR="005B5FD6">
          <w:rPr>
            <w:noProof/>
            <w:webHidden/>
          </w:rPr>
          <w:t>176</w:t>
        </w:r>
        <w:r w:rsidR="003C440C">
          <w:rPr>
            <w:noProof/>
            <w:webHidden/>
          </w:rPr>
          <w:fldChar w:fldCharType="end"/>
        </w:r>
      </w:hyperlink>
    </w:p>
    <w:p w:rsidR="005132EF" w:rsidRPr="00370E70" w:rsidRDefault="005132EF" w:rsidP="00034AD4">
      <w:pPr>
        <w:tabs>
          <w:tab w:val="left" w:pos="540"/>
          <w:tab w:val="left" w:pos="1080"/>
          <w:tab w:val="right" w:leader="dot" w:pos="9072"/>
        </w:tabs>
        <w:spacing w:before="0" w:after="0"/>
      </w:pPr>
      <w:r w:rsidRPr="00370E70">
        <w:fldChar w:fldCharType="end"/>
      </w:r>
    </w:p>
    <w:p w:rsidR="005132EF" w:rsidRPr="00370E70" w:rsidRDefault="005132EF" w:rsidP="00034AD4">
      <w:pPr>
        <w:tabs>
          <w:tab w:val="left" w:pos="540"/>
          <w:tab w:val="left" w:pos="1080"/>
          <w:tab w:val="right" w:leader="dot" w:pos="9072"/>
        </w:tabs>
        <w:spacing w:before="0" w:after="0"/>
      </w:pPr>
    </w:p>
    <w:p w:rsidR="005132EF" w:rsidRPr="00370E70" w:rsidRDefault="005132EF" w:rsidP="00034AD4">
      <w:pPr>
        <w:tabs>
          <w:tab w:val="left" w:pos="540"/>
          <w:tab w:val="left" w:pos="1080"/>
          <w:tab w:val="right" w:leader="dot" w:pos="9072"/>
        </w:tabs>
        <w:spacing w:before="0" w:after="0"/>
      </w:pPr>
    </w:p>
    <w:p w:rsidR="005132EF" w:rsidRPr="00370E70" w:rsidRDefault="005132EF" w:rsidP="00034AD4">
      <w:pPr>
        <w:spacing w:after="240"/>
        <w:rPr>
          <w:rFonts w:ascii="Century Gothic" w:hAnsi="Century Gothic"/>
          <w:b/>
          <w:sz w:val="36"/>
          <w:szCs w:val="36"/>
        </w:rPr>
      </w:pPr>
      <w:r w:rsidRPr="00370E70">
        <w:rPr>
          <w:rFonts w:ascii="Century Gothic" w:hAnsi="Century Gothic"/>
          <w:b/>
          <w:sz w:val="36"/>
          <w:szCs w:val="36"/>
        </w:rPr>
        <w:br w:type="page"/>
      </w:r>
      <w:r w:rsidRPr="00370E70">
        <w:rPr>
          <w:rFonts w:ascii="Century Gothic" w:hAnsi="Century Gothic"/>
          <w:b/>
          <w:sz w:val="36"/>
          <w:szCs w:val="36"/>
        </w:rPr>
        <w:lastRenderedPageBreak/>
        <w:t>List of Figures</w:t>
      </w:r>
    </w:p>
    <w:p w:rsidR="003C440C" w:rsidRDefault="005132EF">
      <w:pPr>
        <w:pStyle w:val="TableofFigures"/>
        <w:tabs>
          <w:tab w:val="right" w:leader="dot" w:pos="9060"/>
        </w:tabs>
        <w:rPr>
          <w:rFonts w:ascii="Times New Roman" w:hAnsi="Times New Roman"/>
          <w:noProof/>
          <w:sz w:val="24"/>
          <w:lang w:eastAsia="en-AU"/>
        </w:rPr>
      </w:pPr>
      <w:r w:rsidRPr="00370E70">
        <w:rPr>
          <w:szCs w:val="22"/>
        </w:rPr>
        <w:fldChar w:fldCharType="begin"/>
      </w:r>
      <w:r w:rsidRPr="00370E70">
        <w:rPr>
          <w:szCs w:val="22"/>
        </w:rPr>
        <w:instrText xml:space="preserve"> TOC \h \z \c "Figure" </w:instrText>
      </w:r>
      <w:r w:rsidRPr="00370E70">
        <w:rPr>
          <w:szCs w:val="22"/>
        </w:rPr>
        <w:fldChar w:fldCharType="separate"/>
      </w:r>
      <w:hyperlink w:anchor="_Toc384196348" w:history="1">
        <w:r w:rsidR="003C440C" w:rsidRPr="003A52BF">
          <w:rPr>
            <w:rStyle w:val="Hyperlink"/>
            <w:noProof/>
          </w:rPr>
          <w:t xml:space="preserve">Figure 1. </w:t>
        </w:r>
        <w:r w:rsidR="003C440C" w:rsidRPr="003A52BF">
          <w:rPr>
            <w:rStyle w:val="Hyperlink"/>
            <w:i/>
            <w:noProof/>
          </w:rPr>
          <w:t>Conceptual diagram depicting threats to seagrass meadows and potential limitations to seagrass growth in inshore regions of the GBR related to changing water quality</w:t>
        </w:r>
        <w:r w:rsidR="003C440C">
          <w:rPr>
            <w:noProof/>
            <w:webHidden/>
          </w:rPr>
          <w:tab/>
        </w:r>
        <w:r w:rsidR="003C440C">
          <w:rPr>
            <w:noProof/>
            <w:webHidden/>
          </w:rPr>
          <w:fldChar w:fldCharType="begin"/>
        </w:r>
        <w:r w:rsidR="003C440C">
          <w:rPr>
            <w:noProof/>
            <w:webHidden/>
          </w:rPr>
          <w:instrText xml:space="preserve"> PAGEREF _Toc384196348 \h </w:instrText>
        </w:r>
        <w:r w:rsidR="003C440C">
          <w:rPr>
            <w:noProof/>
            <w:webHidden/>
          </w:rPr>
        </w:r>
        <w:r w:rsidR="003C440C">
          <w:rPr>
            <w:noProof/>
            <w:webHidden/>
          </w:rPr>
          <w:fldChar w:fldCharType="separate"/>
        </w:r>
        <w:r w:rsidR="005B5FD6">
          <w:rPr>
            <w:noProof/>
            <w:webHidden/>
          </w:rPr>
          <w:t>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49" w:history="1">
        <w:r w:rsidR="003C440C" w:rsidRPr="003A52BF">
          <w:rPr>
            <w:rStyle w:val="Hyperlink"/>
            <w:noProof/>
          </w:rPr>
          <w:t xml:space="preserve">Figure 2. </w:t>
        </w:r>
        <w:r w:rsidR="003C440C" w:rsidRPr="003A52BF">
          <w:rPr>
            <w:rStyle w:val="Hyperlink"/>
            <w:i/>
            <w:noProof/>
          </w:rPr>
          <w:t>General conceptual model of seagrass habitats in north east Australia</w:t>
        </w:r>
        <w:r w:rsidR="003C440C">
          <w:rPr>
            <w:noProof/>
            <w:webHidden/>
          </w:rPr>
          <w:tab/>
        </w:r>
        <w:r w:rsidR="003C440C">
          <w:rPr>
            <w:noProof/>
            <w:webHidden/>
          </w:rPr>
          <w:fldChar w:fldCharType="begin"/>
        </w:r>
        <w:r w:rsidR="003C440C">
          <w:rPr>
            <w:noProof/>
            <w:webHidden/>
          </w:rPr>
          <w:instrText xml:space="preserve"> PAGEREF _Toc384196349 \h </w:instrText>
        </w:r>
        <w:r w:rsidR="003C440C">
          <w:rPr>
            <w:noProof/>
            <w:webHidden/>
          </w:rPr>
        </w:r>
        <w:r w:rsidR="003C440C">
          <w:rPr>
            <w:noProof/>
            <w:webHidden/>
          </w:rPr>
          <w:fldChar w:fldCharType="separate"/>
        </w:r>
        <w:r w:rsidR="005B5FD6">
          <w:rPr>
            <w:noProof/>
            <w:webHidden/>
          </w:rPr>
          <w:t>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0" w:history="1">
        <w:r w:rsidR="003C440C" w:rsidRPr="003A52BF">
          <w:rPr>
            <w:rStyle w:val="Hyperlink"/>
            <w:noProof/>
          </w:rPr>
          <w:t xml:space="preserve">Figure 3. </w:t>
        </w:r>
        <w:r w:rsidR="003C440C" w:rsidRPr="003A52BF">
          <w:rPr>
            <w:rStyle w:val="Hyperlink"/>
            <w:i/>
            <w:noProof/>
          </w:rPr>
          <w:t>Illustration of seagrass recovery after loss and the categories of successional species over time</w:t>
        </w:r>
        <w:r w:rsidR="003C440C">
          <w:rPr>
            <w:noProof/>
            <w:webHidden/>
          </w:rPr>
          <w:tab/>
        </w:r>
        <w:r w:rsidR="003C440C">
          <w:rPr>
            <w:noProof/>
            <w:webHidden/>
          </w:rPr>
          <w:fldChar w:fldCharType="begin"/>
        </w:r>
        <w:r w:rsidR="003C440C">
          <w:rPr>
            <w:noProof/>
            <w:webHidden/>
          </w:rPr>
          <w:instrText xml:space="preserve"> PAGEREF _Toc384196350 \h </w:instrText>
        </w:r>
        <w:r w:rsidR="003C440C">
          <w:rPr>
            <w:noProof/>
            <w:webHidden/>
          </w:rPr>
        </w:r>
        <w:r w:rsidR="003C440C">
          <w:rPr>
            <w:noProof/>
            <w:webHidden/>
          </w:rPr>
          <w:fldChar w:fldCharType="separate"/>
        </w:r>
        <w:r w:rsidR="005B5FD6">
          <w:rPr>
            <w:noProof/>
            <w:webHidden/>
          </w:rPr>
          <w:t>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1" w:history="1">
        <w:r w:rsidR="003C440C" w:rsidRPr="003A52BF">
          <w:rPr>
            <w:rStyle w:val="Hyperlink"/>
            <w:noProof/>
          </w:rPr>
          <w:t>Figure 4.</w:t>
        </w:r>
        <w:r w:rsidR="003C440C" w:rsidRPr="003A52BF">
          <w:rPr>
            <w:rStyle w:val="Hyperlink"/>
            <w:i/>
            <w:noProof/>
          </w:rPr>
          <w:t xml:space="preserve"> Key to symbols used for conceptual diagrams detailing impacts to seagrasses.</w:t>
        </w:r>
        <w:r w:rsidR="003C440C">
          <w:rPr>
            <w:noProof/>
            <w:webHidden/>
          </w:rPr>
          <w:tab/>
        </w:r>
        <w:r w:rsidR="003C440C">
          <w:rPr>
            <w:noProof/>
            <w:webHidden/>
          </w:rPr>
          <w:fldChar w:fldCharType="begin"/>
        </w:r>
        <w:r w:rsidR="003C440C">
          <w:rPr>
            <w:noProof/>
            <w:webHidden/>
          </w:rPr>
          <w:instrText xml:space="preserve"> PAGEREF _Toc384196351 \h </w:instrText>
        </w:r>
        <w:r w:rsidR="003C440C">
          <w:rPr>
            <w:noProof/>
            <w:webHidden/>
          </w:rPr>
        </w:r>
        <w:r w:rsidR="003C440C">
          <w:rPr>
            <w:noProof/>
            <w:webHidden/>
          </w:rPr>
          <w:fldChar w:fldCharType="separate"/>
        </w:r>
        <w:r w:rsidR="005B5FD6">
          <w:rPr>
            <w:noProof/>
            <w:webHidden/>
          </w:rPr>
          <w:t>18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2" w:history="1">
        <w:r w:rsidR="003C440C" w:rsidRPr="003A52BF">
          <w:rPr>
            <w:rStyle w:val="Hyperlink"/>
            <w:noProof/>
          </w:rPr>
          <w:t xml:space="preserve">Figure 5. </w:t>
        </w:r>
        <w:r w:rsidR="003C440C" w:rsidRPr="003A52BF">
          <w:rPr>
            <w:rStyle w:val="Hyperlink"/>
            <w:i/>
            <w:noProof/>
          </w:rPr>
          <w:t>Relationship between sample size and the error in estimation of percentile values for seagrass abundance (% cover) in coastal and reef seagrass habitats in the Wet Tropics NRM</w:t>
        </w:r>
        <w:r w:rsidR="003C440C">
          <w:rPr>
            <w:noProof/>
            <w:webHidden/>
          </w:rPr>
          <w:tab/>
        </w:r>
        <w:r w:rsidR="003C440C">
          <w:rPr>
            <w:noProof/>
            <w:webHidden/>
          </w:rPr>
          <w:fldChar w:fldCharType="begin"/>
        </w:r>
        <w:r w:rsidR="003C440C">
          <w:rPr>
            <w:noProof/>
            <w:webHidden/>
          </w:rPr>
          <w:instrText xml:space="preserve"> PAGEREF _Toc384196352 \h </w:instrText>
        </w:r>
        <w:r w:rsidR="003C440C">
          <w:rPr>
            <w:noProof/>
            <w:webHidden/>
          </w:rPr>
        </w:r>
        <w:r w:rsidR="003C440C">
          <w:rPr>
            <w:noProof/>
            <w:webHidden/>
          </w:rPr>
          <w:fldChar w:fldCharType="separate"/>
        </w:r>
        <w:r w:rsidR="005B5FD6">
          <w:rPr>
            <w:noProof/>
            <w:webHidden/>
          </w:rPr>
          <w:t>20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3" w:history="1">
        <w:r w:rsidR="003C440C" w:rsidRPr="003A52BF">
          <w:rPr>
            <w:rStyle w:val="Hyperlink"/>
            <w:noProof/>
          </w:rPr>
          <w:t>Figure 6.</w:t>
        </w:r>
        <w:r w:rsidR="003C440C" w:rsidRPr="003A52BF">
          <w:rPr>
            <w:rStyle w:val="Hyperlink"/>
            <w:i/>
            <w:noProof/>
          </w:rPr>
          <w:t xml:space="preserve"> Median seagrass abundance (% cover) at Yule Point plotted against the 50</w:t>
        </w:r>
        <w:r w:rsidR="003C440C" w:rsidRPr="003A52BF">
          <w:rPr>
            <w:rStyle w:val="Hyperlink"/>
            <w:i/>
            <w:noProof/>
            <w:vertAlign w:val="superscript"/>
          </w:rPr>
          <w:t>th</w:t>
        </w:r>
        <w:r w:rsidR="003C440C" w:rsidRPr="003A52BF">
          <w:rPr>
            <w:rStyle w:val="Hyperlink"/>
            <w:i/>
            <w:noProof/>
          </w:rPr>
          <w:t xml:space="preserve"> and 20</w:t>
        </w:r>
        <w:r w:rsidR="003C440C" w:rsidRPr="003A52BF">
          <w:rPr>
            <w:rStyle w:val="Hyperlink"/>
            <w:i/>
            <w:noProof/>
            <w:vertAlign w:val="superscript"/>
          </w:rPr>
          <w:t>th</w:t>
        </w:r>
        <w:r w:rsidR="003C440C" w:rsidRPr="003A52BF">
          <w:rPr>
            <w:rStyle w:val="Hyperlink"/>
            <w:i/>
            <w:noProof/>
          </w:rPr>
          <w:t xml:space="preserve"> percentiles for coastal seagrass habitat in the Wet Tropics.</w:t>
        </w:r>
        <w:r w:rsidR="003C440C">
          <w:rPr>
            <w:noProof/>
            <w:webHidden/>
          </w:rPr>
          <w:tab/>
        </w:r>
        <w:r w:rsidR="003C440C">
          <w:rPr>
            <w:noProof/>
            <w:webHidden/>
          </w:rPr>
          <w:fldChar w:fldCharType="begin"/>
        </w:r>
        <w:r w:rsidR="003C440C">
          <w:rPr>
            <w:noProof/>
            <w:webHidden/>
          </w:rPr>
          <w:instrText xml:space="preserve"> PAGEREF _Toc384196353 \h </w:instrText>
        </w:r>
        <w:r w:rsidR="003C440C">
          <w:rPr>
            <w:noProof/>
            <w:webHidden/>
          </w:rPr>
        </w:r>
        <w:r w:rsidR="003C440C">
          <w:rPr>
            <w:noProof/>
            <w:webHidden/>
          </w:rPr>
          <w:fldChar w:fldCharType="separate"/>
        </w:r>
        <w:r w:rsidR="005B5FD6">
          <w:rPr>
            <w:noProof/>
            <w:webHidden/>
          </w:rPr>
          <w:t>21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4" w:history="1">
        <w:r w:rsidR="003C440C" w:rsidRPr="003A52BF">
          <w:rPr>
            <w:rStyle w:val="Hyperlink"/>
            <w:noProof/>
          </w:rPr>
          <w:t>Figure 7.</w:t>
        </w:r>
        <w:r w:rsidR="003C440C" w:rsidRPr="003A52BF">
          <w:rPr>
            <w:rStyle w:val="Hyperlink"/>
            <w:i/>
            <w:noProof/>
          </w:rPr>
          <w:t xml:space="preserve"> Median seagrass abundance (% cover) at Green Island plotted against the 50</w:t>
        </w:r>
        <w:r w:rsidR="003C440C" w:rsidRPr="003A52BF">
          <w:rPr>
            <w:rStyle w:val="Hyperlink"/>
            <w:i/>
            <w:noProof/>
            <w:vertAlign w:val="superscript"/>
          </w:rPr>
          <w:t>th</w:t>
        </w:r>
        <w:r w:rsidR="003C440C" w:rsidRPr="003A52BF">
          <w:rPr>
            <w:rStyle w:val="Hyperlink"/>
            <w:i/>
            <w:noProof/>
          </w:rPr>
          <w:t xml:space="preserve"> and 10</w:t>
        </w:r>
        <w:r w:rsidR="003C440C" w:rsidRPr="003A52BF">
          <w:rPr>
            <w:rStyle w:val="Hyperlink"/>
            <w:i/>
            <w:noProof/>
            <w:vertAlign w:val="superscript"/>
          </w:rPr>
          <w:t>th</w:t>
        </w:r>
        <w:r w:rsidR="003C440C" w:rsidRPr="003A52BF">
          <w:rPr>
            <w:rStyle w:val="Hyperlink"/>
            <w:i/>
            <w:noProof/>
          </w:rPr>
          <w:t xml:space="preserve"> percentiles for intertidal reef seagrass habitat in the Wet Tropics.</w:t>
        </w:r>
        <w:r w:rsidR="003C440C">
          <w:rPr>
            <w:noProof/>
            <w:webHidden/>
          </w:rPr>
          <w:tab/>
        </w:r>
        <w:r w:rsidR="003C440C">
          <w:rPr>
            <w:noProof/>
            <w:webHidden/>
          </w:rPr>
          <w:fldChar w:fldCharType="begin"/>
        </w:r>
        <w:r w:rsidR="003C440C">
          <w:rPr>
            <w:noProof/>
            <w:webHidden/>
          </w:rPr>
          <w:instrText xml:space="preserve"> PAGEREF _Toc384196354 \h </w:instrText>
        </w:r>
        <w:r w:rsidR="003C440C">
          <w:rPr>
            <w:noProof/>
            <w:webHidden/>
          </w:rPr>
        </w:r>
        <w:r w:rsidR="003C440C">
          <w:rPr>
            <w:noProof/>
            <w:webHidden/>
          </w:rPr>
          <w:fldChar w:fldCharType="separate"/>
        </w:r>
        <w:r w:rsidR="005B5FD6">
          <w:rPr>
            <w:noProof/>
            <w:webHidden/>
          </w:rPr>
          <w:t>21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5" w:history="1">
        <w:r w:rsidR="003C440C" w:rsidRPr="003A52BF">
          <w:rPr>
            <w:rStyle w:val="Hyperlink"/>
            <w:noProof/>
          </w:rPr>
          <w:t xml:space="preserve">Figure 8. </w:t>
        </w:r>
        <w:r w:rsidR="003C440C" w:rsidRPr="003A52BF">
          <w:rPr>
            <w:rStyle w:val="Hyperlink"/>
            <w:i/>
            <w:noProof/>
          </w:rPr>
          <w:t>Report card of seagrass status indicators and index for the GBR</w:t>
        </w:r>
        <w:r w:rsidR="003C440C">
          <w:rPr>
            <w:noProof/>
            <w:webHidden/>
          </w:rPr>
          <w:tab/>
        </w:r>
        <w:r w:rsidR="003C440C">
          <w:rPr>
            <w:noProof/>
            <w:webHidden/>
          </w:rPr>
          <w:fldChar w:fldCharType="begin"/>
        </w:r>
        <w:r w:rsidR="003C440C">
          <w:rPr>
            <w:noProof/>
            <w:webHidden/>
          </w:rPr>
          <w:instrText xml:space="preserve"> PAGEREF _Toc384196355 \h </w:instrText>
        </w:r>
        <w:r w:rsidR="003C440C">
          <w:rPr>
            <w:noProof/>
            <w:webHidden/>
          </w:rPr>
        </w:r>
        <w:r w:rsidR="003C440C">
          <w:rPr>
            <w:noProof/>
            <w:webHidden/>
          </w:rPr>
          <w:fldChar w:fldCharType="separate"/>
        </w:r>
        <w:r w:rsidR="005B5FD6">
          <w:rPr>
            <w:noProof/>
            <w:webHidden/>
          </w:rPr>
          <w:t>27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6" w:history="1">
        <w:r w:rsidR="003C440C" w:rsidRPr="003A52BF">
          <w:rPr>
            <w:rStyle w:val="Hyperlink"/>
            <w:noProof/>
          </w:rPr>
          <w:t xml:space="preserve">Figure 9. </w:t>
        </w:r>
        <w:r w:rsidR="003C440C" w:rsidRPr="003A52BF">
          <w:rPr>
            <w:rStyle w:val="Hyperlink"/>
            <w:i/>
            <w:noProof/>
          </w:rPr>
          <w:t>Average yearly seagrass abundance score (all sites and seasons pooled) for the GBR</w:t>
        </w:r>
        <w:r w:rsidR="003C440C">
          <w:rPr>
            <w:noProof/>
            <w:webHidden/>
          </w:rPr>
          <w:tab/>
        </w:r>
        <w:r w:rsidR="003C440C">
          <w:rPr>
            <w:noProof/>
            <w:webHidden/>
          </w:rPr>
          <w:fldChar w:fldCharType="begin"/>
        </w:r>
        <w:r w:rsidR="003C440C">
          <w:rPr>
            <w:noProof/>
            <w:webHidden/>
          </w:rPr>
          <w:instrText xml:space="preserve"> PAGEREF _Toc384196356 \h </w:instrText>
        </w:r>
        <w:r w:rsidR="003C440C">
          <w:rPr>
            <w:noProof/>
            <w:webHidden/>
          </w:rPr>
        </w:r>
        <w:r w:rsidR="003C440C">
          <w:rPr>
            <w:noProof/>
            <w:webHidden/>
          </w:rPr>
          <w:fldChar w:fldCharType="separate"/>
        </w:r>
        <w:r w:rsidR="005B5FD6">
          <w:rPr>
            <w:noProof/>
            <w:webHidden/>
          </w:rPr>
          <w:t>27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7" w:history="1">
        <w:r w:rsidR="003C440C" w:rsidRPr="003A52BF">
          <w:rPr>
            <w:rStyle w:val="Hyperlink"/>
            <w:noProof/>
          </w:rPr>
          <w:t xml:space="preserve">Figure 10. </w:t>
        </w:r>
        <w:r w:rsidR="003C440C" w:rsidRPr="003A52BF">
          <w:rPr>
            <w:rStyle w:val="Hyperlink"/>
            <w:i/>
            <w:noProof/>
          </w:rPr>
          <w:t xml:space="preserve">Regional report card scores for </w:t>
        </w:r>
        <w:r w:rsidR="003C440C" w:rsidRPr="003A52BF">
          <w:rPr>
            <w:rStyle w:val="Hyperlink"/>
            <w:b/>
            <w:i/>
            <w:noProof/>
          </w:rPr>
          <w:t>seagrass abundance</w:t>
        </w:r>
        <w:r w:rsidR="003C440C" w:rsidRPr="003A52BF">
          <w:rPr>
            <w:rStyle w:val="Hyperlink"/>
            <w:i/>
            <w:noProof/>
          </w:rPr>
          <w:t xml:space="preserve"> over the life of the MMP.</w:t>
        </w:r>
        <w:r w:rsidR="003C440C">
          <w:rPr>
            <w:noProof/>
            <w:webHidden/>
          </w:rPr>
          <w:tab/>
        </w:r>
        <w:r w:rsidR="003C440C">
          <w:rPr>
            <w:noProof/>
            <w:webHidden/>
          </w:rPr>
          <w:fldChar w:fldCharType="begin"/>
        </w:r>
        <w:r w:rsidR="003C440C">
          <w:rPr>
            <w:noProof/>
            <w:webHidden/>
          </w:rPr>
          <w:instrText xml:space="preserve"> PAGEREF _Toc384196357 \h </w:instrText>
        </w:r>
        <w:r w:rsidR="003C440C">
          <w:rPr>
            <w:noProof/>
            <w:webHidden/>
          </w:rPr>
        </w:r>
        <w:r w:rsidR="003C440C">
          <w:rPr>
            <w:noProof/>
            <w:webHidden/>
          </w:rPr>
          <w:fldChar w:fldCharType="separate"/>
        </w:r>
        <w:r w:rsidR="005B5FD6">
          <w:rPr>
            <w:noProof/>
            <w:webHidden/>
          </w:rPr>
          <w:t>28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8" w:history="1">
        <w:r w:rsidR="003C440C" w:rsidRPr="003A52BF">
          <w:rPr>
            <w:rStyle w:val="Hyperlink"/>
            <w:noProof/>
          </w:rPr>
          <w:t xml:space="preserve">Figure 11. </w:t>
        </w:r>
        <w:r w:rsidR="003C440C" w:rsidRPr="003A52BF">
          <w:rPr>
            <w:rStyle w:val="Hyperlink"/>
            <w:i/>
            <w:noProof/>
          </w:rPr>
          <w:t>Proportion of sites where seagrass cover has declined &gt;20% relative to the same season in previous year or meadow is absent.</w:t>
        </w:r>
        <w:r w:rsidR="003C440C">
          <w:rPr>
            <w:noProof/>
            <w:webHidden/>
          </w:rPr>
          <w:tab/>
        </w:r>
        <w:r w:rsidR="003C440C">
          <w:rPr>
            <w:noProof/>
            <w:webHidden/>
          </w:rPr>
          <w:fldChar w:fldCharType="begin"/>
        </w:r>
        <w:r w:rsidR="003C440C">
          <w:rPr>
            <w:noProof/>
            <w:webHidden/>
          </w:rPr>
          <w:instrText xml:space="preserve"> PAGEREF _Toc384196358 \h </w:instrText>
        </w:r>
        <w:r w:rsidR="003C440C">
          <w:rPr>
            <w:noProof/>
            <w:webHidden/>
          </w:rPr>
        </w:r>
        <w:r w:rsidR="003C440C">
          <w:rPr>
            <w:noProof/>
            <w:webHidden/>
          </w:rPr>
          <w:fldChar w:fldCharType="separate"/>
        </w:r>
        <w:r w:rsidR="005B5FD6">
          <w:rPr>
            <w:noProof/>
            <w:webHidden/>
          </w:rPr>
          <w:t>29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59" w:history="1">
        <w:r w:rsidR="003C440C" w:rsidRPr="003A52BF">
          <w:rPr>
            <w:rStyle w:val="Hyperlink"/>
            <w:noProof/>
          </w:rPr>
          <w:t>Figure 12.</w:t>
        </w:r>
        <w:r w:rsidR="003C440C" w:rsidRPr="003A52BF">
          <w:rPr>
            <w:rStyle w:val="Hyperlink"/>
            <w:i/>
            <w:noProof/>
          </w:rPr>
          <w:t xml:space="preserve"> Generalised trends in seagrass abundance for each habitat type (sites pooled) relative to the 95</w:t>
        </w:r>
        <w:r w:rsidR="003C440C" w:rsidRPr="003A52BF">
          <w:rPr>
            <w:rStyle w:val="Hyperlink"/>
            <w:i/>
            <w:noProof/>
            <w:vertAlign w:val="superscript"/>
          </w:rPr>
          <w:t>th</w:t>
        </w:r>
        <w:r w:rsidR="003C440C" w:rsidRPr="003A52BF">
          <w:rPr>
            <w:rStyle w:val="Hyperlink"/>
            <w:i/>
            <w:noProof/>
          </w:rPr>
          <w:t xml:space="preserve"> percentile (equally scaled).</w:t>
        </w:r>
        <w:r w:rsidR="003C440C">
          <w:rPr>
            <w:noProof/>
            <w:webHidden/>
          </w:rPr>
          <w:tab/>
        </w:r>
        <w:r w:rsidR="003C440C">
          <w:rPr>
            <w:noProof/>
            <w:webHidden/>
          </w:rPr>
          <w:fldChar w:fldCharType="begin"/>
        </w:r>
        <w:r w:rsidR="003C440C">
          <w:rPr>
            <w:noProof/>
            <w:webHidden/>
          </w:rPr>
          <w:instrText xml:space="preserve"> PAGEREF _Toc384196359 \h </w:instrText>
        </w:r>
        <w:r w:rsidR="003C440C">
          <w:rPr>
            <w:noProof/>
            <w:webHidden/>
          </w:rPr>
        </w:r>
        <w:r w:rsidR="003C440C">
          <w:rPr>
            <w:noProof/>
            <w:webHidden/>
          </w:rPr>
          <w:fldChar w:fldCharType="separate"/>
        </w:r>
        <w:r w:rsidR="005B5FD6">
          <w:rPr>
            <w:noProof/>
            <w:webHidden/>
          </w:rPr>
          <w:t>29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0" w:history="1">
        <w:r w:rsidR="003C440C" w:rsidRPr="003A52BF">
          <w:rPr>
            <w:rStyle w:val="Hyperlink"/>
            <w:noProof/>
          </w:rPr>
          <w:t xml:space="preserve">Figure 13. </w:t>
        </w:r>
        <w:r w:rsidR="003C440C" w:rsidRPr="003A52BF">
          <w:rPr>
            <w:rStyle w:val="Hyperlink"/>
            <w:i/>
            <w:noProof/>
          </w:rPr>
          <w:t xml:space="preserve">Regional report card scores for </w:t>
        </w:r>
        <w:r w:rsidR="003C440C" w:rsidRPr="003A52BF">
          <w:rPr>
            <w:rStyle w:val="Hyperlink"/>
            <w:b/>
            <w:i/>
            <w:noProof/>
          </w:rPr>
          <w:t>seagrass reproductive effort</w:t>
        </w:r>
        <w:r w:rsidR="003C440C" w:rsidRPr="003A52BF">
          <w:rPr>
            <w:rStyle w:val="Hyperlink"/>
            <w:i/>
            <w:noProof/>
          </w:rPr>
          <w:t xml:space="preserve"> over the life of the MMP.</w:t>
        </w:r>
        <w:r w:rsidR="003C440C">
          <w:rPr>
            <w:noProof/>
            <w:webHidden/>
          </w:rPr>
          <w:tab/>
        </w:r>
        <w:r w:rsidR="003C440C">
          <w:rPr>
            <w:noProof/>
            <w:webHidden/>
          </w:rPr>
          <w:fldChar w:fldCharType="begin"/>
        </w:r>
        <w:r w:rsidR="003C440C">
          <w:rPr>
            <w:noProof/>
            <w:webHidden/>
          </w:rPr>
          <w:instrText xml:space="preserve"> PAGEREF _Toc384196360 \h </w:instrText>
        </w:r>
        <w:r w:rsidR="003C440C">
          <w:rPr>
            <w:noProof/>
            <w:webHidden/>
          </w:rPr>
        </w:r>
        <w:r w:rsidR="003C440C">
          <w:rPr>
            <w:noProof/>
            <w:webHidden/>
          </w:rPr>
          <w:fldChar w:fldCharType="separate"/>
        </w:r>
        <w:r w:rsidR="005B5FD6">
          <w:rPr>
            <w:noProof/>
            <w:webHidden/>
          </w:rPr>
          <w:t>30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1" w:history="1">
        <w:r w:rsidR="003C440C" w:rsidRPr="003A52BF">
          <w:rPr>
            <w:rStyle w:val="Hyperlink"/>
            <w:noProof/>
          </w:rPr>
          <w:t xml:space="preserve">Figure 14. </w:t>
        </w:r>
        <w:r w:rsidR="003C440C" w:rsidRPr="003A52BF">
          <w:rPr>
            <w:rStyle w:val="Hyperlink"/>
            <w:i/>
            <w:noProof/>
          </w:rPr>
          <w:t>GBR median tissue nutrient concentrations (±Standard Error) in seagrass leaves for each habitat type (species pooled) over the entire monitoring program</w:t>
        </w:r>
        <w:r w:rsidR="003C440C">
          <w:rPr>
            <w:noProof/>
            <w:webHidden/>
          </w:rPr>
          <w:tab/>
        </w:r>
        <w:r w:rsidR="003C440C">
          <w:rPr>
            <w:noProof/>
            <w:webHidden/>
          </w:rPr>
          <w:fldChar w:fldCharType="begin"/>
        </w:r>
        <w:r w:rsidR="003C440C">
          <w:rPr>
            <w:noProof/>
            <w:webHidden/>
          </w:rPr>
          <w:instrText xml:space="preserve"> PAGEREF _Toc384196361 \h </w:instrText>
        </w:r>
        <w:r w:rsidR="003C440C">
          <w:rPr>
            <w:noProof/>
            <w:webHidden/>
          </w:rPr>
        </w:r>
        <w:r w:rsidR="003C440C">
          <w:rPr>
            <w:noProof/>
            <w:webHidden/>
          </w:rPr>
          <w:fldChar w:fldCharType="separate"/>
        </w:r>
        <w:r w:rsidR="005B5FD6">
          <w:rPr>
            <w:noProof/>
            <w:webHidden/>
          </w:rPr>
          <w:t>31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2" w:history="1">
        <w:r w:rsidR="003C440C" w:rsidRPr="003A52BF">
          <w:rPr>
            <w:rStyle w:val="Hyperlink"/>
            <w:i/>
            <w:noProof/>
          </w:rPr>
          <w:t>Figure 15. GBR median tissue %N concentrations (±Standard Error) in Halodule uninervis leaves for each habitat type over the entire monitoring program</w:t>
        </w:r>
        <w:r w:rsidR="003C440C">
          <w:rPr>
            <w:noProof/>
            <w:webHidden/>
          </w:rPr>
          <w:tab/>
        </w:r>
        <w:r w:rsidR="003C440C">
          <w:rPr>
            <w:noProof/>
            <w:webHidden/>
          </w:rPr>
          <w:fldChar w:fldCharType="begin"/>
        </w:r>
        <w:r w:rsidR="003C440C">
          <w:rPr>
            <w:noProof/>
            <w:webHidden/>
          </w:rPr>
          <w:instrText xml:space="preserve"> PAGEREF _Toc384196362 \h </w:instrText>
        </w:r>
        <w:r w:rsidR="003C440C">
          <w:rPr>
            <w:noProof/>
            <w:webHidden/>
          </w:rPr>
        </w:r>
        <w:r w:rsidR="003C440C">
          <w:rPr>
            <w:noProof/>
            <w:webHidden/>
          </w:rPr>
          <w:fldChar w:fldCharType="separate"/>
        </w:r>
        <w:r w:rsidR="005B5FD6">
          <w:rPr>
            <w:noProof/>
            <w:webHidden/>
          </w:rPr>
          <w:t>31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3" w:history="1">
        <w:r w:rsidR="003C440C" w:rsidRPr="003A52BF">
          <w:rPr>
            <w:rStyle w:val="Hyperlink"/>
            <w:noProof/>
          </w:rPr>
          <w:t xml:space="preserve">Figure 16. </w:t>
        </w:r>
        <w:r w:rsidR="003C440C" w:rsidRPr="003A52BF">
          <w:rPr>
            <w:rStyle w:val="Hyperlink"/>
            <w:i/>
            <w:noProof/>
          </w:rPr>
          <w:t xml:space="preserve">Regional report card scores for </w:t>
        </w:r>
        <w:r w:rsidR="003C440C" w:rsidRPr="003A52BF">
          <w:rPr>
            <w:rStyle w:val="Hyperlink"/>
            <w:b/>
            <w:i/>
            <w:noProof/>
          </w:rPr>
          <w:t>seagrass leaf tissue nutrient status</w:t>
        </w:r>
        <w:r w:rsidR="003C440C" w:rsidRPr="003A52BF">
          <w:rPr>
            <w:rStyle w:val="Hyperlink"/>
            <w:i/>
            <w:noProof/>
          </w:rPr>
          <w:t xml:space="preserve"> (C:N) over the life of the MMP.</w:t>
        </w:r>
        <w:r w:rsidR="003C440C">
          <w:rPr>
            <w:noProof/>
            <w:webHidden/>
          </w:rPr>
          <w:tab/>
        </w:r>
        <w:r w:rsidR="003C440C">
          <w:rPr>
            <w:noProof/>
            <w:webHidden/>
          </w:rPr>
          <w:fldChar w:fldCharType="begin"/>
        </w:r>
        <w:r w:rsidR="003C440C">
          <w:rPr>
            <w:noProof/>
            <w:webHidden/>
          </w:rPr>
          <w:instrText xml:space="preserve"> PAGEREF _Toc384196363 \h </w:instrText>
        </w:r>
        <w:r w:rsidR="003C440C">
          <w:rPr>
            <w:noProof/>
            <w:webHidden/>
          </w:rPr>
        </w:r>
        <w:r w:rsidR="003C440C">
          <w:rPr>
            <w:noProof/>
            <w:webHidden/>
          </w:rPr>
          <w:fldChar w:fldCharType="separate"/>
        </w:r>
        <w:r w:rsidR="005B5FD6">
          <w:rPr>
            <w:noProof/>
            <w:webHidden/>
          </w:rPr>
          <w:t>32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4" w:history="1">
        <w:r w:rsidR="003C440C" w:rsidRPr="003A52BF">
          <w:rPr>
            <w:rStyle w:val="Hyperlink"/>
            <w:i/>
            <w:noProof/>
          </w:rPr>
          <w:t xml:space="preserve">Figure 17. </w:t>
        </w:r>
        <w:r w:rsidR="003C440C" w:rsidRPr="003A52BF">
          <w:rPr>
            <w:rStyle w:val="Hyperlink"/>
            <w:i/>
            <w:noProof/>
            <w:lang w:eastAsia="en-AU"/>
          </w:rPr>
          <w:t>Elemental ratios (atomic) of seagrass leaf tissue C:N for each GBR habitat each year</w:t>
        </w:r>
        <w:r w:rsidR="003C440C">
          <w:rPr>
            <w:noProof/>
            <w:webHidden/>
          </w:rPr>
          <w:tab/>
        </w:r>
        <w:r w:rsidR="003C440C">
          <w:rPr>
            <w:noProof/>
            <w:webHidden/>
          </w:rPr>
          <w:fldChar w:fldCharType="begin"/>
        </w:r>
        <w:r w:rsidR="003C440C">
          <w:rPr>
            <w:noProof/>
            <w:webHidden/>
          </w:rPr>
          <w:instrText xml:space="preserve"> PAGEREF _Toc384196364 \h </w:instrText>
        </w:r>
        <w:r w:rsidR="003C440C">
          <w:rPr>
            <w:noProof/>
            <w:webHidden/>
          </w:rPr>
        </w:r>
        <w:r w:rsidR="003C440C">
          <w:rPr>
            <w:noProof/>
            <w:webHidden/>
          </w:rPr>
          <w:fldChar w:fldCharType="separate"/>
        </w:r>
        <w:r w:rsidR="005B5FD6">
          <w:rPr>
            <w:noProof/>
            <w:webHidden/>
          </w:rPr>
          <w:t>32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5" w:history="1">
        <w:r w:rsidR="003C440C" w:rsidRPr="003A52BF">
          <w:rPr>
            <w:rStyle w:val="Hyperlink"/>
            <w:noProof/>
          </w:rPr>
          <w:t xml:space="preserve">Figure 18. </w:t>
        </w:r>
        <w:r w:rsidR="003C440C" w:rsidRPr="003A52BF">
          <w:rPr>
            <w:rStyle w:val="Hyperlink"/>
            <w:i/>
            <w:noProof/>
            <w:lang w:eastAsia="en-AU"/>
          </w:rPr>
          <w:t>Elemental ratios (atomic) of seagrass leaf tissue N:P and C:P for each GBR habitat each year</w:t>
        </w:r>
        <w:r w:rsidR="003C440C">
          <w:rPr>
            <w:noProof/>
            <w:webHidden/>
          </w:rPr>
          <w:tab/>
        </w:r>
        <w:r w:rsidR="003C440C">
          <w:rPr>
            <w:noProof/>
            <w:webHidden/>
          </w:rPr>
          <w:fldChar w:fldCharType="begin"/>
        </w:r>
        <w:r w:rsidR="003C440C">
          <w:rPr>
            <w:noProof/>
            <w:webHidden/>
          </w:rPr>
          <w:instrText xml:space="preserve"> PAGEREF _Toc384196365 \h </w:instrText>
        </w:r>
        <w:r w:rsidR="003C440C">
          <w:rPr>
            <w:noProof/>
            <w:webHidden/>
          </w:rPr>
        </w:r>
        <w:r w:rsidR="003C440C">
          <w:rPr>
            <w:noProof/>
            <w:webHidden/>
          </w:rPr>
          <w:fldChar w:fldCharType="separate"/>
        </w:r>
        <w:r w:rsidR="005B5FD6">
          <w:rPr>
            <w:noProof/>
            <w:webHidden/>
          </w:rPr>
          <w:t>33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6" w:history="1">
        <w:r w:rsidR="003C440C" w:rsidRPr="003A52BF">
          <w:rPr>
            <w:rStyle w:val="Hyperlink"/>
            <w:noProof/>
          </w:rPr>
          <w:t xml:space="preserve">Figure 19. </w:t>
        </w:r>
        <w:r w:rsidR="003C440C" w:rsidRPr="003A52BF">
          <w:rPr>
            <w:rStyle w:val="Hyperlink"/>
            <w:i/>
            <w:noProof/>
          </w:rPr>
          <w:t>Epiphyte abundance (% cover) at each seagrass habitat monitored (sites pooled)</w:t>
        </w:r>
        <w:r w:rsidR="003C440C">
          <w:rPr>
            <w:noProof/>
            <w:webHidden/>
          </w:rPr>
          <w:tab/>
        </w:r>
        <w:r w:rsidR="003C440C">
          <w:rPr>
            <w:noProof/>
            <w:webHidden/>
          </w:rPr>
          <w:fldChar w:fldCharType="begin"/>
        </w:r>
        <w:r w:rsidR="003C440C">
          <w:rPr>
            <w:noProof/>
            <w:webHidden/>
          </w:rPr>
          <w:instrText xml:space="preserve"> PAGEREF _Toc384196366 \h </w:instrText>
        </w:r>
        <w:r w:rsidR="003C440C">
          <w:rPr>
            <w:noProof/>
            <w:webHidden/>
          </w:rPr>
        </w:r>
        <w:r w:rsidR="003C440C">
          <w:rPr>
            <w:noProof/>
            <w:webHidden/>
          </w:rPr>
          <w:fldChar w:fldCharType="separate"/>
        </w:r>
        <w:r w:rsidR="005B5FD6">
          <w:rPr>
            <w:noProof/>
            <w:webHidden/>
          </w:rPr>
          <w:t>33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7" w:history="1">
        <w:r w:rsidR="003C440C" w:rsidRPr="003A52BF">
          <w:rPr>
            <w:rStyle w:val="Hyperlink"/>
            <w:noProof/>
          </w:rPr>
          <w:t xml:space="preserve">Figure 20. </w:t>
        </w:r>
        <w:r w:rsidR="003C440C" w:rsidRPr="003A52BF">
          <w:rPr>
            <w:rStyle w:val="Hyperlink"/>
            <w:i/>
            <w:noProof/>
          </w:rPr>
          <w:t>Macro-algae abundance (% cover) at each seagrass habitat monitored</w:t>
        </w:r>
        <w:r w:rsidR="003C440C">
          <w:rPr>
            <w:noProof/>
            <w:webHidden/>
          </w:rPr>
          <w:tab/>
        </w:r>
        <w:r w:rsidR="003C440C">
          <w:rPr>
            <w:noProof/>
            <w:webHidden/>
          </w:rPr>
          <w:fldChar w:fldCharType="begin"/>
        </w:r>
        <w:r w:rsidR="003C440C">
          <w:rPr>
            <w:noProof/>
            <w:webHidden/>
          </w:rPr>
          <w:instrText xml:space="preserve"> PAGEREF _Toc384196367 \h </w:instrText>
        </w:r>
        <w:r w:rsidR="003C440C">
          <w:rPr>
            <w:noProof/>
            <w:webHidden/>
          </w:rPr>
        </w:r>
        <w:r w:rsidR="003C440C">
          <w:rPr>
            <w:noProof/>
            <w:webHidden/>
          </w:rPr>
          <w:fldChar w:fldCharType="separate"/>
        </w:r>
        <w:r w:rsidR="005B5FD6">
          <w:rPr>
            <w:noProof/>
            <w:webHidden/>
          </w:rPr>
          <w:t>34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8" w:history="1">
        <w:r w:rsidR="003C440C" w:rsidRPr="003A52BF">
          <w:rPr>
            <w:rStyle w:val="Hyperlink"/>
            <w:noProof/>
          </w:rPr>
          <w:t xml:space="preserve">Figure 21. </w:t>
        </w:r>
        <w:r w:rsidR="003C440C" w:rsidRPr="003A52BF">
          <w:rPr>
            <w:rStyle w:val="Hyperlink"/>
            <w:i/>
            <w:noProof/>
          </w:rPr>
          <w:t>Daily light (long-term average (dots) and 2011-2012 average (bars)) for intertidal sites (left) and subtidal sites (right).</w:t>
        </w:r>
        <w:r w:rsidR="003C440C">
          <w:rPr>
            <w:noProof/>
            <w:webHidden/>
          </w:rPr>
          <w:tab/>
        </w:r>
        <w:r w:rsidR="003C440C">
          <w:rPr>
            <w:noProof/>
            <w:webHidden/>
          </w:rPr>
          <w:fldChar w:fldCharType="begin"/>
        </w:r>
        <w:r w:rsidR="003C440C">
          <w:rPr>
            <w:noProof/>
            <w:webHidden/>
          </w:rPr>
          <w:instrText xml:space="preserve"> PAGEREF _Toc384196368 \h </w:instrText>
        </w:r>
        <w:r w:rsidR="003C440C">
          <w:rPr>
            <w:noProof/>
            <w:webHidden/>
          </w:rPr>
        </w:r>
        <w:r w:rsidR="003C440C">
          <w:rPr>
            <w:noProof/>
            <w:webHidden/>
          </w:rPr>
          <w:fldChar w:fldCharType="separate"/>
        </w:r>
        <w:r w:rsidR="005B5FD6">
          <w:rPr>
            <w:noProof/>
            <w:webHidden/>
          </w:rPr>
          <w:t>35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69" w:history="1">
        <w:r w:rsidR="003C440C" w:rsidRPr="003A52BF">
          <w:rPr>
            <w:rStyle w:val="Hyperlink"/>
            <w:noProof/>
          </w:rPr>
          <w:t>Figure 22</w:t>
        </w:r>
        <w:r w:rsidR="003C440C" w:rsidRPr="003A52BF">
          <w:rPr>
            <w:rStyle w:val="Hyperlink"/>
            <w:i/>
            <w:noProof/>
          </w:rPr>
          <w:t>. Minimal light threshold exceedance at intertidal sites (left) and subtidal sites (right) including long-term average (dots) and 2011-2012 average (bars).</w:t>
        </w:r>
        <w:r w:rsidR="003C440C">
          <w:rPr>
            <w:noProof/>
            <w:webHidden/>
          </w:rPr>
          <w:tab/>
        </w:r>
        <w:r w:rsidR="003C440C">
          <w:rPr>
            <w:noProof/>
            <w:webHidden/>
          </w:rPr>
          <w:fldChar w:fldCharType="begin"/>
        </w:r>
        <w:r w:rsidR="003C440C">
          <w:rPr>
            <w:noProof/>
            <w:webHidden/>
          </w:rPr>
          <w:instrText xml:space="preserve"> PAGEREF _Toc384196369 \h </w:instrText>
        </w:r>
        <w:r w:rsidR="003C440C">
          <w:rPr>
            <w:noProof/>
            <w:webHidden/>
          </w:rPr>
        </w:r>
        <w:r w:rsidR="003C440C">
          <w:rPr>
            <w:noProof/>
            <w:webHidden/>
          </w:rPr>
          <w:fldChar w:fldCharType="separate"/>
        </w:r>
        <w:r w:rsidR="005B5FD6">
          <w:rPr>
            <w:noProof/>
            <w:webHidden/>
          </w:rPr>
          <w:t>35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0" w:history="1">
        <w:r w:rsidR="003C440C" w:rsidRPr="003A52BF">
          <w:rPr>
            <w:rStyle w:val="Hyperlink"/>
            <w:noProof/>
          </w:rPr>
          <w:t xml:space="preserve">Figure 23. </w:t>
        </w:r>
        <w:r w:rsidR="003C440C" w:rsidRPr="003A52BF">
          <w:rPr>
            <w:rStyle w:val="Hyperlink"/>
            <w:i/>
            <w:noProof/>
          </w:rPr>
          <w:t>Annual average turbidity (2009-2012) and 2011-2012 reporting period average turbidity for seagrass meadows where turbidity loggers were deployed (top) and threshold exceedance (bottom).</w:t>
        </w:r>
        <w:r w:rsidR="003C440C">
          <w:rPr>
            <w:noProof/>
            <w:webHidden/>
          </w:rPr>
          <w:tab/>
        </w:r>
        <w:r w:rsidR="003C440C">
          <w:rPr>
            <w:noProof/>
            <w:webHidden/>
          </w:rPr>
          <w:fldChar w:fldCharType="begin"/>
        </w:r>
        <w:r w:rsidR="003C440C">
          <w:rPr>
            <w:noProof/>
            <w:webHidden/>
          </w:rPr>
          <w:instrText xml:space="preserve"> PAGEREF _Toc384196370 \h </w:instrText>
        </w:r>
        <w:r w:rsidR="003C440C">
          <w:rPr>
            <w:noProof/>
            <w:webHidden/>
          </w:rPr>
        </w:r>
        <w:r w:rsidR="003C440C">
          <w:rPr>
            <w:noProof/>
            <w:webHidden/>
          </w:rPr>
          <w:fldChar w:fldCharType="separate"/>
        </w:r>
        <w:r w:rsidR="005B5FD6">
          <w:rPr>
            <w:noProof/>
            <w:webHidden/>
          </w:rPr>
          <w:t>36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1" w:history="1">
        <w:r w:rsidR="003C440C" w:rsidRPr="003A52BF">
          <w:rPr>
            <w:rStyle w:val="Hyperlink"/>
            <w:noProof/>
          </w:rPr>
          <w:t xml:space="preserve">Figure 24. </w:t>
        </w:r>
        <w:r w:rsidR="003C440C" w:rsidRPr="003A52BF">
          <w:rPr>
            <w:rStyle w:val="Hyperlink"/>
            <w:i/>
            <w:noProof/>
          </w:rPr>
          <w:t>Change in total seagrass cover and I</w:t>
        </w:r>
        <w:r w:rsidR="003C440C" w:rsidRPr="003A52BF">
          <w:rPr>
            <w:rStyle w:val="Hyperlink"/>
            <w:i/>
            <w:noProof/>
            <w:vertAlign w:val="subscript"/>
          </w:rPr>
          <w:t>d</w:t>
        </w:r>
        <w:r w:rsidR="003C440C" w:rsidRPr="003A52BF">
          <w:rPr>
            <w:rStyle w:val="Hyperlink"/>
            <w:i/>
            <w:noProof/>
          </w:rPr>
          <w:t xml:space="preserve"> at three subtidal sites from 2008 to 2011 (from Collier, et al. 2012b)</w:t>
        </w:r>
        <w:r w:rsidR="003C440C" w:rsidRPr="003A52BF">
          <w:rPr>
            <w:rStyle w:val="Hyperlink"/>
            <w:noProof/>
          </w:rPr>
          <w:t>.</w:t>
        </w:r>
        <w:r w:rsidR="003C440C">
          <w:rPr>
            <w:noProof/>
            <w:webHidden/>
          </w:rPr>
          <w:tab/>
        </w:r>
        <w:r w:rsidR="003C440C">
          <w:rPr>
            <w:noProof/>
            <w:webHidden/>
          </w:rPr>
          <w:fldChar w:fldCharType="begin"/>
        </w:r>
        <w:r w:rsidR="003C440C">
          <w:rPr>
            <w:noProof/>
            <w:webHidden/>
          </w:rPr>
          <w:instrText xml:space="preserve"> PAGEREF _Toc384196371 \h </w:instrText>
        </w:r>
        <w:r w:rsidR="003C440C">
          <w:rPr>
            <w:noProof/>
            <w:webHidden/>
          </w:rPr>
        </w:r>
        <w:r w:rsidR="003C440C">
          <w:rPr>
            <w:noProof/>
            <w:webHidden/>
          </w:rPr>
          <w:fldChar w:fldCharType="separate"/>
        </w:r>
        <w:r w:rsidR="005B5FD6">
          <w:rPr>
            <w:noProof/>
            <w:webHidden/>
          </w:rPr>
          <w:t>37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2" w:history="1">
        <w:r w:rsidR="003C440C" w:rsidRPr="003A52BF">
          <w:rPr>
            <w:rStyle w:val="Hyperlink"/>
            <w:noProof/>
          </w:rPr>
          <w:t xml:space="preserve">Figure 25. </w:t>
        </w:r>
        <w:r w:rsidR="003C440C" w:rsidRPr="003A52BF">
          <w:rPr>
            <w:rStyle w:val="Hyperlink"/>
            <w:i/>
            <w:noProof/>
          </w:rPr>
          <w:t>Change in total seagrass cover and I</w:t>
        </w:r>
        <w:r w:rsidR="003C440C" w:rsidRPr="003A52BF">
          <w:rPr>
            <w:rStyle w:val="Hyperlink"/>
            <w:i/>
            <w:noProof/>
            <w:vertAlign w:val="subscript"/>
          </w:rPr>
          <w:t>d</w:t>
        </w:r>
        <w:r w:rsidR="003C440C" w:rsidRPr="003A52BF">
          <w:rPr>
            <w:rStyle w:val="Hyperlink"/>
            <w:i/>
            <w:noProof/>
          </w:rPr>
          <w:t xml:space="preserve"> at three intertidal sites from 2008 to 2011</w:t>
        </w:r>
        <w:r w:rsidR="003C440C">
          <w:rPr>
            <w:noProof/>
            <w:webHidden/>
          </w:rPr>
          <w:tab/>
        </w:r>
        <w:r w:rsidR="003C440C">
          <w:rPr>
            <w:noProof/>
            <w:webHidden/>
          </w:rPr>
          <w:fldChar w:fldCharType="begin"/>
        </w:r>
        <w:r w:rsidR="003C440C">
          <w:rPr>
            <w:noProof/>
            <w:webHidden/>
          </w:rPr>
          <w:instrText xml:space="preserve"> PAGEREF _Toc384196372 \h </w:instrText>
        </w:r>
        <w:r w:rsidR="003C440C">
          <w:rPr>
            <w:noProof/>
            <w:webHidden/>
          </w:rPr>
        </w:r>
        <w:r w:rsidR="003C440C">
          <w:rPr>
            <w:noProof/>
            <w:webHidden/>
          </w:rPr>
          <w:fldChar w:fldCharType="separate"/>
        </w:r>
        <w:r w:rsidR="005B5FD6">
          <w:rPr>
            <w:noProof/>
            <w:webHidden/>
          </w:rPr>
          <w:t>37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3" w:history="1">
        <w:r w:rsidR="003C440C" w:rsidRPr="003A52BF">
          <w:rPr>
            <w:rStyle w:val="Hyperlink"/>
            <w:noProof/>
          </w:rPr>
          <w:t xml:space="preserve">Figure 26. </w:t>
        </w:r>
        <w:r w:rsidR="003C440C" w:rsidRPr="003A52BF">
          <w:rPr>
            <w:rStyle w:val="Hyperlink"/>
            <w:i/>
            <w:noProof/>
          </w:rPr>
          <w:t>Conceptual diagram of reef seagrass habitat in the Cape York region</w:t>
        </w:r>
        <w:r w:rsidR="003C440C">
          <w:rPr>
            <w:noProof/>
            <w:webHidden/>
          </w:rPr>
          <w:tab/>
        </w:r>
        <w:r w:rsidR="003C440C">
          <w:rPr>
            <w:noProof/>
            <w:webHidden/>
          </w:rPr>
          <w:fldChar w:fldCharType="begin"/>
        </w:r>
        <w:r w:rsidR="003C440C">
          <w:rPr>
            <w:noProof/>
            <w:webHidden/>
          </w:rPr>
          <w:instrText xml:space="preserve"> PAGEREF _Toc384196373 \h </w:instrText>
        </w:r>
        <w:r w:rsidR="003C440C">
          <w:rPr>
            <w:noProof/>
            <w:webHidden/>
          </w:rPr>
        </w:r>
        <w:r w:rsidR="003C440C">
          <w:rPr>
            <w:noProof/>
            <w:webHidden/>
          </w:rPr>
          <w:fldChar w:fldCharType="separate"/>
        </w:r>
        <w:r w:rsidR="005B5FD6">
          <w:rPr>
            <w:noProof/>
            <w:webHidden/>
          </w:rPr>
          <w:t>40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4" w:history="1">
        <w:r w:rsidR="003C440C" w:rsidRPr="003A52BF">
          <w:rPr>
            <w:rStyle w:val="Hyperlink"/>
            <w:noProof/>
          </w:rPr>
          <w:t xml:space="preserve">Figure 27. </w:t>
        </w:r>
        <w:r w:rsidR="003C440C" w:rsidRPr="003A52BF">
          <w:rPr>
            <w:rStyle w:val="Hyperlink"/>
            <w:i/>
            <w:noProof/>
          </w:rPr>
          <w:t>Conceptual diagram of coastal seagrass habitat in the Cape York region</w:t>
        </w:r>
        <w:r w:rsidR="003C440C">
          <w:rPr>
            <w:noProof/>
            <w:webHidden/>
          </w:rPr>
          <w:tab/>
        </w:r>
        <w:r w:rsidR="003C440C">
          <w:rPr>
            <w:noProof/>
            <w:webHidden/>
          </w:rPr>
          <w:fldChar w:fldCharType="begin"/>
        </w:r>
        <w:r w:rsidR="003C440C">
          <w:rPr>
            <w:noProof/>
            <w:webHidden/>
          </w:rPr>
          <w:instrText xml:space="preserve"> PAGEREF _Toc384196374 \h </w:instrText>
        </w:r>
        <w:r w:rsidR="003C440C">
          <w:rPr>
            <w:noProof/>
            <w:webHidden/>
          </w:rPr>
        </w:r>
        <w:r w:rsidR="003C440C">
          <w:rPr>
            <w:noProof/>
            <w:webHidden/>
          </w:rPr>
          <w:fldChar w:fldCharType="separate"/>
        </w:r>
        <w:r w:rsidR="005B5FD6">
          <w:rPr>
            <w:noProof/>
            <w:webHidden/>
          </w:rPr>
          <w:t>41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5" w:history="1">
        <w:r w:rsidR="003C440C" w:rsidRPr="003A52BF">
          <w:rPr>
            <w:rStyle w:val="Hyperlink"/>
            <w:noProof/>
          </w:rPr>
          <w:t xml:space="preserve">Figure 28. </w:t>
        </w:r>
        <w:r w:rsidR="003C440C" w:rsidRPr="003A52BF">
          <w:rPr>
            <w:rStyle w:val="Hyperlink"/>
            <w:i/>
            <w:noProof/>
          </w:rPr>
          <w:t>Location of the Cape York region monitoring sites and seagrass species percent composition at each site since 2003.</w:t>
        </w:r>
        <w:r w:rsidR="003C440C">
          <w:rPr>
            <w:noProof/>
            <w:webHidden/>
          </w:rPr>
          <w:tab/>
        </w:r>
        <w:r w:rsidR="003C440C">
          <w:rPr>
            <w:noProof/>
            <w:webHidden/>
          </w:rPr>
          <w:fldChar w:fldCharType="begin"/>
        </w:r>
        <w:r w:rsidR="003C440C">
          <w:rPr>
            <w:noProof/>
            <w:webHidden/>
          </w:rPr>
          <w:instrText xml:space="preserve"> PAGEREF _Toc384196375 \h </w:instrText>
        </w:r>
        <w:r w:rsidR="003C440C">
          <w:rPr>
            <w:noProof/>
            <w:webHidden/>
          </w:rPr>
        </w:r>
        <w:r w:rsidR="003C440C">
          <w:rPr>
            <w:noProof/>
            <w:webHidden/>
          </w:rPr>
          <w:fldChar w:fldCharType="separate"/>
        </w:r>
        <w:r w:rsidR="005B5FD6">
          <w:rPr>
            <w:noProof/>
            <w:webHidden/>
          </w:rPr>
          <w:t>42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6" w:history="1">
        <w:r w:rsidR="003C440C" w:rsidRPr="003A52BF">
          <w:rPr>
            <w:rStyle w:val="Hyperlink"/>
            <w:noProof/>
          </w:rPr>
          <w:t xml:space="preserve">Figure 29. </w:t>
        </w:r>
        <w:r w:rsidR="003C440C" w:rsidRPr="003A52BF">
          <w:rPr>
            <w:rStyle w:val="Hyperlink"/>
            <w:i/>
            <w:noProof/>
          </w:rPr>
          <w:t>Report card of seagrass status indicators and index for the Cape York NRM region</w:t>
        </w:r>
        <w:r w:rsidR="003C440C">
          <w:rPr>
            <w:noProof/>
            <w:webHidden/>
          </w:rPr>
          <w:tab/>
        </w:r>
        <w:r w:rsidR="003C440C">
          <w:rPr>
            <w:noProof/>
            <w:webHidden/>
          </w:rPr>
          <w:fldChar w:fldCharType="begin"/>
        </w:r>
        <w:r w:rsidR="003C440C">
          <w:rPr>
            <w:noProof/>
            <w:webHidden/>
          </w:rPr>
          <w:instrText xml:space="preserve"> PAGEREF _Toc384196376 \h </w:instrText>
        </w:r>
        <w:r w:rsidR="003C440C">
          <w:rPr>
            <w:noProof/>
            <w:webHidden/>
          </w:rPr>
        </w:r>
        <w:r w:rsidR="003C440C">
          <w:rPr>
            <w:noProof/>
            <w:webHidden/>
          </w:rPr>
          <w:fldChar w:fldCharType="separate"/>
        </w:r>
        <w:r w:rsidR="005B5FD6">
          <w:rPr>
            <w:noProof/>
            <w:webHidden/>
          </w:rPr>
          <w:t>43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7" w:history="1">
        <w:r w:rsidR="003C440C" w:rsidRPr="003A52BF">
          <w:rPr>
            <w:rStyle w:val="Hyperlink"/>
            <w:noProof/>
          </w:rPr>
          <w:t xml:space="preserve">Figure 30. </w:t>
        </w:r>
        <w:r w:rsidR="003C440C" w:rsidRPr="003A52BF">
          <w:rPr>
            <w:rStyle w:val="Hyperlink"/>
            <w:i/>
            <w:noProof/>
          </w:rPr>
          <w:t>Seagrass abundance (% cover ± Standard Error) at inshore intertidal reef habitat (Archer Point) in the Cape York region from 2003 to 2012.</w:t>
        </w:r>
        <w:r w:rsidR="003C440C">
          <w:rPr>
            <w:noProof/>
            <w:webHidden/>
          </w:rPr>
          <w:tab/>
        </w:r>
        <w:r w:rsidR="003C440C">
          <w:rPr>
            <w:noProof/>
            <w:webHidden/>
          </w:rPr>
          <w:fldChar w:fldCharType="begin"/>
        </w:r>
        <w:r w:rsidR="003C440C">
          <w:rPr>
            <w:noProof/>
            <w:webHidden/>
          </w:rPr>
          <w:instrText xml:space="preserve"> PAGEREF _Toc384196377 \h </w:instrText>
        </w:r>
        <w:r w:rsidR="003C440C">
          <w:rPr>
            <w:noProof/>
            <w:webHidden/>
          </w:rPr>
        </w:r>
        <w:r w:rsidR="003C440C">
          <w:rPr>
            <w:noProof/>
            <w:webHidden/>
          </w:rPr>
          <w:fldChar w:fldCharType="separate"/>
        </w:r>
        <w:r w:rsidR="005B5FD6">
          <w:rPr>
            <w:noProof/>
            <w:webHidden/>
          </w:rPr>
          <w:t>44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8" w:history="1">
        <w:r w:rsidR="003C440C" w:rsidRPr="003A52BF">
          <w:rPr>
            <w:rStyle w:val="Hyperlink"/>
            <w:noProof/>
          </w:rPr>
          <w:t xml:space="preserve">Figure 31. </w:t>
        </w:r>
        <w:r w:rsidR="003C440C" w:rsidRPr="003A52BF">
          <w:rPr>
            <w:rStyle w:val="Hyperlink"/>
            <w:i/>
            <w:noProof/>
          </w:rPr>
          <w:t>Mean percentage seagrass cover (all species pooled) (± Standard Error) at inshore intertidal reef habitat long-term monitoring sites in Cape York region at time of year.</w:t>
        </w:r>
        <w:r w:rsidR="003C440C">
          <w:rPr>
            <w:noProof/>
            <w:webHidden/>
          </w:rPr>
          <w:tab/>
        </w:r>
        <w:r w:rsidR="003C440C">
          <w:rPr>
            <w:noProof/>
            <w:webHidden/>
          </w:rPr>
          <w:fldChar w:fldCharType="begin"/>
        </w:r>
        <w:r w:rsidR="003C440C">
          <w:rPr>
            <w:noProof/>
            <w:webHidden/>
          </w:rPr>
          <w:instrText xml:space="preserve"> PAGEREF _Toc384196378 \h </w:instrText>
        </w:r>
        <w:r w:rsidR="003C440C">
          <w:rPr>
            <w:noProof/>
            <w:webHidden/>
          </w:rPr>
        </w:r>
        <w:r w:rsidR="003C440C">
          <w:rPr>
            <w:noProof/>
            <w:webHidden/>
          </w:rPr>
          <w:fldChar w:fldCharType="separate"/>
        </w:r>
        <w:r w:rsidR="005B5FD6">
          <w:rPr>
            <w:noProof/>
            <w:webHidden/>
          </w:rPr>
          <w:t>44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79" w:history="1">
        <w:r w:rsidR="003C440C" w:rsidRPr="003A52BF">
          <w:rPr>
            <w:rStyle w:val="Hyperlink"/>
            <w:noProof/>
          </w:rPr>
          <w:t xml:space="preserve">Figure 32. </w:t>
        </w:r>
        <w:r w:rsidR="003C440C" w:rsidRPr="003A52BF">
          <w:rPr>
            <w:rStyle w:val="Hyperlink"/>
            <w:i/>
            <w:noProof/>
          </w:rPr>
          <w:t>Extent of area (100m radius of monitoring site) covered by seagrass at each inshore intertidal reef monitoring site.</w:t>
        </w:r>
        <w:r w:rsidR="003C440C">
          <w:rPr>
            <w:noProof/>
            <w:webHidden/>
          </w:rPr>
          <w:tab/>
        </w:r>
        <w:r w:rsidR="003C440C">
          <w:rPr>
            <w:noProof/>
            <w:webHidden/>
          </w:rPr>
          <w:fldChar w:fldCharType="begin"/>
        </w:r>
        <w:r w:rsidR="003C440C">
          <w:rPr>
            <w:noProof/>
            <w:webHidden/>
          </w:rPr>
          <w:instrText xml:space="preserve"> PAGEREF _Toc384196379 \h </w:instrText>
        </w:r>
        <w:r w:rsidR="003C440C">
          <w:rPr>
            <w:noProof/>
            <w:webHidden/>
          </w:rPr>
        </w:r>
        <w:r w:rsidR="003C440C">
          <w:rPr>
            <w:noProof/>
            <w:webHidden/>
          </w:rPr>
          <w:fldChar w:fldCharType="separate"/>
        </w:r>
        <w:r w:rsidR="005B5FD6">
          <w:rPr>
            <w:noProof/>
            <w:webHidden/>
          </w:rPr>
          <w:t>45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0" w:history="1">
        <w:r w:rsidR="003C440C" w:rsidRPr="003A52BF">
          <w:rPr>
            <w:rStyle w:val="Hyperlink"/>
            <w:noProof/>
          </w:rPr>
          <w:t xml:space="preserve">Figure 33. </w:t>
        </w:r>
        <w:r w:rsidR="003C440C" w:rsidRPr="003A52BF">
          <w:rPr>
            <w:rStyle w:val="Hyperlink"/>
            <w:i/>
            <w:noProof/>
          </w:rPr>
          <w:t>Inshore intertidal reef habitat</w:t>
        </w:r>
        <w:r w:rsidR="003C440C" w:rsidRPr="003A52BF">
          <w:rPr>
            <w:rStyle w:val="Hyperlink"/>
            <w:noProof/>
          </w:rPr>
          <w:t xml:space="preserve"> (</w:t>
        </w:r>
        <w:r w:rsidR="003C440C" w:rsidRPr="003A52BF">
          <w:rPr>
            <w:rStyle w:val="Hyperlink"/>
            <w:i/>
            <w:noProof/>
          </w:rPr>
          <w:t xml:space="preserve">Archer Point) </w:t>
        </w:r>
        <w:r w:rsidR="003C440C" w:rsidRPr="003A52BF">
          <w:rPr>
            <w:rStyle w:val="Hyperlink"/>
            <w:noProof/>
          </w:rPr>
          <w:t>s</w:t>
        </w:r>
        <w:r w:rsidR="003C440C" w:rsidRPr="003A52BF">
          <w:rPr>
            <w:rStyle w:val="Hyperlink"/>
            <w:i/>
            <w:noProof/>
          </w:rPr>
          <w:t>eed bank (a), germinated seed abundance (b) and reproductive effort (c).</w:t>
        </w:r>
        <w:r w:rsidR="003C440C">
          <w:rPr>
            <w:noProof/>
            <w:webHidden/>
          </w:rPr>
          <w:tab/>
        </w:r>
        <w:r w:rsidR="003C440C">
          <w:rPr>
            <w:noProof/>
            <w:webHidden/>
          </w:rPr>
          <w:fldChar w:fldCharType="begin"/>
        </w:r>
        <w:r w:rsidR="003C440C">
          <w:rPr>
            <w:noProof/>
            <w:webHidden/>
          </w:rPr>
          <w:instrText xml:space="preserve"> PAGEREF _Toc384196380 \h </w:instrText>
        </w:r>
        <w:r w:rsidR="003C440C">
          <w:rPr>
            <w:noProof/>
            <w:webHidden/>
          </w:rPr>
        </w:r>
        <w:r w:rsidR="003C440C">
          <w:rPr>
            <w:noProof/>
            <w:webHidden/>
          </w:rPr>
          <w:fldChar w:fldCharType="separate"/>
        </w:r>
        <w:r w:rsidR="005B5FD6">
          <w:rPr>
            <w:noProof/>
            <w:webHidden/>
          </w:rPr>
          <w:t>46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1" w:history="1">
        <w:r w:rsidR="003C440C" w:rsidRPr="003A52BF">
          <w:rPr>
            <w:rStyle w:val="Hyperlink"/>
            <w:noProof/>
          </w:rPr>
          <w:t xml:space="preserve">Figure 34. </w:t>
        </w:r>
        <w:r w:rsidR="003C440C" w:rsidRPr="003A52BF">
          <w:rPr>
            <w:rStyle w:val="Hyperlink"/>
            <w:i/>
            <w:noProof/>
            <w:lang w:eastAsia="en-AU"/>
          </w:rPr>
          <w:t xml:space="preserve">Elemental ratios (atomic) of seagrass leaf tissue C:N for </w:t>
        </w:r>
        <w:r w:rsidR="003C440C" w:rsidRPr="003A52BF">
          <w:rPr>
            <w:rStyle w:val="Hyperlink"/>
            <w:i/>
            <w:noProof/>
          </w:rPr>
          <w:t xml:space="preserve">the foundation species at inshore intertidal reef habitats (Archer Point) in the Cape York region </w:t>
        </w:r>
        <w:r w:rsidR="003C440C" w:rsidRPr="003A52BF">
          <w:rPr>
            <w:rStyle w:val="Hyperlink"/>
            <w:i/>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_Toc384196381 \h </w:instrText>
        </w:r>
        <w:r w:rsidR="003C440C">
          <w:rPr>
            <w:noProof/>
            <w:webHidden/>
          </w:rPr>
        </w:r>
        <w:r w:rsidR="003C440C">
          <w:rPr>
            <w:noProof/>
            <w:webHidden/>
          </w:rPr>
          <w:fldChar w:fldCharType="separate"/>
        </w:r>
        <w:r w:rsidR="005B5FD6">
          <w:rPr>
            <w:noProof/>
            <w:webHidden/>
          </w:rPr>
          <w:t>47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2" w:history="1">
        <w:r w:rsidR="003C440C" w:rsidRPr="003A52BF">
          <w:rPr>
            <w:rStyle w:val="Hyperlink"/>
            <w:noProof/>
          </w:rPr>
          <w:t xml:space="preserve">Figure 35. </w:t>
        </w:r>
        <w:r w:rsidR="003C440C" w:rsidRPr="003A52BF">
          <w:rPr>
            <w:rStyle w:val="Hyperlink"/>
            <w:i/>
            <w:noProof/>
            <w:lang w:eastAsia="en-AU"/>
          </w:rPr>
          <w:t xml:space="preserve">Elemental ratios (atomic) of seagrass leaf tissue N:P and C:P </w:t>
        </w:r>
        <w:r w:rsidR="003C440C" w:rsidRPr="003A52BF">
          <w:rPr>
            <w:rStyle w:val="Hyperlink"/>
            <w:i/>
            <w:noProof/>
          </w:rPr>
          <w:t>for the foundation species at inshore intertidal reef habitats (Archer Point) in the Cape York region</w:t>
        </w:r>
        <w:r w:rsidR="003C440C" w:rsidRPr="003A52BF">
          <w:rPr>
            <w:rStyle w:val="Hyperlink"/>
            <w:i/>
            <w:noProof/>
            <w:lang w:eastAsia="en-AU"/>
          </w:rPr>
          <w:t xml:space="preserve"> each year</w:t>
        </w:r>
        <w:r w:rsidR="003C440C">
          <w:rPr>
            <w:noProof/>
            <w:webHidden/>
          </w:rPr>
          <w:tab/>
        </w:r>
        <w:r w:rsidR="003C440C">
          <w:rPr>
            <w:noProof/>
            <w:webHidden/>
          </w:rPr>
          <w:fldChar w:fldCharType="begin"/>
        </w:r>
        <w:r w:rsidR="003C440C">
          <w:rPr>
            <w:noProof/>
            <w:webHidden/>
          </w:rPr>
          <w:instrText xml:space="preserve"> PAGEREF _Toc384196382 \h </w:instrText>
        </w:r>
        <w:r w:rsidR="003C440C">
          <w:rPr>
            <w:noProof/>
            <w:webHidden/>
          </w:rPr>
        </w:r>
        <w:r w:rsidR="003C440C">
          <w:rPr>
            <w:noProof/>
            <w:webHidden/>
          </w:rPr>
          <w:fldChar w:fldCharType="separate"/>
        </w:r>
        <w:r w:rsidR="005B5FD6">
          <w:rPr>
            <w:noProof/>
            <w:webHidden/>
          </w:rPr>
          <w:t>47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3" w:history="1">
        <w:r w:rsidR="003C440C" w:rsidRPr="003A52BF">
          <w:rPr>
            <w:rStyle w:val="Hyperlink"/>
            <w:noProof/>
          </w:rPr>
          <w:t xml:space="preserve">Figure 36. </w:t>
        </w:r>
        <w:r w:rsidR="003C440C" w:rsidRPr="003A52BF">
          <w:rPr>
            <w:rStyle w:val="Hyperlink"/>
            <w:i/>
            <w:noProof/>
          </w:rPr>
          <w:t>Long-term trend in mean abundance (% cover) (± Standard Error) of epiphytes and macro-algae at inshore intertidal reef habitats (Archer Point, sites pooled) in the Cape York region.</w:t>
        </w:r>
        <w:r w:rsidR="003C440C">
          <w:rPr>
            <w:noProof/>
            <w:webHidden/>
          </w:rPr>
          <w:tab/>
        </w:r>
        <w:r w:rsidR="003C440C">
          <w:rPr>
            <w:noProof/>
            <w:webHidden/>
          </w:rPr>
          <w:fldChar w:fldCharType="begin"/>
        </w:r>
        <w:r w:rsidR="003C440C">
          <w:rPr>
            <w:noProof/>
            <w:webHidden/>
          </w:rPr>
          <w:instrText xml:space="preserve"> PAGEREF _Toc384196383 \h </w:instrText>
        </w:r>
        <w:r w:rsidR="003C440C">
          <w:rPr>
            <w:noProof/>
            <w:webHidden/>
          </w:rPr>
        </w:r>
        <w:r w:rsidR="003C440C">
          <w:rPr>
            <w:noProof/>
            <w:webHidden/>
          </w:rPr>
          <w:fldChar w:fldCharType="separate"/>
        </w:r>
        <w:r w:rsidR="005B5FD6">
          <w:rPr>
            <w:noProof/>
            <w:webHidden/>
          </w:rPr>
          <w:t>49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4" w:history="1">
        <w:r w:rsidR="003C440C" w:rsidRPr="003A52BF">
          <w:rPr>
            <w:rStyle w:val="Hyperlink"/>
            <w:noProof/>
          </w:rPr>
          <w:t xml:space="preserve">Figure 37. </w:t>
        </w:r>
        <w:r w:rsidR="003C440C" w:rsidRPr="003A52BF">
          <w:rPr>
            <w:rStyle w:val="Hyperlink"/>
            <w:i/>
            <w:noProof/>
          </w:rPr>
          <w:t>Within seagrass canopy temperature (°C) at inshore intertidal reef habitats (Archer Point) in the Cape York region over the 2011/12 monitoring period.</w:t>
        </w:r>
        <w:r w:rsidR="003C440C">
          <w:rPr>
            <w:noProof/>
            <w:webHidden/>
          </w:rPr>
          <w:tab/>
        </w:r>
        <w:r w:rsidR="003C440C">
          <w:rPr>
            <w:noProof/>
            <w:webHidden/>
          </w:rPr>
          <w:fldChar w:fldCharType="begin"/>
        </w:r>
        <w:r w:rsidR="003C440C">
          <w:rPr>
            <w:noProof/>
            <w:webHidden/>
          </w:rPr>
          <w:instrText xml:space="preserve"> PAGEREF _Toc384196384 \h </w:instrText>
        </w:r>
        <w:r w:rsidR="003C440C">
          <w:rPr>
            <w:noProof/>
            <w:webHidden/>
          </w:rPr>
        </w:r>
        <w:r w:rsidR="003C440C">
          <w:rPr>
            <w:noProof/>
            <w:webHidden/>
          </w:rPr>
          <w:fldChar w:fldCharType="separate"/>
        </w:r>
        <w:r w:rsidR="005B5FD6">
          <w:rPr>
            <w:noProof/>
            <w:webHidden/>
          </w:rPr>
          <w:t>50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5" w:history="1">
        <w:r w:rsidR="003C440C" w:rsidRPr="003A52BF">
          <w:rPr>
            <w:rStyle w:val="Hyperlink"/>
            <w:noProof/>
          </w:rPr>
          <w:t xml:space="preserve">Figure 38. </w:t>
        </w:r>
        <w:r w:rsidR="003C440C" w:rsidRPr="003A52BF">
          <w:rPr>
            <w:rStyle w:val="Hyperlink"/>
            <w:i/>
            <w:noProof/>
          </w:rPr>
          <w:t>Monthly mean and maximum within seagrass canopy temperatures (°C) at inshore intertidal reef habitats (Archer Point), Cape York region.</w:t>
        </w:r>
        <w:r w:rsidR="003C440C">
          <w:rPr>
            <w:noProof/>
            <w:webHidden/>
          </w:rPr>
          <w:tab/>
        </w:r>
        <w:r w:rsidR="003C440C">
          <w:rPr>
            <w:noProof/>
            <w:webHidden/>
          </w:rPr>
          <w:fldChar w:fldCharType="begin"/>
        </w:r>
        <w:r w:rsidR="003C440C">
          <w:rPr>
            <w:noProof/>
            <w:webHidden/>
          </w:rPr>
          <w:instrText xml:space="preserve"> PAGEREF _Toc384196385 \h </w:instrText>
        </w:r>
        <w:r w:rsidR="003C440C">
          <w:rPr>
            <w:noProof/>
            <w:webHidden/>
          </w:rPr>
        </w:r>
        <w:r w:rsidR="003C440C">
          <w:rPr>
            <w:noProof/>
            <w:webHidden/>
          </w:rPr>
          <w:fldChar w:fldCharType="separate"/>
        </w:r>
        <w:r w:rsidR="005B5FD6">
          <w:rPr>
            <w:noProof/>
            <w:webHidden/>
          </w:rPr>
          <w:t>50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6" w:history="1">
        <w:r w:rsidR="003C440C" w:rsidRPr="003A52BF">
          <w:rPr>
            <w:rStyle w:val="Hyperlink"/>
            <w:noProof/>
          </w:rPr>
          <w:t xml:space="preserve">Figure 39. </w:t>
        </w:r>
        <w:r w:rsidR="003C440C" w:rsidRPr="003A52BF">
          <w:rPr>
            <w:rStyle w:val="Hyperlink"/>
            <w:i/>
            <w:noProof/>
          </w:rPr>
          <w:t>Mean monthly daily maximum air temperature, total monthly rainfall (bar graph), mean monthly cloud cover (heavier line), and mean monthly 3pm wind speed (lighter line) recorded at Cooktown airport located 16km from Archer Point monitoring sites.</w:t>
        </w:r>
        <w:r w:rsidR="003C440C">
          <w:rPr>
            <w:noProof/>
            <w:webHidden/>
          </w:rPr>
          <w:tab/>
        </w:r>
        <w:r w:rsidR="003C440C">
          <w:rPr>
            <w:noProof/>
            <w:webHidden/>
          </w:rPr>
          <w:fldChar w:fldCharType="begin"/>
        </w:r>
        <w:r w:rsidR="003C440C">
          <w:rPr>
            <w:noProof/>
            <w:webHidden/>
          </w:rPr>
          <w:instrText xml:space="preserve"> PAGEREF _Toc384196386 \h </w:instrText>
        </w:r>
        <w:r w:rsidR="003C440C">
          <w:rPr>
            <w:noProof/>
            <w:webHidden/>
          </w:rPr>
        </w:r>
        <w:r w:rsidR="003C440C">
          <w:rPr>
            <w:noProof/>
            <w:webHidden/>
          </w:rPr>
          <w:fldChar w:fldCharType="separate"/>
        </w:r>
        <w:r w:rsidR="005B5FD6">
          <w:rPr>
            <w:noProof/>
            <w:webHidden/>
          </w:rPr>
          <w:t>51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7" w:history="1">
        <w:r w:rsidR="003C440C" w:rsidRPr="003A52BF">
          <w:rPr>
            <w:rStyle w:val="Hyperlink"/>
            <w:noProof/>
          </w:rPr>
          <w:t xml:space="preserve">Figure 40.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Annan River.</w:t>
        </w:r>
        <w:r w:rsidR="003C440C">
          <w:rPr>
            <w:noProof/>
            <w:webHidden/>
          </w:rPr>
          <w:tab/>
        </w:r>
        <w:r w:rsidR="003C440C">
          <w:rPr>
            <w:noProof/>
            <w:webHidden/>
          </w:rPr>
          <w:fldChar w:fldCharType="begin"/>
        </w:r>
        <w:r w:rsidR="003C440C">
          <w:rPr>
            <w:noProof/>
            <w:webHidden/>
          </w:rPr>
          <w:instrText xml:space="preserve"> PAGEREF _Toc384196387 \h </w:instrText>
        </w:r>
        <w:r w:rsidR="003C440C">
          <w:rPr>
            <w:noProof/>
            <w:webHidden/>
          </w:rPr>
        </w:r>
        <w:r w:rsidR="003C440C">
          <w:rPr>
            <w:noProof/>
            <w:webHidden/>
          </w:rPr>
          <w:fldChar w:fldCharType="separate"/>
        </w:r>
        <w:r w:rsidR="005B5FD6">
          <w:rPr>
            <w:noProof/>
            <w:webHidden/>
          </w:rPr>
          <w:t>52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8" w:history="1">
        <w:r w:rsidR="003C440C" w:rsidRPr="003A52BF">
          <w:rPr>
            <w:rStyle w:val="Hyperlink"/>
            <w:noProof/>
          </w:rPr>
          <w:t xml:space="preserve">Figure 41. </w:t>
        </w:r>
        <w:r w:rsidR="003C440C" w:rsidRPr="003A52BF">
          <w:rPr>
            <w:rStyle w:val="Hyperlink"/>
            <w:i/>
            <w:noProof/>
          </w:rPr>
          <w:t>Conceptual diagram of coastal seagrass habitat (&lt;15m) in the Wet Tropics region</w:t>
        </w:r>
        <w:r w:rsidR="003C440C">
          <w:rPr>
            <w:noProof/>
            <w:webHidden/>
          </w:rPr>
          <w:tab/>
        </w:r>
        <w:r w:rsidR="003C440C">
          <w:rPr>
            <w:noProof/>
            <w:webHidden/>
          </w:rPr>
          <w:fldChar w:fldCharType="begin"/>
        </w:r>
        <w:r w:rsidR="003C440C">
          <w:rPr>
            <w:noProof/>
            <w:webHidden/>
          </w:rPr>
          <w:instrText xml:space="preserve"> PAGEREF _Toc384196388 \h </w:instrText>
        </w:r>
        <w:r w:rsidR="003C440C">
          <w:rPr>
            <w:noProof/>
            <w:webHidden/>
          </w:rPr>
        </w:r>
        <w:r w:rsidR="003C440C">
          <w:rPr>
            <w:noProof/>
            <w:webHidden/>
          </w:rPr>
          <w:fldChar w:fldCharType="separate"/>
        </w:r>
        <w:r w:rsidR="005B5FD6">
          <w:rPr>
            <w:noProof/>
            <w:webHidden/>
          </w:rPr>
          <w:t>54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89" w:history="1">
        <w:r w:rsidR="003C440C" w:rsidRPr="003A52BF">
          <w:rPr>
            <w:rStyle w:val="Hyperlink"/>
            <w:noProof/>
          </w:rPr>
          <w:t xml:space="preserve">Figure 42. </w:t>
        </w:r>
        <w:r w:rsidR="003C440C" w:rsidRPr="003A52BF">
          <w:rPr>
            <w:rStyle w:val="Hyperlink"/>
            <w:i/>
            <w:noProof/>
          </w:rPr>
          <w:t>Location of Wet Tropics region long-term monitoring sites and seagrass species composition at each site.</w:t>
        </w:r>
        <w:r w:rsidR="003C440C">
          <w:rPr>
            <w:noProof/>
            <w:webHidden/>
          </w:rPr>
          <w:tab/>
        </w:r>
        <w:r w:rsidR="003C440C">
          <w:rPr>
            <w:noProof/>
            <w:webHidden/>
          </w:rPr>
          <w:fldChar w:fldCharType="begin"/>
        </w:r>
        <w:r w:rsidR="003C440C">
          <w:rPr>
            <w:noProof/>
            <w:webHidden/>
          </w:rPr>
          <w:instrText xml:space="preserve"> PAGEREF _Toc384196389 \h </w:instrText>
        </w:r>
        <w:r w:rsidR="003C440C">
          <w:rPr>
            <w:noProof/>
            <w:webHidden/>
          </w:rPr>
        </w:r>
        <w:r w:rsidR="003C440C">
          <w:rPr>
            <w:noProof/>
            <w:webHidden/>
          </w:rPr>
          <w:fldChar w:fldCharType="separate"/>
        </w:r>
        <w:r w:rsidR="005B5FD6">
          <w:rPr>
            <w:noProof/>
            <w:webHidden/>
          </w:rPr>
          <w:t>55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0" w:history="1">
        <w:r w:rsidR="003C440C" w:rsidRPr="003A52BF">
          <w:rPr>
            <w:rStyle w:val="Hyperlink"/>
            <w:noProof/>
          </w:rPr>
          <w:t xml:space="preserve">Figure 43. </w:t>
        </w:r>
        <w:r w:rsidR="003C440C" w:rsidRPr="003A52BF">
          <w:rPr>
            <w:rStyle w:val="Hyperlink"/>
            <w:i/>
            <w:noProof/>
          </w:rPr>
          <w:t>Conceptual diagram of reef seagrass habitat (&lt;15m) in the Wet Tropics region</w:t>
        </w:r>
        <w:r w:rsidR="003C440C">
          <w:rPr>
            <w:noProof/>
            <w:webHidden/>
          </w:rPr>
          <w:tab/>
        </w:r>
        <w:r w:rsidR="003C440C">
          <w:rPr>
            <w:noProof/>
            <w:webHidden/>
          </w:rPr>
          <w:fldChar w:fldCharType="begin"/>
        </w:r>
        <w:r w:rsidR="003C440C">
          <w:rPr>
            <w:noProof/>
            <w:webHidden/>
          </w:rPr>
          <w:instrText xml:space="preserve"> PAGEREF _Toc384196390 \h </w:instrText>
        </w:r>
        <w:r w:rsidR="003C440C">
          <w:rPr>
            <w:noProof/>
            <w:webHidden/>
          </w:rPr>
        </w:r>
        <w:r w:rsidR="003C440C">
          <w:rPr>
            <w:noProof/>
            <w:webHidden/>
          </w:rPr>
          <w:fldChar w:fldCharType="separate"/>
        </w:r>
        <w:r w:rsidR="005B5FD6">
          <w:rPr>
            <w:noProof/>
            <w:webHidden/>
          </w:rPr>
          <w:t>56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1" w:history="1">
        <w:r w:rsidR="003C440C" w:rsidRPr="003A52BF">
          <w:rPr>
            <w:rStyle w:val="Hyperlink"/>
            <w:noProof/>
          </w:rPr>
          <w:t xml:space="preserve">Figure 44. </w:t>
        </w:r>
        <w:r w:rsidR="003C440C" w:rsidRPr="003A52BF">
          <w:rPr>
            <w:rStyle w:val="Hyperlink"/>
            <w:i/>
            <w:noProof/>
          </w:rPr>
          <w:t>Report card of seagrass status indicators and index for the Wet Tropics NRM region</w:t>
        </w:r>
        <w:r w:rsidR="003C440C">
          <w:rPr>
            <w:noProof/>
            <w:webHidden/>
          </w:rPr>
          <w:tab/>
        </w:r>
        <w:r w:rsidR="003C440C">
          <w:rPr>
            <w:noProof/>
            <w:webHidden/>
          </w:rPr>
          <w:fldChar w:fldCharType="begin"/>
        </w:r>
        <w:r w:rsidR="003C440C">
          <w:rPr>
            <w:noProof/>
            <w:webHidden/>
          </w:rPr>
          <w:instrText xml:space="preserve"> PAGEREF _Toc384196391 \h </w:instrText>
        </w:r>
        <w:r w:rsidR="003C440C">
          <w:rPr>
            <w:noProof/>
            <w:webHidden/>
          </w:rPr>
        </w:r>
        <w:r w:rsidR="003C440C">
          <w:rPr>
            <w:noProof/>
            <w:webHidden/>
          </w:rPr>
          <w:fldChar w:fldCharType="separate"/>
        </w:r>
        <w:r w:rsidR="005B5FD6">
          <w:rPr>
            <w:noProof/>
            <w:webHidden/>
          </w:rPr>
          <w:t>57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2" w:history="1">
        <w:r w:rsidR="003C440C" w:rsidRPr="003A52BF">
          <w:rPr>
            <w:rStyle w:val="Hyperlink"/>
            <w:noProof/>
          </w:rPr>
          <w:t xml:space="preserve">Figure 45. </w:t>
        </w:r>
        <w:r w:rsidR="003C440C" w:rsidRPr="003A52BF">
          <w:rPr>
            <w:rStyle w:val="Hyperlink"/>
            <w:i/>
            <w:noProof/>
          </w:rPr>
          <w:t>Changes in seagrass abundance (% cover ±Standard Error) at inshore intertidal coastal habitats in the Wet Tropics region from 2000 to 2012</w:t>
        </w:r>
        <w:r w:rsidR="003C440C">
          <w:rPr>
            <w:noProof/>
            <w:webHidden/>
          </w:rPr>
          <w:tab/>
        </w:r>
        <w:r w:rsidR="003C440C">
          <w:rPr>
            <w:noProof/>
            <w:webHidden/>
          </w:rPr>
          <w:fldChar w:fldCharType="begin"/>
        </w:r>
        <w:r w:rsidR="003C440C">
          <w:rPr>
            <w:noProof/>
            <w:webHidden/>
          </w:rPr>
          <w:instrText xml:space="preserve"> PAGEREF _Toc384196392 \h </w:instrText>
        </w:r>
        <w:r w:rsidR="003C440C">
          <w:rPr>
            <w:noProof/>
            <w:webHidden/>
          </w:rPr>
        </w:r>
        <w:r w:rsidR="003C440C">
          <w:rPr>
            <w:noProof/>
            <w:webHidden/>
          </w:rPr>
          <w:fldChar w:fldCharType="separate"/>
        </w:r>
        <w:r w:rsidR="005B5FD6">
          <w:rPr>
            <w:noProof/>
            <w:webHidden/>
          </w:rPr>
          <w:t>57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3" w:history="1">
        <w:r w:rsidR="003C440C" w:rsidRPr="003A52BF">
          <w:rPr>
            <w:rStyle w:val="Hyperlink"/>
            <w:noProof/>
          </w:rPr>
          <w:t xml:space="preserve">Figure 46. </w:t>
        </w:r>
        <w:r w:rsidR="003C440C" w:rsidRPr="003A52BF">
          <w:rPr>
            <w:rStyle w:val="Hyperlink"/>
            <w:i/>
            <w:noProof/>
          </w:rPr>
          <w:t>Mean percentage seagrass cover (all species pooled) (± Standard Error) at inshore intertidal coastal habitats (Yule Point) at time of year.</w:t>
        </w:r>
        <w:r w:rsidR="003C440C">
          <w:rPr>
            <w:noProof/>
            <w:webHidden/>
          </w:rPr>
          <w:tab/>
        </w:r>
        <w:r w:rsidR="003C440C">
          <w:rPr>
            <w:noProof/>
            <w:webHidden/>
          </w:rPr>
          <w:fldChar w:fldCharType="begin"/>
        </w:r>
        <w:r w:rsidR="003C440C">
          <w:rPr>
            <w:noProof/>
            <w:webHidden/>
          </w:rPr>
          <w:instrText xml:space="preserve"> PAGEREF _Toc384196393 \h </w:instrText>
        </w:r>
        <w:r w:rsidR="003C440C">
          <w:rPr>
            <w:noProof/>
            <w:webHidden/>
          </w:rPr>
        </w:r>
        <w:r w:rsidR="003C440C">
          <w:rPr>
            <w:noProof/>
            <w:webHidden/>
          </w:rPr>
          <w:fldChar w:fldCharType="separate"/>
        </w:r>
        <w:r w:rsidR="005B5FD6">
          <w:rPr>
            <w:noProof/>
            <w:webHidden/>
          </w:rPr>
          <w:t>58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4" w:history="1">
        <w:r w:rsidR="003C440C" w:rsidRPr="003A52BF">
          <w:rPr>
            <w:rStyle w:val="Hyperlink"/>
            <w:noProof/>
          </w:rPr>
          <w:t xml:space="preserve">Figure 47. </w:t>
        </w:r>
        <w:r w:rsidR="003C440C" w:rsidRPr="003A52BF">
          <w:rPr>
            <w:rStyle w:val="Hyperlink"/>
            <w:i/>
            <w:noProof/>
          </w:rPr>
          <w:t>Mean percentage seagrass cover (all species pooled) (± Standard Error) at inshore intertidal coastal habitats (Lugger Bay) at time of year.</w:t>
        </w:r>
        <w:r w:rsidR="003C440C">
          <w:rPr>
            <w:noProof/>
            <w:webHidden/>
          </w:rPr>
          <w:tab/>
        </w:r>
        <w:r w:rsidR="003C440C">
          <w:rPr>
            <w:noProof/>
            <w:webHidden/>
          </w:rPr>
          <w:fldChar w:fldCharType="begin"/>
        </w:r>
        <w:r w:rsidR="003C440C">
          <w:rPr>
            <w:noProof/>
            <w:webHidden/>
          </w:rPr>
          <w:instrText xml:space="preserve"> PAGEREF _Toc384196394 \h </w:instrText>
        </w:r>
        <w:r w:rsidR="003C440C">
          <w:rPr>
            <w:noProof/>
            <w:webHidden/>
          </w:rPr>
        </w:r>
        <w:r w:rsidR="003C440C">
          <w:rPr>
            <w:noProof/>
            <w:webHidden/>
          </w:rPr>
          <w:fldChar w:fldCharType="separate"/>
        </w:r>
        <w:r w:rsidR="005B5FD6">
          <w:rPr>
            <w:noProof/>
            <w:webHidden/>
          </w:rPr>
          <w:t>58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5" w:history="1">
        <w:r w:rsidR="003C440C" w:rsidRPr="003A52BF">
          <w:rPr>
            <w:rStyle w:val="Hyperlink"/>
            <w:noProof/>
          </w:rPr>
          <w:t xml:space="preserve">Figure 48. </w:t>
        </w:r>
        <w:r w:rsidR="003C440C" w:rsidRPr="003A52BF">
          <w:rPr>
            <w:rStyle w:val="Hyperlink"/>
            <w:i/>
            <w:noProof/>
          </w:rPr>
          <w:t>Changes in seagrass abundance (% cover ±Standard Error) of inshore intertidal and subtidal reef habitats (Green Island) in the Wet Tropics region from 2001 to 2012.</w:t>
        </w:r>
        <w:r w:rsidR="003C440C">
          <w:rPr>
            <w:noProof/>
            <w:webHidden/>
          </w:rPr>
          <w:tab/>
        </w:r>
        <w:r w:rsidR="003C440C">
          <w:rPr>
            <w:noProof/>
            <w:webHidden/>
          </w:rPr>
          <w:fldChar w:fldCharType="begin"/>
        </w:r>
        <w:r w:rsidR="003C440C">
          <w:rPr>
            <w:noProof/>
            <w:webHidden/>
          </w:rPr>
          <w:instrText xml:space="preserve"> PAGEREF _Toc384196395 \h </w:instrText>
        </w:r>
        <w:r w:rsidR="003C440C">
          <w:rPr>
            <w:noProof/>
            <w:webHidden/>
          </w:rPr>
        </w:r>
        <w:r w:rsidR="003C440C">
          <w:rPr>
            <w:noProof/>
            <w:webHidden/>
          </w:rPr>
          <w:fldChar w:fldCharType="separate"/>
        </w:r>
        <w:r w:rsidR="005B5FD6">
          <w:rPr>
            <w:noProof/>
            <w:webHidden/>
          </w:rPr>
          <w:t>59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6" w:history="1">
        <w:r w:rsidR="003C440C" w:rsidRPr="003A52BF">
          <w:rPr>
            <w:rStyle w:val="Hyperlink"/>
            <w:noProof/>
          </w:rPr>
          <w:t xml:space="preserve">Figure 49. </w:t>
        </w:r>
        <w:r w:rsidR="003C440C" w:rsidRPr="003A52BF">
          <w:rPr>
            <w:rStyle w:val="Hyperlink"/>
            <w:i/>
            <w:noProof/>
          </w:rPr>
          <w:t>Mean percentage seagrass cover (all species pooled) (± Standard Error) at inshore intertidal reef habitats (Green Island) at time of year.</w:t>
        </w:r>
        <w:r w:rsidR="003C440C">
          <w:rPr>
            <w:noProof/>
            <w:webHidden/>
          </w:rPr>
          <w:tab/>
        </w:r>
        <w:r w:rsidR="003C440C">
          <w:rPr>
            <w:noProof/>
            <w:webHidden/>
          </w:rPr>
          <w:fldChar w:fldCharType="begin"/>
        </w:r>
        <w:r w:rsidR="003C440C">
          <w:rPr>
            <w:noProof/>
            <w:webHidden/>
          </w:rPr>
          <w:instrText xml:space="preserve"> PAGEREF _Toc384196396 \h </w:instrText>
        </w:r>
        <w:r w:rsidR="003C440C">
          <w:rPr>
            <w:noProof/>
            <w:webHidden/>
          </w:rPr>
        </w:r>
        <w:r w:rsidR="003C440C">
          <w:rPr>
            <w:noProof/>
            <w:webHidden/>
          </w:rPr>
          <w:fldChar w:fldCharType="separate"/>
        </w:r>
        <w:r w:rsidR="005B5FD6">
          <w:rPr>
            <w:noProof/>
            <w:webHidden/>
          </w:rPr>
          <w:t>59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7" w:history="1">
        <w:r w:rsidR="003C440C" w:rsidRPr="003A52BF">
          <w:rPr>
            <w:rStyle w:val="Hyperlink"/>
            <w:noProof/>
          </w:rPr>
          <w:t xml:space="preserve">Figure 50. </w:t>
        </w:r>
        <w:r w:rsidR="003C440C" w:rsidRPr="003A52BF">
          <w:rPr>
            <w:rStyle w:val="Hyperlink"/>
            <w:i/>
            <w:noProof/>
          </w:rPr>
          <w:t>Mean percentage seagrass cover (all species pooled) (± Standard Error) at inshore subtidal reef habitats (Green Island) at time of year.</w:t>
        </w:r>
        <w:r w:rsidR="003C440C">
          <w:rPr>
            <w:noProof/>
            <w:webHidden/>
          </w:rPr>
          <w:tab/>
        </w:r>
        <w:r w:rsidR="003C440C">
          <w:rPr>
            <w:noProof/>
            <w:webHidden/>
          </w:rPr>
          <w:fldChar w:fldCharType="begin"/>
        </w:r>
        <w:r w:rsidR="003C440C">
          <w:rPr>
            <w:noProof/>
            <w:webHidden/>
          </w:rPr>
          <w:instrText xml:space="preserve"> PAGEREF _Toc384196397 \h </w:instrText>
        </w:r>
        <w:r w:rsidR="003C440C">
          <w:rPr>
            <w:noProof/>
            <w:webHidden/>
          </w:rPr>
        </w:r>
        <w:r w:rsidR="003C440C">
          <w:rPr>
            <w:noProof/>
            <w:webHidden/>
          </w:rPr>
          <w:fldChar w:fldCharType="separate"/>
        </w:r>
        <w:r w:rsidR="005B5FD6">
          <w:rPr>
            <w:noProof/>
            <w:webHidden/>
          </w:rPr>
          <w:t>59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8" w:history="1">
        <w:r w:rsidR="003C440C" w:rsidRPr="003A52BF">
          <w:rPr>
            <w:rStyle w:val="Hyperlink"/>
            <w:noProof/>
          </w:rPr>
          <w:t>Figure 51.</w:t>
        </w:r>
        <w:r w:rsidR="003C440C" w:rsidRPr="003A52BF">
          <w:rPr>
            <w:rStyle w:val="Hyperlink"/>
            <w:i/>
            <w:noProof/>
          </w:rPr>
          <w:t xml:space="preserve"> Changes in seagrass abundance (% cover ±Standard Error) of inshore intertidal and subtidal reef habitats (Dunk Island) in the southern Wet Tropics region from 2007 to 2012.</w:t>
        </w:r>
        <w:r w:rsidR="003C440C">
          <w:rPr>
            <w:noProof/>
            <w:webHidden/>
          </w:rPr>
          <w:tab/>
        </w:r>
        <w:r w:rsidR="003C440C">
          <w:rPr>
            <w:noProof/>
            <w:webHidden/>
          </w:rPr>
          <w:fldChar w:fldCharType="begin"/>
        </w:r>
        <w:r w:rsidR="003C440C">
          <w:rPr>
            <w:noProof/>
            <w:webHidden/>
          </w:rPr>
          <w:instrText xml:space="preserve"> PAGEREF _Toc384196398 \h </w:instrText>
        </w:r>
        <w:r w:rsidR="003C440C">
          <w:rPr>
            <w:noProof/>
            <w:webHidden/>
          </w:rPr>
        </w:r>
        <w:r w:rsidR="003C440C">
          <w:rPr>
            <w:noProof/>
            <w:webHidden/>
          </w:rPr>
          <w:fldChar w:fldCharType="separate"/>
        </w:r>
        <w:r w:rsidR="005B5FD6">
          <w:rPr>
            <w:noProof/>
            <w:webHidden/>
          </w:rPr>
          <w:t>60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399" w:history="1">
        <w:r w:rsidR="003C440C" w:rsidRPr="003A52BF">
          <w:rPr>
            <w:rStyle w:val="Hyperlink"/>
            <w:noProof/>
          </w:rPr>
          <w:t>Figure 52</w:t>
        </w:r>
        <w:r w:rsidR="003C440C" w:rsidRPr="003A52BF">
          <w:rPr>
            <w:rStyle w:val="Hyperlink"/>
            <w:i/>
            <w:noProof/>
          </w:rPr>
          <w:t>. Mean percentage seagrass cover (all species pooled) (± Standard Error) at inshore intertidal reef habitat (Dunk Island) at time of year.</w:t>
        </w:r>
        <w:r w:rsidR="003C440C">
          <w:rPr>
            <w:noProof/>
            <w:webHidden/>
          </w:rPr>
          <w:tab/>
        </w:r>
        <w:r w:rsidR="003C440C">
          <w:rPr>
            <w:noProof/>
            <w:webHidden/>
          </w:rPr>
          <w:fldChar w:fldCharType="begin"/>
        </w:r>
        <w:r w:rsidR="003C440C">
          <w:rPr>
            <w:noProof/>
            <w:webHidden/>
          </w:rPr>
          <w:instrText xml:space="preserve"> PAGEREF _Toc384196399 \h </w:instrText>
        </w:r>
        <w:r w:rsidR="003C440C">
          <w:rPr>
            <w:noProof/>
            <w:webHidden/>
          </w:rPr>
        </w:r>
        <w:r w:rsidR="003C440C">
          <w:rPr>
            <w:noProof/>
            <w:webHidden/>
          </w:rPr>
          <w:fldChar w:fldCharType="separate"/>
        </w:r>
        <w:r w:rsidR="005B5FD6">
          <w:rPr>
            <w:noProof/>
            <w:webHidden/>
          </w:rPr>
          <w:t>60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0" w:history="1">
        <w:r w:rsidR="003C440C" w:rsidRPr="003A52BF">
          <w:rPr>
            <w:rStyle w:val="Hyperlink"/>
            <w:noProof/>
          </w:rPr>
          <w:t xml:space="preserve">Figure 53. </w:t>
        </w:r>
        <w:r w:rsidR="003C440C" w:rsidRPr="003A52BF">
          <w:rPr>
            <w:rStyle w:val="Hyperlink"/>
            <w:i/>
            <w:noProof/>
          </w:rPr>
          <w:t>Mean percentage seagrass cover (all species pooled) (± Standard Error) at inshore subtidal reef habitat (Dunk Island) at time of year.</w:t>
        </w:r>
        <w:r w:rsidR="003C440C">
          <w:rPr>
            <w:noProof/>
            <w:webHidden/>
          </w:rPr>
          <w:tab/>
        </w:r>
        <w:r w:rsidR="003C440C">
          <w:rPr>
            <w:noProof/>
            <w:webHidden/>
          </w:rPr>
          <w:fldChar w:fldCharType="begin"/>
        </w:r>
        <w:r w:rsidR="003C440C">
          <w:rPr>
            <w:noProof/>
            <w:webHidden/>
          </w:rPr>
          <w:instrText xml:space="preserve"> PAGEREF _Toc384196400 \h </w:instrText>
        </w:r>
        <w:r w:rsidR="003C440C">
          <w:rPr>
            <w:noProof/>
            <w:webHidden/>
          </w:rPr>
        </w:r>
        <w:r w:rsidR="003C440C">
          <w:rPr>
            <w:noProof/>
            <w:webHidden/>
          </w:rPr>
          <w:fldChar w:fldCharType="separate"/>
        </w:r>
        <w:r w:rsidR="005B5FD6">
          <w:rPr>
            <w:noProof/>
            <w:webHidden/>
          </w:rPr>
          <w:t>60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1" w:history="1">
        <w:r w:rsidR="003C440C" w:rsidRPr="003A52BF">
          <w:rPr>
            <w:rStyle w:val="Hyperlink"/>
            <w:noProof/>
          </w:rPr>
          <w:t xml:space="preserve">Figure 54. </w:t>
        </w:r>
        <w:r w:rsidR="003C440C" w:rsidRPr="003A52BF">
          <w:rPr>
            <w:rStyle w:val="Hyperlink"/>
            <w:i/>
            <w:noProof/>
          </w:rPr>
          <w:t>Changes in seagrass abundance (% cover ±Standard Error) at inshore intertidal and subtidal reef habitats (Low Isles) in the northern Wet Tropics region from 2008 to 2012.</w:t>
        </w:r>
        <w:r w:rsidR="003C440C">
          <w:rPr>
            <w:noProof/>
            <w:webHidden/>
          </w:rPr>
          <w:tab/>
        </w:r>
        <w:r w:rsidR="003C440C">
          <w:rPr>
            <w:noProof/>
            <w:webHidden/>
          </w:rPr>
          <w:fldChar w:fldCharType="begin"/>
        </w:r>
        <w:r w:rsidR="003C440C">
          <w:rPr>
            <w:noProof/>
            <w:webHidden/>
          </w:rPr>
          <w:instrText xml:space="preserve"> PAGEREF _Toc384196401 \h </w:instrText>
        </w:r>
        <w:r w:rsidR="003C440C">
          <w:rPr>
            <w:noProof/>
            <w:webHidden/>
          </w:rPr>
        </w:r>
        <w:r w:rsidR="003C440C">
          <w:rPr>
            <w:noProof/>
            <w:webHidden/>
          </w:rPr>
          <w:fldChar w:fldCharType="separate"/>
        </w:r>
        <w:r w:rsidR="005B5FD6">
          <w:rPr>
            <w:noProof/>
            <w:webHidden/>
          </w:rPr>
          <w:t>61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2" w:history="1">
        <w:r w:rsidR="003C440C" w:rsidRPr="003A52BF">
          <w:rPr>
            <w:rStyle w:val="Hyperlink"/>
            <w:noProof/>
          </w:rPr>
          <w:t xml:space="preserve">Figure 55. </w:t>
        </w:r>
        <w:r w:rsidR="003C440C" w:rsidRPr="003A52BF">
          <w:rPr>
            <w:rStyle w:val="Hyperlink"/>
            <w:i/>
            <w:noProof/>
          </w:rPr>
          <w:t>Mean percentage seagrass cover (all species pooled) (± Standard Error) at inshore intertidal (left) and subtidal (right) reef habitat (Low Isles) long-term monitoring sites at time of year</w:t>
        </w:r>
        <w:r w:rsidR="003C440C">
          <w:rPr>
            <w:noProof/>
            <w:webHidden/>
          </w:rPr>
          <w:tab/>
        </w:r>
        <w:r w:rsidR="003C440C">
          <w:rPr>
            <w:noProof/>
            <w:webHidden/>
          </w:rPr>
          <w:fldChar w:fldCharType="begin"/>
        </w:r>
        <w:r w:rsidR="003C440C">
          <w:rPr>
            <w:noProof/>
            <w:webHidden/>
          </w:rPr>
          <w:instrText xml:space="preserve"> PAGEREF _Toc384196402 \h </w:instrText>
        </w:r>
        <w:r w:rsidR="003C440C">
          <w:rPr>
            <w:noProof/>
            <w:webHidden/>
          </w:rPr>
        </w:r>
        <w:r w:rsidR="003C440C">
          <w:rPr>
            <w:noProof/>
            <w:webHidden/>
          </w:rPr>
          <w:fldChar w:fldCharType="separate"/>
        </w:r>
        <w:r w:rsidR="005B5FD6">
          <w:rPr>
            <w:noProof/>
            <w:webHidden/>
          </w:rPr>
          <w:t>61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3" w:history="1">
        <w:r w:rsidR="003C440C" w:rsidRPr="003A52BF">
          <w:rPr>
            <w:rStyle w:val="Hyperlink"/>
            <w:noProof/>
          </w:rPr>
          <w:t>Figure 56</w:t>
        </w:r>
        <w:r w:rsidR="003C440C" w:rsidRPr="003A52BF">
          <w:rPr>
            <w:rStyle w:val="Hyperlink"/>
            <w:i/>
            <w:noProof/>
          </w:rPr>
          <w:t>. Extent of area (100m radius of monitoring site) covered by seagrass at inshore intertidal coastal and reef habitat monitoring sites in the northern Wet Tropics region.</w:t>
        </w:r>
        <w:r w:rsidR="003C440C">
          <w:rPr>
            <w:noProof/>
            <w:webHidden/>
          </w:rPr>
          <w:tab/>
        </w:r>
        <w:r w:rsidR="003C440C">
          <w:rPr>
            <w:noProof/>
            <w:webHidden/>
          </w:rPr>
          <w:fldChar w:fldCharType="begin"/>
        </w:r>
        <w:r w:rsidR="003C440C">
          <w:rPr>
            <w:noProof/>
            <w:webHidden/>
          </w:rPr>
          <w:instrText xml:space="preserve"> PAGEREF _Toc384196403 \h </w:instrText>
        </w:r>
        <w:r w:rsidR="003C440C">
          <w:rPr>
            <w:noProof/>
            <w:webHidden/>
          </w:rPr>
        </w:r>
        <w:r w:rsidR="003C440C">
          <w:rPr>
            <w:noProof/>
            <w:webHidden/>
          </w:rPr>
          <w:fldChar w:fldCharType="separate"/>
        </w:r>
        <w:r w:rsidR="005B5FD6">
          <w:rPr>
            <w:noProof/>
            <w:webHidden/>
          </w:rPr>
          <w:t>63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4" w:history="1">
        <w:r w:rsidR="003C440C" w:rsidRPr="003A52BF">
          <w:rPr>
            <w:rStyle w:val="Hyperlink"/>
            <w:noProof/>
          </w:rPr>
          <w:t>Figure 57</w:t>
        </w:r>
        <w:r w:rsidR="003C440C" w:rsidRPr="003A52BF">
          <w:rPr>
            <w:rStyle w:val="Hyperlink"/>
            <w:i/>
            <w:noProof/>
          </w:rPr>
          <w:t>. Extent of area (100m radius of monitoring site) covered by seagrass at inshore intertidal coastal and reef monitoring sites in the southern Wet Tropics region.</w:t>
        </w:r>
        <w:r w:rsidR="003C440C">
          <w:rPr>
            <w:noProof/>
            <w:webHidden/>
          </w:rPr>
          <w:tab/>
        </w:r>
        <w:r w:rsidR="003C440C">
          <w:rPr>
            <w:noProof/>
            <w:webHidden/>
          </w:rPr>
          <w:fldChar w:fldCharType="begin"/>
        </w:r>
        <w:r w:rsidR="003C440C">
          <w:rPr>
            <w:noProof/>
            <w:webHidden/>
          </w:rPr>
          <w:instrText xml:space="preserve"> PAGEREF _Toc384196404 \h </w:instrText>
        </w:r>
        <w:r w:rsidR="003C440C">
          <w:rPr>
            <w:noProof/>
            <w:webHidden/>
          </w:rPr>
        </w:r>
        <w:r w:rsidR="003C440C">
          <w:rPr>
            <w:noProof/>
            <w:webHidden/>
          </w:rPr>
          <w:fldChar w:fldCharType="separate"/>
        </w:r>
        <w:r w:rsidR="005B5FD6">
          <w:rPr>
            <w:noProof/>
            <w:webHidden/>
          </w:rPr>
          <w:t>63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5" w:history="1">
        <w:r w:rsidR="003C440C" w:rsidRPr="003A52BF">
          <w:rPr>
            <w:rStyle w:val="Hyperlink"/>
            <w:noProof/>
          </w:rPr>
          <w:t xml:space="preserve">Figure 58. </w:t>
        </w:r>
        <w:r w:rsidR="003C440C" w:rsidRPr="003A52BF">
          <w:rPr>
            <w:rStyle w:val="Hyperlink"/>
            <w:i/>
            <w:noProof/>
          </w:rPr>
          <w:t>Inshore intertidal coastal habitat seed bank (a), germinated seed abundance (b), and total seagrass reproductive effort (c) in the Wet Tropics region</w:t>
        </w:r>
        <w:r w:rsidR="003C440C">
          <w:rPr>
            <w:noProof/>
            <w:webHidden/>
          </w:rPr>
          <w:tab/>
        </w:r>
        <w:r w:rsidR="003C440C">
          <w:rPr>
            <w:noProof/>
            <w:webHidden/>
          </w:rPr>
          <w:fldChar w:fldCharType="begin"/>
        </w:r>
        <w:r w:rsidR="003C440C">
          <w:rPr>
            <w:noProof/>
            <w:webHidden/>
          </w:rPr>
          <w:instrText xml:space="preserve"> PAGEREF _Toc384196405 \h </w:instrText>
        </w:r>
        <w:r w:rsidR="003C440C">
          <w:rPr>
            <w:noProof/>
            <w:webHidden/>
          </w:rPr>
        </w:r>
        <w:r w:rsidR="003C440C">
          <w:rPr>
            <w:noProof/>
            <w:webHidden/>
          </w:rPr>
          <w:fldChar w:fldCharType="separate"/>
        </w:r>
        <w:r w:rsidR="005B5FD6">
          <w:rPr>
            <w:noProof/>
            <w:webHidden/>
          </w:rPr>
          <w:t>64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6" w:history="1">
        <w:r w:rsidR="003C440C" w:rsidRPr="003A52BF">
          <w:rPr>
            <w:rStyle w:val="Hyperlink"/>
            <w:noProof/>
          </w:rPr>
          <w:t xml:space="preserve">Figure 59. </w:t>
        </w:r>
        <w:r w:rsidR="003C440C" w:rsidRPr="003A52BF">
          <w:rPr>
            <w:rStyle w:val="Hyperlink"/>
            <w:i/>
            <w:noProof/>
          </w:rPr>
          <w:t>Inshore intertidal reef habitat seed banks (a), germinated seed abundance (b), and total reproductive effort (c) in the Wet Tropics region.</w:t>
        </w:r>
        <w:r w:rsidR="003C440C">
          <w:rPr>
            <w:noProof/>
            <w:webHidden/>
          </w:rPr>
          <w:tab/>
        </w:r>
        <w:r w:rsidR="003C440C">
          <w:rPr>
            <w:noProof/>
            <w:webHidden/>
          </w:rPr>
          <w:fldChar w:fldCharType="begin"/>
        </w:r>
        <w:r w:rsidR="003C440C">
          <w:rPr>
            <w:noProof/>
            <w:webHidden/>
          </w:rPr>
          <w:instrText xml:space="preserve"> PAGEREF _Toc384196406 \h </w:instrText>
        </w:r>
        <w:r w:rsidR="003C440C">
          <w:rPr>
            <w:noProof/>
            <w:webHidden/>
          </w:rPr>
        </w:r>
        <w:r w:rsidR="003C440C">
          <w:rPr>
            <w:noProof/>
            <w:webHidden/>
          </w:rPr>
          <w:fldChar w:fldCharType="separate"/>
        </w:r>
        <w:r w:rsidR="005B5FD6">
          <w:rPr>
            <w:noProof/>
            <w:webHidden/>
          </w:rPr>
          <w:t>64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7" w:history="1">
        <w:r w:rsidR="003C440C" w:rsidRPr="003A52BF">
          <w:rPr>
            <w:rStyle w:val="Hyperlink"/>
            <w:noProof/>
          </w:rPr>
          <w:t xml:space="preserve">Figure 60. </w:t>
        </w:r>
        <w:r w:rsidR="003C440C" w:rsidRPr="003A52BF">
          <w:rPr>
            <w:rStyle w:val="Hyperlink"/>
            <w:i/>
            <w:noProof/>
            <w:lang w:eastAsia="en-AU"/>
          </w:rPr>
          <w:t xml:space="preserve">Elemental ratios (atomic) of seagrass leaf tissue C:N for </w:t>
        </w:r>
        <w:r w:rsidR="003C440C" w:rsidRPr="003A52BF">
          <w:rPr>
            <w:rStyle w:val="Hyperlink"/>
            <w:i/>
            <w:noProof/>
          </w:rPr>
          <w:t xml:space="preserve">the foundation seagrass species examined at each inshore intertidal location in the Wet Tropics region </w:t>
        </w:r>
        <w:r w:rsidR="003C440C" w:rsidRPr="003A52BF">
          <w:rPr>
            <w:rStyle w:val="Hyperlink"/>
            <w:i/>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_Toc384196407 \h </w:instrText>
        </w:r>
        <w:r w:rsidR="003C440C">
          <w:rPr>
            <w:noProof/>
            <w:webHidden/>
          </w:rPr>
        </w:r>
        <w:r w:rsidR="003C440C">
          <w:rPr>
            <w:noProof/>
            <w:webHidden/>
          </w:rPr>
          <w:fldChar w:fldCharType="separate"/>
        </w:r>
        <w:r w:rsidR="005B5FD6">
          <w:rPr>
            <w:noProof/>
            <w:webHidden/>
          </w:rPr>
          <w:t>65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8" w:history="1">
        <w:r w:rsidR="003C440C" w:rsidRPr="003A52BF">
          <w:rPr>
            <w:rStyle w:val="Hyperlink"/>
            <w:noProof/>
          </w:rPr>
          <w:t xml:space="preserve">Figure 61. </w:t>
        </w:r>
        <w:r w:rsidR="003C440C" w:rsidRPr="003A52BF">
          <w:rPr>
            <w:rStyle w:val="Hyperlink"/>
            <w:i/>
            <w:iCs/>
            <w:noProof/>
            <w:lang w:eastAsia="en-AU"/>
          </w:rPr>
          <w:t xml:space="preserve">Elemental ratios (atomic) of seagrass leaf tissue N:P and C:P </w:t>
        </w:r>
        <w:r w:rsidR="003C440C" w:rsidRPr="003A52BF">
          <w:rPr>
            <w:rStyle w:val="Hyperlink"/>
            <w:i/>
            <w:iCs/>
            <w:noProof/>
          </w:rPr>
          <w:t xml:space="preserve">for the foundation seagrass species examined at each inshore intertidal location in the Wet Tropics region </w:t>
        </w:r>
        <w:r w:rsidR="003C440C" w:rsidRPr="003A52BF">
          <w:rPr>
            <w:rStyle w:val="Hyperlink"/>
            <w:i/>
            <w:iCs/>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_Toc384196408 \h </w:instrText>
        </w:r>
        <w:r w:rsidR="003C440C">
          <w:rPr>
            <w:noProof/>
            <w:webHidden/>
          </w:rPr>
        </w:r>
        <w:r w:rsidR="003C440C">
          <w:rPr>
            <w:noProof/>
            <w:webHidden/>
          </w:rPr>
          <w:fldChar w:fldCharType="separate"/>
        </w:r>
        <w:r w:rsidR="005B5FD6">
          <w:rPr>
            <w:noProof/>
            <w:webHidden/>
          </w:rPr>
          <w:t>66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09" w:history="1">
        <w:r w:rsidR="003C440C" w:rsidRPr="003A52BF">
          <w:rPr>
            <w:rStyle w:val="Hyperlink"/>
            <w:noProof/>
          </w:rPr>
          <w:t xml:space="preserve">Figure 62. </w:t>
        </w:r>
        <w:r w:rsidR="003C440C" w:rsidRPr="003A52BF">
          <w:rPr>
            <w:rStyle w:val="Hyperlink"/>
            <w:i/>
            <w:noProof/>
          </w:rPr>
          <w:t>Mean abundance (% cover) (± Standard Error) of epiphytes and macro-algae at inshore intertidal coastal habitats (sites pooled) in the Wet Tropics region</w:t>
        </w:r>
        <w:r w:rsidR="003C440C">
          <w:rPr>
            <w:noProof/>
            <w:webHidden/>
          </w:rPr>
          <w:tab/>
        </w:r>
        <w:r w:rsidR="003C440C">
          <w:rPr>
            <w:noProof/>
            <w:webHidden/>
          </w:rPr>
          <w:fldChar w:fldCharType="begin"/>
        </w:r>
        <w:r w:rsidR="003C440C">
          <w:rPr>
            <w:noProof/>
            <w:webHidden/>
          </w:rPr>
          <w:instrText xml:space="preserve"> PAGEREF _Toc384196409 \h </w:instrText>
        </w:r>
        <w:r w:rsidR="003C440C">
          <w:rPr>
            <w:noProof/>
            <w:webHidden/>
          </w:rPr>
        </w:r>
        <w:r w:rsidR="003C440C">
          <w:rPr>
            <w:noProof/>
            <w:webHidden/>
          </w:rPr>
          <w:fldChar w:fldCharType="separate"/>
        </w:r>
        <w:r w:rsidR="005B5FD6">
          <w:rPr>
            <w:noProof/>
            <w:webHidden/>
          </w:rPr>
          <w:t>68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0" w:history="1">
        <w:r w:rsidR="003C440C" w:rsidRPr="003A52BF">
          <w:rPr>
            <w:rStyle w:val="Hyperlink"/>
            <w:noProof/>
          </w:rPr>
          <w:t xml:space="preserve">Figure 63. </w:t>
        </w:r>
        <w:r w:rsidR="003C440C" w:rsidRPr="003A52BF">
          <w:rPr>
            <w:rStyle w:val="Hyperlink"/>
            <w:i/>
            <w:noProof/>
          </w:rPr>
          <w:t>Mean abundance (% cover) (± Standard Error) of epiphytes and macro-algae at inshore intertidal reef habitats (sites pooled) in the Wet Tropics region.</w:t>
        </w:r>
        <w:r w:rsidR="003C440C">
          <w:rPr>
            <w:noProof/>
            <w:webHidden/>
          </w:rPr>
          <w:tab/>
        </w:r>
        <w:r w:rsidR="003C440C">
          <w:rPr>
            <w:noProof/>
            <w:webHidden/>
          </w:rPr>
          <w:fldChar w:fldCharType="begin"/>
        </w:r>
        <w:r w:rsidR="003C440C">
          <w:rPr>
            <w:noProof/>
            <w:webHidden/>
          </w:rPr>
          <w:instrText xml:space="preserve"> PAGEREF _Toc384196410 \h </w:instrText>
        </w:r>
        <w:r w:rsidR="003C440C">
          <w:rPr>
            <w:noProof/>
            <w:webHidden/>
          </w:rPr>
        </w:r>
        <w:r w:rsidR="003C440C">
          <w:rPr>
            <w:noProof/>
            <w:webHidden/>
          </w:rPr>
          <w:fldChar w:fldCharType="separate"/>
        </w:r>
        <w:r w:rsidR="005B5FD6">
          <w:rPr>
            <w:noProof/>
            <w:webHidden/>
          </w:rPr>
          <w:t>68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1" w:history="1">
        <w:r w:rsidR="003C440C" w:rsidRPr="003A52BF">
          <w:rPr>
            <w:rStyle w:val="Hyperlink"/>
            <w:noProof/>
          </w:rPr>
          <w:t xml:space="preserve">Figure 64. </w:t>
        </w:r>
        <w:r w:rsidR="003C440C" w:rsidRPr="003A52BF">
          <w:rPr>
            <w:rStyle w:val="Hyperlink"/>
            <w:i/>
            <w:noProof/>
          </w:rPr>
          <w:t>Mean abundance (% cover) (± Standard Error) of epiphytes and macro-algae at inshore subtidal reef habitat (Green Island) in the central Wet Tropics region.</w:t>
        </w:r>
        <w:r w:rsidR="003C440C">
          <w:rPr>
            <w:noProof/>
            <w:webHidden/>
          </w:rPr>
          <w:tab/>
        </w:r>
        <w:r w:rsidR="003C440C">
          <w:rPr>
            <w:noProof/>
            <w:webHidden/>
          </w:rPr>
          <w:fldChar w:fldCharType="begin"/>
        </w:r>
        <w:r w:rsidR="003C440C">
          <w:rPr>
            <w:noProof/>
            <w:webHidden/>
          </w:rPr>
          <w:instrText xml:space="preserve"> PAGEREF _Toc384196411 \h </w:instrText>
        </w:r>
        <w:r w:rsidR="003C440C">
          <w:rPr>
            <w:noProof/>
            <w:webHidden/>
          </w:rPr>
        </w:r>
        <w:r w:rsidR="003C440C">
          <w:rPr>
            <w:noProof/>
            <w:webHidden/>
          </w:rPr>
          <w:fldChar w:fldCharType="separate"/>
        </w:r>
        <w:r w:rsidR="005B5FD6">
          <w:rPr>
            <w:noProof/>
            <w:webHidden/>
          </w:rPr>
          <w:t>69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2" w:history="1">
        <w:r w:rsidR="003C440C" w:rsidRPr="003A52BF">
          <w:rPr>
            <w:rStyle w:val="Hyperlink"/>
            <w:noProof/>
          </w:rPr>
          <w:t xml:space="preserve">Figure 65. </w:t>
        </w:r>
        <w:r w:rsidR="003C440C" w:rsidRPr="003A52BF">
          <w:rPr>
            <w:rStyle w:val="Hyperlink"/>
            <w:i/>
            <w:noProof/>
          </w:rPr>
          <w:t>Mean abundance (% cover) (± Standard Error) of epiphytes and macro-algae at inshore subtidal reef habitat (Dunk Island) in the southern Wet Tropics region.</w:t>
        </w:r>
        <w:r w:rsidR="003C440C">
          <w:rPr>
            <w:noProof/>
            <w:webHidden/>
          </w:rPr>
          <w:tab/>
        </w:r>
        <w:r w:rsidR="003C440C">
          <w:rPr>
            <w:noProof/>
            <w:webHidden/>
          </w:rPr>
          <w:fldChar w:fldCharType="begin"/>
        </w:r>
        <w:r w:rsidR="003C440C">
          <w:rPr>
            <w:noProof/>
            <w:webHidden/>
          </w:rPr>
          <w:instrText xml:space="preserve"> PAGEREF _Toc384196412 \h </w:instrText>
        </w:r>
        <w:r w:rsidR="003C440C">
          <w:rPr>
            <w:noProof/>
            <w:webHidden/>
          </w:rPr>
        </w:r>
        <w:r w:rsidR="003C440C">
          <w:rPr>
            <w:noProof/>
            <w:webHidden/>
          </w:rPr>
          <w:fldChar w:fldCharType="separate"/>
        </w:r>
        <w:r w:rsidR="005B5FD6">
          <w:rPr>
            <w:noProof/>
            <w:webHidden/>
          </w:rPr>
          <w:t>69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3" w:history="1">
        <w:r w:rsidR="003C440C" w:rsidRPr="003A52BF">
          <w:rPr>
            <w:rStyle w:val="Hyperlink"/>
            <w:noProof/>
          </w:rPr>
          <w:t xml:space="preserve">Figure 66. </w:t>
        </w:r>
        <w:r w:rsidR="003C440C" w:rsidRPr="003A52BF">
          <w:rPr>
            <w:rStyle w:val="Hyperlink"/>
            <w:i/>
            <w:noProof/>
          </w:rPr>
          <w:t>Mean abundance (% cover) (± Standard Error) of epiphytes and macro-algae at inshore intertidal habitat (Low Isles) in the northern Wet Tropics region.</w:t>
        </w:r>
        <w:r w:rsidR="003C440C">
          <w:rPr>
            <w:noProof/>
            <w:webHidden/>
          </w:rPr>
          <w:tab/>
        </w:r>
        <w:r w:rsidR="003C440C">
          <w:rPr>
            <w:noProof/>
            <w:webHidden/>
          </w:rPr>
          <w:fldChar w:fldCharType="begin"/>
        </w:r>
        <w:r w:rsidR="003C440C">
          <w:rPr>
            <w:noProof/>
            <w:webHidden/>
          </w:rPr>
          <w:instrText xml:space="preserve"> PAGEREF _Toc384196413 \h </w:instrText>
        </w:r>
        <w:r w:rsidR="003C440C">
          <w:rPr>
            <w:noProof/>
            <w:webHidden/>
          </w:rPr>
        </w:r>
        <w:r w:rsidR="003C440C">
          <w:rPr>
            <w:noProof/>
            <w:webHidden/>
          </w:rPr>
          <w:fldChar w:fldCharType="separate"/>
        </w:r>
        <w:r w:rsidR="005B5FD6">
          <w:rPr>
            <w:noProof/>
            <w:webHidden/>
          </w:rPr>
          <w:t>69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4" w:history="1">
        <w:r w:rsidR="003C440C" w:rsidRPr="003A52BF">
          <w:rPr>
            <w:rStyle w:val="Hyperlink"/>
            <w:noProof/>
          </w:rPr>
          <w:t xml:space="preserve">Figure 67. </w:t>
        </w:r>
        <w:r w:rsidR="003C440C" w:rsidRPr="003A52BF">
          <w:rPr>
            <w:rStyle w:val="Hyperlink"/>
            <w:i/>
            <w:noProof/>
          </w:rPr>
          <w:t>Mean abundance (% cover) (± Standard Error) of epiphytes and macro-algae at inshore subtidal reef habitat (Low Isles) in the northern Wet Tropics region.</w:t>
        </w:r>
        <w:r w:rsidR="003C440C">
          <w:rPr>
            <w:noProof/>
            <w:webHidden/>
          </w:rPr>
          <w:tab/>
        </w:r>
        <w:r w:rsidR="003C440C">
          <w:rPr>
            <w:noProof/>
            <w:webHidden/>
          </w:rPr>
          <w:fldChar w:fldCharType="begin"/>
        </w:r>
        <w:r w:rsidR="003C440C">
          <w:rPr>
            <w:noProof/>
            <w:webHidden/>
          </w:rPr>
          <w:instrText xml:space="preserve"> PAGEREF _Toc384196414 \h </w:instrText>
        </w:r>
        <w:r w:rsidR="003C440C">
          <w:rPr>
            <w:noProof/>
            <w:webHidden/>
          </w:rPr>
        </w:r>
        <w:r w:rsidR="003C440C">
          <w:rPr>
            <w:noProof/>
            <w:webHidden/>
          </w:rPr>
          <w:fldChar w:fldCharType="separate"/>
        </w:r>
        <w:r w:rsidR="005B5FD6">
          <w:rPr>
            <w:noProof/>
            <w:webHidden/>
          </w:rPr>
          <w:t>70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5" w:history="1">
        <w:r w:rsidR="003C440C" w:rsidRPr="003A52BF">
          <w:rPr>
            <w:rStyle w:val="Hyperlink"/>
            <w:noProof/>
          </w:rPr>
          <w:t>Figure 68</w:t>
        </w:r>
        <w:r w:rsidR="003C440C" w:rsidRPr="003A52BF">
          <w:rPr>
            <w:rStyle w:val="Hyperlink"/>
            <w:i/>
            <w:noProof/>
          </w:rPr>
          <w:t>. Within seagrass canopy temperature (°C) at inshore intertidal coastal (Yule Point and Lugger Bay) and reef (Low Isles, Green Island and Dunk Island) habitats within the Wet Tropics region over the 2011/12 monitoring period.</w:t>
        </w:r>
        <w:r w:rsidR="003C440C">
          <w:rPr>
            <w:noProof/>
            <w:webHidden/>
          </w:rPr>
          <w:tab/>
        </w:r>
        <w:r w:rsidR="003C440C">
          <w:rPr>
            <w:noProof/>
            <w:webHidden/>
          </w:rPr>
          <w:fldChar w:fldCharType="begin"/>
        </w:r>
        <w:r w:rsidR="003C440C">
          <w:rPr>
            <w:noProof/>
            <w:webHidden/>
          </w:rPr>
          <w:instrText xml:space="preserve"> PAGEREF _Toc384196415 \h </w:instrText>
        </w:r>
        <w:r w:rsidR="003C440C">
          <w:rPr>
            <w:noProof/>
            <w:webHidden/>
          </w:rPr>
        </w:r>
        <w:r w:rsidR="003C440C">
          <w:rPr>
            <w:noProof/>
            <w:webHidden/>
          </w:rPr>
          <w:fldChar w:fldCharType="separate"/>
        </w:r>
        <w:r w:rsidR="005B5FD6">
          <w:rPr>
            <w:noProof/>
            <w:webHidden/>
          </w:rPr>
          <w:t>71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6" w:history="1">
        <w:r w:rsidR="003C440C" w:rsidRPr="003A52BF">
          <w:rPr>
            <w:rStyle w:val="Hyperlink"/>
            <w:noProof/>
          </w:rPr>
          <w:t>Figure 69</w:t>
        </w:r>
        <w:r w:rsidR="003C440C" w:rsidRPr="003A52BF">
          <w:rPr>
            <w:rStyle w:val="Hyperlink"/>
            <w:i/>
            <w:noProof/>
          </w:rPr>
          <w:t>. Long-term monthly mean and maximum within seagrass canopy temperatures (°C) at inshore intertidal coastal (Yule Point and Lugger Bay) and reef (Green Island and Dunk Island) habitats within the Wet Tropics region.</w:t>
        </w:r>
        <w:r w:rsidR="003C440C">
          <w:rPr>
            <w:noProof/>
            <w:webHidden/>
          </w:rPr>
          <w:tab/>
        </w:r>
        <w:r w:rsidR="003C440C">
          <w:rPr>
            <w:noProof/>
            <w:webHidden/>
          </w:rPr>
          <w:fldChar w:fldCharType="begin"/>
        </w:r>
        <w:r w:rsidR="003C440C">
          <w:rPr>
            <w:noProof/>
            <w:webHidden/>
          </w:rPr>
          <w:instrText xml:space="preserve"> PAGEREF _Toc384196416 \h </w:instrText>
        </w:r>
        <w:r w:rsidR="003C440C">
          <w:rPr>
            <w:noProof/>
            <w:webHidden/>
          </w:rPr>
        </w:r>
        <w:r w:rsidR="003C440C">
          <w:rPr>
            <w:noProof/>
            <w:webHidden/>
          </w:rPr>
          <w:fldChar w:fldCharType="separate"/>
        </w:r>
        <w:r w:rsidR="005B5FD6">
          <w:rPr>
            <w:noProof/>
            <w:webHidden/>
          </w:rPr>
          <w:t>72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7" w:history="1">
        <w:r w:rsidR="003C440C" w:rsidRPr="003A52BF">
          <w:rPr>
            <w:rStyle w:val="Hyperlink"/>
            <w:noProof/>
          </w:rPr>
          <w:t xml:space="preserve">Figure 70. </w:t>
        </w:r>
        <w:r w:rsidR="003C440C" w:rsidRPr="003A52BF">
          <w:rPr>
            <w:rStyle w:val="Hyperlink"/>
            <w:i/>
            <w:noProof/>
          </w:rPr>
          <w:t>Within seagrass canopy temperature (°C) at inshore subtidal reef (Low Isles, Green Island, Dunk Island) habitats within the Wet Tropics over the 2011/12 monitoring period.</w:t>
        </w:r>
        <w:r w:rsidR="003C440C">
          <w:rPr>
            <w:noProof/>
            <w:webHidden/>
          </w:rPr>
          <w:tab/>
        </w:r>
        <w:r w:rsidR="003C440C">
          <w:rPr>
            <w:noProof/>
            <w:webHidden/>
          </w:rPr>
          <w:fldChar w:fldCharType="begin"/>
        </w:r>
        <w:r w:rsidR="003C440C">
          <w:rPr>
            <w:noProof/>
            <w:webHidden/>
          </w:rPr>
          <w:instrText xml:space="preserve"> PAGEREF _Toc384196417 \h </w:instrText>
        </w:r>
        <w:r w:rsidR="003C440C">
          <w:rPr>
            <w:noProof/>
            <w:webHidden/>
          </w:rPr>
        </w:r>
        <w:r w:rsidR="003C440C">
          <w:rPr>
            <w:noProof/>
            <w:webHidden/>
          </w:rPr>
          <w:fldChar w:fldCharType="separate"/>
        </w:r>
        <w:r w:rsidR="005B5FD6">
          <w:rPr>
            <w:noProof/>
            <w:webHidden/>
          </w:rPr>
          <w:t>73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8" w:history="1">
        <w:r w:rsidR="003C440C" w:rsidRPr="003A52BF">
          <w:rPr>
            <w:rStyle w:val="Hyperlink"/>
            <w:noProof/>
          </w:rPr>
          <w:t xml:space="preserve">Figure 71. </w:t>
        </w:r>
        <w:r w:rsidR="003C440C" w:rsidRPr="003A52BF">
          <w:rPr>
            <w:rStyle w:val="Hyperlink"/>
            <w:i/>
            <w:noProof/>
          </w:rPr>
          <w:t>Monthly mean, maximum and minimum temperature at the inshore subtidal reef (Low Isles, Green Island and Dunk Island) habitats in the Wet Tropics</w:t>
        </w:r>
        <w:r w:rsidR="003C440C">
          <w:rPr>
            <w:noProof/>
            <w:webHidden/>
          </w:rPr>
          <w:tab/>
        </w:r>
        <w:r w:rsidR="003C440C">
          <w:rPr>
            <w:noProof/>
            <w:webHidden/>
          </w:rPr>
          <w:fldChar w:fldCharType="begin"/>
        </w:r>
        <w:r w:rsidR="003C440C">
          <w:rPr>
            <w:noProof/>
            <w:webHidden/>
          </w:rPr>
          <w:instrText xml:space="preserve"> PAGEREF _Toc384196418 \h </w:instrText>
        </w:r>
        <w:r w:rsidR="003C440C">
          <w:rPr>
            <w:noProof/>
            <w:webHidden/>
          </w:rPr>
        </w:r>
        <w:r w:rsidR="003C440C">
          <w:rPr>
            <w:noProof/>
            <w:webHidden/>
          </w:rPr>
          <w:fldChar w:fldCharType="separate"/>
        </w:r>
        <w:r w:rsidR="005B5FD6">
          <w:rPr>
            <w:noProof/>
            <w:webHidden/>
          </w:rPr>
          <w:t>73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19" w:history="1">
        <w:r w:rsidR="003C440C" w:rsidRPr="003A52BF">
          <w:rPr>
            <w:rStyle w:val="Hyperlink"/>
            <w:noProof/>
          </w:rPr>
          <w:t xml:space="preserve">Figure 72. </w:t>
        </w:r>
        <w:r w:rsidR="003C440C" w:rsidRPr="003A52BF">
          <w:rPr>
            <w:rStyle w:val="Hyperlink"/>
            <w:i/>
            <w:noProof/>
          </w:rPr>
          <w:t>Monthly mean, maximum and minimum temperature at the inshore intertidal reef (Low Isles) habitat in the northern Wet Tropics region.</w:t>
        </w:r>
        <w:r w:rsidR="003C440C">
          <w:rPr>
            <w:noProof/>
            <w:webHidden/>
          </w:rPr>
          <w:tab/>
        </w:r>
        <w:r w:rsidR="003C440C">
          <w:rPr>
            <w:noProof/>
            <w:webHidden/>
          </w:rPr>
          <w:fldChar w:fldCharType="begin"/>
        </w:r>
        <w:r w:rsidR="003C440C">
          <w:rPr>
            <w:noProof/>
            <w:webHidden/>
          </w:rPr>
          <w:instrText xml:space="preserve"> PAGEREF _Toc384196419 \h </w:instrText>
        </w:r>
        <w:r w:rsidR="003C440C">
          <w:rPr>
            <w:noProof/>
            <w:webHidden/>
          </w:rPr>
        </w:r>
        <w:r w:rsidR="003C440C">
          <w:rPr>
            <w:noProof/>
            <w:webHidden/>
          </w:rPr>
          <w:fldChar w:fldCharType="separate"/>
        </w:r>
        <w:r w:rsidR="005B5FD6">
          <w:rPr>
            <w:noProof/>
            <w:webHidden/>
          </w:rPr>
          <w:t>74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0" w:history="1">
        <w:r w:rsidR="003C440C" w:rsidRPr="003A52BF">
          <w:rPr>
            <w:rStyle w:val="Hyperlink"/>
            <w:noProof/>
          </w:rPr>
          <w:t xml:space="preserve">Figure 73. </w:t>
        </w:r>
        <w:r w:rsidR="003C440C" w:rsidRPr="003A52BF">
          <w:rPr>
            <w:rStyle w:val="Hyperlink"/>
            <w:i/>
            <w:noProof/>
          </w:rPr>
          <w:t>Daily light (28 day rolling average) at inshore intertidal (top) and subtidal (bottom) reef habitats (Low Isles)</w:t>
        </w:r>
        <w:r w:rsidR="003C440C">
          <w:rPr>
            <w:noProof/>
            <w:webHidden/>
          </w:rPr>
          <w:tab/>
        </w:r>
        <w:r w:rsidR="003C440C">
          <w:rPr>
            <w:noProof/>
            <w:webHidden/>
          </w:rPr>
          <w:fldChar w:fldCharType="begin"/>
        </w:r>
        <w:r w:rsidR="003C440C">
          <w:rPr>
            <w:noProof/>
            <w:webHidden/>
          </w:rPr>
          <w:instrText xml:space="preserve"> PAGEREF _Toc384196420 \h </w:instrText>
        </w:r>
        <w:r w:rsidR="003C440C">
          <w:rPr>
            <w:noProof/>
            <w:webHidden/>
          </w:rPr>
        </w:r>
        <w:r w:rsidR="003C440C">
          <w:rPr>
            <w:noProof/>
            <w:webHidden/>
          </w:rPr>
          <w:fldChar w:fldCharType="separate"/>
        </w:r>
        <w:r w:rsidR="005B5FD6">
          <w:rPr>
            <w:noProof/>
            <w:webHidden/>
          </w:rPr>
          <w:t>75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1" w:history="1">
        <w:r w:rsidR="003C440C" w:rsidRPr="003A52BF">
          <w:rPr>
            <w:rStyle w:val="Hyperlink"/>
            <w:noProof/>
          </w:rPr>
          <w:t xml:space="preserve">Figure 74. </w:t>
        </w:r>
        <w:r w:rsidR="003C440C" w:rsidRPr="003A52BF">
          <w:rPr>
            <w:rStyle w:val="Hyperlink"/>
            <w:i/>
            <w:noProof/>
          </w:rPr>
          <w:t>Daily light (28 day rolling average) at inshore intertidal (top) and subtidal (bottom) reef habitats (Green Island)</w:t>
        </w:r>
        <w:r w:rsidR="003C440C">
          <w:rPr>
            <w:noProof/>
            <w:webHidden/>
          </w:rPr>
          <w:tab/>
        </w:r>
        <w:r w:rsidR="003C440C">
          <w:rPr>
            <w:noProof/>
            <w:webHidden/>
          </w:rPr>
          <w:fldChar w:fldCharType="begin"/>
        </w:r>
        <w:r w:rsidR="003C440C">
          <w:rPr>
            <w:noProof/>
            <w:webHidden/>
          </w:rPr>
          <w:instrText xml:space="preserve"> PAGEREF _Toc384196421 \h </w:instrText>
        </w:r>
        <w:r w:rsidR="003C440C">
          <w:rPr>
            <w:noProof/>
            <w:webHidden/>
          </w:rPr>
        </w:r>
        <w:r w:rsidR="003C440C">
          <w:rPr>
            <w:noProof/>
            <w:webHidden/>
          </w:rPr>
          <w:fldChar w:fldCharType="separate"/>
        </w:r>
        <w:r w:rsidR="005B5FD6">
          <w:rPr>
            <w:noProof/>
            <w:webHidden/>
          </w:rPr>
          <w:t>75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2" w:history="1">
        <w:r w:rsidR="003C440C" w:rsidRPr="003A52BF">
          <w:rPr>
            <w:rStyle w:val="Hyperlink"/>
            <w:noProof/>
          </w:rPr>
          <w:t xml:space="preserve">Figure 75. </w:t>
        </w:r>
        <w:r w:rsidR="003C440C" w:rsidRPr="003A52BF">
          <w:rPr>
            <w:rStyle w:val="Hyperlink"/>
            <w:i/>
            <w:noProof/>
          </w:rPr>
          <w:t>Daily light (28 day rolling average) at inshore intertidal (top) and subtidal (bottom) reef habitats (Dunk Island)</w:t>
        </w:r>
        <w:r w:rsidR="003C440C">
          <w:rPr>
            <w:noProof/>
            <w:webHidden/>
          </w:rPr>
          <w:tab/>
        </w:r>
        <w:r w:rsidR="003C440C">
          <w:rPr>
            <w:noProof/>
            <w:webHidden/>
          </w:rPr>
          <w:fldChar w:fldCharType="begin"/>
        </w:r>
        <w:r w:rsidR="003C440C">
          <w:rPr>
            <w:noProof/>
            <w:webHidden/>
          </w:rPr>
          <w:instrText xml:space="preserve"> PAGEREF _Toc384196422 \h </w:instrText>
        </w:r>
        <w:r w:rsidR="003C440C">
          <w:rPr>
            <w:noProof/>
            <w:webHidden/>
          </w:rPr>
        </w:r>
        <w:r w:rsidR="003C440C">
          <w:rPr>
            <w:noProof/>
            <w:webHidden/>
          </w:rPr>
          <w:fldChar w:fldCharType="separate"/>
        </w:r>
        <w:r w:rsidR="005B5FD6">
          <w:rPr>
            <w:noProof/>
            <w:webHidden/>
          </w:rPr>
          <w:t>76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3" w:history="1">
        <w:r w:rsidR="003C440C" w:rsidRPr="003A52BF">
          <w:rPr>
            <w:rStyle w:val="Hyperlink"/>
            <w:noProof/>
          </w:rPr>
          <w:t xml:space="preserve">Figure 76. </w:t>
        </w:r>
        <w:r w:rsidR="003C440C" w:rsidRPr="003A52BF">
          <w:rPr>
            <w:rStyle w:val="Hyperlink"/>
            <w:i/>
            <w:noProof/>
          </w:rPr>
          <w:t>Daily light (28 day rolling average) at inshore intertidal coastal (Yule Point) habitat in the Wet Tropics NRM</w:t>
        </w:r>
        <w:r w:rsidR="003C440C">
          <w:rPr>
            <w:noProof/>
            <w:webHidden/>
          </w:rPr>
          <w:tab/>
        </w:r>
        <w:r w:rsidR="003C440C">
          <w:rPr>
            <w:noProof/>
            <w:webHidden/>
          </w:rPr>
          <w:fldChar w:fldCharType="begin"/>
        </w:r>
        <w:r w:rsidR="003C440C">
          <w:rPr>
            <w:noProof/>
            <w:webHidden/>
          </w:rPr>
          <w:instrText xml:space="preserve"> PAGEREF _Toc384196423 \h </w:instrText>
        </w:r>
        <w:r w:rsidR="003C440C">
          <w:rPr>
            <w:noProof/>
            <w:webHidden/>
          </w:rPr>
        </w:r>
        <w:r w:rsidR="003C440C">
          <w:rPr>
            <w:noProof/>
            <w:webHidden/>
          </w:rPr>
          <w:fldChar w:fldCharType="separate"/>
        </w:r>
        <w:r w:rsidR="005B5FD6">
          <w:rPr>
            <w:noProof/>
            <w:webHidden/>
          </w:rPr>
          <w:t>76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4" w:history="1">
        <w:r w:rsidR="003C440C" w:rsidRPr="003A52BF">
          <w:rPr>
            <w:rStyle w:val="Hyperlink"/>
            <w:noProof/>
          </w:rPr>
          <w:t xml:space="preserve">Figure 77. </w:t>
        </w:r>
        <w:r w:rsidR="003C440C" w:rsidRPr="003A52BF">
          <w:rPr>
            <w:rStyle w:val="Hyperlink"/>
            <w:i/>
            <w:noProof/>
          </w:rPr>
          <w:t>Turbidity (NTU, daily av) and light (daily sum, mol m</w:t>
        </w:r>
        <w:r w:rsidR="003C440C" w:rsidRPr="003A52BF">
          <w:rPr>
            <w:rStyle w:val="Hyperlink"/>
            <w:i/>
            <w:noProof/>
            <w:vertAlign w:val="superscript"/>
          </w:rPr>
          <w:t>-2</w:t>
        </w:r>
        <w:r w:rsidR="003C440C" w:rsidRPr="003A52BF">
          <w:rPr>
            <w:rStyle w:val="Hyperlink"/>
            <w:i/>
            <w:noProof/>
          </w:rPr>
          <w:t xml:space="preserve"> d</w:t>
        </w:r>
        <w:r w:rsidR="003C440C" w:rsidRPr="003A52BF">
          <w:rPr>
            <w:rStyle w:val="Hyperlink"/>
            <w:i/>
            <w:noProof/>
            <w:vertAlign w:val="superscript"/>
          </w:rPr>
          <w:t>-1</w:t>
        </w:r>
        <w:r w:rsidR="003C440C" w:rsidRPr="003A52BF">
          <w:rPr>
            <w:rStyle w:val="Hyperlink"/>
            <w:i/>
            <w:noProof/>
          </w:rPr>
          <w:t>) at inshore subtidal reef habitat (Green Island) since turbidity loggers have been deployed on site (October 2009 onwards)</w:t>
        </w:r>
        <w:r w:rsidR="003C440C">
          <w:rPr>
            <w:noProof/>
            <w:webHidden/>
          </w:rPr>
          <w:tab/>
        </w:r>
        <w:r w:rsidR="003C440C">
          <w:rPr>
            <w:noProof/>
            <w:webHidden/>
          </w:rPr>
          <w:fldChar w:fldCharType="begin"/>
        </w:r>
        <w:r w:rsidR="003C440C">
          <w:rPr>
            <w:noProof/>
            <w:webHidden/>
          </w:rPr>
          <w:instrText xml:space="preserve"> PAGEREF _Toc384196424 \h </w:instrText>
        </w:r>
        <w:r w:rsidR="003C440C">
          <w:rPr>
            <w:noProof/>
            <w:webHidden/>
          </w:rPr>
        </w:r>
        <w:r w:rsidR="003C440C">
          <w:rPr>
            <w:noProof/>
            <w:webHidden/>
          </w:rPr>
          <w:fldChar w:fldCharType="separate"/>
        </w:r>
        <w:r w:rsidR="005B5FD6">
          <w:rPr>
            <w:noProof/>
            <w:webHidden/>
          </w:rPr>
          <w:t>77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5" w:history="1">
        <w:r w:rsidR="003C440C" w:rsidRPr="003A52BF">
          <w:rPr>
            <w:rStyle w:val="Hyperlink"/>
            <w:noProof/>
          </w:rPr>
          <w:t xml:space="preserve">Figure 78. </w:t>
        </w:r>
        <w:r w:rsidR="003C440C" w:rsidRPr="003A52BF">
          <w:rPr>
            <w:rStyle w:val="Hyperlink"/>
            <w:i/>
            <w:noProof/>
          </w:rPr>
          <w:t>Daily mean chlorophyll concentration (green line, ug L</w:t>
        </w:r>
        <w:r w:rsidR="003C440C" w:rsidRPr="003A52BF">
          <w:rPr>
            <w:rStyle w:val="Hyperlink"/>
            <w:i/>
            <w:noProof/>
            <w:vertAlign w:val="superscript"/>
          </w:rPr>
          <w:t>-1</w:t>
        </w:r>
        <w:r w:rsidR="003C440C" w:rsidRPr="003A52BF">
          <w:rPr>
            <w:rStyle w:val="Hyperlink"/>
            <w:i/>
            <w:noProof/>
          </w:rPr>
          <w:t>), turbidity (brown line, NTU) at inshore subtidal reef habitat (Green Island) in the Wet Tropics Region.</w:t>
        </w:r>
        <w:r w:rsidR="003C440C">
          <w:rPr>
            <w:noProof/>
            <w:webHidden/>
          </w:rPr>
          <w:tab/>
        </w:r>
        <w:r w:rsidR="003C440C">
          <w:rPr>
            <w:noProof/>
            <w:webHidden/>
          </w:rPr>
          <w:fldChar w:fldCharType="begin"/>
        </w:r>
        <w:r w:rsidR="003C440C">
          <w:rPr>
            <w:noProof/>
            <w:webHidden/>
          </w:rPr>
          <w:instrText xml:space="preserve"> PAGEREF _Toc384196425 \h </w:instrText>
        </w:r>
        <w:r w:rsidR="003C440C">
          <w:rPr>
            <w:noProof/>
            <w:webHidden/>
          </w:rPr>
        </w:r>
        <w:r w:rsidR="003C440C">
          <w:rPr>
            <w:noProof/>
            <w:webHidden/>
          </w:rPr>
          <w:fldChar w:fldCharType="separate"/>
        </w:r>
        <w:r w:rsidR="005B5FD6">
          <w:rPr>
            <w:noProof/>
            <w:webHidden/>
          </w:rPr>
          <w:t>77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6" w:history="1">
        <w:r w:rsidR="003C440C" w:rsidRPr="003A52BF">
          <w:rPr>
            <w:rStyle w:val="Hyperlink"/>
            <w:noProof/>
          </w:rPr>
          <w:t xml:space="preserve">Figure 79. </w:t>
        </w:r>
        <w:r w:rsidR="003C440C" w:rsidRPr="003A52BF">
          <w:rPr>
            <w:rStyle w:val="Hyperlink"/>
            <w:i/>
            <w:noProof/>
          </w:rPr>
          <w:t>Daily mean chlorophyll concentration (green line, ug L</w:t>
        </w:r>
        <w:r w:rsidR="003C440C" w:rsidRPr="003A52BF">
          <w:rPr>
            <w:rStyle w:val="Hyperlink"/>
            <w:i/>
            <w:noProof/>
            <w:vertAlign w:val="superscript"/>
          </w:rPr>
          <w:t>-1</w:t>
        </w:r>
        <w:r w:rsidR="003C440C" w:rsidRPr="003A52BF">
          <w:rPr>
            <w:rStyle w:val="Hyperlink"/>
            <w:i/>
            <w:noProof/>
          </w:rPr>
          <w:t>), turbidity (brown line, NTU) at inshore subtidal reef habitat (Dunk Island) in the Wet Tropics Region.</w:t>
        </w:r>
        <w:r w:rsidR="003C440C">
          <w:rPr>
            <w:noProof/>
            <w:webHidden/>
          </w:rPr>
          <w:tab/>
        </w:r>
        <w:r w:rsidR="003C440C">
          <w:rPr>
            <w:noProof/>
            <w:webHidden/>
          </w:rPr>
          <w:fldChar w:fldCharType="begin"/>
        </w:r>
        <w:r w:rsidR="003C440C">
          <w:rPr>
            <w:noProof/>
            <w:webHidden/>
          </w:rPr>
          <w:instrText xml:space="preserve"> PAGEREF _Toc384196426 \h </w:instrText>
        </w:r>
        <w:r w:rsidR="003C440C">
          <w:rPr>
            <w:noProof/>
            <w:webHidden/>
          </w:rPr>
        </w:r>
        <w:r w:rsidR="003C440C">
          <w:rPr>
            <w:noProof/>
            <w:webHidden/>
          </w:rPr>
          <w:fldChar w:fldCharType="separate"/>
        </w:r>
        <w:r w:rsidR="005B5FD6">
          <w:rPr>
            <w:noProof/>
            <w:webHidden/>
          </w:rPr>
          <w:t>78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7" w:history="1">
        <w:r w:rsidR="003C440C" w:rsidRPr="003A52BF">
          <w:rPr>
            <w:rStyle w:val="Hyperlink"/>
            <w:noProof/>
          </w:rPr>
          <w:t xml:space="preserve">Figure 80. </w:t>
        </w:r>
        <w:r w:rsidR="003C440C" w:rsidRPr="003A52BF">
          <w:rPr>
            <w:rStyle w:val="Hyperlink"/>
            <w:i/>
            <w:noProof/>
          </w:rPr>
          <w:t xml:space="preserve">Total monthly rainfall (bar graph) recorded at </w:t>
        </w:r>
        <w:r w:rsidR="003C440C" w:rsidRPr="003A52BF">
          <w:rPr>
            <w:rStyle w:val="Hyperlink"/>
            <w:rFonts w:cs="Arial"/>
            <w:i/>
            <w:noProof/>
          </w:rPr>
          <w:t>Port Douglas - Warner St</w:t>
        </w:r>
        <w:r w:rsidR="003C440C" w:rsidRPr="003A52BF">
          <w:rPr>
            <w:rStyle w:val="Hyperlink"/>
            <w:i/>
            <w:noProof/>
          </w:rPr>
          <w:t>, located approximately 11km from Yule Point monitoring sites.</w:t>
        </w:r>
        <w:r w:rsidR="003C440C">
          <w:rPr>
            <w:noProof/>
            <w:webHidden/>
          </w:rPr>
          <w:tab/>
        </w:r>
        <w:r w:rsidR="003C440C">
          <w:rPr>
            <w:noProof/>
            <w:webHidden/>
          </w:rPr>
          <w:fldChar w:fldCharType="begin"/>
        </w:r>
        <w:r w:rsidR="003C440C">
          <w:rPr>
            <w:noProof/>
            <w:webHidden/>
          </w:rPr>
          <w:instrText xml:space="preserve"> PAGEREF _Toc384196427 \h </w:instrText>
        </w:r>
        <w:r w:rsidR="003C440C">
          <w:rPr>
            <w:noProof/>
            <w:webHidden/>
          </w:rPr>
        </w:r>
        <w:r w:rsidR="003C440C">
          <w:rPr>
            <w:noProof/>
            <w:webHidden/>
          </w:rPr>
          <w:fldChar w:fldCharType="separate"/>
        </w:r>
        <w:r w:rsidR="005B5FD6">
          <w:rPr>
            <w:noProof/>
            <w:webHidden/>
          </w:rPr>
          <w:t>79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8" w:history="1">
        <w:r w:rsidR="003C440C" w:rsidRPr="003A52BF">
          <w:rPr>
            <w:rStyle w:val="Hyperlink"/>
            <w:noProof/>
          </w:rPr>
          <w:t xml:space="preserve">Figure 81. </w:t>
        </w:r>
        <w:r w:rsidR="003C440C" w:rsidRPr="003A52BF">
          <w:rPr>
            <w:rStyle w:val="Hyperlink"/>
            <w:i/>
            <w:noProof/>
          </w:rPr>
          <w:t>Mean monthly daily maximum air temperature (black line), total monthly rainfall (grey bars), mean monthly cloud cover (black line), and mean monthly 3pm wind speed (grey line), for Green Island monitoring sites.</w:t>
        </w:r>
        <w:r w:rsidR="003C440C">
          <w:rPr>
            <w:noProof/>
            <w:webHidden/>
          </w:rPr>
          <w:tab/>
        </w:r>
        <w:r w:rsidR="003C440C">
          <w:rPr>
            <w:noProof/>
            <w:webHidden/>
          </w:rPr>
          <w:fldChar w:fldCharType="begin"/>
        </w:r>
        <w:r w:rsidR="003C440C">
          <w:rPr>
            <w:noProof/>
            <w:webHidden/>
          </w:rPr>
          <w:instrText xml:space="preserve"> PAGEREF _Toc384196428 \h </w:instrText>
        </w:r>
        <w:r w:rsidR="003C440C">
          <w:rPr>
            <w:noProof/>
            <w:webHidden/>
          </w:rPr>
        </w:r>
        <w:r w:rsidR="003C440C">
          <w:rPr>
            <w:noProof/>
            <w:webHidden/>
          </w:rPr>
          <w:fldChar w:fldCharType="separate"/>
        </w:r>
        <w:r w:rsidR="005B5FD6">
          <w:rPr>
            <w:noProof/>
            <w:webHidden/>
          </w:rPr>
          <w:t>80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29" w:history="1">
        <w:r w:rsidR="003C440C" w:rsidRPr="003A52BF">
          <w:rPr>
            <w:rStyle w:val="Hyperlink"/>
            <w:noProof/>
          </w:rPr>
          <w:t xml:space="preserve">Figure 82. </w:t>
        </w:r>
        <w:r w:rsidR="003C440C" w:rsidRPr="003A52BF">
          <w:rPr>
            <w:rStyle w:val="Hyperlink"/>
            <w:i/>
            <w:noProof/>
          </w:rPr>
          <w:t>Total monthly rainfall (bar graph), recorded at Dunk Island. Mean monthly daily maximum air temperature, mean monthly cloud cover (heavier line), and mean monthly 3pm wind speed (lighter line) recorded at Innisfail, located approximately 48km from monitoring sites at Lugger Bay and Dunk Island.</w:t>
        </w:r>
        <w:r w:rsidR="003C440C">
          <w:rPr>
            <w:noProof/>
            <w:webHidden/>
          </w:rPr>
          <w:tab/>
        </w:r>
        <w:r w:rsidR="003C440C">
          <w:rPr>
            <w:noProof/>
            <w:webHidden/>
          </w:rPr>
          <w:fldChar w:fldCharType="begin"/>
        </w:r>
        <w:r w:rsidR="003C440C">
          <w:rPr>
            <w:noProof/>
            <w:webHidden/>
          </w:rPr>
          <w:instrText xml:space="preserve"> PAGEREF _Toc384196429 \h </w:instrText>
        </w:r>
        <w:r w:rsidR="003C440C">
          <w:rPr>
            <w:noProof/>
            <w:webHidden/>
          </w:rPr>
        </w:r>
        <w:r w:rsidR="003C440C">
          <w:rPr>
            <w:noProof/>
            <w:webHidden/>
          </w:rPr>
          <w:fldChar w:fldCharType="separate"/>
        </w:r>
        <w:r w:rsidR="005B5FD6">
          <w:rPr>
            <w:noProof/>
            <w:webHidden/>
          </w:rPr>
          <w:t>81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0" w:history="1">
        <w:r w:rsidR="003C440C" w:rsidRPr="003A52BF">
          <w:rPr>
            <w:rStyle w:val="Hyperlink"/>
            <w:noProof/>
          </w:rPr>
          <w:t xml:space="preserve">Figure 83.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main rivers impacting the seagrass monitoring sites in the Wet Tropics</w:t>
        </w:r>
        <w:r w:rsidR="003C440C">
          <w:rPr>
            <w:noProof/>
            <w:webHidden/>
          </w:rPr>
          <w:tab/>
        </w:r>
        <w:r w:rsidR="003C440C">
          <w:rPr>
            <w:noProof/>
            <w:webHidden/>
          </w:rPr>
          <w:fldChar w:fldCharType="begin"/>
        </w:r>
        <w:r w:rsidR="003C440C">
          <w:rPr>
            <w:noProof/>
            <w:webHidden/>
          </w:rPr>
          <w:instrText xml:space="preserve"> PAGEREF _Toc384196430 \h </w:instrText>
        </w:r>
        <w:r w:rsidR="003C440C">
          <w:rPr>
            <w:noProof/>
            <w:webHidden/>
          </w:rPr>
        </w:r>
        <w:r w:rsidR="003C440C">
          <w:rPr>
            <w:noProof/>
            <w:webHidden/>
          </w:rPr>
          <w:fldChar w:fldCharType="separate"/>
        </w:r>
        <w:r w:rsidR="005B5FD6">
          <w:rPr>
            <w:noProof/>
            <w:webHidden/>
          </w:rPr>
          <w:t>83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1" w:history="1">
        <w:r w:rsidR="003C440C" w:rsidRPr="003A52BF">
          <w:rPr>
            <w:rStyle w:val="Hyperlink"/>
            <w:noProof/>
          </w:rPr>
          <w:t xml:space="preserve">Figure 84. </w:t>
        </w:r>
        <w:r w:rsidR="003C440C" w:rsidRPr="003A52BF">
          <w:rPr>
            <w:rStyle w:val="Hyperlink"/>
            <w:i/>
            <w:noProof/>
          </w:rPr>
          <w:t>Conceptual diagram of coastal habitat in the Burdekin region</w:t>
        </w:r>
        <w:r w:rsidR="003C440C">
          <w:rPr>
            <w:noProof/>
            <w:webHidden/>
          </w:rPr>
          <w:tab/>
        </w:r>
        <w:r w:rsidR="003C440C">
          <w:rPr>
            <w:noProof/>
            <w:webHidden/>
          </w:rPr>
          <w:fldChar w:fldCharType="begin"/>
        </w:r>
        <w:r w:rsidR="003C440C">
          <w:rPr>
            <w:noProof/>
            <w:webHidden/>
          </w:rPr>
          <w:instrText xml:space="preserve"> PAGEREF _Toc384196431 \h </w:instrText>
        </w:r>
        <w:r w:rsidR="003C440C">
          <w:rPr>
            <w:noProof/>
            <w:webHidden/>
          </w:rPr>
        </w:r>
        <w:r w:rsidR="003C440C">
          <w:rPr>
            <w:noProof/>
            <w:webHidden/>
          </w:rPr>
          <w:fldChar w:fldCharType="separate"/>
        </w:r>
        <w:r w:rsidR="005B5FD6">
          <w:rPr>
            <w:noProof/>
            <w:webHidden/>
          </w:rPr>
          <w:t>86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2" w:history="1">
        <w:r w:rsidR="003C440C" w:rsidRPr="003A52BF">
          <w:rPr>
            <w:rStyle w:val="Hyperlink"/>
            <w:noProof/>
          </w:rPr>
          <w:t>Figure 85</w:t>
        </w:r>
        <w:r w:rsidR="003C440C" w:rsidRPr="003A52BF">
          <w:rPr>
            <w:rStyle w:val="Hyperlink"/>
            <w:i/>
            <w:noProof/>
          </w:rPr>
          <w:t>. Location of Burdekin region long-term monitoring sites in coastal (Bushland Beach and Shelley Beach) and reef (Picnic Bay and Cockle Bay, Magnetic Island) habitats, and the seagrass species composition at each site.</w:t>
        </w:r>
        <w:r w:rsidR="003C440C">
          <w:rPr>
            <w:noProof/>
            <w:webHidden/>
          </w:rPr>
          <w:tab/>
        </w:r>
        <w:r w:rsidR="003C440C">
          <w:rPr>
            <w:noProof/>
            <w:webHidden/>
          </w:rPr>
          <w:fldChar w:fldCharType="begin"/>
        </w:r>
        <w:r w:rsidR="003C440C">
          <w:rPr>
            <w:noProof/>
            <w:webHidden/>
          </w:rPr>
          <w:instrText xml:space="preserve"> PAGEREF _Toc384196432 \h </w:instrText>
        </w:r>
        <w:r w:rsidR="003C440C">
          <w:rPr>
            <w:noProof/>
            <w:webHidden/>
          </w:rPr>
        </w:r>
        <w:r w:rsidR="003C440C">
          <w:rPr>
            <w:noProof/>
            <w:webHidden/>
          </w:rPr>
          <w:fldChar w:fldCharType="separate"/>
        </w:r>
        <w:r w:rsidR="005B5FD6">
          <w:rPr>
            <w:noProof/>
            <w:webHidden/>
          </w:rPr>
          <w:t>87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3" w:history="1">
        <w:r w:rsidR="003C440C" w:rsidRPr="003A52BF">
          <w:rPr>
            <w:rStyle w:val="Hyperlink"/>
            <w:noProof/>
          </w:rPr>
          <w:t xml:space="preserve">Figure 86. </w:t>
        </w:r>
        <w:r w:rsidR="003C440C" w:rsidRPr="003A52BF">
          <w:rPr>
            <w:rStyle w:val="Hyperlink"/>
            <w:i/>
            <w:noProof/>
          </w:rPr>
          <w:t>Conceptual diagram of fringing reef habitat in the Burdekin region</w:t>
        </w:r>
        <w:r w:rsidR="003C440C">
          <w:rPr>
            <w:noProof/>
            <w:webHidden/>
          </w:rPr>
          <w:tab/>
        </w:r>
        <w:r w:rsidR="003C440C">
          <w:rPr>
            <w:noProof/>
            <w:webHidden/>
          </w:rPr>
          <w:fldChar w:fldCharType="begin"/>
        </w:r>
        <w:r w:rsidR="003C440C">
          <w:rPr>
            <w:noProof/>
            <w:webHidden/>
          </w:rPr>
          <w:instrText xml:space="preserve"> PAGEREF _Toc384196433 \h </w:instrText>
        </w:r>
        <w:r w:rsidR="003C440C">
          <w:rPr>
            <w:noProof/>
            <w:webHidden/>
          </w:rPr>
        </w:r>
        <w:r w:rsidR="003C440C">
          <w:rPr>
            <w:noProof/>
            <w:webHidden/>
          </w:rPr>
          <w:fldChar w:fldCharType="separate"/>
        </w:r>
        <w:r w:rsidR="005B5FD6">
          <w:rPr>
            <w:noProof/>
            <w:webHidden/>
          </w:rPr>
          <w:t>88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4" w:history="1">
        <w:r w:rsidR="003C440C" w:rsidRPr="003A52BF">
          <w:rPr>
            <w:rStyle w:val="Hyperlink"/>
            <w:noProof/>
          </w:rPr>
          <w:t xml:space="preserve">Figure 87. </w:t>
        </w:r>
        <w:r w:rsidR="003C440C" w:rsidRPr="003A52BF">
          <w:rPr>
            <w:rStyle w:val="Hyperlink"/>
            <w:i/>
            <w:noProof/>
          </w:rPr>
          <w:t>Report card of seagrass status indicators and index for the Burdekin NRM region</w:t>
        </w:r>
        <w:r w:rsidR="003C440C">
          <w:rPr>
            <w:noProof/>
            <w:webHidden/>
          </w:rPr>
          <w:tab/>
        </w:r>
        <w:r w:rsidR="003C440C">
          <w:rPr>
            <w:noProof/>
            <w:webHidden/>
          </w:rPr>
          <w:fldChar w:fldCharType="begin"/>
        </w:r>
        <w:r w:rsidR="003C440C">
          <w:rPr>
            <w:noProof/>
            <w:webHidden/>
          </w:rPr>
          <w:instrText xml:space="preserve"> PAGEREF _Toc384196434 \h </w:instrText>
        </w:r>
        <w:r w:rsidR="003C440C">
          <w:rPr>
            <w:noProof/>
            <w:webHidden/>
          </w:rPr>
        </w:r>
        <w:r w:rsidR="003C440C">
          <w:rPr>
            <w:noProof/>
            <w:webHidden/>
          </w:rPr>
          <w:fldChar w:fldCharType="separate"/>
        </w:r>
        <w:r w:rsidR="005B5FD6">
          <w:rPr>
            <w:noProof/>
            <w:webHidden/>
          </w:rPr>
          <w:t>88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5" w:history="1">
        <w:r w:rsidR="003C440C" w:rsidRPr="003A52BF">
          <w:rPr>
            <w:rStyle w:val="Hyperlink"/>
            <w:noProof/>
          </w:rPr>
          <w:t xml:space="preserve">Figure 88. </w:t>
        </w:r>
        <w:r w:rsidR="003C440C" w:rsidRPr="003A52BF">
          <w:rPr>
            <w:rStyle w:val="Hyperlink"/>
            <w:i/>
            <w:noProof/>
          </w:rPr>
          <w:t>Changes in mean seagrass abundance (% cover ±Standard Error) at inshore intertidal coastal habitats in the Burdekin region from 2001 to 2012.</w:t>
        </w:r>
        <w:r w:rsidR="003C440C">
          <w:rPr>
            <w:noProof/>
            <w:webHidden/>
          </w:rPr>
          <w:tab/>
        </w:r>
        <w:r w:rsidR="003C440C">
          <w:rPr>
            <w:noProof/>
            <w:webHidden/>
          </w:rPr>
          <w:fldChar w:fldCharType="begin"/>
        </w:r>
        <w:r w:rsidR="003C440C">
          <w:rPr>
            <w:noProof/>
            <w:webHidden/>
          </w:rPr>
          <w:instrText xml:space="preserve"> PAGEREF _Toc384196435 \h </w:instrText>
        </w:r>
        <w:r w:rsidR="003C440C">
          <w:rPr>
            <w:noProof/>
            <w:webHidden/>
          </w:rPr>
        </w:r>
        <w:r w:rsidR="003C440C">
          <w:rPr>
            <w:noProof/>
            <w:webHidden/>
          </w:rPr>
          <w:fldChar w:fldCharType="separate"/>
        </w:r>
        <w:r w:rsidR="005B5FD6">
          <w:rPr>
            <w:noProof/>
            <w:webHidden/>
          </w:rPr>
          <w:t>89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6" w:history="1">
        <w:r w:rsidR="003C440C" w:rsidRPr="003A52BF">
          <w:rPr>
            <w:rStyle w:val="Hyperlink"/>
            <w:noProof/>
          </w:rPr>
          <w:t xml:space="preserve">Figure 89. </w:t>
        </w:r>
        <w:r w:rsidR="003C440C" w:rsidRPr="003A52BF">
          <w:rPr>
            <w:rStyle w:val="Hyperlink"/>
            <w:i/>
            <w:noProof/>
          </w:rPr>
          <w:t>Mean percentage seagrass cover (all species pooled) (± Standard Error) at inshore intertidal coastal habitat long-term monitoring sites at time of year.</w:t>
        </w:r>
        <w:r w:rsidR="003C440C">
          <w:rPr>
            <w:noProof/>
            <w:webHidden/>
          </w:rPr>
          <w:tab/>
        </w:r>
        <w:r w:rsidR="003C440C">
          <w:rPr>
            <w:noProof/>
            <w:webHidden/>
          </w:rPr>
          <w:fldChar w:fldCharType="begin"/>
        </w:r>
        <w:r w:rsidR="003C440C">
          <w:rPr>
            <w:noProof/>
            <w:webHidden/>
          </w:rPr>
          <w:instrText xml:space="preserve"> PAGEREF _Toc384196436 \h </w:instrText>
        </w:r>
        <w:r w:rsidR="003C440C">
          <w:rPr>
            <w:noProof/>
            <w:webHidden/>
          </w:rPr>
        </w:r>
        <w:r w:rsidR="003C440C">
          <w:rPr>
            <w:noProof/>
            <w:webHidden/>
          </w:rPr>
          <w:fldChar w:fldCharType="separate"/>
        </w:r>
        <w:r w:rsidR="005B5FD6">
          <w:rPr>
            <w:noProof/>
            <w:webHidden/>
          </w:rPr>
          <w:t>89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7" w:history="1">
        <w:r w:rsidR="003C440C" w:rsidRPr="003A52BF">
          <w:rPr>
            <w:rStyle w:val="Hyperlink"/>
            <w:noProof/>
          </w:rPr>
          <w:t xml:space="preserve">Figure 90. </w:t>
        </w:r>
        <w:r w:rsidR="003C440C" w:rsidRPr="003A52BF">
          <w:rPr>
            <w:rStyle w:val="Hyperlink"/>
            <w:i/>
            <w:noProof/>
          </w:rPr>
          <w:t>Changes in seagrass abundance (% cover ±Standard Error) at inshore intertidal and subtidal reef habitats in the Burdekin region from 2001 to 2012.</w:t>
        </w:r>
        <w:r w:rsidR="003C440C">
          <w:rPr>
            <w:noProof/>
            <w:webHidden/>
          </w:rPr>
          <w:tab/>
        </w:r>
        <w:r w:rsidR="003C440C">
          <w:rPr>
            <w:noProof/>
            <w:webHidden/>
          </w:rPr>
          <w:fldChar w:fldCharType="begin"/>
        </w:r>
        <w:r w:rsidR="003C440C">
          <w:rPr>
            <w:noProof/>
            <w:webHidden/>
          </w:rPr>
          <w:instrText xml:space="preserve"> PAGEREF _Toc384196437 \h </w:instrText>
        </w:r>
        <w:r w:rsidR="003C440C">
          <w:rPr>
            <w:noProof/>
            <w:webHidden/>
          </w:rPr>
        </w:r>
        <w:r w:rsidR="003C440C">
          <w:rPr>
            <w:noProof/>
            <w:webHidden/>
          </w:rPr>
          <w:fldChar w:fldCharType="separate"/>
        </w:r>
        <w:r w:rsidR="005B5FD6">
          <w:rPr>
            <w:noProof/>
            <w:webHidden/>
          </w:rPr>
          <w:t>90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8" w:history="1">
        <w:r w:rsidR="003C440C" w:rsidRPr="003A52BF">
          <w:rPr>
            <w:rStyle w:val="Hyperlink"/>
            <w:noProof/>
          </w:rPr>
          <w:t xml:space="preserve">Figure 91. </w:t>
        </w:r>
        <w:r w:rsidR="003C440C" w:rsidRPr="003A52BF">
          <w:rPr>
            <w:rStyle w:val="Hyperlink"/>
            <w:i/>
            <w:noProof/>
          </w:rPr>
          <w:t>Mean percentage seagrass cover (all species pooled) (± Standard Error) at inshore intertidal reef habitat (Magnetic Island) long-term monitoring sites at time of year.</w:t>
        </w:r>
        <w:r w:rsidR="003C440C">
          <w:rPr>
            <w:noProof/>
            <w:webHidden/>
          </w:rPr>
          <w:tab/>
        </w:r>
        <w:r w:rsidR="003C440C">
          <w:rPr>
            <w:noProof/>
            <w:webHidden/>
          </w:rPr>
          <w:fldChar w:fldCharType="begin"/>
        </w:r>
        <w:r w:rsidR="003C440C">
          <w:rPr>
            <w:noProof/>
            <w:webHidden/>
          </w:rPr>
          <w:instrText xml:space="preserve"> PAGEREF _Toc384196438 \h </w:instrText>
        </w:r>
        <w:r w:rsidR="003C440C">
          <w:rPr>
            <w:noProof/>
            <w:webHidden/>
          </w:rPr>
        </w:r>
        <w:r w:rsidR="003C440C">
          <w:rPr>
            <w:noProof/>
            <w:webHidden/>
          </w:rPr>
          <w:fldChar w:fldCharType="separate"/>
        </w:r>
        <w:r w:rsidR="005B5FD6">
          <w:rPr>
            <w:noProof/>
            <w:webHidden/>
          </w:rPr>
          <w:t>90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39" w:history="1">
        <w:r w:rsidR="003C440C" w:rsidRPr="003A52BF">
          <w:rPr>
            <w:rStyle w:val="Hyperlink"/>
            <w:noProof/>
          </w:rPr>
          <w:t xml:space="preserve">Figure 92. </w:t>
        </w:r>
        <w:r w:rsidR="003C440C" w:rsidRPr="003A52BF">
          <w:rPr>
            <w:rStyle w:val="Hyperlink"/>
            <w:i/>
            <w:noProof/>
          </w:rPr>
          <w:t>Mean percentage seagrass cover (all species pooled) (± Standard Error) at inshore subtidal reef habitat (Magnetic Island) long-term monitoring site at time of year.</w:t>
        </w:r>
        <w:r w:rsidR="003C440C">
          <w:rPr>
            <w:noProof/>
            <w:webHidden/>
          </w:rPr>
          <w:tab/>
        </w:r>
        <w:r w:rsidR="003C440C">
          <w:rPr>
            <w:noProof/>
            <w:webHidden/>
          </w:rPr>
          <w:fldChar w:fldCharType="begin"/>
        </w:r>
        <w:r w:rsidR="003C440C">
          <w:rPr>
            <w:noProof/>
            <w:webHidden/>
          </w:rPr>
          <w:instrText xml:space="preserve"> PAGEREF _Toc384196439 \h </w:instrText>
        </w:r>
        <w:r w:rsidR="003C440C">
          <w:rPr>
            <w:noProof/>
            <w:webHidden/>
          </w:rPr>
        </w:r>
        <w:r w:rsidR="003C440C">
          <w:rPr>
            <w:noProof/>
            <w:webHidden/>
          </w:rPr>
          <w:fldChar w:fldCharType="separate"/>
        </w:r>
        <w:r w:rsidR="005B5FD6">
          <w:rPr>
            <w:noProof/>
            <w:webHidden/>
          </w:rPr>
          <w:t>91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0" w:history="1">
        <w:r w:rsidR="003C440C" w:rsidRPr="003A52BF">
          <w:rPr>
            <w:rStyle w:val="Hyperlink"/>
            <w:noProof/>
          </w:rPr>
          <w:t>Figure 93</w:t>
        </w:r>
        <w:r w:rsidR="003C440C" w:rsidRPr="003A52BF">
          <w:rPr>
            <w:rStyle w:val="Hyperlink"/>
            <w:i/>
            <w:noProof/>
          </w:rPr>
          <w:t>. Extent of area (within 100m radius of monitoring site) covered by seagrass at each inshore intertidal coastal (Townsville) and reef (Magnetic Island) habitat in the Burdekin region.</w:t>
        </w:r>
        <w:r w:rsidR="003C440C">
          <w:rPr>
            <w:noProof/>
            <w:webHidden/>
          </w:rPr>
          <w:tab/>
        </w:r>
        <w:r w:rsidR="003C440C">
          <w:rPr>
            <w:noProof/>
            <w:webHidden/>
          </w:rPr>
          <w:fldChar w:fldCharType="begin"/>
        </w:r>
        <w:r w:rsidR="003C440C">
          <w:rPr>
            <w:noProof/>
            <w:webHidden/>
          </w:rPr>
          <w:instrText xml:space="preserve"> PAGEREF _Toc384196440 \h </w:instrText>
        </w:r>
        <w:r w:rsidR="003C440C">
          <w:rPr>
            <w:noProof/>
            <w:webHidden/>
          </w:rPr>
        </w:r>
        <w:r w:rsidR="003C440C">
          <w:rPr>
            <w:noProof/>
            <w:webHidden/>
          </w:rPr>
          <w:fldChar w:fldCharType="separate"/>
        </w:r>
        <w:r w:rsidR="005B5FD6">
          <w:rPr>
            <w:noProof/>
            <w:webHidden/>
          </w:rPr>
          <w:t>91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1" w:history="1">
        <w:r w:rsidR="003C440C" w:rsidRPr="003A52BF">
          <w:rPr>
            <w:rStyle w:val="Hyperlink"/>
            <w:noProof/>
          </w:rPr>
          <w:t xml:space="preserve">Figure 94. </w:t>
        </w:r>
        <w:r w:rsidR="003C440C" w:rsidRPr="003A52BF">
          <w:rPr>
            <w:rStyle w:val="Hyperlink"/>
            <w:i/>
            <w:noProof/>
          </w:rPr>
          <w:t>Inshore intertidal coastal habitat seed banks (a), germinated seed abundance (b), and total reproductive effort (c) in the Burdekin region.</w:t>
        </w:r>
        <w:r w:rsidR="003C440C">
          <w:rPr>
            <w:noProof/>
            <w:webHidden/>
          </w:rPr>
          <w:tab/>
        </w:r>
        <w:r w:rsidR="003C440C">
          <w:rPr>
            <w:noProof/>
            <w:webHidden/>
          </w:rPr>
          <w:fldChar w:fldCharType="begin"/>
        </w:r>
        <w:r w:rsidR="003C440C">
          <w:rPr>
            <w:noProof/>
            <w:webHidden/>
          </w:rPr>
          <w:instrText xml:space="preserve"> PAGEREF _Toc384196441 \h </w:instrText>
        </w:r>
        <w:r w:rsidR="003C440C">
          <w:rPr>
            <w:noProof/>
            <w:webHidden/>
          </w:rPr>
        </w:r>
        <w:r w:rsidR="003C440C">
          <w:rPr>
            <w:noProof/>
            <w:webHidden/>
          </w:rPr>
          <w:fldChar w:fldCharType="separate"/>
        </w:r>
        <w:r w:rsidR="005B5FD6">
          <w:rPr>
            <w:noProof/>
            <w:webHidden/>
          </w:rPr>
          <w:t>93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2" w:history="1">
        <w:r w:rsidR="003C440C" w:rsidRPr="003A52BF">
          <w:rPr>
            <w:rStyle w:val="Hyperlink"/>
            <w:noProof/>
          </w:rPr>
          <w:t xml:space="preserve">Figure 95. </w:t>
        </w:r>
        <w:r w:rsidR="003C440C" w:rsidRPr="003A52BF">
          <w:rPr>
            <w:rStyle w:val="Hyperlink"/>
            <w:i/>
            <w:noProof/>
          </w:rPr>
          <w:t>Inshore intertidal reef habitat seed banks (a), germinated seed abundance (b), and total seagrass reproductive effort (c) in the Burdekin region.</w:t>
        </w:r>
        <w:r w:rsidR="003C440C">
          <w:rPr>
            <w:noProof/>
            <w:webHidden/>
          </w:rPr>
          <w:tab/>
        </w:r>
        <w:r w:rsidR="003C440C">
          <w:rPr>
            <w:noProof/>
            <w:webHidden/>
          </w:rPr>
          <w:fldChar w:fldCharType="begin"/>
        </w:r>
        <w:r w:rsidR="003C440C">
          <w:rPr>
            <w:noProof/>
            <w:webHidden/>
          </w:rPr>
          <w:instrText xml:space="preserve"> PAGEREF _Toc384196442 \h </w:instrText>
        </w:r>
        <w:r w:rsidR="003C440C">
          <w:rPr>
            <w:noProof/>
            <w:webHidden/>
          </w:rPr>
        </w:r>
        <w:r w:rsidR="003C440C">
          <w:rPr>
            <w:noProof/>
            <w:webHidden/>
          </w:rPr>
          <w:fldChar w:fldCharType="separate"/>
        </w:r>
        <w:r w:rsidR="005B5FD6">
          <w:rPr>
            <w:noProof/>
            <w:webHidden/>
          </w:rPr>
          <w:t>94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3" w:history="1">
        <w:r w:rsidR="003C440C" w:rsidRPr="003A52BF">
          <w:rPr>
            <w:rStyle w:val="Hyperlink"/>
            <w:noProof/>
          </w:rPr>
          <w:t xml:space="preserve">Figure 96. </w:t>
        </w:r>
        <w:r w:rsidR="003C440C" w:rsidRPr="003A52BF">
          <w:rPr>
            <w:rStyle w:val="Hyperlink"/>
            <w:i/>
            <w:noProof/>
            <w:lang w:eastAsia="en-AU"/>
          </w:rPr>
          <w:t xml:space="preserve">Elemental ratios (atomic) of seagrass leaf tissue C:N for </w:t>
        </w:r>
        <w:r w:rsidR="003C440C" w:rsidRPr="003A52BF">
          <w:rPr>
            <w:rStyle w:val="Hyperlink"/>
            <w:i/>
            <w:noProof/>
          </w:rPr>
          <w:t>the foundation seagrass species examined at each inshore intertidal habitat in the Burdekin region</w:t>
        </w:r>
        <w:r w:rsidR="003C440C" w:rsidRPr="003A52BF">
          <w:rPr>
            <w:rStyle w:val="Hyperlink"/>
            <w:i/>
            <w:noProof/>
            <w:lang w:eastAsia="en-AU"/>
          </w:rPr>
          <w:t xml:space="preserve"> each year</w:t>
        </w:r>
        <w:r w:rsidR="003C440C">
          <w:rPr>
            <w:noProof/>
            <w:webHidden/>
          </w:rPr>
          <w:tab/>
        </w:r>
        <w:r w:rsidR="003C440C">
          <w:rPr>
            <w:noProof/>
            <w:webHidden/>
          </w:rPr>
          <w:fldChar w:fldCharType="begin"/>
        </w:r>
        <w:r w:rsidR="003C440C">
          <w:rPr>
            <w:noProof/>
            <w:webHidden/>
          </w:rPr>
          <w:instrText xml:space="preserve"> PAGEREF _Toc384196443 \h </w:instrText>
        </w:r>
        <w:r w:rsidR="003C440C">
          <w:rPr>
            <w:noProof/>
            <w:webHidden/>
          </w:rPr>
        </w:r>
        <w:r w:rsidR="003C440C">
          <w:rPr>
            <w:noProof/>
            <w:webHidden/>
          </w:rPr>
          <w:fldChar w:fldCharType="separate"/>
        </w:r>
        <w:r w:rsidR="005B5FD6">
          <w:rPr>
            <w:noProof/>
            <w:webHidden/>
          </w:rPr>
          <w:t>95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4" w:history="1">
        <w:r w:rsidR="003C440C" w:rsidRPr="003A52BF">
          <w:rPr>
            <w:rStyle w:val="Hyperlink"/>
            <w:noProof/>
          </w:rPr>
          <w:t xml:space="preserve">Figure 97. </w:t>
        </w:r>
        <w:r w:rsidR="003C440C" w:rsidRPr="003A52BF">
          <w:rPr>
            <w:rStyle w:val="Hyperlink"/>
            <w:i/>
            <w:iCs/>
            <w:noProof/>
            <w:lang w:eastAsia="en-AU"/>
          </w:rPr>
          <w:t xml:space="preserve">Elemental ratios (atomic) of seagrass leaf tissue N:P and C:P </w:t>
        </w:r>
        <w:r w:rsidR="003C440C" w:rsidRPr="003A52BF">
          <w:rPr>
            <w:rStyle w:val="Hyperlink"/>
            <w:i/>
            <w:iCs/>
            <w:noProof/>
          </w:rPr>
          <w:t xml:space="preserve">for the foundation seagrass species examined at each inshore intertidal habitat in the Burdekin region </w:t>
        </w:r>
        <w:r w:rsidR="003C440C" w:rsidRPr="003A52BF">
          <w:rPr>
            <w:rStyle w:val="Hyperlink"/>
            <w:i/>
            <w:iCs/>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_Toc384196444 \h </w:instrText>
        </w:r>
        <w:r w:rsidR="003C440C">
          <w:rPr>
            <w:noProof/>
            <w:webHidden/>
          </w:rPr>
        </w:r>
        <w:r w:rsidR="003C440C">
          <w:rPr>
            <w:noProof/>
            <w:webHidden/>
          </w:rPr>
          <w:fldChar w:fldCharType="separate"/>
        </w:r>
        <w:r w:rsidR="005B5FD6">
          <w:rPr>
            <w:noProof/>
            <w:webHidden/>
          </w:rPr>
          <w:t>95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5" w:history="1">
        <w:r w:rsidR="003C440C" w:rsidRPr="003A52BF">
          <w:rPr>
            <w:rStyle w:val="Hyperlink"/>
            <w:noProof/>
          </w:rPr>
          <w:t xml:space="preserve">Figure 98. </w:t>
        </w:r>
        <w:r w:rsidR="003C440C" w:rsidRPr="003A52BF">
          <w:rPr>
            <w:rStyle w:val="Hyperlink"/>
            <w:i/>
            <w:noProof/>
          </w:rPr>
          <w:t>Mean abundance (% cover) (± Standard Error) of epiphytes and macro-algae at inshore intertidal coastal habitats in the Burdekin region (sites pooled).</w:t>
        </w:r>
        <w:r w:rsidR="003C440C">
          <w:rPr>
            <w:noProof/>
            <w:webHidden/>
          </w:rPr>
          <w:tab/>
        </w:r>
        <w:r w:rsidR="003C440C">
          <w:rPr>
            <w:noProof/>
            <w:webHidden/>
          </w:rPr>
          <w:fldChar w:fldCharType="begin"/>
        </w:r>
        <w:r w:rsidR="003C440C">
          <w:rPr>
            <w:noProof/>
            <w:webHidden/>
          </w:rPr>
          <w:instrText xml:space="preserve"> PAGEREF _Toc384196445 \h </w:instrText>
        </w:r>
        <w:r w:rsidR="003C440C">
          <w:rPr>
            <w:noProof/>
            <w:webHidden/>
          </w:rPr>
        </w:r>
        <w:r w:rsidR="003C440C">
          <w:rPr>
            <w:noProof/>
            <w:webHidden/>
          </w:rPr>
          <w:fldChar w:fldCharType="separate"/>
        </w:r>
        <w:r w:rsidR="005B5FD6">
          <w:rPr>
            <w:noProof/>
            <w:webHidden/>
          </w:rPr>
          <w:t>96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6" w:history="1">
        <w:r w:rsidR="003C440C" w:rsidRPr="003A52BF">
          <w:rPr>
            <w:rStyle w:val="Hyperlink"/>
            <w:noProof/>
          </w:rPr>
          <w:t xml:space="preserve">Figure 99. </w:t>
        </w:r>
        <w:r w:rsidR="003C440C" w:rsidRPr="003A52BF">
          <w:rPr>
            <w:rStyle w:val="Hyperlink"/>
            <w:i/>
            <w:noProof/>
          </w:rPr>
          <w:t>Mean abundance (% cover) (± Standard Error) of epiphytes and macroalgae at inshore intertidal reef habitats in the Burdekin region.</w:t>
        </w:r>
        <w:r w:rsidR="003C440C">
          <w:rPr>
            <w:noProof/>
            <w:webHidden/>
          </w:rPr>
          <w:tab/>
        </w:r>
        <w:r w:rsidR="003C440C">
          <w:rPr>
            <w:noProof/>
            <w:webHidden/>
          </w:rPr>
          <w:fldChar w:fldCharType="begin"/>
        </w:r>
        <w:r w:rsidR="003C440C">
          <w:rPr>
            <w:noProof/>
            <w:webHidden/>
          </w:rPr>
          <w:instrText xml:space="preserve"> PAGEREF _Toc384196446 \h </w:instrText>
        </w:r>
        <w:r w:rsidR="003C440C">
          <w:rPr>
            <w:noProof/>
            <w:webHidden/>
          </w:rPr>
        </w:r>
        <w:r w:rsidR="003C440C">
          <w:rPr>
            <w:noProof/>
            <w:webHidden/>
          </w:rPr>
          <w:fldChar w:fldCharType="separate"/>
        </w:r>
        <w:r w:rsidR="005B5FD6">
          <w:rPr>
            <w:noProof/>
            <w:webHidden/>
          </w:rPr>
          <w:t>97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7" w:history="1">
        <w:r w:rsidR="003C440C" w:rsidRPr="003A52BF">
          <w:rPr>
            <w:rStyle w:val="Hyperlink"/>
            <w:noProof/>
          </w:rPr>
          <w:t xml:space="preserve">Figure 100. </w:t>
        </w:r>
        <w:r w:rsidR="003C440C" w:rsidRPr="003A52BF">
          <w:rPr>
            <w:rStyle w:val="Hyperlink"/>
            <w:i/>
            <w:noProof/>
          </w:rPr>
          <w:t>Mean abundance (% cover) (± Standard Error) of epiphytes and macro-algae at inshore subtidal reef habitats in the Burdekin region.</w:t>
        </w:r>
        <w:r w:rsidR="003C440C">
          <w:rPr>
            <w:noProof/>
            <w:webHidden/>
          </w:rPr>
          <w:tab/>
        </w:r>
        <w:r w:rsidR="003C440C">
          <w:rPr>
            <w:noProof/>
            <w:webHidden/>
          </w:rPr>
          <w:fldChar w:fldCharType="begin"/>
        </w:r>
        <w:r w:rsidR="003C440C">
          <w:rPr>
            <w:noProof/>
            <w:webHidden/>
          </w:rPr>
          <w:instrText xml:space="preserve"> PAGEREF _Toc384196447 \h </w:instrText>
        </w:r>
        <w:r w:rsidR="003C440C">
          <w:rPr>
            <w:noProof/>
            <w:webHidden/>
          </w:rPr>
        </w:r>
        <w:r w:rsidR="003C440C">
          <w:rPr>
            <w:noProof/>
            <w:webHidden/>
          </w:rPr>
          <w:fldChar w:fldCharType="separate"/>
        </w:r>
        <w:r w:rsidR="005B5FD6">
          <w:rPr>
            <w:noProof/>
            <w:webHidden/>
          </w:rPr>
          <w:t>97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8" w:history="1">
        <w:r w:rsidR="003C440C" w:rsidRPr="003A52BF">
          <w:rPr>
            <w:rStyle w:val="Hyperlink"/>
            <w:noProof/>
          </w:rPr>
          <w:t>Figure 101.</w:t>
        </w:r>
        <w:r w:rsidR="003C440C" w:rsidRPr="003A52BF">
          <w:rPr>
            <w:rStyle w:val="Hyperlink"/>
            <w:i/>
            <w:noProof/>
          </w:rPr>
          <w:t xml:space="preserve"> Within seagrass canopy temperature (°C) at inshore intertidal coastal (Bushland Beach and Shelley Beach) and reef (Picnic Bay and Cockle Bay, Magnetic Island) habitats within the Burdekin region over the 2011/12 monitoring period.</w:t>
        </w:r>
        <w:r w:rsidR="003C440C">
          <w:rPr>
            <w:noProof/>
            <w:webHidden/>
          </w:rPr>
          <w:tab/>
        </w:r>
        <w:r w:rsidR="003C440C">
          <w:rPr>
            <w:noProof/>
            <w:webHidden/>
          </w:rPr>
          <w:fldChar w:fldCharType="begin"/>
        </w:r>
        <w:r w:rsidR="003C440C">
          <w:rPr>
            <w:noProof/>
            <w:webHidden/>
          </w:rPr>
          <w:instrText xml:space="preserve"> PAGEREF _Toc384196448 \h </w:instrText>
        </w:r>
        <w:r w:rsidR="003C440C">
          <w:rPr>
            <w:noProof/>
            <w:webHidden/>
          </w:rPr>
        </w:r>
        <w:r w:rsidR="003C440C">
          <w:rPr>
            <w:noProof/>
            <w:webHidden/>
          </w:rPr>
          <w:fldChar w:fldCharType="separate"/>
        </w:r>
        <w:r w:rsidR="005B5FD6">
          <w:rPr>
            <w:noProof/>
            <w:webHidden/>
          </w:rPr>
          <w:t>98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49" w:history="1">
        <w:r w:rsidR="003C440C" w:rsidRPr="003A52BF">
          <w:rPr>
            <w:rStyle w:val="Hyperlink"/>
            <w:noProof/>
          </w:rPr>
          <w:t>Figure 102</w:t>
        </w:r>
        <w:r w:rsidR="003C440C" w:rsidRPr="003A52BF">
          <w:rPr>
            <w:rStyle w:val="Hyperlink"/>
            <w:i/>
            <w:noProof/>
          </w:rPr>
          <w:t>. Monthly mean and maximum within seagrass canopy temperature (°C) at inshore intertidal coastal (Bushland Beach and Shelly Beach) and reef (Picnic Bay and Cockle Bay, Magnetic Island) habitats in the Burdekin region.</w:t>
        </w:r>
        <w:r w:rsidR="003C440C">
          <w:rPr>
            <w:noProof/>
            <w:webHidden/>
          </w:rPr>
          <w:tab/>
        </w:r>
        <w:r w:rsidR="003C440C">
          <w:rPr>
            <w:noProof/>
            <w:webHidden/>
          </w:rPr>
          <w:fldChar w:fldCharType="begin"/>
        </w:r>
        <w:r w:rsidR="003C440C">
          <w:rPr>
            <w:noProof/>
            <w:webHidden/>
          </w:rPr>
          <w:instrText xml:space="preserve"> PAGEREF _Toc384196449 \h </w:instrText>
        </w:r>
        <w:r w:rsidR="003C440C">
          <w:rPr>
            <w:noProof/>
            <w:webHidden/>
          </w:rPr>
        </w:r>
        <w:r w:rsidR="003C440C">
          <w:rPr>
            <w:noProof/>
            <w:webHidden/>
          </w:rPr>
          <w:fldChar w:fldCharType="separate"/>
        </w:r>
        <w:r w:rsidR="005B5FD6">
          <w:rPr>
            <w:noProof/>
            <w:webHidden/>
          </w:rPr>
          <w:t>98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0" w:history="1">
        <w:r w:rsidR="003C440C" w:rsidRPr="003A52BF">
          <w:rPr>
            <w:rStyle w:val="Hyperlink"/>
            <w:noProof/>
          </w:rPr>
          <w:t xml:space="preserve">Figure 103. </w:t>
        </w:r>
        <w:r w:rsidR="003C440C" w:rsidRPr="003A52BF">
          <w:rPr>
            <w:rStyle w:val="Hyperlink"/>
            <w:i/>
            <w:noProof/>
          </w:rPr>
          <w:t>Within seagrass canopy temperature (°C) at inshore subtidal reef habitats (Picnic Bay, Magnetic Island) within the Burdekin region over the 2011/12 monitoring period.</w:t>
        </w:r>
        <w:r w:rsidR="003C440C">
          <w:rPr>
            <w:noProof/>
            <w:webHidden/>
          </w:rPr>
          <w:tab/>
        </w:r>
        <w:r w:rsidR="003C440C">
          <w:rPr>
            <w:noProof/>
            <w:webHidden/>
          </w:rPr>
          <w:fldChar w:fldCharType="begin"/>
        </w:r>
        <w:r w:rsidR="003C440C">
          <w:rPr>
            <w:noProof/>
            <w:webHidden/>
          </w:rPr>
          <w:instrText xml:space="preserve"> PAGEREF _Toc384196450 \h </w:instrText>
        </w:r>
        <w:r w:rsidR="003C440C">
          <w:rPr>
            <w:noProof/>
            <w:webHidden/>
          </w:rPr>
        </w:r>
        <w:r w:rsidR="003C440C">
          <w:rPr>
            <w:noProof/>
            <w:webHidden/>
          </w:rPr>
          <w:fldChar w:fldCharType="separate"/>
        </w:r>
        <w:r w:rsidR="005B5FD6">
          <w:rPr>
            <w:noProof/>
            <w:webHidden/>
          </w:rPr>
          <w:t>99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1" w:history="1">
        <w:r w:rsidR="003C440C" w:rsidRPr="003A52BF">
          <w:rPr>
            <w:rStyle w:val="Hyperlink"/>
            <w:noProof/>
          </w:rPr>
          <w:t xml:space="preserve">Figure 104. </w:t>
        </w:r>
        <w:r w:rsidR="003C440C" w:rsidRPr="003A52BF">
          <w:rPr>
            <w:rStyle w:val="Hyperlink"/>
            <w:i/>
            <w:noProof/>
          </w:rPr>
          <w:t>Monthly mean, maximum and minimum temperature at inshore subtidal reef habitats (Picnic Bay, Magnetic Island) within the Burdekin region.</w:t>
        </w:r>
        <w:r w:rsidR="003C440C">
          <w:rPr>
            <w:noProof/>
            <w:webHidden/>
          </w:rPr>
          <w:tab/>
        </w:r>
        <w:r w:rsidR="003C440C">
          <w:rPr>
            <w:noProof/>
            <w:webHidden/>
          </w:rPr>
          <w:fldChar w:fldCharType="begin"/>
        </w:r>
        <w:r w:rsidR="003C440C">
          <w:rPr>
            <w:noProof/>
            <w:webHidden/>
          </w:rPr>
          <w:instrText xml:space="preserve"> PAGEREF _Toc384196451 \h </w:instrText>
        </w:r>
        <w:r w:rsidR="003C440C">
          <w:rPr>
            <w:noProof/>
            <w:webHidden/>
          </w:rPr>
        </w:r>
        <w:r w:rsidR="003C440C">
          <w:rPr>
            <w:noProof/>
            <w:webHidden/>
          </w:rPr>
          <w:fldChar w:fldCharType="separate"/>
        </w:r>
        <w:r w:rsidR="005B5FD6">
          <w:rPr>
            <w:noProof/>
            <w:webHidden/>
          </w:rPr>
          <w:t>99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2" w:history="1">
        <w:r w:rsidR="003C440C" w:rsidRPr="003A52BF">
          <w:rPr>
            <w:rStyle w:val="Hyperlink"/>
            <w:noProof/>
          </w:rPr>
          <w:t xml:space="preserve">Figure 105. </w:t>
        </w:r>
        <w:r w:rsidR="003C440C" w:rsidRPr="003A52BF">
          <w:rPr>
            <w:rStyle w:val="Hyperlink"/>
            <w:i/>
            <w:noProof/>
          </w:rPr>
          <w:t>Daily light (28 day rolling average) at inshore intertidal reef habitats (Picnic Bay and Cockle Bay, Magnetic Island) in the Burdekin region</w:t>
        </w:r>
        <w:r w:rsidR="003C440C">
          <w:rPr>
            <w:noProof/>
            <w:webHidden/>
          </w:rPr>
          <w:tab/>
        </w:r>
        <w:r w:rsidR="003C440C">
          <w:rPr>
            <w:noProof/>
            <w:webHidden/>
          </w:rPr>
          <w:fldChar w:fldCharType="begin"/>
        </w:r>
        <w:r w:rsidR="003C440C">
          <w:rPr>
            <w:noProof/>
            <w:webHidden/>
          </w:rPr>
          <w:instrText xml:space="preserve"> PAGEREF _Toc384196452 \h </w:instrText>
        </w:r>
        <w:r w:rsidR="003C440C">
          <w:rPr>
            <w:noProof/>
            <w:webHidden/>
          </w:rPr>
        </w:r>
        <w:r w:rsidR="003C440C">
          <w:rPr>
            <w:noProof/>
            <w:webHidden/>
          </w:rPr>
          <w:fldChar w:fldCharType="separate"/>
        </w:r>
        <w:r w:rsidR="005B5FD6">
          <w:rPr>
            <w:noProof/>
            <w:webHidden/>
          </w:rPr>
          <w:t>100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3" w:history="1">
        <w:r w:rsidR="003C440C" w:rsidRPr="003A52BF">
          <w:rPr>
            <w:rStyle w:val="Hyperlink"/>
            <w:noProof/>
          </w:rPr>
          <w:t xml:space="preserve">Figure 106. </w:t>
        </w:r>
        <w:r w:rsidR="003C440C" w:rsidRPr="003A52BF">
          <w:rPr>
            <w:rStyle w:val="Hyperlink"/>
            <w:i/>
            <w:noProof/>
          </w:rPr>
          <w:t>Daily light (28 day rolling average) at inshore intertidal coastal habitats (Bushland Beach and Shelley Beach) in the Burdekin region</w:t>
        </w:r>
        <w:r w:rsidR="003C440C">
          <w:rPr>
            <w:noProof/>
            <w:webHidden/>
          </w:rPr>
          <w:tab/>
        </w:r>
        <w:r w:rsidR="003C440C">
          <w:rPr>
            <w:noProof/>
            <w:webHidden/>
          </w:rPr>
          <w:fldChar w:fldCharType="begin"/>
        </w:r>
        <w:r w:rsidR="003C440C">
          <w:rPr>
            <w:noProof/>
            <w:webHidden/>
          </w:rPr>
          <w:instrText xml:space="preserve"> PAGEREF _Toc384196453 \h </w:instrText>
        </w:r>
        <w:r w:rsidR="003C440C">
          <w:rPr>
            <w:noProof/>
            <w:webHidden/>
          </w:rPr>
        </w:r>
        <w:r w:rsidR="003C440C">
          <w:rPr>
            <w:noProof/>
            <w:webHidden/>
          </w:rPr>
          <w:fldChar w:fldCharType="separate"/>
        </w:r>
        <w:r w:rsidR="005B5FD6">
          <w:rPr>
            <w:noProof/>
            <w:webHidden/>
          </w:rPr>
          <w:t>101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4" w:history="1">
        <w:r w:rsidR="003C440C" w:rsidRPr="003A52BF">
          <w:rPr>
            <w:rStyle w:val="Hyperlink"/>
            <w:noProof/>
          </w:rPr>
          <w:t xml:space="preserve">Figure 107. </w:t>
        </w:r>
        <w:r w:rsidR="003C440C" w:rsidRPr="003A52BF">
          <w:rPr>
            <w:rStyle w:val="Hyperlink"/>
            <w:i/>
            <w:noProof/>
          </w:rPr>
          <w:t>Daily light (28 day rolling average) at inshore subtidal reef habitat (Picnic Bay, Magnetic Island) in the Burdekin region</w:t>
        </w:r>
        <w:r w:rsidR="003C440C">
          <w:rPr>
            <w:noProof/>
            <w:webHidden/>
          </w:rPr>
          <w:tab/>
        </w:r>
        <w:r w:rsidR="003C440C">
          <w:rPr>
            <w:noProof/>
            <w:webHidden/>
          </w:rPr>
          <w:fldChar w:fldCharType="begin"/>
        </w:r>
        <w:r w:rsidR="003C440C">
          <w:rPr>
            <w:noProof/>
            <w:webHidden/>
          </w:rPr>
          <w:instrText xml:space="preserve"> PAGEREF _Toc384196454 \h </w:instrText>
        </w:r>
        <w:r w:rsidR="003C440C">
          <w:rPr>
            <w:noProof/>
            <w:webHidden/>
          </w:rPr>
        </w:r>
        <w:r w:rsidR="003C440C">
          <w:rPr>
            <w:noProof/>
            <w:webHidden/>
          </w:rPr>
          <w:fldChar w:fldCharType="separate"/>
        </w:r>
        <w:r w:rsidR="005B5FD6">
          <w:rPr>
            <w:noProof/>
            <w:webHidden/>
          </w:rPr>
          <w:t>101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5" w:history="1">
        <w:r w:rsidR="003C440C" w:rsidRPr="003A52BF">
          <w:rPr>
            <w:rStyle w:val="Hyperlink"/>
            <w:noProof/>
          </w:rPr>
          <w:t xml:space="preserve">Figure 108. </w:t>
        </w:r>
        <w:r w:rsidR="003C440C" w:rsidRPr="003A52BF">
          <w:rPr>
            <w:rStyle w:val="Hyperlink"/>
            <w:i/>
            <w:noProof/>
          </w:rPr>
          <w:t>Turbidity (NTU, daily average) and light (daily sum, mol m</w:t>
        </w:r>
        <w:r w:rsidR="003C440C" w:rsidRPr="003A52BF">
          <w:rPr>
            <w:rStyle w:val="Hyperlink"/>
            <w:i/>
            <w:noProof/>
            <w:vertAlign w:val="superscript"/>
          </w:rPr>
          <w:t>-2</w:t>
        </w:r>
        <w:r w:rsidR="003C440C" w:rsidRPr="003A52BF">
          <w:rPr>
            <w:rStyle w:val="Hyperlink"/>
            <w:i/>
            <w:noProof/>
          </w:rPr>
          <w:t xml:space="preserve"> d</w:t>
        </w:r>
        <w:r w:rsidR="003C440C" w:rsidRPr="003A52BF">
          <w:rPr>
            <w:rStyle w:val="Hyperlink"/>
            <w:i/>
            <w:noProof/>
            <w:vertAlign w:val="superscript"/>
          </w:rPr>
          <w:t>-1</w:t>
        </w:r>
        <w:r w:rsidR="003C440C" w:rsidRPr="003A52BF">
          <w:rPr>
            <w:rStyle w:val="Hyperlink"/>
            <w:i/>
            <w:noProof/>
          </w:rPr>
          <w:t>) at inshore subtidal reef habitats (Picnic Bay, Magnetic Island) in the Burdekin region.</w:t>
        </w:r>
        <w:r w:rsidR="003C440C">
          <w:rPr>
            <w:noProof/>
            <w:webHidden/>
          </w:rPr>
          <w:tab/>
        </w:r>
        <w:r w:rsidR="003C440C">
          <w:rPr>
            <w:noProof/>
            <w:webHidden/>
          </w:rPr>
          <w:fldChar w:fldCharType="begin"/>
        </w:r>
        <w:r w:rsidR="003C440C">
          <w:rPr>
            <w:noProof/>
            <w:webHidden/>
          </w:rPr>
          <w:instrText xml:space="preserve"> PAGEREF _Toc384196455 \h </w:instrText>
        </w:r>
        <w:r w:rsidR="003C440C">
          <w:rPr>
            <w:noProof/>
            <w:webHidden/>
          </w:rPr>
        </w:r>
        <w:r w:rsidR="003C440C">
          <w:rPr>
            <w:noProof/>
            <w:webHidden/>
          </w:rPr>
          <w:fldChar w:fldCharType="separate"/>
        </w:r>
        <w:r w:rsidR="005B5FD6">
          <w:rPr>
            <w:noProof/>
            <w:webHidden/>
          </w:rPr>
          <w:t>102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6" w:history="1">
        <w:r w:rsidR="003C440C" w:rsidRPr="003A52BF">
          <w:rPr>
            <w:rStyle w:val="Hyperlink"/>
            <w:noProof/>
          </w:rPr>
          <w:t xml:space="preserve">Figure 109. </w:t>
        </w:r>
        <w:r w:rsidR="003C440C" w:rsidRPr="003A52BF">
          <w:rPr>
            <w:rStyle w:val="Hyperlink"/>
            <w:i/>
            <w:noProof/>
          </w:rPr>
          <w:t>Daily mean chlorophyll concentration (green line, ɥg L</w:t>
        </w:r>
        <w:r w:rsidR="003C440C" w:rsidRPr="003A52BF">
          <w:rPr>
            <w:rStyle w:val="Hyperlink"/>
            <w:i/>
            <w:noProof/>
            <w:vertAlign w:val="superscript"/>
          </w:rPr>
          <w:t>-1</w:t>
        </w:r>
        <w:r w:rsidR="003C440C" w:rsidRPr="003A52BF">
          <w:rPr>
            <w:rStyle w:val="Hyperlink"/>
            <w:i/>
            <w:noProof/>
          </w:rPr>
          <w:t>), turbidity (brown line, NTU) inshore subtidal reef habitats (Picnic Bay, Magnetic Island) in the Burdekin region.</w:t>
        </w:r>
        <w:r w:rsidR="003C440C">
          <w:rPr>
            <w:noProof/>
            <w:webHidden/>
          </w:rPr>
          <w:tab/>
        </w:r>
        <w:r w:rsidR="003C440C">
          <w:rPr>
            <w:noProof/>
            <w:webHidden/>
          </w:rPr>
          <w:fldChar w:fldCharType="begin"/>
        </w:r>
        <w:r w:rsidR="003C440C">
          <w:rPr>
            <w:noProof/>
            <w:webHidden/>
          </w:rPr>
          <w:instrText xml:space="preserve"> PAGEREF _Toc384196456 \h </w:instrText>
        </w:r>
        <w:r w:rsidR="003C440C">
          <w:rPr>
            <w:noProof/>
            <w:webHidden/>
          </w:rPr>
        </w:r>
        <w:r w:rsidR="003C440C">
          <w:rPr>
            <w:noProof/>
            <w:webHidden/>
          </w:rPr>
          <w:fldChar w:fldCharType="separate"/>
        </w:r>
        <w:r w:rsidR="005B5FD6">
          <w:rPr>
            <w:noProof/>
            <w:webHidden/>
          </w:rPr>
          <w:t>102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7" w:history="1">
        <w:r w:rsidR="003C440C" w:rsidRPr="003A52BF">
          <w:rPr>
            <w:rStyle w:val="Hyperlink"/>
            <w:noProof/>
          </w:rPr>
          <w:t xml:space="preserve">Figure 110. </w:t>
        </w:r>
        <w:r w:rsidR="003C440C" w:rsidRPr="003A52BF">
          <w:rPr>
            <w:rStyle w:val="Hyperlink"/>
            <w:i/>
            <w:noProof/>
          </w:rPr>
          <w:t>Mean monthly daily maximum temperature (line), total monthly rainfall (grey bars), mean monthly cloud cover (black line), and mean monthly 3pm wind speed (grey line) recorded at Townsville Airport.</w:t>
        </w:r>
        <w:r w:rsidR="003C440C">
          <w:rPr>
            <w:noProof/>
            <w:webHidden/>
          </w:rPr>
          <w:tab/>
        </w:r>
        <w:r w:rsidR="003C440C">
          <w:rPr>
            <w:noProof/>
            <w:webHidden/>
          </w:rPr>
          <w:fldChar w:fldCharType="begin"/>
        </w:r>
        <w:r w:rsidR="003C440C">
          <w:rPr>
            <w:noProof/>
            <w:webHidden/>
          </w:rPr>
          <w:instrText xml:space="preserve"> PAGEREF _Toc384196457 \h </w:instrText>
        </w:r>
        <w:r w:rsidR="003C440C">
          <w:rPr>
            <w:noProof/>
            <w:webHidden/>
          </w:rPr>
        </w:r>
        <w:r w:rsidR="003C440C">
          <w:rPr>
            <w:noProof/>
            <w:webHidden/>
          </w:rPr>
          <w:fldChar w:fldCharType="separate"/>
        </w:r>
        <w:r w:rsidR="005B5FD6">
          <w:rPr>
            <w:noProof/>
            <w:webHidden/>
          </w:rPr>
          <w:t>103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8" w:history="1">
        <w:r w:rsidR="003C440C" w:rsidRPr="003A52BF">
          <w:rPr>
            <w:rStyle w:val="Hyperlink"/>
            <w:noProof/>
          </w:rPr>
          <w:t xml:space="preserve">Figure 111.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Burdekin River impacting the seagrass monitoring sites in the Burdekin region.</w:t>
        </w:r>
        <w:r w:rsidR="003C440C">
          <w:rPr>
            <w:noProof/>
            <w:webHidden/>
          </w:rPr>
          <w:tab/>
        </w:r>
        <w:r w:rsidR="003C440C">
          <w:rPr>
            <w:noProof/>
            <w:webHidden/>
          </w:rPr>
          <w:fldChar w:fldCharType="begin"/>
        </w:r>
        <w:r w:rsidR="003C440C">
          <w:rPr>
            <w:noProof/>
            <w:webHidden/>
          </w:rPr>
          <w:instrText xml:space="preserve"> PAGEREF _Toc384196458 \h </w:instrText>
        </w:r>
        <w:r w:rsidR="003C440C">
          <w:rPr>
            <w:noProof/>
            <w:webHidden/>
          </w:rPr>
        </w:r>
        <w:r w:rsidR="003C440C">
          <w:rPr>
            <w:noProof/>
            <w:webHidden/>
          </w:rPr>
          <w:fldChar w:fldCharType="separate"/>
        </w:r>
        <w:r w:rsidR="005B5FD6">
          <w:rPr>
            <w:noProof/>
            <w:webHidden/>
          </w:rPr>
          <w:t>104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59" w:history="1">
        <w:r w:rsidR="003C440C" w:rsidRPr="003A52BF">
          <w:rPr>
            <w:rStyle w:val="Hyperlink"/>
            <w:noProof/>
          </w:rPr>
          <w:t xml:space="preserve">Figure 112. </w:t>
        </w:r>
        <w:r w:rsidR="003C440C" w:rsidRPr="003A52BF">
          <w:rPr>
            <w:rStyle w:val="Hyperlink"/>
            <w:i/>
            <w:noProof/>
          </w:rPr>
          <w:t>Conceptual diagram of estuary habitat in the Mackay Whitsunday region</w:t>
        </w:r>
        <w:r w:rsidR="003C440C">
          <w:rPr>
            <w:noProof/>
            <w:webHidden/>
          </w:rPr>
          <w:tab/>
        </w:r>
        <w:r w:rsidR="003C440C">
          <w:rPr>
            <w:noProof/>
            <w:webHidden/>
          </w:rPr>
          <w:fldChar w:fldCharType="begin"/>
        </w:r>
        <w:r w:rsidR="003C440C">
          <w:rPr>
            <w:noProof/>
            <w:webHidden/>
          </w:rPr>
          <w:instrText xml:space="preserve"> PAGEREF _Toc384196459 \h </w:instrText>
        </w:r>
        <w:r w:rsidR="003C440C">
          <w:rPr>
            <w:noProof/>
            <w:webHidden/>
          </w:rPr>
        </w:r>
        <w:r w:rsidR="003C440C">
          <w:rPr>
            <w:noProof/>
            <w:webHidden/>
          </w:rPr>
          <w:fldChar w:fldCharType="separate"/>
        </w:r>
        <w:r w:rsidR="005B5FD6">
          <w:rPr>
            <w:noProof/>
            <w:webHidden/>
          </w:rPr>
          <w:t>106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0" w:history="1">
        <w:r w:rsidR="003C440C" w:rsidRPr="003A52BF">
          <w:rPr>
            <w:rStyle w:val="Hyperlink"/>
            <w:noProof/>
          </w:rPr>
          <w:t xml:space="preserve">Figure 113. </w:t>
        </w:r>
        <w:r w:rsidR="003C440C" w:rsidRPr="003A52BF">
          <w:rPr>
            <w:rStyle w:val="Hyperlink"/>
            <w:i/>
            <w:noProof/>
          </w:rPr>
          <w:t>Location of Mackay Whitsunday region long-term monitoring sites and the seagrass species composition at each site.</w:t>
        </w:r>
        <w:r w:rsidR="003C440C">
          <w:rPr>
            <w:noProof/>
            <w:webHidden/>
          </w:rPr>
          <w:tab/>
        </w:r>
        <w:r w:rsidR="003C440C">
          <w:rPr>
            <w:noProof/>
            <w:webHidden/>
          </w:rPr>
          <w:fldChar w:fldCharType="begin"/>
        </w:r>
        <w:r w:rsidR="003C440C">
          <w:rPr>
            <w:noProof/>
            <w:webHidden/>
          </w:rPr>
          <w:instrText xml:space="preserve"> PAGEREF _Toc384196460 \h </w:instrText>
        </w:r>
        <w:r w:rsidR="003C440C">
          <w:rPr>
            <w:noProof/>
            <w:webHidden/>
          </w:rPr>
        </w:r>
        <w:r w:rsidR="003C440C">
          <w:rPr>
            <w:noProof/>
            <w:webHidden/>
          </w:rPr>
          <w:fldChar w:fldCharType="separate"/>
        </w:r>
        <w:r w:rsidR="005B5FD6">
          <w:rPr>
            <w:noProof/>
            <w:webHidden/>
          </w:rPr>
          <w:t>107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1" w:history="1">
        <w:r w:rsidR="003C440C" w:rsidRPr="003A52BF">
          <w:rPr>
            <w:rStyle w:val="Hyperlink"/>
            <w:noProof/>
          </w:rPr>
          <w:t xml:space="preserve">Figure 114. </w:t>
        </w:r>
        <w:r w:rsidR="003C440C" w:rsidRPr="003A52BF">
          <w:rPr>
            <w:rStyle w:val="Hyperlink"/>
            <w:i/>
            <w:noProof/>
          </w:rPr>
          <w:t>Conceptual diagram of coastal habitat in the Mackay Whitsunday region</w:t>
        </w:r>
        <w:r w:rsidR="003C440C">
          <w:rPr>
            <w:noProof/>
            <w:webHidden/>
          </w:rPr>
          <w:tab/>
        </w:r>
        <w:r w:rsidR="003C440C">
          <w:rPr>
            <w:noProof/>
            <w:webHidden/>
          </w:rPr>
          <w:fldChar w:fldCharType="begin"/>
        </w:r>
        <w:r w:rsidR="003C440C">
          <w:rPr>
            <w:noProof/>
            <w:webHidden/>
          </w:rPr>
          <w:instrText xml:space="preserve"> PAGEREF _Toc384196461 \h </w:instrText>
        </w:r>
        <w:r w:rsidR="003C440C">
          <w:rPr>
            <w:noProof/>
            <w:webHidden/>
          </w:rPr>
        </w:r>
        <w:r w:rsidR="003C440C">
          <w:rPr>
            <w:noProof/>
            <w:webHidden/>
          </w:rPr>
          <w:fldChar w:fldCharType="separate"/>
        </w:r>
        <w:r w:rsidR="005B5FD6">
          <w:rPr>
            <w:noProof/>
            <w:webHidden/>
          </w:rPr>
          <w:t>108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2" w:history="1">
        <w:r w:rsidR="003C440C" w:rsidRPr="003A52BF">
          <w:rPr>
            <w:rStyle w:val="Hyperlink"/>
            <w:noProof/>
          </w:rPr>
          <w:t xml:space="preserve">Figure 115. </w:t>
        </w:r>
        <w:r w:rsidR="003C440C" w:rsidRPr="003A52BF">
          <w:rPr>
            <w:rStyle w:val="Hyperlink"/>
            <w:i/>
            <w:noProof/>
          </w:rPr>
          <w:t>Conceptual diagram of reef habitat in the Mackay Whitsunday region</w:t>
        </w:r>
        <w:r w:rsidR="003C440C">
          <w:rPr>
            <w:noProof/>
            <w:webHidden/>
          </w:rPr>
          <w:tab/>
        </w:r>
        <w:r w:rsidR="003C440C">
          <w:rPr>
            <w:noProof/>
            <w:webHidden/>
          </w:rPr>
          <w:fldChar w:fldCharType="begin"/>
        </w:r>
        <w:r w:rsidR="003C440C">
          <w:rPr>
            <w:noProof/>
            <w:webHidden/>
          </w:rPr>
          <w:instrText xml:space="preserve"> PAGEREF _Toc384196462 \h </w:instrText>
        </w:r>
        <w:r w:rsidR="003C440C">
          <w:rPr>
            <w:noProof/>
            <w:webHidden/>
          </w:rPr>
        </w:r>
        <w:r w:rsidR="003C440C">
          <w:rPr>
            <w:noProof/>
            <w:webHidden/>
          </w:rPr>
          <w:fldChar w:fldCharType="separate"/>
        </w:r>
        <w:r w:rsidR="005B5FD6">
          <w:rPr>
            <w:noProof/>
            <w:webHidden/>
          </w:rPr>
          <w:t>108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3" w:history="1">
        <w:r w:rsidR="003C440C" w:rsidRPr="003A52BF">
          <w:rPr>
            <w:rStyle w:val="Hyperlink"/>
            <w:noProof/>
          </w:rPr>
          <w:t xml:space="preserve">Figure 116. </w:t>
        </w:r>
        <w:r w:rsidR="003C440C" w:rsidRPr="003A52BF">
          <w:rPr>
            <w:rStyle w:val="Hyperlink"/>
            <w:i/>
            <w:noProof/>
          </w:rPr>
          <w:t>Report card of seagrass status indicators and index for the Mackay Whitsunday NRM region</w:t>
        </w:r>
        <w:r w:rsidR="003C440C">
          <w:rPr>
            <w:noProof/>
            <w:webHidden/>
          </w:rPr>
          <w:tab/>
        </w:r>
        <w:r w:rsidR="003C440C">
          <w:rPr>
            <w:noProof/>
            <w:webHidden/>
          </w:rPr>
          <w:fldChar w:fldCharType="begin"/>
        </w:r>
        <w:r w:rsidR="003C440C">
          <w:rPr>
            <w:noProof/>
            <w:webHidden/>
          </w:rPr>
          <w:instrText xml:space="preserve"> PAGEREF _Toc384196463 \h </w:instrText>
        </w:r>
        <w:r w:rsidR="003C440C">
          <w:rPr>
            <w:noProof/>
            <w:webHidden/>
          </w:rPr>
        </w:r>
        <w:r w:rsidR="003C440C">
          <w:rPr>
            <w:noProof/>
            <w:webHidden/>
          </w:rPr>
          <w:fldChar w:fldCharType="separate"/>
        </w:r>
        <w:r w:rsidR="005B5FD6">
          <w:rPr>
            <w:noProof/>
            <w:webHidden/>
          </w:rPr>
          <w:t>109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4" w:history="1">
        <w:r w:rsidR="003C440C" w:rsidRPr="003A52BF">
          <w:rPr>
            <w:rStyle w:val="Hyperlink"/>
            <w:noProof/>
          </w:rPr>
          <w:t>Figure 117</w:t>
        </w:r>
        <w:r w:rsidR="003C440C" w:rsidRPr="003A52BF">
          <w:rPr>
            <w:rStyle w:val="Hyperlink"/>
            <w:i/>
            <w:noProof/>
          </w:rPr>
          <w:t>. Changes in seagrass abundance (% cover ±Standard Error) at inshore intertidal coastal habitats in the Mackay Whitsunday region from 1999 to 2012.</w:t>
        </w:r>
        <w:r w:rsidR="003C440C">
          <w:rPr>
            <w:noProof/>
            <w:webHidden/>
          </w:rPr>
          <w:tab/>
        </w:r>
        <w:r w:rsidR="003C440C">
          <w:rPr>
            <w:noProof/>
            <w:webHidden/>
          </w:rPr>
          <w:fldChar w:fldCharType="begin"/>
        </w:r>
        <w:r w:rsidR="003C440C">
          <w:rPr>
            <w:noProof/>
            <w:webHidden/>
          </w:rPr>
          <w:instrText xml:space="preserve"> PAGEREF _Toc384196464 \h </w:instrText>
        </w:r>
        <w:r w:rsidR="003C440C">
          <w:rPr>
            <w:noProof/>
            <w:webHidden/>
          </w:rPr>
        </w:r>
        <w:r w:rsidR="003C440C">
          <w:rPr>
            <w:noProof/>
            <w:webHidden/>
          </w:rPr>
          <w:fldChar w:fldCharType="separate"/>
        </w:r>
        <w:r w:rsidR="005B5FD6">
          <w:rPr>
            <w:noProof/>
            <w:webHidden/>
          </w:rPr>
          <w:t>109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5" w:history="1">
        <w:r w:rsidR="003C440C" w:rsidRPr="003A52BF">
          <w:rPr>
            <w:rStyle w:val="Hyperlink"/>
            <w:noProof/>
          </w:rPr>
          <w:t xml:space="preserve">Figure 118. </w:t>
        </w:r>
        <w:r w:rsidR="003C440C" w:rsidRPr="003A52BF">
          <w:rPr>
            <w:rStyle w:val="Hyperlink"/>
            <w:i/>
            <w:noProof/>
          </w:rPr>
          <w:t>Mean percentage seagrass cover (all species pooled) (± Standard Error) at inshore intertidal coastal habitat long-term monitoring sites at time of year.</w:t>
        </w:r>
        <w:r w:rsidR="003C440C">
          <w:rPr>
            <w:noProof/>
            <w:webHidden/>
          </w:rPr>
          <w:tab/>
        </w:r>
        <w:r w:rsidR="003C440C">
          <w:rPr>
            <w:noProof/>
            <w:webHidden/>
          </w:rPr>
          <w:fldChar w:fldCharType="begin"/>
        </w:r>
        <w:r w:rsidR="003C440C">
          <w:rPr>
            <w:noProof/>
            <w:webHidden/>
          </w:rPr>
          <w:instrText xml:space="preserve"> PAGEREF _Toc384196465 \h </w:instrText>
        </w:r>
        <w:r w:rsidR="003C440C">
          <w:rPr>
            <w:noProof/>
            <w:webHidden/>
          </w:rPr>
        </w:r>
        <w:r w:rsidR="003C440C">
          <w:rPr>
            <w:noProof/>
            <w:webHidden/>
          </w:rPr>
          <w:fldChar w:fldCharType="separate"/>
        </w:r>
        <w:r w:rsidR="005B5FD6">
          <w:rPr>
            <w:noProof/>
            <w:webHidden/>
          </w:rPr>
          <w:t>110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6" w:history="1">
        <w:r w:rsidR="003C440C" w:rsidRPr="003A52BF">
          <w:rPr>
            <w:rStyle w:val="Hyperlink"/>
            <w:noProof/>
          </w:rPr>
          <w:t>Figure 119</w:t>
        </w:r>
        <w:r w:rsidR="003C440C" w:rsidRPr="003A52BF">
          <w:rPr>
            <w:rStyle w:val="Hyperlink"/>
            <w:i/>
            <w:noProof/>
          </w:rPr>
          <w:t>. Changes in seagrass abundance (% cover ±Standard Error) at inshore intertidal estuarine habitats in the Mackay Whitsunday region from 1999 to 2012.</w:t>
        </w:r>
        <w:r w:rsidR="003C440C">
          <w:rPr>
            <w:noProof/>
            <w:webHidden/>
          </w:rPr>
          <w:tab/>
        </w:r>
        <w:r w:rsidR="003C440C">
          <w:rPr>
            <w:noProof/>
            <w:webHidden/>
          </w:rPr>
          <w:fldChar w:fldCharType="begin"/>
        </w:r>
        <w:r w:rsidR="003C440C">
          <w:rPr>
            <w:noProof/>
            <w:webHidden/>
          </w:rPr>
          <w:instrText xml:space="preserve"> PAGEREF _Toc384196466 \h </w:instrText>
        </w:r>
        <w:r w:rsidR="003C440C">
          <w:rPr>
            <w:noProof/>
            <w:webHidden/>
          </w:rPr>
        </w:r>
        <w:r w:rsidR="003C440C">
          <w:rPr>
            <w:noProof/>
            <w:webHidden/>
          </w:rPr>
          <w:fldChar w:fldCharType="separate"/>
        </w:r>
        <w:r w:rsidR="005B5FD6">
          <w:rPr>
            <w:noProof/>
            <w:webHidden/>
          </w:rPr>
          <w:t>110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7" w:history="1">
        <w:r w:rsidR="003C440C" w:rsidRPr="003A52BF">
          <w:rPr>
            <w:rStyle w:val="Hyperlink"/>
            <w:noProof/>
          </w:rPr>
          <w:t xml:space="preserve">Figure 120. </w:t>
        </w:r>
        <w:r w:rsidR="003C440C" w:rsidRPr="003A52BF">
          <w:rPr>
            <w:rStyle w:val="Hyperlink"/>
            <w:i/>
            <w:noProof/>
          </w:rPr>
          <w:t>Mean percentage seagrass cover (all species pooled) (± Standard Error) at inshore intertidal estuarine habitat (Sarina Inlet) long-term monitoring sites at time of year.</w:t>
        </w:r>
        <w:r w:rsidR="003C440C">
          <w:rPr>
            <w:noProof/>
            <w:webHidden/>
          </w:rPr>
          <w:tab/>
        </w:r>
        <w:r w:rsidR="003C440C">
          <w:rPr>
            <w:noProof/>
            <w:webHidden/>
          </w:rPr>
          <w:fldChar w:fldCharType="begin"/>
        </w:r>
        <w:r w:rsidR="003C440C">
          <w:rPr>
            <w:noProof/>
            <w:webHidden/>
          </w:rPr>
          <w:instrText xml:space="preserve"> PAGEREF _Toc384196467 \h </w:instrText>
        </w:r>
        <w:r w:rsidR="003C440C">
          <w:rPr>
            <w:noProof/>
            <w:webHidden/>
          </w:rPr>
        </w:r>
        <w:r w:rsidR="003C440C">
          <w:rPr>
            <w:noProof/>
            <w:webHidden/>
          </w:rPr>
          <w:fldChar w:fldCharType="separate"/>
        </w:r>
        <w:r w:rsidR="005B5FD6">
          <w:rPr>
            <w:noProof/>
            <w:webHidden/>
          </w:rPr>
          <w:t>111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8" w:history="1">
        <w:r w:rsidR="003C440C" w:rsidRPr="003A52BF">
          <w:rPr>
            <w:rStyle w:val="Hyperlink"/>
            <w:noProof/>
          </w:rPr>
          <w:t xml:space="preserve">Figure 121. </w:t>
        </w:r>
        <w:r w:rsidR="003C440C" w:rsidRPr="003A52BF">
          <w:rPr>
            <w:rStyle w:val="Hyperlink"/>
            <w:i/>
            <w:noProof/>
          </w:rPr>
          <w:t>Changes in seagrass abundance (% cover ±Standard Error) at inshore intertidal reef habitats in the Mackay Whitsunday region from 1999 to 2012.</w:t>
        </w:r>
        <w:r w:rsidR="003C440C">
          <w:rPr>
            <w:noProof/>
            <w:webHidden/>
          </w:rPr>
          <w:tab/>
        </w:r>
        <w:r w:rsidR="003C440C">
          <w:rPr>
            <w:noProof/>
            <w:webHidden/>
          </w:rPr>
          <w:fldChar w:fldCharType="begin"/>
        </w:r>
        <w:r w:rsidR="003C440C">
          <w:rPr>
            <w:noProof/>
            <w:webHidden/>
          </w:rPr>
          <w:instrText xml:space="preserve"> PAGEREF _Toc384196468 \h </w:instrText>
        </w:r>
        <w:r w:rsidR="003C440C">
          <w:rPr>
            <w:noProof/>
            <w:webHidden/>
          </w:rPr>
        </w:r>
        <w:r w:rsidR="003C440C">
          <w:rPr>
            <w:noProof/>
            <w:webHidden/>
          </w:rPr>
          <w:fldChar w:fldCharType="separate"/>
        </w:r>
        <w:r w:rsidR="005B5FD6">
          <w:rPr>
            <w:noProof/>
            <w:webHidden/>
          </w:rPr>
          <w:t>111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69" w:history="1">
        <w:r w:rsidR="003C440C" w:rsidRPr="003A52BF">
          <w:rPr>
            <w:rStyle w:val="Hyperlink"/>
            <w:noProof/>
          </w:rPr>
          <w:t xml:space="preserve">Figure 122. </w:t>
        </w:r>
        <w:r w:rsidR="003C440C" w:rsidRPr="003A52BF">
          <w:rPr>
            <w:rStyle w:val="Hyperlink"/>
            <w:i/>
            <w:noProof/>
          </w:rPr>
          <w:t>Mean percentage seagrass cover (all species pooled) (± Standard Error) at inshore intertidal reef habitat (Hamilton Island) long-term monitoring sites at time of year (years pooled).</w:t>
        </w:r>
        <w:r w:rsidR="003C440C">
          <w:rPr>
            <w:noProof/>
            <w:webHidden/>
          </w:rPr>
          <w:tab/>
        </w:r>
        <w:r w:rsidR="003C440C">
          <w:rPr>
            <w:noProof/>
            <w:webHidden/>
          </w:rPr>
          <w:fldChar w:fldCharType="begin"/>
        </w:r>
        <w:r w:rsidR="003C440C">
          <w:rPr>
            <w:noProof/>
            <w:webHidden/>
          </w:rPr>
          <w:instrText xml:space="preserve"> PAGEREF _Toc384196469 \h </w:instrText>
        </w:r>
        <w:r w:rsidR="003C440C">
          <w:rPr>
            <w:noProof/>
            <w:webHidden/>
          </w:rPr>
        </w:r>
        <w:r w:rsidR="003C440C">
          <w:rPr>
            <w:noProof/>
            <w:webHidden/>
          </w:rPr>
          <w:fldChar w:fldCharType="separate"/>
        </w:r>
        <w:r w:rsidR="005B5FD6">
          <w:rPr>
            <w:noProof/>
            <w:webHidden/>
          </w:rPr>
          <w:t>111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0" w:history="1">
        <w:r w:rsidR="003C440C" w:rsidRPr="003A52BF">
          <w:rPr>
            <w:rStyle w:val="Hyperlink"/>
            <w:noProof/>
          </w:rPr>
          <w:t>Figure 123.</w:t>
        </w:r>
        <w:r w:rsidR="003C440C" w:rsidRPr="003A52BF">
          <w:rPr>
            <w:rStyle w:val="Hyperlink"/>
            <w:i/>
            <w:noProof/>
          </w:rPr>
          <w:t xml:space="preserve"> Extent of area (100m radius of monitoring site) covered by seagrass at each inshore intertidal coastal (Pioneer Bay) and reef (Hamilton Is) habitats in the Mackay Whitsunday region.</w:t>
        </w:r>
        <w:r w:rsidR="003C440C">
          <w:rPr>
            <w:noProof/>
            <w:webHidden/>
          </w:rPr>
          <w:tab/>
        </w:r>
        <w:r w:rsidR="003C440C">
          <w:rPr>
            <w:noProof/>
            <w:webHidden/>
          </w:rPr>
          <w:fldChar w:fldCharType="begin"/>
        </w:r>
        <w:r w:rsidR="003C440C">
          <w:rPr>
            <w:noProof/>
            <w:webHidden/>
          </w:rPr>
          <w:instrText xml:space="preserve"> PAGEREF _Toc384196470 \h </w:instrText>
        </w:r>
        <w:r w:rsidR="003C440C">
          <w:rPr>
            <w:noProof/>
            <w:webHidden/>
          </w:rPr>
        </w:r>
        <w:r w:rsidR="003C440C">
          <w:rPr>
            <w:noProof/>
            <w:webHidden/>
          </w:rPr>
          <w:fldChar w:fldCharType="separate"/>
        </w:r>
        <w:r w:rsidR="005B5FD6">
          <w:rPr>
            <w:noProof/>
            <w:webHidden/>
          </w:rPr>
          <w:t>112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1" w:history="1">
        <w:r w:rsidR="003C440C" w:rsidRPr="003A52BF">
          <w:rPr>
            <w:rStyle w:val="Hyperlink"/>
            <w:noProof/>
          </w:rPr>
          <w:t>Figure 124.</w:t>
        </w:r>
        <w:r w:rsidR="003C440C" w:rsidRPr="003A52BF">
          <w:rPr>
            <w:rStyle w:val="Hyperlink"/>
            <w:i/>
            <w:noProof/>
          </w:rPr>
          <w:t xml:space="preserve"> Extent of area (100m radius of monitoring site) covered by seagrass at inshore intertidal estuarine habitat (Sarina Inlet) monitoring sites.</w:t>
        </w:r>
        <w:r w:rsidR="003C440C">
          <w:rPr>
            <w:noProof/>
            <w:webHidden/>
          </w:rPr>
          <w:tab/>
        </w:r>
        <w:r w:rsidR="003C440C">
          <w:rPr>
            <w:noProof/>
            <w:webHidden/>
          </w:rPr>
          <w:fldChar w:fldCharType="begin"/>
        </w:r>
        <w:r w:rsidR="003C440C">
          <w:rPr>
            <w:noProof/>
            <w:webHidden/>
          </w:rPr>
          <w:instrText xml:space="preserve"> PAGEREF _Toc384196471 \h </w:instrText>
        </w:r>
        <w:r w:rsidR="003C440C">
          <w:rPr>
            <w:noProof/>
            <w:webHidden/>
          </w:rPr>
        </w:r>
        <w:r w:rsidR="003C440C">
          <w:rPr>
            <w:noProof/>
            <w:webHidden/>
          </w:rPr>
          <w:fldChar w:fldCharType="separate"/>
        </w:r>
        <w:r w:rsidR="005B5FD6">
          <w:rPr>
            <w:noProof/>
            <w:webHidden/>
          </w:rPr>
          <w:t>114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2" w:history="1">
        <w:r w:rsidR="003C440C" w:rsidRPr="003A52BF">
          <w:rPr>
            <w:rStyle w:val="Hyperlink"/>
            <w:noProof/>
          </w:rPr>
          <w:t xml:space="preserve">Figure 125. </w:t>
        </w:r>
        <w:r w:rsidR="003C440C" w:rsidRPr="003A52BF">
          <w:rPr>
            <w:rStyle w:val="Hyperlink"/>
            <w:i/>
            <w:noProof/>
          </w:rPr>
          <w:t>Inshore intertidal coastal habitat seed banks (a), germinated seed abundance (b), and total reproductive effort (c) in the Mackay Whitsunday region.</w:t>
        </w:r>
        <w:r w:rsidR="003C440C">
          <w:rPr>
            <w:noProof/>
            <w:webHidden/>
          </w:rPr>
          <w:tab/>
        </w:r>
        <w:r w:rsidR="003C440C">
          <w:rPr>
            <w:noProof/>
            <w:webHidden/>
          </w:rPr>
          <w:fldChar w:fldCharType="begin"/>
        </w:r>
        <w:r w:rsidR="003C440C">
          <w:rPr>
            <w:noProof/>
            <w:webHidden/>
          </w:rPr>
          <w:instrText xml:space="preserve"> PAGEREF _Toc384196472 \h </w:instrText>
        </w:r>
        <w:r w:rsidR="003C440C">
          <w:rPr>
            <w:noProof/>
            <w:webHidden/>
          </w:rPr>
        </w:r>
        <w:r w:rsidR="003C440C">
          <w:rPr>
            <w:noProof/>
            <w:webHidden/>
          </w:rPr>
          <w:fldChar w:fldCharType="separate"/>
        </w:r>
        <w:r w:rsidR="005B5FD6">
          <w:rPr>
            <w:noProof/>
            <w:webHidden/>
          </w:rPr>
          <w:t>114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3" w:history="1">
        <w:r w:rsidR="003C440C" w:rsidRPr="003A52BF">
          <w:rPr>
            <w:rStyle w:val="Hyperlink"/>
            <w:noProof/>
          </w:rPr>
          <w:t xml:space="preserve">Figure 126. </w:t>
        </w:r>
        <w:r w:rsidR="003C440C" w:rsidRPr="003A52BF">
          <w:rPr>
            <w:rStyle w:val="Hyperlink"/>
            <w:i/>
            <w:noProof/>
          </w:rPr>
          <w:t>Inshore intertidal estuary habitat seed banks (a), germinated seed abundance (b), and total reproductive effort (c) in the Mackay Whitsunday region.</w:t>
        </w:r>
        <w:r w:rsidR="003C440C">
          <w:rPr>
            <w:noProof/>
            <w:webHidden/>
          </w:rPr>
          <w:tab/>
        </w:r>
        <w:r w:rsidR="003C440C">
          <w:rPr>
            <w:noProof/>
            <w:webHidden/>
          </w:rPr>
          <w:fldChar w:fldCharType="begin"/>
        </w:r>
        <w:r w:rsidR="003C440C">
          <w:rPr>
            <w:noProof/>
            <w:webHidden/>
          </w:rPr>
          <w:instrText xml:space="preserve"> PAGEREF _Toc384196473 \h </w:instrText>
        </w:r>
        <w:r w:rsidR="003C440C">
          <w:rPr>
            <w:noProof/>
            <w:webHidden/>
          </w:rPr>
        </w:r>
        <w:r w:rsidR="003C440C">
          <w:rPr>
            <w:noProof/>
            <w:webHidden/>
          </w:rPr>
          <w:fldChar w:fldCharType="separate"/>
        </w:r>
        <w:r w:rsidR="005B5FD6">
          <w:rPr>
            <w:noProof/>
            <w:webHidden/>
          </w:rPr>
          <w:t>115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4" w:history="1">
        <w:r w:rsidR="003C440C" w:rsidRPr="003A52BF">
          <w:rPr>
            <w:rStyle w:val="Hyperlink"/>
            <w:noProof/>
          </w:rPr>
          <w:t xml:space="preserve">Figure 127. </w:t>
        </w:r>
        <w:r w:rsidR="003C440C" w:rsidRPr="003A52BF">
          <w:rPr>
            <w:rStyle w:val="Hyperlink"/>
            <w:i/>
            <w:noProof/>
          </w:rPr>
          <w:t>Inshore intertidal reef habitat total reproductive effort in the Mackay Whitsunday region.</w:t>
        </w:r>
        <w:r w:rsidR="003C440C">
          <w:rPr>
            <w:noProof/>
            <w:webHidden/>
          </w:rPr>
          <w:tab/>
        </w:r>
        <w:r w:rsidR="003C440C">
          <w:rPr>
            <w:noProof/>
            <w:webHidden/>
          </w:rPr>
          <w:fldChar w:fldCharType="begin"/>
        </w:r>
        <w:r w:rsidR="003C440C">
          <w:rPr>
            <w:noProof/>
            <w:webHidden/>
          </w:rPr>
          <w:instrText xml:space="preserve"> PAGEREF _Toc384196474 \h </w:instrText>
        </w:r>
        <w:r w:rsidR="003C440C">
          <w:rPr>
            <w:noProof/>
            <w:webHidden/>
          </w:rPr>
        </w:r>
        <w:r w:rsidR="003C440C">
          <w:rPr>
            <w:noProof/>
            <w:webHidden/>
          </w:rPr>
          <w:fldChar w:fldCharType="separate"/>
        </w:r>
        <w:r w:rsidR="005B5FD6">
          <w:rPr>
            <w:noProof/>
            <w:webHidden/>
          </w:rPr>
          <w:t>115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5" w:history="1">
        <w:r w:rsidR="003C440C" w:rsidRPr="003A52BF">
          <w:rPr>
            <w:rStyle w:val="Hyperlink"/>
            <w:noProof/>
          </w:rPr>
          <w:t xml:space="preserve">Figure 128. </w:t>
        </w:r>
        <w:r w:rsidR="003C440C" w:rsidRPr="003A52BF">
          <w:rPr>
            <w:rStyle w:val="Hyperlink"/>
            <w:i/>
            <w:noProof/>
            <w:lang w:eastAsia="en-AU"/>
          </w:rPr>
          <w:t xml:space="preserve">Elemental ratios (atomic) of seagrass leaf tissue C:N for </w:t>
        </w:r>
        <w:r w:rsidR="003C440C" w:rsidRPr="003A52BF">
          <w:rPr>
            <w:rStyle w:val="Hyperlink"/>
            <w:i/>
            <w:noProof/>
          </w:rPr>
          <w:t>the foundation seagrass species examined at each inshore intertidal habitat in the Mackay Whitsunday</w:t>
        </w:r>
        <w:r w:rsidR="003C440C" w:rsidRPr="003A52BF">
          <w:rPr>
            <w:rStyle w:val="Hyperlink"/>
            <w:i/>
            <w:noProof/>
            <w:lang w:eastAsia="en-AU"/>
          </w:rPr>
          <w:t xml:space="preserve"> region each year</w:t>
        </w:r>
        <w:r w:rsidR="003C440C">
          <w:rPr>
            <w:noProof/>
            <w:webHidden/>
          </w:rPr>
          <w:tab/>
        </w:r>
        <w:r w:rsidR="003C440C">
          <w:rPr>
            <w:noProof/>
            <w:webHidden/>
          </w:rPr>
          <w:fldChar w:fldCharType="begin"/>
        </w:r>
        <w:r w:rsidR="003C440C">
          <w:rPr>
            <w:noProof/>
            <w:webHidden/>
          </w:rPr>
          <w:instrText xml:space="preserve"> PAGEREF _Toc384196475 \h </w:instrText>
        </w:r>
        <w:r w:rsidR="003C440C">
          <w:rPr>
            <w:noProof/>
            <w:webHidden/>
          </w:rPr>
        </w:r>
        <w:r w:rsidR="003C440C">
          <w:rPr>
            <w:noProof/>
            <w:webHidden/>
          </w:rPr>
          <w:fldChar w:fldCharType="separate"/>
        </w:r>
        <w:r w:rsidR="005B5FD6">
          <w:rPr>
            <w:noProof/>
            <w:webHidden/>
          </w:rPr>
          <w:t>116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6" w:history="1">
        <w:r w:rsidR="003C440C" w:rsidRPr="003A52BF">
          <w:rPr>
            <w:rStyle w:val="Hyperlink"/>
            <w:noProof/>
          </w:rPr>
          <w:t xml:space="preserve">Figure 129. </w:t>
        </w:r>
        <w:r w:rsidR="003C440C" w:rsidRPr="003A52BF">
          <w:rPr>
            <w:rStyle w:val="Hyperlink"/>
            <w:i/>
            <w:iCs/>
            <w:noProof/>
            <w:lang w:eastAsia="en-AU"/>
          </w:rPr>
          <w:t xml:space="preserve">Elemental ratios (atomic) of seagrass leaf tissue N:P and C:P </w:t>
        </w:r>
        <w:r w:rsidR="003C440C" w:rsidRPr="003A52BF">
          <w:rPr>
            <w:rStyle w:val="Hyperlink"/>
            <w:i/>
            <w:iCs/>
            <w:noProof/>
          </w:rPr>
          <w:t xml:space="preserve">for the foundation seagrass species examined at each inshore intertidal habitat in the Mackay Whitsunday region </w:t>
        </w:r>
        <w:r w:rsidR="003C440C" w:rsidRPr="003A52BF">
          <w:rPr>
            <w:rStyle w:val="Hyperlink"/>
            <w:i/>
            <w:iCs/>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_Toc384196476 \h </w:instrText>
        </w:r>
        <w:r w:rsidR="003C440C">
          <w:rPr>
            <w:noProof/>
            <w:webHidden/>
          </w:rPr>
        </w:r>
        <w:r w:rsidR="003C440C">
          <w:rPr>
            <w:noProof/>
            <w:webHidden/>
          </w:rPr>
          <w:fldChar w:fldCharType="separate"/>
        </w:r>
        <w:r w:rsidR="005B5FD6">
          <w:rPr>
            <w:noProof/>
            <w:webHidden/>
          </w:rPr>
          <w:t>116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7" w:history="1">
        <w:r w:rsidR="003C440C" w:rsidRPr="003A52BF">
          <w:rPr>
            <w:rStyle w:val="Hyperlink"/>
            <w:noProof/>
          </w:rPr>
          <w:t xml:space="preserve">Figure 130. </w:t>
        </w:r>
        <w:r w:rsidR="003C440C" w:rsidRPr="003A52BF">
          <w:rPr>
            <w:rStyle w:val="Hyperlink"/>
            <w:i/>
            <w:noProof/>
          </w:rPr>
          <w:t>Mean abundance (% cover) (± Standard Error) of epiphytes and macro-algae at inshore intertidal coastal habitat (Pioneer Bay) in the Mackay Whitsunday region.</w:t>
        </w:r>
        <w:r w:rsidR="003C440C">
          <w:rPr>
            <w:noProof/>
            <w:webHidden/>
          </w:rPr>
          <w:tab/>
        </w:r>
        <w:r w:rsidR="003C440C">
          <w:rPr>
            <w:noProof/>
            <w:webHidden/>
          </w:rPr>
          <w:fldChar w:fldCharType="begin"/>
        </w:r>
        <w:r w:rsidR="003C440C">
          <w:rPr>
            <w:noProof/>
            <w:webHidden/>
          </w:rPr>
          <w:instrText xml:space="preserve"> PAGEREF _Toc384196477 \h </w:instrText>
        </w:r>
        <w:r w:rsidR="003C440C">
          <w:rPr>
            <w:noProof/>
            <w:webHidden/>
          </w:rPr>
        </w:r>
        <w:r w:rsidR="003C440C">
          <w:rPr>
            <w:noProof/>
            <w:webHidden/>
          </w:rPr>
          <w:fldChar w:fldCharType="separate"/>
        </w:r>
        <w:r w:rsidR="005B5FD6">
          <w:rPr>
            <w:noProof/>
            <w:webHidden/>
          </w:rPr>
          <w:t>117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8" w:history="1">
        <w:r w:rsidR="003C440C" w:rsidRPr="003A52BF">
          <w:rPr>
            <w:rStyle w:val="Hyperlink"/>
            <w:noProof/>
          </w:rPr>
          <w:t xml:space="preserve">Figure 131. </w:t>
        </w:r>
        <w:r w:rsidR="003C440C" w:rsidRPr="003A52BF">
          <w:rPr>
            <w:rStyle w:val="Hyperlink"/>
            <w:i/>
            <w:noProof/>
          </w:rPr>
          <w:t>Mean abundance (% cover) (± Standard Error) of epiphytes and macro-algae at inshore intertidal estuarine habitat (Sarina Inlet) in the Mackay Whitsunday region.</w:t>
        </w:r>
        <w:r w:rsidR="003C440C">
          <w:rPr>
            <w:noProof/>
            <w:webHidden/>
          </w:rPr>
          <w:tab/>
        </w:r>
        <w:r w:rsidR="003C440C">
          <w:rPr>
            <w:noProof/>
            <w:webHidden/>
          </w:rPr>
          <w:fldChar w:fldCharType="begin"/>
        </w:r>
        <w:r w:rsidR="003C440C">
          <w:rPr>
            <w:noProof/>
            <w:webHidden/>
          </w:rPr>
          <w:instrText xml:space="preserve"> PAGEREF _Toc384196478 \h </w:instrText>
        </w:r>
        <w:r w:rsidR="003C440C">
          <w:rPr>
            <w:noProof/>
            <w:webHidden/>
          </w:rPr>
        </w:r>
        <w:r w:rsidR="003C440C">
          <w:rPr>
            <w:noProof/>
            <w:webHidden/>
          </w:rPr>
          <w:fldChar w:fldCharType="separate"/>
        </w:r>
        <w:r w:rsidR="005B5FD6">
          <w:rPr>
            <w:noProof/>
            <w:webHidden/>
          </w:rPr>
          <w:t>118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79" w:history="1">
        <w:r w:rsidR="003C440C" w:rsidRPr="003A52BF">
          <w:rPr>
            <w:rStyle w:val="Hyperlink"/>
            <w:noProof/>
          </w:rPr>
          <w:t xml:space="preserve">Figure 132. </w:t>
        </w:r>
        <w:r w:rsidR="003C440C" w:rsidRPr="003A52BF">
          <w:rPr>
            <w:rStyle w:val="Hyperlink"/>
            <w:i/>
            <w:noProof/>
          </w:rPr>
          <w:t>Mean abundance (% cover) (± Standard Error) of epiphytes and macro-algae at inshore intertidal reef habitat (Hamilton Island) in the Mackay Whitsunday region.</w:t>
        </w:r>
        <w:r w:rsidR="003C440C">
          <w:rPr>
            <w:noProof/>
            <w:webHidden/>
          </w:rPr>
          <w:tab/>
        </w:r>
        <w:r w:rsidR="003C440C">
          <w:rPr>
            <w:noProof/>
            <w:webHidden/>
          </w:rPr>
          <w:fldChar w:fldCharType="begin"/>
        </w:r>
        <w:r w:rsidR="003C440C">
          <w:rPr>
            <w:noProof/>
            <w:webHidden/>
          </w:rPr>
          <w:instrText xml:space="preserve"> PAGEREF _Toc384196479 \h </w:instrText>
        </w:r>
        <w:r w:rsidR="003C440C">
          <w:rPr>
            <w:noProof/>
            <w:webHidden/>
          </w:rPr>
        </w:r>
        <w:r w:rsidR="003C440C">
          <w:rPr>
            <w:noProof/>
            <w:webHidden/>
          </w:rPr>
          <w:fldChar w:fldCharType="separate"/>
        </w:r>
        <w:r w:rsidR="005B5FD6">
          <w:rPr>
            <w:noProof/>
            <w:webHidden/>
          </w:rPr>
          <w:t>118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0" w:history="1">
        <w:r w:rsidR="003C440C" w:rsidRPr="003A52BF">
          <w:rPr>
            <w:rStyle w:val="Hyperlink"/>
            <w:noProof/>
          </w:rPr>
          <w:t>Figure 133</w:t>
        </w:r>
        <w:r w:rsidR="003C440C" w:rsidRPr="003A52BF">
          <w:rPr>
            <w:rStyle w:val="Hyperlink"/>
            <w:i/>
            <w:noProof/>
          </w:rPr>
          <w:t>. Within seagrass canopy temperature (°C) at inshore intertidal coastal (Pioneer Bay), estuarine (Sarina Inlet) and reef (Hamilton Island) habitats in the Mackay Whitsunday region over the 2011/12 monitoring period.</w:t>
        </w:r>
        <w:r w:rsidR="003C440C">
          <w:rPr>
            <w:noProof/>
            <w:webHidden/>
          </w:rPr>
          <w:tab/>
        </w:r>
        <w:r w:rsidR="003C440C">
          <w:rPr>
            <w:noProof/>
            <w:webHidden/>
          </w:rPr>
          <w:fldChar w:fldCharType="begin"/>
        </w:r>
        <w:r w:rsidR="003C440C">
          <w:rPr>
            <w:noProof/>
            <w:webHidden/>
          </w:rPr>
          <w:instrText xml:space="preserve"> PAGEREF _Toc384196480 \h </w:instrText>
        </w:r>
        <w:r w:rsidR="003C440C">
          <w:rPr>
            <w:noProof/>
            <w:webHidden/>
          </w:rPr>
        </w:r>
        <w:r w:rsidR="003C440C">
          <w:rPr>
            <w:noProof/>
            <w:webHidden/>
          </w:rPr>
          <w:fldChar w:fldCharType="separate"/>
        </w:r>
        <w:r w:rsidR="005B5FD6">
          <w:rPr>
            <w:noProof/>
            <w:webHidden/>
          </w:rPr>
          <w:t>119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1" w:history="1">
        <w:r w:rsidR="003C440C" w:rsidRPr="003A52BF">
          <w:rPr>
            <w:rStyle w:val="Hyperlink"/>
            <w:noProof/>
          </w:rPr>
          <w:t>Figure 134.</w:t>
        </w:r>
        <w:r w:rsidR="003C440C" w:rsidRPr="003A52BF">
          <w:rPr>
            <w:rStyle w:val="Hyperlink"/>
            <w:i/>
            <w:noProof/>
          </w:rPr>
          <w:t xml:space="preserve"> Long-term monthly mean and maximum within seagrass canopy temperature (°C) at inshore intertidal coastal (Pioneer Bay), reef (Hamilton Island) and estuarine (Sarina Inlet) habitats in the Mackay Whitsunday region.</w:t>
        </w:r>
        <w:r w:rsidR="003C440C">
          <w:rPr>
            <w:noProof/>
            <w:webHidden/>
          </w:rPr>
          <w:tab/>
        </w:r>
        <w:r w:rsidR="003C440C">
          <w:rPr>
            <w:noProof/>
            <w:webHidden/>
          </w:rPr>
          <w:fldChar w:fldCharType="begin"/>
        </w:r>
        <w:r w:rsidR="003C440C">
          <w:rPr>
            <w:noProof/>
            <w:webHidden/>
          </w:rPr>
          <w:instrText xml:space="preserve"> PAGEREF _Toc384196481 \h </w:instrText>
        </w:r>
        <w:r w:rsidR="003C440C">
          <w:rPr>
            <w:noProof/>
            <w:webHidden/>
          </w:rPr>
        </w:r>
        <w:r w:rsidR="003C440C">
          <w:rPr>
            <w:noProof/>
            <w:webHidden/>
          </w:rPr>
          <w:fldChar w:fldCharType="separate"/>
        </w:r>
        <w:r w:rsidR="005B5FD6">
          <w:rPr>
            <w:noProof/>
            <w:webHidden/>
          </w:rPr>
          <w:t>119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2" w:history="1">
        <w:r w:rsidR="003C440C" w:rsidRPr="003A52BF">
          <w:rPr>
            <w:rStyle w:val="Hyperlink"/>
            <w:noProof/>
          </w:rPr>
          <w:t xml:space="preserve">Figure 135. </w:t>
        </w:r>
        <w:r w:rsidR="003C440C" w:rsidRPr="003A52BF">
          <w:rPr>
            <w:rStyle w:val="Hyperlink"/>
            <w:i/>
            <w:noProof/>
          </w:rPr>
          <w:t>Daily light (28 day rolling average) at the inshore intertidal coastal (Pioneer Bay), estuary (Sarina Inlet) and reef (Hamilton Island) habitats in the Mackay Whitsunday region</w:t>
        </w:r>
        <w:r w:rsidR="003C440C">
          <w:rPr>
            <w:noProof/>
            <w:webHidden/>
          </w:rPr>
          <w:tab/>
        </w:r>
        <w:r w:rsidR="003C440C">
          <w:rPr>
            <w:noProof/>
            <w:webHidden/>
          </w:rPr>
          <w:fldChar w:fldCharType="begin"/>
        </w:r>
        <w:r w:rsidR="003C440C">
          <w:rPr>
            <w:noProof/>
            <w:webHidden/>
          </w:rPr>
          <w:instrText xml:space="preserve"> PAGEREF _Toc384196482 \h </w:instrText>
        </w:r>
        <w:r w:rsidR="003C440C">
          <w:rPr>
            <w:noProof/>
            <w:webHidden/>
          </w:rPr>
        </w:r>
        <w:r w:rsidR="003C440C">
          <w:rPr>
            <w:noProof/>
            <w:webHidden/>
          </w:rPr>
          <w:fldChar w:fldCharType="separate"/>
        </w:r>
        <w:r w:rsidR="005B5FD6">
          <w:rPr>
            <w:noProof/>
            <w:webHidden/>
          </w:rPr>
          <w:t>120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3" w:history="1">
        <w:r w:rsidR="003C440C" w:rsidRPr="003A52BF">
          <w:rPr>
            <w:rStyle w:val="Hyperlink"/>
            <w:noProof/>
          </w:rPr>
          <w:t xml:space="preserve">Figure 136. </w:t>
        </w:r>
        <w:r w:rsidR="003C440C" w:rsidRPr="003A52BF">
          <w:rPr>
            <w:rStyle w:val="Hyperlink"/>
            <w:i/>
            <w:noProof/>
          </w:rPr>
          <w:t>Total monthly rainfall (grey bars) (post December 2004), mean monthly daily maximum temperature (black line), mean monthly cloud cover (black line), and mean monthly 3pm wind speed (grey line) for coastal habitats in Pioneer Bay.</w:t>
        </w:r>
        <w:r w:rsidR="003C440C">
          <w:rPr>
            <w:noProof/>
            <w:webHidden/>
          </w:rPr>
          <w:tab/>
        </w:r>
        <w:r w:rsidR="003C440C">
          <w:rPr>
            <w:noProof/>
            <w:webHidden/>
          </w:rPr>
          <w:fldChar w:fldCharType="begin"/>
        </w:r>
        <w:r w:rsidR="003C440C">
          <w:rPr>
            <w:noProof/>
            <w:webHidden/>
          </w:rPr>
          <w:instrText xml:space="preserve"> PAGEREF _Toc384196483 \h </w:instrText>
        </w:r>
        <w:r w:rsidR="003C440C">
          <w:rPr>
            <w:noProof/>
            <w:webHidden/>
          </w:rPr>
        </w:r>
        <w:r w:rsidR="003C440C">
          <w:rPr>
            <w:noProof/>
            <w:webHidden/>
          </w:rPr>
          <w:fldChar w:fldCharType="separate"/>
        </w:r>
        <w:r w:rsidR="005B5FD6">
          <w:rPr>
            <w:noProof/>
            <w:webHidden/>
          </w:rPr>
          <w:t>121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4" w:history="1">
        <w:r w:rsidR="003C440C" w:rsidRPr="003A52BF">
          <w:rPr>
            <w:rStyle w:val="Hyperlink"/>
            <w:noProof/>
          </w:rPr>
          <w:t xml:space="preserve">Figure 137. </w:t>
        </w:r>
        <w:r w:rsidR="003C440C" w:rsidRPr="003A52BF">
          <w:rPr>
            <w:rStyle w:val="Hyperlink"/>
            <w:i/>
            <w:noProof/>
          </w:rPr>
          <w:t>Mean monthly daily maximum temperature (line), total monthly rainfall (bar), mean monthly cloud cover (heavy line), and mean monthly 3pm wind speed recorded at Hamilton Island, located 1.5km from monitoring sites.</w:t>
        </w:r>
        <w:r w:rsidR="003C440C">
          <w:rPr>
            <w:noProof/>
            <w:webHidden/>
          </w:rPr>
          <w:tab/>
        </w:r>
        <w:r w:rsidR="003C440C">
          <w:rPr>
            <w:noProof/>
            <w:webHidden/>
          </w:rPr>
          <w:fldChar w:fldCharType="begin"/>
        </w:r>
        <w:r w:rsidR="003C440C">
          <w:rPr>
            <w:noProof/>
            <w:webHidden/>
          </w:rPr>
          <w:instrText xml:space="preserve"> PAGEREF _Toc384196484 \h </w:instrText>
        </w:r>
        <w:r w:rsidR="003C440C">
          <w:rPr>
            <w:noProof/>
            <w:webHidden/>
          </w:rPr>
        </w:r>
        <w:r w:rsidR="003C440C">
          <w:rPr>
            <w:noProof/>
            <w:webHidden/>
          </w:rPr>
          <w:fldChar w:fldCharType="separate"/>
        </w:r>
        <w:r w:rsidR="005B5FD6">
          <w:rPr>
            <w:noProof/>
            <w:webHidden/>
          </w:rPr>
          <w:t>122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5" w:history="1">
        <w:r w:rsidR="003C440C" w:rsidRPr="003A52BF">
          <w:rPr>
            <w:rStyle w:val="Hyperlink"/>
            <w:noProof/>
          </w:rPr>
          <w:t xml:space="preserve">Figure 138. </w:t>
        </w:r>
        <w:r w:rsidR="003C440C" w:rsidRPr="003A52BF">
          <w:rPr>
            <w:rStyle w:val="Hyperlink"/>
            <w:i/>
            <w:noProof/>
          </w:rPr>
          <w:t>Mean monthly daily maximum temperature (black line), total monthly rainfall (grey bars), mean monthly cloud cover (black line), and mean monthly 3pm wind speed (grey line) for Sarina Inlet monitoring sites.</w:t>
        </w:r>
        <w:r w:rsidR="003C440C">
          <w:rPr>
            <w:noProof/>
            <w:webHidden/>
          </w:rPr>
          <w:tab/>
        </w:r>
        <w:r w:rsidR="003C440C">
          <w:rPr>
            <w:noProof/>
            <w:webHidden/>
          </w:rPr>
          <w:fldChar w:fldCharType="begin"/>
        </w:r>
        <w:r w:rsidR="003C440C">
          <w:rPr>
            <w:noProof/>
            <w:webHidden/>
          </w:rPr>
          <w:instrText xml:space="preserve"> PAGEREF _Toc384196485 \h </w:instrText>
        </w:r>
        <w:r w:rsidR="003C440C">
          <w:rPr>
            <w:noProof/>
            <w:webHidden/>
          </w:rPr>
        </w:r>
        <w:r w:rsidR="003C440C">
          <w:rPr>
            <w:noProof/>
            <w:webHidden/>
          </w:rPr>
          <w:fldChar w:fldCharType="separate"/>
        </w:r>
        <w:r w:rsidR="005B5FD6">
          <w:rPr>
            <w:noProof/>
            <w:webHidden/>
          </w:rPr>
          <w:t>123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6" w:history="1">
        <w:r w:rsidR="003C440C" w:rsidRPr="003A52BF">
          <w:rPr>
            <w:rStyle w:val="Hyperlink"/>
            <w:noProof/>
          </w:rPr>
          <w:t xml:space="preserve">Figure 139.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main rivers impacting coastal and reef seagrass monitoring sites in the Mackay Whitsunday region</w:t>
        </w:r>
        <w:r w:rsidR="003C440C">
          <w:rPr>
            <w:noProof/>
            <w:webHidden/>
          </w:rPr>
          <w:tab/>
        </w:r>
        <w:r w:rsidR="003C440C">
          <w:rPr>
            <w:noProof/>
            <w:webHidden/>
          </w:rPr>
          <w:fldChar w:fldCharType="begin"/>
        </w:r>
        <w:r w:rsidR="003C440C">
          <w:rPr>
            <w:noProof/>
            <w:webHidden/>
          </w:rPr>
          <w:instrText xml:space="preserve"> PAGEREF _Toc384196486 \h </w:instrText>
        </w:r>
        <w:r w:rsidR="003C440C">
          <w:rPr>
            <w:noProof/>
            <w:webHidden/>
          </w:rPr>
        </w:r>
        <w:r w:rsidR="003C440C">
          <w:rPr>
            <w:noProof/>
            <w:webHidden/>
          </w:rPr>
          <w:fldChar w:fldCharType="separate"/>
        </w:r>
        <w:r w:rsidR="005B5FD6">
          <w:rPr>
            <w:noProof/>
            <w:webHidden/>
          </w:rPr>
          <w:t>124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7" w:history="1">
        <w:r w:rsidR="003C440C" w:rsidRPr="003A52BF">
          <w:rPr>
            <w:rStyle w:val="Hyperlink"/>
            <w:noProof/>
          </w:rPr>
          <w:t xml:space="preserve">Figure 140.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main river impacting estuarine seagrass monitoring sites in the Mackay Whitsunday region</w:t>
        </w:r>
        <w:r w:rsidR="003C440C">
          <w:rPr>
            <w:noProof/>
            <w:webHidden/>
          </w:rPr>
          <w:tab/>
        </w:r>
        <w:r w:rsidR="003C440C">
          <w:rPr>
            <w:noProof/>
            <w:webHidden/>
          </w:rPr>
          <w:fldChar w:fldCharType="begin"/>
        </w:r>
        <w:r w:rsidR="003C440C">
          <w:rPr>
            <w:noProof/>
            <w:webHidden/>
          </w:rPr>
          <w:instrText xml:space="preserve"> PAGEREF _Toc384196487 \h </w:instrText>
        </w:r>
        <w:r w:rsidR="003C440C">
          <w:rPr>
            <w:noProof/>
            <w:webHidden/>
          </w:rPr>
        </w:r>
        <w:r w:rsidR="003C440C">
          <w:rPr>
            <w:noProof/>
            <w:webHidden/>
          </w:rPr>
          <w:fldChar w:fldCharType="separate"/>
        </w:r>
        <w:r w:rsidR="005B5FD6">
          <w:rPr>
            <w:noProof/>
            <w:webHidden/>
          </w:rPr>
          <w:t>124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8" w:history="1">
        <w:r w:rsidR="003C440C" w:rsidRPr="003A52BF">
          <w:rPr>
            <w:rStyle w:val="Hyperlink"/>
            <w:noProof/>
          </w:rPr>
          <w:t xml:space="preserve">Figure 141. </w:t>
        </w:r>
        <w:r w:rsidR="003C440C" w:rsidRPr="003A52BF">
          <w:rPr>
            <w:rStyle w:val="Hyperlink"/>
            <w:i/>
            <w:noProof/>
          </w:rPr>
          <w:t>Location of Fitzroy region long-term monitoring sites and the seagrass species composition at each site.</w:t>
        </w:r>
        <w:r w:rsidR="003C440C">
          <w:rPr>
            <w:noProof/>
            <w:webHidden/>
          </w:rPr>
          <w:tab/>
        </w:r>
        <w:r w:rsidR="003C440C">
          <w:rPr>
            <w:noProof/>
            <w:webHidden/>
          </w:rPr>
          <w:fldChar w:fldCharType="begin"/>
        </w:r>
        <w:r w:rsidR="003C440C">
          <w:rPr>
            <w:noProof/>
            <w:webHidden/>
          </w:rPr>
          <w:instrText xml:space="preserve"> PAGEREF _Toc384196488 \h </w:instrText>
        </w:r>
        <w:r w:rsidR="003C440C">
          <w:rPr>
            <w:noProof/>
            <w:webHidden/>
          </w:rPr>
        </w:r>
        <w:r w:rsidR="003C440C">
          <w:rPr>
            <w:noProof/>
            <w:webHidden/>
          </w:rPr>
          <w:fldChar w:fldCharType="separate"/>
        </w:r>
        <w:r w:rsidR="005B5FD6">
          <w:rPr>
            <w:noProof/>
            <w:webHidden/>
          </w:rPr>
          <w:t>127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89" w:history="1">
        <w:r w:rsidR="003C440C" w:rsidRPr="003A52BF">
          <w:rPr>
            <w:rStyle w:val="Hyperlink"/>
            <w:noProof/>
          </w:rPr>
          <w:t xml:space="preserve">Figure 142. </w:t>
        </w:r>
        <w:r w:rsidR="003C440C" w:rsidRPr="003A52BF">
          <w:rPr>
            <w:rStyle w:val="Hyperlink"/>
            <w:i/>
            <w:noProof/>
          </w:rPr>
          <w:t>Conceptual diagram of coastal habitat in the Fitzroy region</w:t>
        </w:r>
        <w:r w:rsidR="003C440C">
          <w:rPr>
            <w:noProof/>
            <w:webHidden/>
          </w:rPr>
          <w:tab/>
        </w:r>
        <w:r w:rsidR="003C440C">
          <w:rPr>
            <w:noProof/>
            <w:webHidden/>
          </w:rPr>
          <w:fldChar w:fldCharType="begin"/>
        </w:r>
        <w:r w:rsidR="003C440C">
          <w:rPr>
            <w:noProof/>
            <w:webHidden/>
          </w:rPr>
          <w:instrText xml:space="preserve"> PAGEREF _Toc384196489 \h </w:instrText>
        </w:r>
        <w:r w:rsidR="003C440C">
          <w:rPr>
            <w:noProof/>
            <w:webHidden/>
          </w:rPr>
        </w:r>
        <w:r w:rsidR="003C440C">
          <w:rPr>
            <w:noProof/>
            <w:webHidden/>
          </w:rPr>
          <w:fldChar w:fldCharType="separate"/>
        </w:r>
        <w:r w:rsidR="005B5FD6">
          <w:rPr>
            <w:noProof/>
            <w:webHidden/>
          </w:rPr>
          <w:t>128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0" w:history="1">
        <w:r w:rsidR="003C440C" w:rsidRPr="003A52BF">
          <w:rPr>
            <w:rStyle w:val="Hyperlink"/>
            <w:noProof/>
          </w:rPr>
          <w:t xml:space="preserve">Figure 143. </w:t>
        </w:r>
        <w:r w:rsidR="003C440C" w:rsidRPr="003A52BF">
          <w:rPr>
            <w:rStyle w:val="Hyperlink"/>
            <w:i/>
            <w:noProof/>
          </w:rPr>
          <w:t>Conceptual diagram of reef habitat in the Fitzroy region</w:t>
        </w:r>
        <w:r w:rsidR="003C440C">
          <w:rPr>
            <w:noProof/>
            <w:webHidden/>
          </w:rPr>
          <w:tab/>
        </w:r>
        <w:r w:rsidR="003C440C">
          <w:rPr>
            <w:noProof/>
            <w:webHidden/>
          </w:rPr>
          <w:fldChar w:fldCharType="begin"/>
        </w:r>
        <w:r w:rsidR="003C440C">
          <w:rPr>
            <w:noProof/>
            <w:webHidden/>
          </w:rPr>
          <w:instrText xml:space="preserve"> PAGEREF _Toc384196490 \h </w:instrText>
        </w:r>
        <w:r w:rsidR="003C440C">
          <w:rPr>
            <w:noProof/>
            <w:webHidden/>
          </w:rPr>
        </w:r>
        <w:r w:rsidR="003C440C">
          <w:rPr>
            <w:noProof/>
            <w:webHidden/>
          </w:rPr>
          <w:fldChar w:fldCharType="separate"/>
        </w:r>
        <w:r w:rsidR="005B5FD6">
          <w:rPr>
            <w:noProof/>
            <w:webHidden/>
          </w:rPr>
          <w:t>128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1" w:history="1">
        <w:r w:rsidR="003C440C" w:rsidRPr="003A52BF">
          <w:rPr>
            <w:rStyle w:val="Hyperlink"/>
            <w:noProof/>
          </w:rPr>
          <w:t xml:space="preserve">Figure 144. </w:t>
        </w:r>
        <w:r w:rsidR="003C440C" w:rsidRPr="003A52BF">
          <w:rPr>
            <w:rStyle w:val="Hyperlink"/>
            <w:i/>
            <w:noProof/>
          </w:rPr>
          <w:t>Conceptual diagram of estuary habitat in the Fitzroy region</w:t>
        </w:r>
        <w:r w:rsidR="003C440C">
          <w:rPr>
            <w:noProof/>
            <w:webHidden/>
          </w:rPr>
          <w:tab/>
        </w:r>
        <w:r w:rsidR="003C440C">
          <w:rPr>
            <w:noProof/>
            <w:webHidden/>
          </w:rPr>
          <w:fldChar w:fldCharType="begin"/>
        </w:r>
        <w:r w:rsidR="003C440C">
          <w:rPr>
            <w:noProof/>
            <w:webHidden/>
          </w:rPr>
          <w:instrText xml:space="preserve"> PAGEREF _Toc384196491 \h </w:instrText>
        </w:r>
        <w:r w:rsidR="003C440C">
          <w:rPr>
            <w:noProof/>
            <w:webHidden/>
          </w:rPr>
        </w:r>
        <w:r w:rsidR="003C440C">
          <w:rPr>
            <w:noProof/>
            <w:webHidden/>
          </w:rPr>
          <w:fldChar w:fldCharType="separate"/>
        </w:r>
        <w:r w:rsidR="005B5FD6">
          <w:rPr>
            <w:noProof/>
            <w:webHidden/>
          </w:rPr>
          <w:t>129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2" w:history="1">
        <w:r w:rsidR="003C440C" w:rsidRPr="003A52BF">
          <w:rPr>
            <w:rStyle w:val="Hyperlink"/>
            <w:noProof/>
          </w:rPr>
          <w:t xml:space="preserve">Figure 145. </w:t>
        </w:r>
        <w:r w:rsidR="003C440C" w:rsidRPr="003A52BF">
          <w:rPr>
            <w:rStyle w:val="Hyperlink"/>
            <w:i/>
            <w:noProof/>
          </w:rPr>
          <w:t>Report card of seagrass status indicators and index for the Fitzroy NRM region</w:t>
        </w:r>
        <w:r w:rsidR="003C440C">
          <w:rPr>
            <w:noProof/>
            <w:webHidden/>
          </w:rPr>
          <w:tab/>
        </w:r>
        <w:r w:rsidR="003C440C">
          <w:rPr>
            <w:noProof/>
            <w:webHidden/>
          </w:rPr>
          <w:fldChar w:fldCharType="begin"/>
        </w:r>
        <w:r w:rsidR="003C440C">
          <w:rPr>
            <w:noProof/>
            <w:webHidden/>
          </w:rPr>
          <w:instrText xml:space="preserve"> PAGEREF _Toc384196492 \h </w:instrText>
        </w:r>
        <w:r w:rsidR="003C440C">
          <w:rPr>
            <w:noProof/>
            <w:webHidden/>
          </w:rPr>
        </w:r>
        <w:r w:rsidR="003C440C">
          <w:rPr>
            <w:noProof/>
            <w:webHidden/>
          </w:rPr>
          <w:fldChar w:fldCharType="separate"/>
        </w:r>
        <w:r w:rsidR="005B5FD6">
          <w:rPr>
            <w:noProof/>
            <w:webHidden/>
          </w:rPr>
          <w:t>129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3" w:history="1">
        <w:r w:rsidR="003C440C" w:rsidRPr="003A52BF">
          <w:rPr>
            <w:rStyle w:val="Hyperlink"/>
            <w:noProof/>
          </w:rPr>
          <w:t xml:space="preserve">Figure 146. </w:t>
        </w:r>
        <w:r w:rsidR="003C440C" w:rsidRPr="003A52BF">
          <w:rPr>
            <w:rStyle w:val="Hyperlink"/>
            <w:i/>
            <w:noProof/>
          </w:rPr>
          <w:t>Changes in seagrass abundance (% cover ±Standard Error) at inshore intertidal coastal habitats (Shoalwater Bay) in the Fitzroy region from 2001 to 2012.</w:t>
        </w:r>
        <w:r w:rsidR="003C440C">
          <w:rPr>
            <w:noProof/>
            <w:webHidden/>
          </w:rPr>
          <w:tab/>
        </w:r>
        <w:r w:rsidR="003C440C">
          <w:rPr>
            <w:noProof/>
            <w:webHidden/>
          </w:rPr>
          <w:fldChar w:fldCharType="begin"/>
        </w:r>
        <w:r w:rsidR="003C440C">
          <w:rPr>
            <w:noProof/>
            <w:webHidden/>
          </w:rPr>
          <w:instrText xml:space="preserve"> PAGEREF _Toc384196493 \h </w:instrText>
        </w:r>
        <w:r w:rsidR="003C440C">
          <w:rPr>
            <w:noProof/>
            <w:webHidden/>
          </w:rPr>
        </w:r>
        <w:r w:rsidR="003C440C">
          <w:rPr>
            <w:noProof/>
            <w:webHidden/>
          </w:rPr>
          <w:fldChar w:fldCharType="separate"/>
        </w:r>
        <w:r w:rsidR="005B5FD6">
          <w:rPr>
            <w:noProof/>
            <w:webHidden/>
          </w:rPr>
          <w:t>130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4" w:history="1">
        <w:r w:rsidR="003C440C" w:rsidRPr="003A52BF">
          <w:rPr>
            <w:rStyle w:val="Hyperlink"/>
            <w:noProof/>
          </w:rPr>
          <w:t xml:space="preserve">Figure 147. </w:t>
        </w:r>
        <w:r w:rsidR="003C440C" w:rsidRPr="003A52BF">
          <w:rPr>
            <w:rStyle w:val="Hyperlink"/>
            <w:i/>
            <w:noProof/>
          </w:rPr>
          <w:t>Mean percentage seagrass cover (all species pooled) (± Standard Error) at inshore intertidal coastal habitats (Shoalwater Bay) in the Fitzroy region at time of year.</w:t>
        </w:r>
        <w:r w:rsidR="003C440C">
          <w:rPr>
            <w:noProof/>
            <w:webHidden/>
          </w:rPr>
          <w:tab/>
        </w:r>
        <w:r w:rsidR="003C440C">
          <w:rPr>
            <w:noProof/>
            <w:webHidden/>
          </w:rPr>
          <w:fldChar w:fldCharType="begin"/>
        </w:r>
        <w:r w:rsidR="003C440C">
          <w:rPr>
            <w:noProof/>
            <w:webHidden/>
          </w:rPr>
          <w:instrText xml:space="preserve"> PAGEREF _Toc384196494 \h </w:instrText>
        </w:r>
        <w:r w:rsidR="003C440C">
          <w:rPr>
            <w:noProof/>
            <w:webHidden/>
          </w:rPr>
        </w:r>
        <w:r w:rsidR="003C440C">
          <w:rPr>
            <w:noProof/>
            <w:webHidden/>
          </w:rPr>
          <w:fldChar w:fldCharType="separate"/>
        </w:r>
        <w:r w:rsidR="005B5FD6">
          <w:rPr>
            <w:noProof/>
            <w:webHidden/>
          </w:rPr>
          <w:t>130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5" w:history="1">
        <w:r w:rsidR="003C440C" w:rsidRPr="003A52BF">
          <w:rPr>
            <w:rStyle w:val="Hyperlink"/>
            <w:noProof/>
          </w:rPr>
          <w:t xml:space="preserve">Figure 148. </w:t>
        </w:r>
        <w:r w:rsidR="003C440C" w:rsidRPr="003A52BF">
          <w:rPr>
            <w:rStyle w:val="Hyperlink"/>
            <w:i/>
            <w:noProof/>
          </w:rPr>
          <w:t>Changes in seagrass abundance (% cover ±Standard Error) at inshore intertidal estuarine habitats (Gladstone Harbour) in the Fitzroy region from 2005 to 2012.</w:t>
        </w:r>
        <w:r w:rsidR="003C440C">
          <w:rPr>
            <w:noProof/>
            <w:webHidden/>
          </w:rPr>
          <w:tab/>
        </w:r>
        <w:r w:rsidR="003C440C">
          <w:rPr>
            <w:noProof/>
            <w:webHidden/>
          </w:rPr>
          <w:fldChar w:fldCharType="begin"/>
        </w:r>
        <w:r w:rsidR="003C440C">
          <w:rPr>
            <w:noProof/>
            <w:webHidden/>
          </w:rPr>
          <w:instrText xml:space="preserve"> PAGEREF _Toc384196495 \h </w:instrText>
        </w:r>
        <w:r w:rsidR="003C440C">
          <w:rPr>
            <w:noProof/>
            <w:webHidden/>
          </w:rPr>
        </w:r>
        <w:r w:rsidR="003C440C">
          <w:rPr>
            <w:noProof/>
            <w:webHidden/>
          </w:rPr>
          <w:fldChar w:fldCharType="separate"/>
        </w:r>
        <w:r w:rsidR="005B5FD6">
          <w:rPr>
            <w:noProof/>
            <w:webHidden/>
          </w:rPr>
          <w:t>131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6" w:history="1">
        <w:r w:rsidR="003C440C" w:rsidRPr="003A52BF">
          <w:rPr>
            <w:rStyle w:val="Hyperlink"/>
            <w:noProof/>
          </w:rPr>
          <w:t xml:space="preserve">Figure 149. </w:t>
        </w:r>
        <w:r w:rsidR="003C440C" w:rsidRPr="003A52BF">
          <w:rPr>
            <w:rStyle w:val="Hyperlink"/>
            <w:i/>
            <w:noProof/>
          </w:rPr>
          <w:t>Mean percentage seagrass cover (all species pooled) (± Standard Error) at inshore intertidal estuarine habitats (Gladstone Harbour) in the Fitzroy region at time of year.</w:t>
        </w:r>
        <w:r w:rsidR="003C440C">
          <w:rPr>
            <w:noProof/>
            <w:webHidden/>
          </w:rPr>
          <w:tab/>
        </w:r>
        <w:r w:rsidR="003C440C">
          <w:rPr>
            <w:noProof/>
            <w:webHidden/>
          </w:rPr>
          <w:fldChar w:fldCharType="begin"/>
        </w:r>
        <w:r w:rsidR="003C440C">
          <w:rPr>
            <w:noProof/>
            <w:webHidden/>
          </w:rPr>
          <w:instrText xml:space="preserve"> PAGEREF _Toc384196496 \h </w:instrText>
        </w:r>
        <w:r w:rsidR="003C440C">
          <w:rPr>
            <w:noProof/>
            <w:webHidden/>
          </w:rPr>
        </w:r>
        <w:r w:rsidR="003C440C">
          <w:rPr>
            <w:noProof/>
            <w:webHidden/>
          </w:rPr>
          <w:fldChar w:fldCharType="separate"/>
        </w:r>
        <w:r w:rsidR="005B5FD6">
          <w:rPr>
            <w:noProof/>
            <w:webHidden/>
          </w:rPr>
          <w:t>131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7" w:history="1">
        <w:r w:rsidR="003C440C" w:rsidRPr="003A52BF">
          <w:rPr>
            <w:rStyle w:val="Hyperlink"/>
            <w:noProof/>
          </w:rPr>
          <w:t xml:space="preserve">Figure 150. </w:t>
        </w:r>
        <w:r w:rsidR="003C440C" w:rsidRPr="003A52BF">
          <w:rPr>
            <w:rStyle w:val="Hyperlink"/>
            <w:i/>
            <w:noProof/>
          </w:rPr>
          <w:t>Changes in seagrass abundance (% cover ±Standard Error) at inshore intertidal reef habitats (Great Keppel Island) in the Fitzroy region from 2005 to 2012.</w:t>
        </w:r>
        <w:r w:rsidR="003C440C">
          <w:rPr>
            <w:noProof/>
            <w:webHidden/>
          </w:rPr>
          <w:tab/>
        </w:r>
        <w:r w:rsidR="003C440C">
          <w:rPr>
            <w:noProof/>
            <w:webHidden/>
          </w:rPr>
          <w:fldChar w:fldCharType="begin"/>
        </w:r>
        <w:r w:rsidR="003C440C">
          <w:rPr>
            <w:noProof/>
            <w:webHidden/>
          </w:rPr>
          <w:instrText xml:space="preserve"> PAGEREF _Toc384196497 \h </w:instrText>
        </w:r>
        <w:r w:rsidR="003C440C">
          <w:rPr>
            <w:noProof/>
            <w:webHidden/>
          </w:rPr>
        </w:r>
        <w:r w:rsidR="003C440C">
          <w:rPr>
            <w:noProof/>
            <w:webHidden/>
          </w:rPr>
          <w:fldChar w:fldCharType="separate"/>
        </w:r>
        <w:r w:rsidR="005B5FD6">
          <w:rPr>
            <w:noProof/>
            <w:webHidden/>
          </w:rPr>
          <w:t>131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8" w:history="1">
        <w:r w:rsidR="003C440C" w:rsidRPr="003A52BF">
          <w:rPr>
            <w:rStyle w:val="Hyperlink"/>
            <w:noProof/>
          </w:rPr>
          <w:t xml:space="preserve">Figure 151. </w:t>
        </w:r>
        <w:r w:rsidR="003C440C" w:rsidRPr="003A52BF">
          <w:rPr>
            <w:rStyle w:val="Hyperlink"/>
            <w:i/>
            <w:noProof/>
          </w:rPr>
          <w:t>Mean percentage seagrass cover (all species pooled) (± Standard Error) at inshore intertidal reef habitats (Great Keppel Island) in the Fitzroy region at time of year.</w:t>
        </w:r>
        <w:r w:rsidR="003C440C">
          <w:rPr>
            <w:noProof/>
            <w:webHidden/>
          </w:rPr>
          <w:tab/>
        </w:r>
        <w:r w:rsidR="003C440C">
          <w:rPr>
            <w:noProof/>
            <w:webHidden/>
          </w:rPr>
          <w:fldChar w:fldCharType="begin"/>
        </w:r>
        <w:r w:rsidR="003C440C">
          <w:rPr>
            <w:noProof/>
            <w:webHidden/>
          </w:rPr>
          <w:instrText xml:space="preserve"> PAGEREF _Toc384196498 \h </w:instrText>
        </w:r>
        <w:r w:rsidR="003C440C">
          <w:rPr>
            <w:noProof/>
            <w:webHidden/>
          </w:rPr>
        </w:r>
        <w:r w:rsidR="003C440C">
          <w:rPr>
            <w:noProof/>
            <w:webHidden/>
          </w:rPr>
          <w:fldChar w:fldCharType="separate"/>
        </w:r>
        <w:r w:rsidR="005B5FD6">
          <w:rPr>
            <w:noProof/>
            <w:webHidden/>
          </w:rPr>
          <w:t>132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499" w:history="1">
        <w:r w:rsidR="003C440C" w:rsidRPr="003A52BF">
          <w:rPr>
            <w:rStyle w:val="Hyperlink"/>
            <w:noProof/>
          </w:rPr>
          <w:t xml:space="preserve">Figure 152. </w:t>
        </w:r>
        <w:r w:rsidR="003C440C" w:rsidRPr="003A52BF">
          <w:rPr>
            <w:rStyle w:val="Hyperlink"/>
            <w:i/>
            <w:noProof/>
          </w:rPr>
          <w:t>Extent of area (100m radius of monitoring site) covered by seagrass at each monitoring site at inshore intertidal coastal (Shoalwater Bay), reef (Great Keppel Island) and estuary (Gladstone Harbour) habitats in the Fitzroy region.</w:t>
        </w:r>
        <w:r w:rsidR="003C440C">
          <w:rPr>
            <w:noProof/>
            <w:webHidden/>
          </w:rPr>
          <w:tab/>
        </w:r>
        <w:r w:rsidR="003C440C">
          <w:rPr>
            <w:noProof/>
            <w:webHidden/>
          </w:rPr>
          <w:fldChar w:fldCharType="begin"/>
        </w:r>
        <w:r w:rsidR="003C440C">
          <w:rPr>
            <w:noProof/>
            <w:webHidden/>
          </w:rPr>
          <w:instrText xml:space="preserve"> PAGEREF _Toc384196499 \h </w:instrText>
        </w:r>
        <w:r w:rsidR="003C440C">
          <w:rPr>
            <w:noProof/>
            <w:webHidden/>
          </w:rPr>
        </w:r>
        <w:r w:rsidR="003C440C">
          <w:rPr>
            <w:noProof/>
            <w:webHidden/>
          </w:rPr>
          <w:fldChar w:fldCharType="separate"/>
        </w:r>
        <w:r w:rsidR="005B5FD6">
          <w:rPr>
            <w:noProof/>
            <w:webHidden/>
          </w:rPr>
          <w:t>132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0" w:history="1">
        <w:r w:rsidR="003C440C" w:rsidRPr="003A52BF">
          <w:rPr>
            <w:rStyle w:val="Hyperlink"/>
            <w:noProof/>
          </w:rPr>
          <w:t>Figure 153.</w:t>
        </w:r>
        <w:r w:rsidR="003C440C" w:rsidRPr="003A52BF">
          <w:rPr>
            <w:rStyle w:val="Hyperlink"/>
            <w:i/>
            <w:noProof/>
          </w:rPr>
          <w:t xml:space="preserve"> Inshore intertidal reef habitat average total reproductive effort in the Fitzroy region.</w:t>
        </w:r>
        <w:r w:rsidR="003C440C">
          <w:rPr>
            <w:noProof/>
            <w:webHidden/>
          </w:rPr>
          <w:tab/>
        </w:r>
        <w:r w:rsidR="003C440C">
          <w:rPr>
            <w:noProof/>
            <w:webHidden/>
          </w:rPr>
          <w:fldChar w:fldCharType="begin"/>
        </w:r>
        <w:r w:rsidR="003C440C">
          <w:rPr>
            <w:noProof/>
            <w:webHidden/>
          </w:rPr>
          <w:instrText xml:space="preserve"> PAGEREF _Toc384196500 \h </w:instrText>
        </w:r>
        <w:r w:rsidR="003C440C">
          <w:rPr>
            <w:noProof/>
            <w:webHidden/>
          </w:rPr>
        </w:r>
        <w:r w:rsidR="003C440C">
          <w:rPr>
            <w:noProof/>
            <w:webHidden/>
          </w:rPr>
          <w:fldChar w:fldCharType="separate"/>
        </w:r>
        <w:r w:rsidR="005B5FD6">
          <w:rPr>
            <w:noProof/>
            <w:webHidden/>
          </w:rPr>
          <w:t>134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1" w:history="1">
        <w:r w:rsidR="003C440C" w:rsidRPr="003A52BF">
          <w:rPr>
            <w:rStyle w:val="Hyperlink"/>
            <w:noProof/>
          </w:rPr>
          <w:t>Figure 154</w:t>
        </w:r>
        <w:r w:rsidR="003C440C" w:rsidRPr="003A52BF">
          <w:rPr>
            <w:rStyle w:val="Hyperlink"/>
            <w:i/>
            <w:noProof/>
          </w:rPr>
          <w:t>. Inshore intertidal coastal habitat seed banks (a), germinated seed abundance (b), and total reproductive effort in the Fitzroy region.</w:t>
        </w:r>
        <w:r w:rsidR="003C440C">
          <w:rPr>
            <w:noProof/>
            <w:webHidden/>
          </w:rPr>
          <w:tab/>
        </w:r>
        <w:r w:rsidR="003C440C">
          <w:rPr>
            <w:noProof/>
            <w:webHidden/>
          </w:rPr>
          <w:fldChar w:fldCharType="begin"/>
        </w:r>
        <w:r w:rsidR="003C440C">
          <w:rPr>
            <w:noProof/>
            <w:webHidden/>
          </w:rPr>
          <w:instrText xml:space="preserve"> PAGEREF _Toc384196501 \h </w:instrText>
        </w:r>
        <w:r w:rsidR="003C440C">
          <w:rPr>
            <w:noProof/>
            <w:webHidden/>
          </w:rPr>
        </w:r>
        <w:r w:rsidR="003C440C">
          <w:rPr>
            <w:noProof/>
            <w:webHidden/>
          </w:rPr>
          <w:fldChar w:fldCharType="separate"/>
        </w:r>
        <w:r w:rsidR="005B5FD6">
          <w:rPr>
            <w:noProof/>
            <w:webHidden/>
          </w:rPr>
          <w:t>134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2" w:history="1">
        <w:r w:rsidR="003C440C" w:rsidRPr="003A52BF">
          <w:rPr>
            <w:rStyle w:val="Hyperlink"/>
            <w:noProof/>
          </w:rPr>
          <w:t xml:space="preserve">Figure 155. </w:t>
        </w:r>
        <w:r w:rsidR="003C440C" w:rsidRPr="003A52BF">
          <w:rPr>
            <w:rStyle w:val="Hyperlink"/>
            <w:i/>
            <w:noProof/>
          </w:rPr>
          <w:t>Inshore intertidal</w:t>
        </w:r>
        <w:r w:rsidR="003C440C" w:rsidRPr="003A52BF">
          <w:rPr>
            <w:rStyle w:val="Hyperlink"/>
            <w:noProof/>
          </w:rPr>
          <w:t xml:space="preserve"> e</w:t>
        </w:r>
        <w:r w:rsidR="003C440C" w:rsidRPr="003A52BF">
          <w:rPr>
            <w:rStyle w:val="Hyperlink"/>
            <w:i/>
            <w:noProof/>
          </w:rPr>
          <w:t>stuary habitat seed banks (a), germinated seed abundance (b) and average total reproductive effort for all species (c) in the Fitzroy region.</w:t>
        </w:r>
        <w:r w:rsidR="003C440C">
          <w:rPr>
            <w:noProof/>
            <w:webHidden/>
          </w:rPr>
          <w:tab/>
        </w:r>
        <w:r w:rsidR="003C440C">
          <w:rPr>
            <w:noProof/>
            <w:webHidden/>
          </w:rPr>
          <w:fldChar w:fldCharType="begin"/>
        </w:r>
        <w:r w:rsidR="003C440C">
          <w:rPr>
            <w:noProof/>
            <w:webHidden/>
          </w:rPr>
          <w:instrText xml:space="preserve"> PAGEREF _Toc384196502 \h </w:instrText>
        </w:r>
        <w:r w:rsidR="003C440C">
          <w:rPr>
            <w:noProof/>
            <w:webHidden/>
          </w:rPr>
        </w:r>
        <w:r w:rsidR="003C440C">
          <w:rPr>
            <w:noProof/>
            <w:webHidden/>
          </w:rPr>
          <w:fldChar w:fldCharType="separate"/>
        </w:r>
        <w:r w:rsidR="005B5FD6">
          <w:rPr>
            <w:noProof/>
            <w:webHidden/>
          </w:rPr>
          <w:t>135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3" w:history="1">
        <w:r w:rsidR="003C440C" w:rsidRPr="003A52BF">
          <w:rPr>
            <w:rStyle w:val="Hyperlink"/>
            <w:noProof/>
          </w:rPr>
          <w:t xml:space="preserve">Figure 156. </w:t>
        </w:r>
        <w:r w:rsidR="003C440C" w:rsidRPr="003A52BF">
          <w:rPr>
            <w:rStyle w:val="Hyperlink"/>
            <w:i/>
            <w:noProof/>
            <w:lang w:eastAsia="en-AU"/>
          </w:rPr>
          <w:t xml:space="preserve">Elemental ratios (atomic) of seagrass leaf tissue C:N for </w:t>
        </w:r>
        <w:r w:rsidR="003C440C" w:rsidRPr="003A52BF">
          <w:rPr>
            <w:rStyle w:val="Hyperlink"/>
            <w:i/>
            <w:noProof/>
          </w:rPr>
          <w:t>the foundation seagrass species examined at each inshore intertidal habitat in the Fitzroy region</w:t>
        </w:r>
        <w:r w:rsidR="003C440C" w:rsidRPr="003A52BF">
          <w:rPr>
            <w:rStyle w:val="Hyperlink"/>
            <w:i/>
            <w:noProof/>
            <w:lang w:eastAsia="en-AU"/>
          </w:rPr>
          <w:t xml:space="preserve"> each year</w:t>
        </w:r>
        <w:r w:rsidR="003C440C">
          <w:rPr>
            <w:noProof/>
            <w:webHidden/>
          </w:rPr>
          <w:tab/>
        </w:r>
        <w:r w:rsidR="003C440C">
          <w:rPr>
            <w:noProof/>
            <w:webHidden/>
          </w:rPr>
          <w:fldChar w:fldCharType="begin"/>
        </w:r>
        <w:r w:rsidR="003C440C">
          <w:rPr>
            <w:noProof/>
            <w:webHidden/>
          </w:rPr>
          <w:instrText xml:space="preserve"> PAGEREF _Toc384196503 \h </w:instrText>
        </w:r>
        <w:r w:rsidR="003C440C">
          <w:rPr>
            <w:noProof/>
            <w:webHidden/>
          </w:rPr>
        </w:r>
        <w:r w:rsidR="003C440C">
          <w:rPr>
            <w:noProof/>
            <w:webHidden/>
          </w:rPr>
          <w:fldChar w:fldCharType="separate"/>
        </w:r>
        <w:r w:rsidR="005B5FD6">
          <w:rPr>
            <w:noProof/>
            <w:webHidden/>
          </w:rPr>
          <w:t>135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4" w:history="1">
        <w:r w:rsidR="003C440C" w:rsidRPr="003A52BF">
          <w:rPr>
            <w:rStyle w:val="Hyperlink"/>
            <w:noProof/>
          </w:rPr>
          <w:t xml:space="preserve">Figure 157. </w:t>
        </w:r>
        <w:r w:rsidR="003C440C" w:rsidRPr="003A52BF">
          <w:rPr>
            <w:rStyle w:val="Hyperlink"/>
            <w:i/>
            <w:iCs/>
            <w:noProof/>
            <w:lang w:eastAsia="en-AU"/>
          </w:rPr>
          <w:t xml:space="preserve">Elemental ratios (atomic) of seagrass leaf tissue N:P and C:P </w:t>
        </w:r>
        <w:r w:rsidR="003C440C" w:rsidRPr="003A52BF">
          <w:rPr>
            <w:rStyle w:val="Hyperlink"/>
            <w:i/>
            <w:iCs/>
            <w:noProof/>
          </w:rPr>
          <w:t xml:space="preserve">for the foundation seagrass species examined at each </w:t>
        </w:r>
        <w:r w:rsidR="003C440C" w:rsidRPr="003A52BF">
          <w:rPr>
            <w:rStyle w:val="Hyperlink"/>
            <w:i/>
            <w:noProof/>
          </w:rPr>
          <w:t xml:space="preserve">inshore intertidal habitat </w:t>
        </w:r>
        <w:r w:rsidR="003C440C" w:rsidRPr="003A52BF">
          <w:rPr>
            <w:rStyle w:val="Hyperlink"/>
            <w:i/>
            <w:iCs/>
            <w:noProof/>
          </w:rPr>
          <w:t xml:space="preserve">in the Fitzroy region </w:t>
        </w:r>
        <w:r w:rsidR="003C440C" w:rsidRPr="003A52BF">
          <w:rPr>
            <w:rStyle w:val="Hyperlink"/>
            <w:i/>
            <w:iCs/>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_Toc384196504 \h </w:instrText>
        </w:r>
        <w:r w:rsidR="003C440C">
          <w:rPr>
            <w:noProof/>
            <w:webHidden/>
          </w:rPr>
        </w:r>
        <w:r w:rsidR="003C440C">
          <w:rPr>
            <w:noProof/>
            <w:webHidden/>
          </w:rPr>
          <w:fldChar w:fldCharType="separate"/>
        </w:r>
        <w:r w:rsidR="005B5FD6">
          <w:rPr>
            <w:noProof/>
            <w:webHidden/>
          </w:rPr>
          <w:t>136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5" w:history="1">
        <w:r w:rsidR="003C440C" w:rsidRPr="003A52BF">
          <w:rPr>
            <w:rStyle w:val="Hyperlink"/>
            <w:noProof/>
          </w:rPr>
          <w:t xml:space="preserve">Figure 158. </w:t>
        </w:r>
        <w:r w:rsidR="003C440C" w:rsidRPr="003A52BF">
          <w:rPr>
            <w:rStyle w:val="Hyperlink"/>
            <w:i/>
            <w:noProof/>
          </w:rPr>
          <w:t>Mean abundance (% cover) (± Standard Error) of epiphytes and macro-algae at inshore intertidal coastal habitats (Shoalwater Bay) in the Fitzroy region.</w:t>
        </w:r>
        <w:r w:rsidR="003C440C">
          <w:rPr>
            <w:noProof/>
            <w:webHidden/>
          </w:rPr>
          <w:tab/>
        </w:r>
        <w:r w:rsidR="003C440C">
          <w:rPr>
            <w:noProof/>
            <w:webHidden/>
          </w:rPr>
          <w:fldChar w:fldCharType="begin"/>
        </w:r>
        <w:r w:rsidR="003C440C">
          <w:rPr>
            <w:noProof/>
            <w:webHidden/>
          </w:rPr>
          <w:instrText xml:space="preserve"> PAGEREF _Toc384196505 \h </w:instrText>
        </w:r>
        <w:r w:rsidR="003C440C">
          <w:rPr>
            <w:noProof/>
            <w:webHidden/>
          </w:rPr>
        </w:r>
        <w:r w:rsidR="003C440C">
          <w:rPr>
            <w:noProof/>
            <w:webHidden/>
          </w:rPr>
          <w:fldChar w:fldCharType="separate"/>
        </w:r>
        <w:r w:rsidR="005B5FD6">
          <w:rPr>
            <w:noProof/>
            <w:webHidden/>
          </w:rPr>
          <w:t>137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6" w:history="1">
        <w:r w:rsidR="003C440C" w:rsidRPr="003A52BF">
          <w:rPr>
            <w:rStyle w:val="Hyperlink"/>
            <w:noProof/>
          </w:rPr>
          <w:t xml:space="preserve">Figure 159. </w:t>
        </w:r>
        <w:r w:rsidR="003C440C" w:rsidRPr="003A52BF">
          <w:rPr>
            <w:rStyle w:val="Hyperlink"/>
            <w:i/>
            <w:noProof/>
          </w:rPr>
          <w:t>Mean abundance (% cover) (± Standard Error) of epiphytes and macro-algae at inshore intertidal estuarine habitats (Gladstone Harbour) in the Fitzroy region.</w:t>
        </w:r>
        <w:r w:rsidR="003C440C">
          <w:rPr>
            <w:noProof/>
            <w:webHidden/>
          </w:rPr>
          <w:tab/>
        </w:r>
        <w:r w:rsidR="003C440C">
          <w:rPr>
            <w:noProof/>
            <w:webHidden/>
          </w:rPr>
          <w:fldChar w:fldCharType="begin"/>
        </w:r>
        <w:r w:rsidR="003C440C">
          <w:rPr>
            <w:noProof/>
            <w:webHidden/>
          </w:rPr>
          <w:instrText xml:space="preserve"> PAGEREF _Toc384196506 \h </w:instrText>
        </w:r>
        <w:r w:rsidR="003C440C">
          <w:rPr>
            <w:noProof/>
            <w:webHidden/>
          </w:rPr>
        </w:r>
        <w:r w:rsidR="003C440C">
          <w:rPr>
            <w:noProof/>
            <w:webHidden/>
          </w:rPr>
          <w:fldChar w:fldCharType="separate"/>
        </w:r>
        <w:r w:rsidR="005B5FD6">
          <w:rPr>
            <w:noProof/>
            <w:webHidden/>
          </w:rPr>
          <w:t>137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7" w:history="1">
        <w:r w:rsidR="003C440C" w:rsidRPr="003A52BF">
          <w:rPr>
            <w:rStyle w:val="Hyperlink"/>
            <w:noProof/>
          </w:rPr>
          <w:t xml:space="preserve">Figure 160. </w:t>
        </w:r>
        <w:r w:rsidR="003C440C" w:rsidRPr="003A52BF">
          <w:rPr>
            <w:rStyle w:val="Hyperlink"/>
            <w:i/>
            <w:noProof/>
          </w:rPr>
          <w:t>Mean abundance (% cover) (± Standard Error) of epiphytes and macro-algae at inshore intertidal reef habitats (Great Keppel Island) in the Fitzroy region.</w:t>
        </w:r>
        <w:r w:rsidR="003C440C">
          <w:rPr>
            <w:noProof/>
            <w:webHidden/>
          </w:rPr>
          <w:tab/>
        </w:r>
        <w:r w:rsidR="003C440C">
          <w:rPr>
            <w:noProof/>
            <w:webHidden/>
          </w:rPr>
          <w:fldChar w:fldCharType="begin"/>
        </w:r>
        <w:r w:rsidR="003C440C">
          <w:rPr>
            <w:noProof/>
            <w:webHidden/>
          </w:rPr>
          <w:instrText xml:space="preserve"> PAGEREF _Toc384196507 \h </w:instrText>
        </w:r>
        <w:r w:rsidR="003C440C">
          <w:rPr>
            <w:noProof/>
            <w:webHidden/>
          </w:rPr>
        </w:r>
        <w:r w:rsidR="003C440C">
          <w:rPr>
            <w:noProof/>
            <w:webHidden/>
          </w:rPr>
          <w:fldChar w:fldCharType="separate"/>
        </w:r>
        <w:r w:rsidR="005B5FD6">
          <w:rPr>
            <w:noProof/>
            <w:webHidden/>
          </w:rPr>
          <w:t>138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8" w:history="1">
        <w:r w:rsidR="003C440C" w:rsidRPr="003A52BF">
          <w:rPr>
            <w:rStyle w:val="Hyperlink"/>
            <w:noProof/>
          </w:rPr>
          <w:t xml:space="preserve">Figure 161. </w:t>
        </w:r>
        <w:r w:rsidR="003C440C" w:rsidRPr="003A52BF">
          <w:rPr>
            <w:rStyle w:val="Hyperlink"/>
            <w:i/>
            <w:noProof/>
          </w:rPr>
          <w:t>Within seagrass canopy temperature (°C) at inshore intertidal coastal (Shoalwater Bay), reef (Great Keppel Island) and estuarine (Gladstone Harbour) habitats in the Fitzroy region over the 2011/12 monitoring period.</w:t>
        </w:r>
        <w:r w:rsidR="003C440C">
          <w:rPr>
            <w:noProof/>
            <w:webHidden/>
          </w:rPr>
          <w:tab/>
        </w:r>
        <w:r w:rsidR="003C440C">
          <w:rPr>
            <w:noProof/>
            <w:webHidden/>
          </w:rPr>
          <w:fldChar w:fldCharType="begin"/>
        </w:r>
        <w:r w:rsidR="003C440C">
          <w:rPr>
            <w:noProof/>
            <w:webHidden/>
          </w:rPr>
          <w:instrText xml:space="preserve"> PAGEREF _Toc384196508 \h </w:instrText>
        </w:r>
        <w:r w:rsidR="003C440C">
          <w:rPr>
            <w:noProof/>
            <w:webHidden/>
          </w:rPr>
        </w:r>
        <w:r w:rsidR="003C440C">
          <w:rPr>
            <w:noProof/>
            <w:webHidden/>
          </w:rPr>
          <w:fldChar w:fldCharType="separate"/>
        </w:r>
        <w:r w:rsidR="005B5FD6">
          <w:rPr>
            <w:noProof/>
            <w:webHidden/>
          </w:rPr>
          <w:t>138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09" w:history="1">
        <w:r w:rsidR="003C440C" w:rsidRPr="003A52BF">
          <w:rPr>
            <w:rStyle w:val="Hyperlink"/>
            <w:noProof/>
          </w:rPr>
          <w:t xml:space="preserve">Figure 162. </w:t>
        </w:r>
        <w:r w:rsidR="003C440C" w:rsidRPr="003A52BF">
          <w:rPr>
            <w:rStyle w:val="Hyperlink"/>
            <w:i/>
            <w:noProof/>
          </w:rPr>
          <w:t>Monthly mean and maximum within seagrass canopy temperature (°C) at inshore intertidal coastal (Shoalwater Bay), reef (Great Keppel Island) and estuary (Gladstone Harbour) habitats within the Fitzroy region.</w:t>
        </w:r>
        <w:r w:rsidR="003C440C">
          <w:rPr>
            <w:noProof/>
            <w:webHidden/>
          </w:rPr>
          <w:tab/>
        </w:r>
        <w:r w:rsidR="003C440C">
          <w:rPr>
            <w:noProof/>
            <w:webHidden/>
          </w:rPr>
          <w:fldChar w:fldCharType="begin"/>
        </w:r>
        <w:r w:rsidR="003C440C">
          <w:rPr>
            <w:noProof/>
            <w:webHidden/>
          </w:rPr>
          <w:instrText xml:space="preserve"> PAGEREF _Toc384196509 \h </w:instrText>
        </w:r>
        <w:r w:rsidR="003C440C">
          <w:rPr>
            <w:noProof/>
            <w:webHidden/>
          </w:rPr>
        </w:r>
        <w:r w:rsidR="003C440C">
          <w:rPr>
            <w:noProof/>
            <w:webHidden/>
          </w:rPr>
          <w:fldChar w:fldCharType="separate"/>
        </w:r>
        <w:r w:rsidR="005B5FD6">
          <w:rPr>
            <w:noProof/>
            <w:webHidden/>
          </w:rPr>
          <w:t>139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0" w:history="1">
        <w:r w:rsidR="003C440C" w:rsidRPr="003A52BF">
          <w:rPr>
            <w:rStyle w:val="Hyperlink"/>
            <w:noProof/>
          </w:rPr>
          <w:t xml:space="preserve">Figure 163. </w:t>
        </w:r>
        <w:r w:rsidR="003C440C" w:rsidRPr="003A52BF">
          <w:rPr>
            <w:rStyle w:val="Hyperlink"/>
            <w:i/>
            <w:noProof/>
          </w:rPr>
          <w:t>Daily light (28 day rolling average) at inshore intertidal coastal (Shoalwater Bay) and estuary (Pelican Banks) habitats in the Fitzroy region</w:t>
        </w:r>
        <w:r w:rsidR="003C440C">
          <w:rPr>
            <w:noProof/>
            <w:webHidden/>
          </w:rPr>
          <w:tab/>
        </w:r>
        <w:r w:rsidR="003C440C">
          <w:rPr>
            <w:noProof/>
            <w:webHidden/>
          </w:rPr>
          <w:fldChar w:fldCharType="begin"/>
        </w:r>
        <w:r w:rsidR="003C440C">
          <w:rPr>
            <w:noProof/>
            <w:webHidden/>
          </w:rPr>
          <w:instrText xml:space="preserve"> PAGEREF _Toc384196510 \h </w:instrText>
        </w:r>
        <w:r w:rsidR="003C440C">
          <w:rPr>
            <w:noProof/>
            <w:webHidden/>
          </w:rPr>
        </w:r>
        <w:r w:rsidR="003C440C">
          <w:rPr>
            <w:noProof/>
            <w:webHidden/>
          </w:rPr>
          <w:fldChar w:fldCharType="separate"/>
        </w:r>
        <w:r w:rsidR="005B5FD6">
          <w:rPr>
            <w:noProof/>
            <w:webHidden/>
          </w:rPr>
          <w:t>139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1" w:history="1">
        <w:r w:rsidR="003C440C" w:rsidRPr="003A52BF">
          <w:rPr>
            <w:rStyle w:val="Hyperlink"/>
            <w:noProof/>
          </w:rPr>
          <w:t xml:space="preserve">Figure 164. </w:t>
        </w:r>
        <w:r w:rsidR="003C440C" w:rsidRPr="003A52BF">
          <w:rPr>
            <w:rStyle w:val="Hyperlink"/>
            <w:i/>
            <w:noProof/>
          </w:rPr>
          <w:t>Daily light (28 day rolling average) at inshore intertidal reef habitats (Great Keppel Island) in the Fitzroy region</w:t>
        </w:r>
        <w:r w:rsidR="003C440C">
          <w:rPr>
            <w:noProof/>
            <w:webHidden/>
          </w:rPr>
          <w:tab/>
        </w:r>
        <w:r w:rsidR="003C440C">
          <w:rPr>
            <w:noProof/>
            <w:webHidden/>
          </w:rPr>
          <w:fldChar w:fldCharType="begin"/>
        </w:r>
        <w:r w:rsidR="003C440C">
          <w:rPr>
            <w:noProof/>
            <w:webHidden/>
          </w:rPr>
          <w:instrText xml:space="preserve"> PAGEREF _Toc384196511 \h </w:instrText>
        </w:r>
        <w:r w:rsidR="003C440C">
          <w:rPr>
            <w:noProof/>
            <w:webHidden/>
          </w:rPr>
        </w:r>
        <w:r w:rsidR="003C440C">
          <w:rPr>
            <w:noProof/>
            <w:webHidden/>
          </w:rPr>
          <w:fldChar w:fldCharType="separate"/>
        </w:r>
        <w:r w:rsidR="005B5FD6">
          <w:rPr>
            <w:noProof/>
            <w:webHidden/>
          </w:rPr>
          <w:t>140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2" w:history="1">
        <w:r w:rsidR="003C440C" w:rsidRPr="003A52BF">
          <w:rPr>
            <w:rStyle w:val="Hyperlink"/>
            <w:noProof/>
          </w:rPr>
          <w:t xml:space="preserve">Figure 165. </w:t>
        </w:r>
        <w:r w:rsidR="003C440C" w:rsidRPr="003A52BF">
          <w:rPr>
            <w:rStyle w:val="Hyperlink"/>
            <w:i/>
            <w:noProof/>
          </w:rPr>
          <w:t>Total monthly rainfall (grey bar), mean monthly daily maximum temperature and mean monthly 3pm wind speed at Shoalwater Bay.</w:t>
        </w:r>
        <w:r w:rsidR="003C440C">
          <w:rPr>
            <w:noProof/>
            <w:webHidden/>
          </w:rPr>
          <w:tab/>
        </w:r>
        <w:r w:rsidR="003C440C">
          <w:rPr>
            <w:noProof/>
            <w:webHidden/>
          </w:rPr>
          <w:fldChar w:fldCharType="begin"/>
        </w:r>
        <w:r w:rsidR="003C440C">
          <w:rPr>
            <w:noProof/>
            <w:webHidden/>
          </w:rPr>
          <w:instrText xml:space="preserve"> PAGEREF _Toc384196512 \h </w:instrText>
        </w:r>
        <w:r w:rsidR="003C440C">
          <w:rPr>
            <w:noProof/>
            <w:webHidden/>
          </w:rPr>
        </w:r>
        <w:r w:rsidR="003C440C">
          <w:rPr>
            <w:noProof/>
            <w:webHidden/>
          </w:rPr>
          <w:fldChar w:fldCharType="separate"/>
        </w:r>
        <w:r w:rsidR="005B5FD6">
          <w:rPr>
            <w:noProof/>
            <w:webHidden/>
          </w:rPr>
          <w:t>141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3" w:history="1">
        <w:r w:rsidR="003C440C" w:rsidRPr="003A52BF">
          <w:rPr>
            <w:rStyle w:val="Hyperlink"/>
            <w:noProof/>
          </w:rPr>
          <w:t xml:space="preserve">Figure 166. </w:t>
        </w:r>
        <w:r w:rsidR="003C440C" w:rsidRPr="003A52BF">
          <w:rPr>
            <w:rStyle w:val="Hyperlink"/>
            <w:i/>
            <w:noProof/>
          </w:rPr>
          <w:t>Total monthly rainfall (grey bar), mean monthly daily maximum temperature and mean monthly 3pm wind speed for Great Keppel Island monitoring sites.</w:t>
        </w:r>
        <w:r w:rsidR="003C440C">
          <w:rPr>
            <w:noProof/>
            <w:webHidden/>
          </w:rPr>
          <w:tab/>
        </w:r>
        <w:r w:rsidR="003C440C">
          <w:rPr>
            <w:noProof/>
            <w:webHidden/>
          </w:rPr>
          <w:fldChar w:fldCharType="begin"/>
        </w:r>
        <w:r w:rsidR="003C440C">
          <w:rPr>
            <w:noProof/>
            <w:webHidden/>
          </w:rPr>
          <w:instrText xml:space="preserve"> PAGEREF _Toc384196513 \h </w:instrText>
        </w:r>
        <w:r w:rsidR="003C440C">
          <w:rPr>
            <w:noProof/>
            <w:webHidden/>
          </w:rPr>
        </w:r>
        <w:r w:rsidR="003C440C">
          <w:rPr>
            <w:noProof/>
            <w:webHidden/>
          </w:rPr>
          <w:fldChar w:fldCharType="separate"/>
        </w:r>
        <w:r w:rsidR="005B5FD6">
          <w:rPr>
            <w:noProof/>
            <w:webHidden/>
          </w:rPr>
          <w:t>142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4" w:history="1">
        <w:r w:rsidR="003C440C" w:rsidRPr="003A52BF">
          <w:rPr>
            <w:rStyle w:val="Hyperlink"/>
            <w:noProof/>
          </w:rPr>
          <w:t xml:space="preserve">Figure 167. </w:t>
        </w:r>
        <w:r w:rsidR="003C440C" w:rsidRPr="003A52BF">
          <w:rPr>
            <w:rStyle w:val="Hyperlink"/>
            <w:rFonts w:eastAsia="SimSun"/>
            <w:i/>
            <w:noProof/>
          </w:rPr>
          <w:t xml:space="preserve">Total </w:t>
        </w:r>
        <w:r w:rsidR="003C440C" w:rsidRPr="003A52BF">
          <w:rPr>
            <w:rStyle w:val="Hyperlink"/>
            <w:i/>
            <w:noProof/>
          </w:rPr>
          <w:t>monthly rainfall</w:t>
        </w:r>
        <w:r w:rsidR="003C440C" w:rsidRPr="003A52BF">
          <w:rPr>
            <w:rStyle w:val="Hyperlink"/>
            <w:rFonts w:eastAsia="SimSun"/>
            <w:i/>
            <w:noProof/>
          </w:rPr>
          <w:t xml:space="preserve"> (grey bars)</w:t>
        </w:r>
        <w:r w:rsidR="003C440C" w:rsidRPr="003A52BF">
          <w:rPr>
            <w:rStyle w:val="Hyperlink"/>
            <w:i/>
            <w:noProof/>
          </w:rPr>
          <w:t>,</w:t>
        </w:r>
        <w:r w:rsidR="003C440C" w:rsidRPr="003A52BF">
          <w:rPr>
            <w:rStyle w:val="Hyperlink"/>
            <w:rFonts w:eastAsia="SimSun"/>
            <w:i/>
            <w:noProof/>
          </w:rPr>
          <w:t xml:space="preserve"> m</w:t>
        </w:r>
        <w:r w:rsidR="003C440C" w:rsidRPr="003A52BF">
          <w:rPr>
            <w:rStyle w:val="Hyperlink"/>
            <w:i/>
            <w:noProof/>
          </w:rPr>
          <w:t>ean monthly daily maximum temperature, and mean monthly 3pm wind speed from Gladstone Harbour monitoring sites.</w:t>
        </w:r>
        <w:r w:rsidR="003C440C">
          <w:rPr>
            <w:noProof/>
            <w:webHidden/>
          </w:rPr>
          <w:tab/>
        </w:r>
        <w:r w:rsidR="003C440C">
          <w:rPr>
            <w:noProof/>
            <w:webHidden/>
          </w:rPr>
          <w:fldChar w:fldCharType="begin"/>
        </w:r>
        <w:r w:rsidR="003C440C">
          <w:rPr>
            <w:noProof/>
            <w:webHidden/>
          </w:rPr>
          <w:instrText xml:space="preserve"> PAGEREF _Toc384196514 \h </w:instrText>
        </w:r>
        <w:r w:rsidR="003C440C">
          <w:rPr>
            <w:noProof/>
            <w:webHidden/>
          </w:rPr>
        </w:r>
        <w:r w:rsidR="003C440C">
          <w:rPr>
            <w:noProof/>
            <w:webHidden/>
          </w:rPr>
          <w:fldChar w:fldCharType="separate"/>
        </w:r>
        <w:r w:rsidR="005B5FD6">
          <w:rPr>
            <w:noProof/>
            <w:webHidden/>
          </w:rPr>
          <w:t>143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5" w:history="1">
        <w:r w:rsidR="003C440C" w:rsidRPr="003A52BF">
          <w:rPr>
            <w:rStyle w:val="Hyperlink"/>
            <w:noProof/>
          </w:rPr>
          <w:t xml:space="preserve">Figure 168.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Fitzroy River which would impact coastal and reef seagrass monitoring sites in the Fitzroy region</w:t>
        </w:r>
        <w:r w:rsidR="003C440C">
          <w:rPr>
            <w:noProof/>
            <w:webHidden/>
          </w:rPr>
          <w:tab/>
        </w:r>
        <w:r w:rsidR="003C440C">
          <w:rPr>
            <w:noProof/>
            <w:webHidden/>
          </w:rPr>
          <w:fldChar w:fldCharType="begin"/>
        </w:r>
        <w:r w:rsidR="003C440C">
          <w:rPr>
            <w:noProof/>
            <w:webHidden/>
          </w:rPr>
          <w:instrText xml:space="preserve"> PAGEREF _Toc384196515 \h </w:instrText>
        </w:r>
        <w:r w:rsidR="003C440C">
          <w:rPr>
            <w:noProof/>
            <w:webHidden/>
          </w:rPr>
        </w:r>
        <w:r w:rsidR="003C440C">
          <w:rPr>
            <w:noProof/>
            <w:webHidden/>
          </w:rPr>
          <w:fldChar w:fldCharType="separate"/>
        </w:r>
        <w:r w:rsidR="005B5FD6">
          <w:rPr>
            <w:noProof/>
            <w:webHidden/>
          </w:rPr>
          <w:t>144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6" w:history="1">
        <w:r w:rsidR="003C440C" w:rsidRPr="003A52BF">
          <w:rPr>
            <w:rStyle w:val="Hyperlink"/>
            <w:noProof/>
          </w:rPr>
          <w:t xml:space="preserve">Figure 169.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main rivers which would impact estuarine seagrass monitoring sites in the Fitzroy region</w:t>
        </w:r>
        <w:r w:rsidR="003C440C">
          <w:rPr>
            <w:noProof/>
            <w:webHidden/>
          </w:rPr>
          <w:tab/>
        </w:r>
        <w:r w:rsidR="003C440C">
          <w:rPr>
            <w:noProof/>
            <w:webHidden/>
          </w:rPr>
          <w:fldChar w:fldCharType="begin"/>
        </w:r>
        <w:r w:rsidR="003C440C">
          <w:rPr>
            <w:noProof/>
            <w:webHidden/>
          </w:rPr>
          <w:instrText xml:space="preserve"> PAGEREF _Toc384196516 \h </w:instrText>
        </w:r>
        <w:r w:rsidR="003C440C">
          <w:rPr>
            <w:noProof/>
            <w:webHidden/>
          </w:rPr>
        </w:r>
        <w:r w:rsidR="003C440C">
          <w:rPr>
            <w:noProof/>
            <w:webHidden/>
          </w:rPr>
          <w:fldChar w:fldCharType="separate"/>
        </w:r>
        <w:r w:rsidR="005B5FD6">
          <w:rPr>
            <w:noProof/>
            <w:webHidden/>
          </w:rPr>
          <w:t>144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7" w:history="1">
        <w:r w:rsidR="003C440C" w:rsidRPr="003A52BF">
          <w:rPr>
            <w:rStyle w:val="Hyperlink"/>
            <w:noProof/>
          </w:rPr>
          <w:t xml:space="preserve">Figure 170. </w:t>
        </w:r>
        <w:r w:rsidR="003C440C" w:rsidRPr="003A52BF">
          <w:rPr>
            <w:rStyle w:val="Hyperlink"/>
            <w:i/>
            <w:noProof/>
          </w:rPr>
          <w:t>Conceptual diagram of estuary habitat in the GBR section of the Burnett Mary region</w:t>
        </w:r>
        <w:r w:rsidR="003C440C">
          <w:rPr>
            <w:noProof/>
            <w:webHidden/>
          </w:rPr>
          <w:tab/>
        </w:r>
        <w:r w:rsidR="003C440C">
          <w:rPr>
            <w:noProof/>
            <w:webHidden/>
          </w:rPr>
          <w:fldChar w:fldCharType="begin"/>
        </w:r>
        <w:r w:rsidR="003C440C">
          <w:rPr>
            <w:noProof/>
            <w:webHidden/>
          </w:rPr>
          <w:instrText xml:space="preserve"> PAGEREF _Toc384196517 \h </w:instrText>
        </w:r>
        <w:r w:rsidR="003C440C">
          <w:rPr>
            <w:noProof/>
            <w:webHidden/>
          </w:rPr>
        </w:r>
        <w:r w:rsidR="003C440C">
          <w:rPr>
            <w:noProof/>
            <w:webHidden/>
          </w:rPr>
          <w:fldChar w:fldCharType="separate"/>
        </w:r>
        <w:r w:rsidR="005B5FD6">
          <w:rPr>
            <w:noProof/>
            <w:webHidden/>
          </w:rPr>
          <w:t>146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8" w:history="1">
        <w:r w:rsidR="003C440C" w:rsidRPr="003A52BF">
          <w:rPr>
            <w:rStyle w:val="Hyperlink"/>
            <w:noProof/>
          </w:rPr>
          <w:t xml:space="preserve">Figure 171. </w:t>
        </w:r>
        <w:r w:rsidR="003C440C" w:rsidRPr="003A52BF">
          <w:rPr>
            <w:rStyle w:val="Hyperlink"/>
            <w:i/>
            <w:noProof/>
          </w:rPr>
          <w:t>Location of Burnett Mary region long-term monitoring locations and the seagrass species composition at each site.</w:t>
        </w:r>
        <w:r w:rsidR="003C440C">
          <w:rPr>
            <w:noProof/>
            <w:webHidden/>
          </w:rPr>
          <w:tab/>
        </w:r>
        <w:r w:rsidR="003C440C">
          <w:rPr>
            <w:noProof/>
            <w:webHidden/>
          </w:rPr>
          <w:fldChar w:fldCharType="begin"/>
        </w:r>
        <w:r w:rsidR="003C440C">
          <w:rPr>
            <w:noProof/>
            <w:webHidden/>
          </w:rPr>
          <w:instrText xml:space="preserve"> PAGEREF _Toc384196518 \h </w:instrText>
        </w:r>
        <w:r w:rsidR="003C440C">
          <w:rPr>
            <w:noProof/>
            <w:webHidden/>
          </w:rPr>
        </w:r>
        <w:r w:rsidR="003C440C">
          <w:rPr>
            <w:noProof/>
            <w:webHidden/>
          </w:rPr>
          <w:fldChar w:fldCharType="separate"/>
        </w:r>
        <w:r w:rsidR="005B5FD6">
          <w:rPr>
            <w:noProof/>
            <w:webHidden/>
          </w:rPr>
          <w:t>147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19" w:history="1">
        <w:r w:rsidR="003C440C" w:rsidRPr="003A52BF">
          <w:rPr>
            <w:rStyle w:val="Hyperlink"/>
            <w:noProof/>
          </w:rPr>
          <w:t xml:space="preserve">Figure 172. </w:t>
        </w:r>
        <w:r w:rsidR="003C440C" w:rsidRPr="003A52BF">
          <w:rPr>
            <w:rStyle w:val="Hyperlink"/>
            <w:i/>
            <w:noProof/>
          </w:rPr>
          <w:t>Report card of seagrass status indicators and index for the Burnett Mary NRM region</w:t>
        </w:r>
        <w:r w:rsidR="003C440C">
          <w:rPr>
            <w:noProof/>
            <w:webHidden/>
          </w:rPr>
          <w:tab/>
        </w:r>
        <w:r w:rsidR="003C440C">
          <w:rPr>
            <w:noProof/>
            <w:webHidden/>
          </w:rPr>
          <w:fldChar w:fldCharType="begin"/>
        </w:r>
        <w:r w:rsidR="003C440C">
          <w:rPr>
            <w:noProof/>
            <w:webHidden/>
          </w:rPr>
          <w:instrText xml:space="preserve"> PAGEREF _Toc384196519 \h </w:instrText>
        </w:r>
        <w:r w:rsidR="003C440C">
          <w:rPr>
            <w:noProof/>
            <w:webHidden/>
          </w:rPr>
        </w:r>
        <w:r w:rsidR="003C440C">
          <w:rPr>
            <w:noProof/>
            <w:webHidden/>
          </w:rPr>
          <w:fldChar w:fldCharType="separate"/>
        </w:r>
        <w:r w:rsidR="005B5FD6">
          <w:rPr>
            <w:noProof/>
            <w:webHidden/>
          </w:rPr>
          <w:t>148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0" w:history="1">
        <w:r w:rsidR="003C440C" w:rsidRPr="003A52BF">
          <w:rPr>
            <w:rStyle w:val="Hyperlink"/>
            <w:noProof/>
          </w:rPr>
          <w:t xml:space="preserve">Figure 173. </w:t>
        </w:r>
        <w:r w:rsidR="003C440C" w:rsidRPr="003A52BF">
          <w:rPr>
            <w:rStyle w:val="Hyperlink"/>
            <w:i/>
            <w:noProof/>
          </w:rPr>
          <w:t>Changes in seagrass abundance (% cover ±Standard Error) at inshore intertidal estuarine habitats in Burnett Mary region from 1999 to 2012.</w:t>
        </w:r>
        <w:r w:rsidR="003C440C">
          <w:rPr>
            <w:noProof/>
            <w:webHidden/>
          </w:rPr>
          <w:tab/>
        </w:r>
        <w:r w:rsidR="003C440C">
          <w:rPr>
            <w:noProof/>
            <w:webHidden/>
          </w:rPr>
          <w:fldChar w:fldCharType="begin"/>
        </w:r>
        <w:r w:rsidR="003C440C">
          <w:rPr>
            <w:noProof/>
            <w:webHidden/>
          </w:rPr>
          <w:instrText xml:space="preserve"> PAGEREF _Toc384196520 \h </w:instrText>
        </w:r>
        <w:r w:rsidR="003C440C">
          <w:rPr>
            <w:noProof/>
            <w:webHidden/>
          </w:rPr>
        </w:r>
        <w:r w:rsidR="003C440C">
          <w:rPr>
            <w:noProof/>
            <w:webHidden/>
          </w:rPr>
          <w:fldChar w:fldCharType="separate"/>
        </w:r>
        <w:r w:rsidR="005B5FD6">
          <w:rPr>
            <w:noProof/>
            <w:webHidden/>
          </w:rPr>
          <w:t>148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1" w:history="1">
        <w:r w:rsidR="003C440C" w:rsidRPr="003A52BF">
          <w:rPr>
            <w:rStyle w:val="Hyperlink"/>
            <w:noProof/>
          </w:rPr>
          <w:t xml:space="preserve">Figure 174. </w:t>
        </w:r>
        <w:r w:rsidR="003C440C" w:rsidRPr="003A52BF">
          <w:rPr>
            <w:rStyle w:val="Hyperlink"/>
            <w:i/>
            <w:noProof/>
          </w:rPr>
          <w:t>Mean percentage seagrass cover (all species pooled) (± Standard Error) at inshore estuary habitat (Urangan) in the southern Burnett Mary region at time of year.</w:t>
        </w:r>
        <w:r w:rsidR="003C440C">
          <w:rPr>
            <w:noProof/>
            <w:webHidden/>
          </w:rPr>
          <w:tab/>
        </w:r>
        <w:r w:rsidR="003C440C">
          <w:rPr>
            <w:noProof/>
            <w:webHidden/>
          </w:rPr>
          <w:fldChar w:fldCharType="begin"/>
        </w:r>
        <w:r w:rsidR="003C440C">
          <w:rPr>
            <w:noProof/>
            <w:webHidden/>
          </w:rPr>
          <w:instrText xml:space="preserve"> PAGEREF _Toc384196521 \h </w:instrText>
        </w:r>
        <w:r w:rsidR="003C440C">
          <w:rPr>
            <w:noProof/>
            <w:webHidden/>
          </w:rPr>
        </w:r>
        <w:r w:rsidR="003C440C">
          <w:rPr>
            <w:noProof/>
            <w:webHidden/>
          </w:rPr>
          <w:fldChar w:fldCharType="separate"/>
        </w:r>
        <w:r w:rsidR="005B5FD6">
          <w:rPr>
            <w:noProof/>
            <w:webHidden/>
          </w:rPr>
          <w:t>149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2" w:history="1">
        <w:r w:rsidR="003C440C" w:rsidRPr="003A52BF">
          <w:rPr>
            <w:rStyle w:val="Hyperlink"/>
            <w:noProof/>
          </w:rPr>
          <w:t xml:space="preserve">Figure 175. </w:t>
        </w:r>
        <w:r w:rsidR="003C440C" w:rsidRPr="003A52BF">
          <w:rPr>
            <w:rStyle w:val="Hyperlink"/>
            <w:i/>
            <w:noProof/>
          </w:rPr>
          <w:t>Mean percentage seagrass cover (all species pooled) (± Standard Error) at inshore estuary habitat (Rodds Bay) in the southern Burnett Mary region at time of year.</w:t>
        </w:r>
        <w:r w:rsidR="003C440C">
          <w:rPr>
            <w:noProof/>
            <w:webHidden/>
          </w:rPr>
          <w:tab/>
        </w:r>
        <w:r w:rsidR="003C440C">
          <w:rPr>
            <w:noProof/>
            <w:webHidden/>
          </w:rPr>
          <w:fldChar w:fldCharType="begin"/>
        </w:r>
        <w:r w:rsidR="003C440C">
          <w:rPr>
            <w:noProof/>
            <w:webHidden/>
          </w:rPr>
          <w:instrText xml:space="preserve"> PAGEREF _Toc384196522 \h </w:instrText>
        </w:r>
        <w:r w:rsidR="003C440C">
          <w:rPr>
            <w:noProof/>
            <w:webHidden/>
          </w:rPr>
        </w:r>
        <w:r w:rsidR="003C440C">
          <w:rPr>
            <w:noProof/>
            <w:webHidden/>
          </w:rPr>
          <w:fldChar w:fldCharType="separate"/>
        </w:r>
        <w:r w:rsidR="005B5FD6">
          <w:rPr>
            <w:noProof/>
            <w:webHidden/>
          </w:rPr>
          <w:t>149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3" w:history="1">
        <w:r w:rsidR="003C440C" w:rsidRPr="003A52BF">
          <w:rPr>
            <w:rStyle w:val="Hyperlink"/>
            <w:noProof/>
          </w:rPr>
          <w:t xml:space="preserve">Figure 176. </w:t>
        </w:r>
        <w:r w:rsidR="003C440C" w:rsidRPr="003A52BF">
          <w:rPr>
            <w:rStyle w:val="Hyperlink"/>
            <w:i/>
            <w:noProof/>
          </w:rPr>
          <w:t>Extent of area (100m radius of monitoring site) covered by seagrass at inshore intertidal estuary habitats (Rodds Bay and Urangan) in the Burnett Mary region.</w:t>
        </w:r>
        <w:r w:rsidR="003C440C">
          <w:rPr>
            <w:noProof/>
            <w:webHidden/>
          </w:rPr>
          <w:tab/>
        </w:r>
        <w:r w:rsidR="003C440C">
          <w:rPr>
            <w:noProof/>
            <w:webHidden/>
          </w:rPr>
          <w:fldChar w:fldCharType="begin"/>
        </w:r>
        <w:r w:rsidR="003C440C">
          <w:rPr>
            <w:noProof/>
            <w:webHidden/>
          </w:rPr>
          <w:instrText xml:space="preserve"> PAGEREF _Toc384196523 \h </w:instrText>
        </w:r>
        <w:r w:rsidR="003C440C">
          <w:rPr>
            <w:noProof/>
            <w:webHidden/>
          </w:rPr>
        </w:r>
        <w:r w:rsidR="003C440C">
          <w:rPr>
            <w:noProof/>
            <w:webHidden/>
          </w:rPr>
          <w:fldChar w:fldCharType="separate"/>
        </w:r>
        <w:r w:rsidR="005B5FD6">
          <w:rPr>
            <w:noProof/>
            <w:webHidden/>
          </w:rPr>
          <w:t>151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4" w:history="1">
        <w:r w:rsidR="003C440C" w:rsidRPr="003A52BF">
          <w:rPr>
            <w:rStyle w:val="Hyperlink"/>
            <w:noProof/>
          </w:rPr>
          <w:t xml:space="preserve">Figure 177. </w:t>
        </w:r>
        <w:r w:rsidR="003C440C" w:rsidRPr="003A52BF">
          <w:rPr>
            <w:rStyle w:val="Hyperlink"/>
            <w:i/>
            <w:noProof/>
          </w:rPr>
          <w:t>Inshore intertidal</w:t>
        </w:r>
        <w:r w:rsidR="003C440C" w:rsidRPr="003A52BF">
          <w:rPr>
            <w:rStyle w:val="Hyperlink"/>
            <w:noProof/>
          </w:rPr>
          <w:t xml:space="preserve"> e</w:t>
        </w:r>
        <w:r w:rsidR="003C440C" w:rsidRPr="003A52BF">
          <w:rPr>
            <w:rStyle w:val="Hyperlink"/>
            <w:i/>
            <w:noProof/>
          </w:rPr>
          <w:t>stuary habitat seed banks (a), germinated seed abundance (b) and total reproductive effort (c) in the Burnett Mary region.</w:t>
        </w:r>
        <w:r w:rsidR="003C440C">
          <w:rPr>
            <w:noProof/>
            <w:webHidden/>
          </w:rPr>
          <w:tab/>
        </w:r>
        <w:r w:rsidR="003C440C">
          <w:rPr>
            <w:noProof/>
            <w:webHidden/>
          </w:rPr>
          <w:fldChar w:fldCharType="begin"/>
        </w:r>
        <w:r w:rsidR="003C440C">
          <w:rPr>
            <w:noProof/>
            <w:webHidden/>
          </w:rPr>
          <w:instrText xml:space="preserve"> PAGEREF _Toc384196524 \h </w:instrText>
        </w:r>
        <w:r w:rsidR="003C440C">
          <w:rPr>
            <w:noProof/>
            <w:webHidden/>
          </w:rPr>
        </w:r>
        <w:r w:rsidR="003C440C">
          <w:rPr>
            <w:noProof/>
            <w:webHidden/>
          </w:rPr>
          <w:fldChar w:fldCharType="separate"/>
        </w:r>
        <w:r w:rsidR="005B5FD6">
          <w:rPr>
            <w:noProof/>
            <w:webHidden/>
          </w:rPr>
          <w:t>151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5" w:history="1">
        <w:r w:rsidR="003C440C" w:rsidRPr="003A52BF">
          <w:rPr>
            <w:rStyle w:val="Hyperlink"/>
            <w:noProof/>
          </w:rPr>
          <w:t xml:space="preserve">Figure 178. </w:t>
        </w:r>
        <w:r w:rsidR="003C440C" w:rsidRPr="003A52BF">
          <w:rPr>
            <w:rStyle w:val="Hyperlink"/>
            <w:i/>
            <w:noProof/>
            <w:lang w:eastAsia="en-AU"/>
          </w:rPr>
          <w:t xml:space="preserve">Elemental ratios (atomic) of seagrass leaf tissue C:N for </w:t>
        </w:r>
        <w:r w:rsidR="003C440C" w:rsidRPr="003A52BF">
          <w:rPr>
            <w:rStyle w:val="Hyperlink"/>
            <w:i/>
            <w:noProof/>
          </w:rPr>
          <w:t>the foundation seagrass species examined at each inshore intertidal estuary habitat in the Burnett Mary region</w:t>
        </w:r>
        <w:r w:rsidR="003C440C" w:rsidRPr="003A52BF">
          <w:rPr>
            <w:rStyle w:val="Hyperlink"/>
            <w:i/>
            <w:noProof/>
            <w:lang w:eastAsia="en-AU"/>
          </w:rPr>
          <w:t xml:space="preserve"> each year</w:t>
        </w:r>
        <w:r w:rsidR="003C440C">
          <w:rPr>
            <w:noProof/>
            <w:webHidden/>
          </w:rPr>
          <w:tab/>
        </w:r>
        <w:r w:rsidR="003C440C">
          <w:rPr>
            <w:noProof/>
            <w:webHidden/>
          </w:rPr>
          <w:fldChar w:fldCharType="begin"/>
        </w:r>
        <w:r w:rsidR="003C440C">
          <w:rPr>
            <w:noProof/>
            <w:webHidden/>
          </w:rPr>
          <w:instrText xml:space="preserve"> PAGEREF _Toc384196525 \h </w:instrText>
        </w:r>
        <w:r w:rsidR="003C440C">
          <w:rPr>
            <w:noProof/>
            <w:webHidden/>
          </w:rPr>
        </w:r>
        <w:r w:rsidR="003C440C">
          <w:rPr>
            <w:noProof/>
            <w:webHidden/>
          </w:rPr>
          <w:fldChar w:fldCharType="separate"/>
        </w:r>
        <w:r w:rsidR="005B5FD6">
          <w:rPr>
            <w:noProof/>
            <w:webHidden/>
          </w:rPr>
          <w:t>152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6" w:history="1">
        <w:r w:rsidR="003C440C" w:rsidRPr="003A52BF">
          <w:rPr>
            <w:rStyle w:val="Hyperlink"/>
            <w:noProof/>
          </w:rPr>
          <w:t xml:space="preserve">Figure 179. </w:t>
        </w:r>
        <w:r w:rsidR="003C440C" w:rsidRPr="003A52BF">
          <w:rPr>
            <w:rStyle w:val="Hyperlink"/>
            <w:i/>
            <w:iCs/>
            <w:noProof/>
            <w:lang w:eastAsia="en-AU"/>
          </w:rPr>
          <w:t xml:space="preserve">Elemental ratios (atomic) of seagrass leaf tissue N:P and C:P </w:t>
        </w:r>
        <w:r w:rsidR="003C440C" w:rsidRPr="003A52BF">
          <w:rPr>
            <w:rStyle w:val="Hyperlink"/>
            <w:i/>
            <w:iCs/>
            <w:noProof/>
          </w:rPr>
          <w:t xml:space="preserve">for the foundation seagrass species examined at each inshore intertidal estuary habitat in the Burnett Mary region </w:t>
        </w:r>
        <w:r w:rsidR="003C440C" w:rsidRPr="003A52BF">
          <w:rPr>
            <w:rStyle w:val="Hyperlink"/>
            <w:i/>
            <w:iCs/>
            <w:noProof/>
            <w:lang w:eastAsia="en-AU"/>
          </w:rPr>
          <w:t>each year</w:t>
        </w:r>
        <w:r w:rsidR="003C440C">
          <w:rPr>
            <w:noProof/>
            <w:webHidden/>
          </w:rPr>
          <w:tab/>
        </w:r>
        <w:r w:rsidR="003C440C">
          <w:rPr>
            <w:noProof/>
            <w:webHidden/>
          </w:rPr>
          <w:fldChar w:fldCharType="begin"/>
        </w:r>
        <w:r w:rsidR="003C440C">
          <w:rPr>
            <w:noProof/>
            <w:webHidden/>
          </w:rPr>
          <w:instrText xml:space="preserve"> PAGEREF _Toc384196526 \h </w:instrText>
        </w:r>
        <w:r w:rsidR="003C440C">
          <w:rPr>
            <w:noProof/>
            <w:webHidden/>
          </w:rPr>
        </w:r>
        <w:r w:rsidR="003C440C">
          <w:rPr>
            <w:noProof/>
            <w:webHidden/>
          </w:rPr>
          <w:fldChar w:fldCharType="separate"/>
        </w:r>
        <w:r w:rsidR="005B5FD6">
          <w:rPr>
            <w:noProof/>
            <w:webHidden/>
          </w:rPr>
          <w:t>152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7" w:history="1">
        <w:r w:rsidR="003C440C" w:rsidRPr="003A52BF">
          <w:rPr>
            <w:rStyle w:val="Hyperlink"/>
            <w:noProof/>
          </w:rPr>
          <w:t xml:space="preserve">Figure 180. </w:t>
        </w:r>
        <w:r w:rsidR="003C440C" w:rsidRPr="003A52BF">
          <w:rPr>
            <w:rStyle w:val="Hyperlink"/>
            <w:i/>
            <w:noProof/>
          </w:rPr>
          <w:t>Mean abundance (% cover) (± Standard Error) of epiphytes and macro-algae at inshore intertidal estuary habitats (Rodds Bay and Urangan) in the Burnett Mary region.</w:t>
        </w:r>
        <w:r w:rsidR="003C440C">
          <w:rPr>
            <w:noProof/>
            <w:webHidden/>
          </w:rPr>
          <w:tab/>
        </w:r>
        <w:r w:rsidR="003C440C">
          <w:rPr>
            <w:noProof/>
            <w:webHidden/>
          </w:rPr>
          <w:fldChar w:fldCharType="begin"/>
        </w:r>
        <w:r w:rsidR="003C440C">
          <w:rPr>
            <w:noProof/>
            <w:webHidden/>
          </w:rPr>
          <w:instrText xml:space="preserve"> PAGEREF _Toc384196527 \h </w:instrText>
        </w:r>
        <w:r w:rsidR="003C440C">
          <w:rPr>
            <w:noProof/>
            <w:webHidden/>
          </w:rPr>
        </w:r>
        <w:r w:rsidR="003C440C">
          <w:rPr>
            <w:noProof/>
            <w:webHidden/>
          </w:rPr>
          <w:fldChar w:fldCharType="separate"/>
        </w:r>
        <w:r w:rsidR="005B5FD6">
          <w:rPr>
            <w:noProof/>
            <w:webHidden/>
          </w:rPr>
          <w:t>153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8" w:history="1">
        <w:r w:rsidR="003C440C" w:rsidRPr="003A52BF">
          <w:rPr>
            <w:rStyle w:val="Hyperlink"/>
            <w:noProof/>
          </w:rPr>
          <w:t>Figure 181.</w:t>
        </w:r>
        <w:r w:rsidR="003C440C" w:rsidRPr="003A52BF">
          <w:rPr>
            <w:rStyle w:val="Hyperlink"/>
            <w:i/>
            <w:noProof/>
          </w:rPr>
          <w:t xml:space="preserve"> Within seagrass canopy temperature (°C) at inshore intertidal estuary habitats (Rodds Bay and Urangan) in the Burnett Mary region over the 2011/2012 monitoring period.</w:t>
        </w:r>
        <w:r w:rsidR="003C440C">
          <w:rPr>
            <w:noProof/>
            <w:webHidden/>
          </w:rPr>
          <w:tab/>
        </w:r>
        <w:r w:rsidR="003C440C">
          <w:rPr>
            <w:noProof/>
            <w:webHidden/>
          </w:rPr>
          <w:fldChar w:fldCharType="begin"/>
        </w:r>
        <w:r w:rsidR="003C440C">
          <w:rPr>
            <w:noProof/>
            <w:webHidden/>
          </w:rPr>
          <w:instrText xml:space="preserve"> PAGEREF _Toc384196528 \h </w:instrText>
        </w:r>
        <w:r w:rsidR="003C440C">
          <w:rPr>
            <w:noProof/>
            <w:webHidden/>
          </w:rPr>
        </w:r>
        <w:r w:rsidR="003C440C">
          <w:rPr>
            <w:noProof/>
            <w:webHidden/>
          </w:rPr>
          <w:fldChar w:fldCharType="separate"/>
        </w:r>
        <w:r w:rsidR="005B5FD6">
          <w:rPr>
            <w:noProof/>
            <w:webHidden/>
          </w:rPr>
          <w:t>154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29" w:history="1">
        <w:r w:rsidR="003C440C" w:rsidRPr="003A52BF">
          <w:rPr>
            <w:rStyle w:val="Hyperlink"/>
            <w:noProof/>
          </w:rPr>
          <w:t xml:space="preserve">Figure 182. </w:t>
        </w:r>
        <w:r w:rsidR="003C440C" w:rsidRPr="003A52BF">
          <w:rPr>
            <w:rStyle w:val="Hyperlink"/>
            <w:i/>
            <w:noProof/>
          </w:rPr>
          <w:t>Monthly mean and maximum within seagrass canopy temperature (°C) at insore intertidal estuary habitats (Rodds Bay and Urangan) in the Burnett Mary region.</w:t>
        </w:r>
        <w:r w:rsidR="003C440C">
          <w:rPr>
            <w:noProof/>
            <w:webHidden/>
          </w:rPr>
          <w:tab/>
        </w:r>
        <w:r w:rsidR="003C440C">
          <w:rPr>
            <w:noProof/>
            <w:webHidden/>
          </w:rPr>
          <w:fldChar w:fldCharType="begin"/>
        </w:r>
        <w:r w:rsidR="003C440C">
          <w:rPr>
            <w:noProof/>
            <w:webHidden/>
          </w:rPr>
          <w:instrText xml:space="preserve"> PAGEREF _Toc384196529 \h </w:instrText>
        </w:r>
        <w:r w:rsidR="003C440C">
          <w:rPr>
            <w:noProof/>
            <w:webHidden/>
          </w:rPr>
        </w:r>
        <w:r w:rsidR="003C440C">
          <w:rPr>
            <w:noProof/>
            <w:webHidden/>
          </w:rPr>
          <w:fldChar w:fldCharType="separate"/>
        </w:r>
        <w:r w:rsidR="005B5FD6">
          <w:rPr>
            <w:noProof/>
            <w:webHidden/>
          </w:rPr>
          <w:t>154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0" w:history="1">
        <w:r w:rsidR="003C440C" w:rsidRPr="003A52BF">
          <w:rPr>
            <w:rStyle w:val="Hyperlink"/>
            <w:noProof/>
          </w:rPr>
          <w:t xml:space="preserve">Figure 183. </w:t>
        </w:r>
        <w:r w:rsidR="003C440C" w:rsidRPr="003A52BF">
          <w:rPr>
            <w:rStyle w:val="Hyperlink"/>
            <w:i/>
            <w:noProof/>
          </w:rPr>
          <w:t>Daily light (28 day rolling average) at estuarine locations in the inshore intertidal estuary habitats in the northern (Rodds Bay) and southern (Urangan) section of the Burnett Mary region</w:t>
        </w:r>
        <w:r w:rsidR="003C440C">
          <w:rPr>
            <w:noProof/>
            <w:webHidden/>
          </w:rPr>
          <w:tab/>
        </w:r>
        <w:r w:rsidR="003C440C">
          <w:rPr>
            <w:noProof/>
            <w:webHidden/>
          </w:rPr>
          <w:fldChar w:fldCharType="begin"/>
        </w:r>
        <w:r w:rsidR="003C440C">
          <w:rPr>
            <w:noProof/>
            <w:webHidden/>
          </w:rPr>
          <w:instrText xml:space="preserve"> PAGEREF _Toc384196530 \h </w:instrText>
        </w:r>
        <w:r w:rsidR="003C440C">
          <w:rPr>
            <w:noProof/>
            <w:webHidden/>
          </w:rPr>
        </w:r>
        <w:r w:rsidR="003C440C">
          <w:rPr>
            <w:noProof/>
            <w:webHidden/>
          </w:rPr>
          <w:fldChar w:fldCharType="separate"/>
        </w:r>
        <w:r w:rsidR="005B5FD6">
          <w:rPr>
            <w:noProof/>
            <w:webHidden/>
          </w:rPr>
          <w:t>155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1" w:history="1">
        <w:r w:rsidR="003C440C" w:rsidRPr="003A52BF">
          <w:rPr>
            <w:rStyle w:val="Hyperlink"/>
            <w:noProof/>
          </w:rPr>
          <w:t xml:space="preserve">Figure 184. </w:t>
        </w:r>
        <w:r w:rsidR="003C440C" w:rsidRPr="003A52BF">
          <w:rPr>
            <w:rStyle w:val="Hyperlink"/>
            <w:i/>
            <w:noProof/>
          </w:rPr>
          <w:t>Mean monthly daily maximum temperature, total monthly rainfall (grey bar), and mean monthly 3pm wind speed for Urangan monitoring sites.</w:t>
        </w:r>
        <w:r w:rsidR="003C440C">
          <w:rPr>
            <w:noProof/>
            <w:webHidden/>
          </w:rPr>
          <w:tab/>
        </w:r>
        <w:r w:rsidR="003C440C">
          <w:rPr>
            <w:noProof/>
            <w:webHidden/>
          </w:rPr>
          <w:fldChar w:fldCharType="begin"/>
        </w:r>
        <w:r w:rsidR="003C440C">
          <w:rPr>
            <w:noProof/>
            <w:webHidden/>
          </w:rPr>
          <w:instrText xml:space="preserve"> PAGEREF _Toc384196531 \h </w:instrText>
        </w:r>
        <w:r w:rsidR="003C440C">
          <w:rPr>
            <w:noProof/>
            <w:webHidden/>
          </w:rPr>
        </w:r>
        <w:r w:rsidR="003C440C">
          <w:rPr>
            <w:noProof/>
            <w:webHidden/>
          </w:rPr>
          <w:fldChar w:fldCharType="separate"/>
        </w:r>
        <w:r w:rsidR="005B5FD6">
          <w:rPr>
            <w:noProof/>
            <w:webHidden/>
          </w:rPr>
          <w:t>156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2" w:history="1">
        <w:r w:rsidR="003C440C" w:rsidRPr="003A52BF">
          <w:rPr>
            <w:rStyle w:val="Hyperlink"/>
            <w:noProof/>
          </w:rPr>
          <w:t xml:space="preserve">Figure 185. </w:t>
        </w:r>
        <w:r w:rsidR="003C440C" w:rsidRPr="003A52BF">
          <w:rPr>
            <w:rStyle w:val="Hyperlink"/>
            <w:i/>
            <w:noProof/>
          </w:rPr>
          <w:t>Mean monthly daily maximum temperature (black line), total monthly rainfall (grey bar), mean monthly cloud cover (heavy black line), and mean monthly 3pm wind speed (grey line) for Roods Bay monitoring sites.</w:t>
        </w:r>
        <w:r w:rsidR="003C440C">
          <w:rPr>
            <w:noProof/>
            <w:webHidden/>
          </w:rPr>
          <w:tab/>
        </w:r>
        <w:r w:rsidR="003C440C">
          <w:rPr>
            <w:noProof/>
            <w:webHidden/>
          </w:rPr>
          <w:fldChar w:fldCharType="begin"/>
        </w:r>
        <w:r w:rsidR="003C440C">
          <w:rPr>
            <w:noProof/>
            <w:webHidden/>
          </w:rPr>
          <w:instrText xml:space="preserve"> PAGEREF _Toc384196532 \h </w:instrText>
        </w:r>
        <w:r w:rsidR="003C440C">
          <w:rPr>
            <w:noProof/>
            <w:webHidden/>
          </w:rPr>
        </w:r>
        <w:r w:rsidR="003C440C">
          <w:rPr>
            <w:noProof/>
            <w:webHidden/>
          </w:rPr>
          <w:fldChar w:fldCharType="separate"/>
        </w:r>
        <w:r w:rsidR="005B5FD6">
          <w:rPr>
            <w:noProof/>
            <w:webHidden/>
          </w:rPr>
          <w:t>157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3" w:history="1">
        <w:r w:rsidR="003C440C" w:rsidRPr="003A52BF">
          <w:rPr>
            <w:rStyle w:val="Hyperlink"/>
            <w:noProof/>
          </w:rPr>
          <w:t xml:space="preserve">Figure 186.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Calliope River which would impact estuarine seagrass monitoring sites in Rodds Bay, northern Burnett Mary region</w:t>
        </w:r>
        <w:r w:rsidR="003C440C">
          <w:rPr>
            <w:noProof/>
            <w:webHidden/>
          </w:rPr>
          <w:tab/>
        </w:r>
        <w:r w:rsidR="003C440C">
          <w:rPr>
            <w:noProof/>
            <w:webHidden/>
          </w:rPr>
          <w:fldChar w:fldCharType="begin"/>
        </w:r>
        <w:r w:rsidR="003C440C">
          <w:rPr>
            <w:noProof/>
            <w:webHidden/>
          </w:rPr>
          <w:instrText xml:space="preserve"> PAGEREF _Toc384196533 \h </w:instrText>
        </w:r>
        <w:r w:rsidR="003C440C">
          <w:rPr>
            <w:noProof/>
            <w:webHidden/>
          </w:rPr>
        </w:r>
        <w:r w:rsidR="003C440C">
          <w:rPr>
            <w:noProof/>
            <w:webHidden/>
          </w:rPr>
          <w:fldChar w:fldCharType="separate"/>
        </w:r>
        <w:r w:rsidR="005B5FD6">
          <w:rPr>
            <w:noProof/>
            <w:webHidden/>
          </w:rPr>
          <w:t>158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4" w:history="1">
        <w:r w:rsidR="003C440C" w:rsidRPr="003A52BF">
          <w:rPr>
            <w:rStyle w:val="Hyperlink"/>
            <w:noProof/>
          </w:rPr>
          <w:t xml:space="preserve">Figure 187. </w:t>
        </w:r>
        <w:r w:rsidR="003C440C" w:rsidRPr="003A52BF">
          <w:rPr>
            <w:rStyle w:val="Hyperlink"/>
            <w:i/>
            <w:noProof/>
          </w:rPr>
          <w:t>Average daily flow (ML day</w:t>
        </w:r>
        <w:r w:rsidR="003C440C" w:rsidRPr="003A52BF">
          <w:rPr>
            <w:rStyle w:val="Hyperlink"/>
            <w:i/>
            <w:noProof/>
            <w:vertAlign w:val="superscript"/>
          </w:rPr>
          <w:t>-1</w:t>
        </w:r>
        <w:r w:rsidR="003C440C" w:rsidRPr="003A52BF">
          <w:rPr>
            <w:rStyle w:val="Hyperlink"/>
            <w:i/>
            <w:noProof/>
          </w:rPr>
          <w:t>) per month from the Mary River which would impact estuarine seagrass monitoring sites at Urangan, southern Burnett Mary region</w:t>
        </w:r>
        <w:r w:rsidR="003C440C">
          <w:rPr>
            <w:noProof/>
            <w:webHidden/>
          </w:rPr>
          <w:tab/>
        </w:r>
        <w:r w:rsidR="003C440C">
          <w:rPr>
            <w:noProof/>
            <w:webHidden/>
          </w:rPr>
          <w:fldChar w:fldCharType="begin"/>
        </w:r>
        <w:r w:rsidR="003C440C">
          <w:rPr>
            <w:noProof/>
            <w:webHidden/>
          </w:rPr>
          <w:instrText xml:space="preserve"> PAGEREF _Toc384196534 \h </w:instrText>
        </w:r>
        <w:r w:rsidR="003C440C">
          <w:rPr>
            <w:noProof/>
            <w:webHidden/>
          </w:rPr>
        </w:r>
        <w:r w:rsidR="003C440C">
          <w:rPr>
            <w:noProof/>
            <w:webHidden/>
          </w:rPr>
          <w:fldChar w:fldCharType="separate"/>
        </w:r>
        <w:r w:rsidR="005B5FD6">
          <w:rPr>
            <w:noProof/>
            <w:webHidden/>
          </w:rPr>
          <w:t>158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5" w:history="1">
        <w:r w:rsidR="003C440C" w:rsidRPr="003A52BF">
          <w:rPr>
            <w:rStyle w:val="Hyperlink"/>
            <w:noProof/>
          </w:rPr>
          <w:t xml:space="preserve">Figure 188. </w:t>
        </w:r>
        <w:r w:rsidR="003C440C" w:rsidRPr="003A52BF">
          <w:rPr>
            <w:rStyle w:val="Hyperlink"/>
            <w:i/>
            <w:noProof/>
          </w:rPr>
          <w:t>Summary of GBR MMP inshore seagrass state illustrating abundance of foundation / colonising species, and seed banks from 2005 to 2012.</w:t>
        </w:r>
        <w:r w:rsidR="003C440C">
          <w:rPr>
            <w:noProof/>
            <w:webHidden/>
          </w:rPr>
          <w:tab/>
        </w:r>
        <w:r w:rsidR="003C440C">
          <w:rPr>
            <w:noProof/>
            <w:webHidden/>
          </w:rPr>
          <w:fldChar w:fldCharType="begin"/>
        </w:r>
        <w:r w:rsidR="003C440C">
          <w:rPr>
            <w:noProof/>
            <w:webHidden/>
          </w:rPr>
          <w:instrText xml:space="preserve"> PAGEREF _Toc384196535 \h </w:instrText>
        </w:r>
        <w:r w:rsidR="003C440C">
          <w:rPr>
            <w:noProof/>
            <w:webHidden/>
          </w:rPr>
        </w:r>
        <w:r w:rsidR="003C440C">
          <w:rPr>
            <w:noProof/>
            <w:webHidden/>
          </w:rPr>
          <w:fldChar w:fldCharType="separate"/>
        </w:r>
        <w:r w:rsidR="005B5FD6">
          <w:rPr>
            <w:noProof/>
            <w:webHidden/>
          </w:rPr>
          <w:t>159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6" w:history="1">
        <w:r w:rsidR="003C440C" w:rsidRPr="003A52BF">
          <w:rPr>
            <w:rStyle w:val="Hyperlink"/>
            <w:noProof/>
          </w:rPr>
          <w:t xml:space="preserve">Figure 189. </w:t>
        </w:r>
        <w:r w:rsidR="003C440C" w:rsidRPr="003A52BF">
          <w:rPr>
            <w:rStyle w:val="Hyperlink"/>
            <w:i/>
            <w:noProof/>
          </w:rPr>
          <w:t>Seagrass stress response model outlining the sequence of changes that occur in response to increasing stress.</w:t>
        </w:r>
        <w:r w:rsidR="003C440C">
          <w:rPr>
            <w:noProof/>
            <w:webHidden/>
          </w:rPr>
          <w:tab/>
        </w:r>
        <w:r w:rsidR="003C440C">
          <w:rPr>
            <w:noProof/>
            <w:webHidden/>
          </w:rPr>
          <w:fldChar w:fldCharType="begin"/>
        </w:r>
        <w:r w:rsidR="003C440C">
          <w:rPr>
            <w:noProof/>
            <w:webHidden/>
          </w:rPr>
          <w:instrText xml:space="preserve"> PAGEREF _Toc384196536 \h </w:instrText>
        </w:r>
        <w:r w:rsidR="003C440C">
          <w:rPr>
            <w:noProof/>
            <w:webHidden/>
          </w:rPr>
        </w:r>
        <w:r w:rsidR="003C440C">
          <w:rPr>
            <w:noProof/>
            <w:webHidden/>
          </w:rPr>
          <w:fldChar w:fldCharType="separate"/>
        </w:r>
        <w:r w:rsidR="005B5FD6">
          <w:rPr>
            <w:noProof/>
            <w:webHidden/>
          </w:rPr>
          <w:t>161</w:t>
        </w:r>
        <w:r w:rsidR="003C440C">
          <w:rPr>
            <w:noProof/>
            <w:webHidden/>
          </w:rPr>
          <w:fldChar w:fldCharType="end"/>
        </w:r>
      </w:hyperlink>
    </w:p>
    <w:p w:rsidR="005132EF" w:rsidRPr="00370E70" w:rsidRDefault="005132EF" w:rsidP="00034AD4">
      <w:pPr>
        <w:tabs>
          <w:tab w:val="left" w:pos="1134"/>
          <w:tab w:val="left" w:pos="1418"/>
          <w:tab w:val="right" w:leader="dot" w:pos="9072"/>
        </w:tabs>
        <w:ind w:left="1440" w:hanging="1440"/>
      </w:pPr>
      <w:r w:rsidRPr="00370E70">
        <w:rPr>
          <w:szCs w:val="22"/>
        </w:rPr>
        <w:fldChar w:fldCharType="end"/>
      </w:r>
    </w:p>
    <w:p w:rsidR="005132EF" w:rsidRPr="00370E70" w:rsidRDefault="005132EF" w:rsidP="00034AD4">
      <w:r w:rsidRPr="00370E70">
        <w:br w:type="page"/>
      </w:r>
    </w:p>
    <w:p w:rsidR="005132EF" w:rsidRPr="00370E70" w:rsidRDefault="005132EF" w:rsidP="00034AD4">
      <w:pPr>
        <w:spacing w:after="240"/>
        <w:rPr>
          <w:rFonts w:ascii="Century Gothic" w:hAnsi="Century Gothic"/>
          <w:b/>
          <w:sz w:val="36"/>
          <w:szCs w:val="36"/>
        </w:rPr>
      </w:pPr>
      <w:r w:rsidRPr="00370E70">
        <w:rPr>
          <w:rFonts w:ascii="Century Gothic" w:hAnsi="Century Gothic"/>
          <w:b/>
          <w:sz w:val="36"/>
          <w:szCs w:val="36"/>
        </w:rPr>
        <w:lastRenderedPageBreak/>
        <w:t>List of Tables</w:t>
      </w:r>
    </w:p>
    <w:p w:rsidR="003C440C" w:rsidRDefault="005132EF">
      <w:pPr>
        <w:pStyle w:val="TableofFigures"/>
        <w:tabs>
          <w:tab w:val="right" w:leader="dot" w:pos="9060"/>
        </w:tabs>
        <w:rPr>
          <w:rFonts w:ascii="Times New Roman" w:hAnsi="Times New Roman"/>
          <w:noProof/>
          <w:sz w:val="24"/>
          <w:lang w:eastAsia="en-AU"/>
        </w:rPr>
      </w:pPr>
      <w:r w:rsidRPr="00370E70">
        <w:rPr>
          <w:rFonts w:cs="Arial"/>
          <w:szCs w:val="22"/>
        </w:rPr>
        <w:fldChar w:fldCharType="begin"/>
      </w:r>
      <w:r w:rsidRPr="00370E70">
        <w:rPr>
          <w:rFonts w:cs="Arial"/>
          <w:szCs w:val="22"/>
        </w:rPr>
        <w:instrText xml:space="preserve"> TOC \h \z \c "Table" </w:instrText>
      </w:r>
      <w:r w:rsidRPr="00370E70">
        <w:rPr>
          <w:rFonts w:cs="Arial"/>
          <w:szCs w:val="22"/>
        </w:rPr>
        <w:fldChar w:fldCharType="separate"/>
      </w:r>
      <w:hyperlink w:anchor="_Toc384196537" w:history="1">
        <w:r w:rsidR="003C440C" w:rsidRPr="008501F5">
          <w:rPr>
            <w:rStyle w:val="Hyperlink"/>
            <w:noProof/>
          </w:rPr>
          <w:t xml:space="preserve">Table 1. </w:t>
        </w:r>
        <w:r w:rsidR="003C440C" w:rsidRPr="008501F5">
          <w:rPr>
            <w:rStyle w:val="Hyperlink"/>
            <w:i/>
            <w:noProof/>
          </w:rPr>
          <w:t>Report card for seagrass status for the GBR and each NRM region: July 2011 – May 2012</w:t>
        </w:r>
        <w:r w:rsidR="003C440C">
          <w:rPr>
            <w:noProof/>
            <w:webHidden/>
          </w:rPr>
          <w:tab/>
        </w:r>
        <w:r w:rsidR="003C440C">
          <w:rPr>
            <w:noProof/>
            <w:webHidden/>
          </w:rPr>
          <w:fldChar w:fldCharType="begin"/>
        </w:r>
        <w:r w:rsidR="003C440C">
          <w:rPr>
            <w:noProof/>
            <w:webHidden/>
          </w:rPr>
          <w:instrText xml:space="preserve"> PAGEREF _Toc384196537 \h </w:instrText>
        </w:r>
        <w:r w:rsidR="003C440C">
          <w:rPr>
            <w:noProof/>
            <w:webHidden/>
          </w:rPr>
        </w:r>
        <w:r w:rsidR="003C440C">
          <w:rPr>
            <w:noProof/>
            <w:webHidden/>
          </w:rPr>
          <w:fldChar w:fldCharType="separate"/>
        </w:r>
        <w:r w:rsidR="005B5FD6">
          <w:rPr>
            <w:noProof/>
            <w:webHidden/>
          </w:rPr>
          <w:t>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8" w:history="1">
        <w:r w:rsidR="003C440C" w:rsidRPr="008501F5">
          <w:rPr>
            <w:rStyle w:val="Hyperlink"/>
            <w:noProof/>
          </w:rPr>
          <w:t xml:space="preserve">Table 2. </w:t>
        </w:r>
        <w:r w:rsidR="003C440C" w:rsidRPr="008501F5">
          <w:rPr>
            <w:rStyle w:val="Hyperlink"/>
            <w:i/>
            <w:noProof/>
          </w:rPr>
          <w:t>Response stages of seagrass meadows to external stressors and the indicator responses observed in Great Barrier Reef monitored seagrass meadows</w:t>
        </w:r>
        <w:r w:rsidR="003C440C">
          <w:rPr>
            <w:noProof/>
            <w:webHidden/>
          </w:rPr>
          <w:tab/>
        </w:r>
        <w:r w:rsidR="003C440C">
          <w:rPr>
            <w:noProof/>
            <w:webHidden/>
          </w:rPr>
          <w:fldChar w:fldCharType="begin"/>
        </w:r>
        <w:r w:rsidR="003C440C">
          <w:rPr>
            <w:noProof/>
            <w:webHidden/>
          </w:rPr>
          <w:instrText xml:space="preserve"> PAGEREF _Toc384196538 \h </w:instrText>
        </w:r>
        <w:r w:rsidR="003C440C">
          <w:rPr>
            <w:noProof/>
            <w:webHidden/>
          </w:rPr>
        </w:r>
        <w:r w:rsidR="003C440C">
          <w:rPr>
            <w:noProof/>
            <w:webHidden/>
          </w:rPr>
          <w:fldChar w:fldCharType="separate"/>
        </w:r>
        <w:r w:rsidR="005B5FD6">
          <w:rPr>
            <w:noProof/>
            <w:webHidden/>
          </w:rPr>
          <w:t>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39" w:history="1">
        <w:r w:rsidR="003C440C" w:rsidRPr="008501F5">
          <w:rPr>
            <w:rStyle w:val="Hyperlink"/>
            <w:noProof/>
          </w:rPr>
          <w:t xml:space="preserve">Table 3. </w:t>
        </w:r>
        <w:r w:rsidR="003C440C" w:rsidRPr="008501F5">
          <w:rPr>
            <w:rStyle w:val="Hyperlink"/>
            <w:i/>
            <w:noProof/>
          </w:rPr>
          <w:t>Reef Rescue MMP inshore seagrass long-term monitoring sites</w:t>
        </w:r>
        <w:r w:rsidR="003C440C">
          <w:rPr>
            <w:noProof/>
            <w:webHidden/>
          </w:rPr>
          <w:tab/>
        </w:r>
        <w:r w:rsidR="003C440C">
          <w:rPr>
            <w:noProof/>
            <w:webHidden/>
          </w:rPr>
          <w:fldChar w:fldCharType="begin"/>
        </w:r>
        <w:r w:rsidR="003C440C">
          <w:rPr>
            <w:noProof/>
            <w:webHidden/>
          </w:rPr>
          <w:instrText xml:space="preserve"> PAGEREF _Toc384196539 \h </w:instrText>
        </w:r>
        <w:r w:rsidR="003C440C">
          <w:rPr>
            <w:noProof/>
            <w:webHidden/>
          </w:rPr>
        </w:r>
        <w:r w:rsidR="003C440C">
          <w:rPr>
            <w:noProof/>
            <w:webHidden/>
          </w:rPr>
          <w:fldChar w:fldCharType="separate"/>
        </w:r>
        <w:r w:rsidR="005B5FD6">
          <w:rPr>
            <w:noProof/>
            <w:webHidden/>
          </w:rPr>
          <w:t>10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0" w:history="1">
        <w:r w:rsidR="003C440C" w:rsidRPr="008501F5">
          <w:rPr>
            <w:rStyle w:val="Hyperlink"/>
            <w:noProof/>
          </w:rPr>
          <w:t xml:space="preserve">Table 4. </w:t>
        </w:r>
        <w:r w:rsidR="003C440C" w:rsidRPr="008501F5">
          <w:rPr>
            <w:rStyle w:val="Hyperlink"/>
            <w:i/>
            <w:noProof/>
          </w:rPr>
          <w:t>Samples collected at each monitoring site for each season</w:t>
        </w:r>
        <w:r w:rsidR="003C440C">
          <w:rPr>
            <w:noProof/>
            <w:webHidden/>
          </w:rPr>
          <w:tab/>
        </w:r>
        <w:r w:rsidR="003C440C">
          <w:rPr>
            <w:noProof/>
            <w:webHidden/>
          </w:rPr>
          <w:fldChar w:fldCharType="begin"/>
        </w:r>
        <w:r w:rsidR="003C440C">
          <w:rPr>
            <w:noProof/>
            <w:webHidden/>
          </w:rPr>
          <w:instrText xml:space="preserve"> PAGEREF _Toc384196540 \h </w:instrText>
        </w:r>
        <w:r w:rsidR="003C440C">
          <w:rPr>
            <w:noProof/>
            <w:webHidden/>
          </w:rPr>
        </w:r>
        <w:r w:rsidR="003C440C">
          <w:rPr>
            <w:noProof/>
            <w:webHidden/>
          </w:rPr>
          <w:fldChar w:fldCharType="separate"/>
        </w:r>
        <w:r w:rsidR="005B5FD6">
          <w:rPr>
            <w:noProof/>
            <w:webHidden/>
          </w:rPr>
          <w:t>11</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1" w:history="1">
        <w:r w:rsidR="003C440C" w:rsidRPr="008501F5">
          <w:rPr>
            <w:rStyle w:val="Hyperlink"/>
            <w:noProof/>
          </w:rPr>
          <w:t xml:space="preserve">Table 5. </w:t>
        </w:r>
        <w:r w:rsidR="003C440C" w:rsidRPr="008501F5">
          <w:rPr>
            <w:rStyle w:val="Hyperlink"/>
            <w:i/>
            <w:noProof/>
          </w:rPr>
          <w:t>Presence of foundation (</w:t>
        </w:r>
        <w:r w:rsidR="003C440C" w:rsidRPr="008501F5">
          <w:rPr>
            <w:rStyle w:val="Hyperlink"/>
            <w:noProof/>
          </w:rPr>
          <w:sym w:font="Wingdings" w:char="F06E"/>
        </w:r>
        <w:r w:rsidR="003C440C" w:rsidRPr="008501F5">
          <w:rPr>
            <w:rStyle w:val="Hyperlink"/>
            <w:i/>
            <w:noProof/>
          </w:rPr>
          <w:t>) and other (□) seagrass species in monitoring locations sampled in Reef Rescue MMP for plant tissue and reproductive health</w:t>
        </w:r>
        <w:r w:rsidR="003C440C">
          <w:rPr>
            <w:noProof/>
            <w:webHidden/>
          </w:rPr>
          <w:tab/>
        </w:r>
        <w:r w:rsidR="003C440C">
          <w:rPr>
            <w:noProof/>
            <w:webHidden/>
          </w:rPr>
          <w:fldChar w:fldCharType="begin"/>
        </w:r>
        <w:r w:rsidR="003C440C">
          <w:rPr>
            <w:noProof/>
            <w:webHidden/>
          </w:rPr>
          <w:instrText xml:space="preserve"> PAGEREF _Toc384196541 \h </w:instrText>
        </w:r>
        <w:r w:rsidR="003C440C">
          <w:rPr>
            <w:noProof/>
            <w:webHidden/>
          </w:rPr>
        </w:r>
        <w:r w:rsidR="003C440C">
          <w:rPr>
            <w:noProof/>
            <w:webHidden/>
          </w:rPr>
          <w:fldChar w:fldCharType="separate"/>
        </w:r>
        <w:r w:rsidR="005B5FD6">
          <w:rPr>
            <w:noProof/>
            <w:webHidden/>
          </w:rPr>
          <w:t>12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2" w:history="1">
        <w:r w:rsidR="003C440C" w:rsidRPr="008501F5">
          <w:rPr>
            <w:rStyle w:val="Hyperlink"/>
            <w:noProof/>
          </w:rPr>
          <w:t xml:space="preserve">Table 6. </w:t>
        </w:r>
        <w:r w:rsidR="003C440C" w:rsidRPr="008501F5">
          <w:rPr>
            <w:rStyle w:val="Hyperlink"/>
            <w:i/>
            <w:noProof/>
          </w:rPr>
          <w:t>Minimum light requirements (MLR) derived from the literature (15-25%) were converted to daily irradiance from surface light at sites where surface light is also monitored.</w:t>
        </w:r>
        <w:r w:rsidR="003C440C">
          <w:rPr>
            <w:noProof/>
            <w:webHidden/>
          </w:rPr>
          <w:tab/>
        </w:r>
        <w:r w:rsidR="003C440C">
          <w:rPr>
            <w:noProof/>
            <w:webHidden/>
          </w:rPr>
          <w:fldChar w:fldCharType="begin"/>
        </w:r>
        <w:r w:rsidR="003C440C">
          <w:rPr>
            <w:noProof/>
            <w:webHidden/>
          </w:rPr>
          <w:instrText xml:space="preserve"> PAGEREF _Toc384196542 \h </w:instrText>
        </w:r>
        <w:r w:rsidR="003C440C">
          <w:rPr>
            <w:noProof/>
            <w:webHidden/>
          </w:rPr>
        </w:r>
        <w:r w:rsidR="003C440C">
          <w:rPr>
            <w:noProof/>
            <w:webHidden/>
          </w:rPr>
          <w:fldChar w:fldCharType="separate"/>
        </w:r>
        <w:r w:rsidR="005B5FD6">
          <w:rPr>
            <w:noProof/>
            <w:webHidden/>
          </w:rPr>
          <w:t>17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3" w:history="1">
        <w:r w:rsidR="003C440C" w:rsidRPr="008501F5">
          <w:rPr>
            <w:rStyle w:val="Hyperlink"/>
            <w:noProof/>
          </w:rPr>
          <w:t xml:space="preserve">Table 7. </w:t>
        </w:r>
        <w:r w:rsidR="003C440C" w:rsidRPr="008501F5">
          <w:rPr>
            <w:rStyle w:val="Hyperlink"/>
            <w:i/>
            <w:noProof/>
          </w:rPr>
          <w:t>Seagrass percentage cover guidelines (“the seagrass guidelines”) for each site and the subregional guidelines (bold) for each NRM habitat</w:t>
        </w:r>
        <w:r w:rsidR="003C440C">
          <w:rPr>
            <w:noProof/>
            <w:webHidden/>
          </w:rPr>
          <w:tab/>
        </w:r>
        <w:r w:rsidR="003C440C">
          <w:rPr>
            <w:noProof/>
            <w:webHidden/>
          </w:rPr>
          <w:fldChar w:fldCharType="begin"/>
        </w:r>
        <w:r w:rsidR="003C440C">
          <w:rPr>
            <w:noProof/>
            <w:webHidden/>
          </w:rPr>
          <w:instrText xml:space="preserve"> PAGEREF _Toc384196543 \h </w:instrText>
        </w:r>
        <w:r w:rsidR="003C440C">
          <w:rPr>
            <w:noProof/>
            <w:webHidden/>
          </w:rPr>
        </w:r>
        <w:r w:rsidR="003C440C">
          <w:rPr>
            <w:noProof/>
            <w:webHidden/>
          </w:rPr>
          <w:fldChar w:fldCharType="separate"/>
        </w:r>
        <w:r w:rsidR="005B5FD6">
          <w:rPr>
            <w:noProof/>
            <w:webHidden/>
          </w:rPr>
          <w:t>22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4" w:history="1">
        <w:r w:rsidR="003C440C" w:rsidRPr="008501F5">
          <w:rPr>
            <w:rStyle w:val="Hyperlink"/>
            <w:noProof/>
          </w:rPr>
          <w:t xml:space="preserve">Table 8. </w:t>
        </w:r>
        <w:r w:rsidR="003C440C" w:rsidRPr="008501F5">
          <w:rPr>
            <w:rStyle w:val="Hyperlink"/>
            <w:rFonts w:cs="Arial"/>
            <w:i/>
            <w:noProof/>
          </w:rPr>
          <w:t>Scoring threshold table to determine seagrass abundance status.</w:t>
        </w:r>
        <w:r w:rsidR="003C440C">
          <w:rPr>
            <w:noProof/>
            <w:webHidden/>
          </w:rPr>
          <w:tab/>
        </w:r>
        <w:r w:rsidR="003C440C">
          <w:rPr>
            <w:noProof/>
            <w:webHidden/>
          </w:rPr>
          <w:fldChar w:fldCharType="begin"/>
        </w:r>
        <w:r w:rsidR="003C440C">
          <w:rPr>
            <w:noProof/>
            <w:webHidden/>
          </w:rPr>
          <w:instrText xml:space="preserve"> PAGEREF _Toc384196544 \h </w:instrText>
        </w:r>
        <w:r w:rsidR="003C440C">
          <w:rPr>
            <w:noProof/>
            <w:webHidden/>
          </w:rPr>
        </w:r>
        <w:r w:rsidR="003C440C">
          <w:rPr>
            <w:noProof/>
            <w:webHidden/>
          </w:rPr>
          <w:fldChar w:fldCharType="separate"/>
        </w:r>
        <w:r w:rsidR="005B5FD6">
          <w:rPr>
            <w:noProof/>
            <w:webHidden/>
          </w:rPr>
          <w:t>22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5" w:history="1">
        <w:r w:rsidR="003C440C" w:rsidRPr="008501F5">
          <w:rPr>
            <w:rStyle w:val="Hyperlink"/>
            <w:noProof/>
          </w:rPr>
          <w:t xml:space="preserve">Table 9. </w:t>
        </w:r>
        <w:r w:rsidR="003C440C" w:rsidRPr="008501F5">
          <w:rPr>
            <w:rStyle w:val="Hyperlink"/>
            <w:rFonts w:cs="Arial"/>
            <w:i/>
            <w:noProof/>
          </w:rPr>
          <w:t xml:space="preserve">Scores for </w:t>
        </w:r>
        <w:r w:rsidR="003C440C" w:rsidRPr="008501F5">
          <w:rPr>
            <w:rStyle w:val="Hyperlink"/>
            <w:i/>
            <w:iCs/>
            <w:noProof/>
            <w:lang w:eastAsia="en-AU"/>
          </w:rPr>
          <w:t xml:space="preserve">late dry </w:t>
        </w:r>
        <w:r w:rsidR="003C440C" w:rsidRPr="008501F5">
          <w:rPr>
            <w:rStyle w:val="Hyperlink"/>
            <w:rFonts w:cs="Arial"/>
            <w:i/>
            <w:noProof/>
          </w:rPr>
          <w:t>monitoring period reproductive effort average against long-term (2005-2009) GBR habitat average.</w:t>
        </w:r>
        <w:r w:rsidR="003C440C">
          <w:rPr>
            <w:noProof/>
            <w:webHidden/>
          </w:rPr>
          <w:tab/>
        </w:r>
        <w:r w:rsidR="003C440C">
          <w:rPr>
            <w:noProof/>
            <w:webHidden/>
          </w:rPr>
          <w:fldChar w:fldCharType="begin"/>
        </w:r>
        <w:r w:rsidR="003C440C">
          <w:rPr>
            <w:noProof/>
            <w:webHidden/>
          </w:rPr>
          <w:instrText xml:space="preserve"> PAGEREF _Toc384196545 \h </w:instrText>
        </w:r>
        <w:r w:rsidR="003C440C">
          <w:rPr>
            <w:noProof/>
            <w:webHidden/>
          </w:rPr>
        </w:r>
        <w:r w:rsidR="003C440C">
          <w:rPr>
            <w:noProof/>
            <w:webHidden/>
          </w:rPr>
          <w:fldChar w:fldCharType="separate"/>
        </w:r>
        <w:r w:rsidR="005B5FD6">
          <w:rPr>
            <w:noProof/>
            <w:webHidden/>
          </w:rPr>
          <w:t>23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6" w:history="1">
        <w:r w:rsidR="003C440C" w:rsidRPr="008501F5">
          <w:rPr>
            <w:rStyle w:val="Hyperlink"/>
            <w:noProof/>
          </w:rPr>
          <w:t xml:space="preserve">Table 10. </w:t>
        </w:r>
        <w:r w:rsidR="003C440C" w:rsidRPr="008501F5">
          <w:rPr>
            <w:rStyle w:val="Hyperlink"/>
            <w:rFonts w:cs="Arial"/>
            <w:i/>
            <w:noProof/>
          </w:rPr>
          <w:t>Scores for leaf tissue C:N against guideline to determine light and nutrient availability.</w:t>
        </w:r>
        <w:r w:rsidR="003C440C">
          <w:rPr>
            <w:noProof/>
            <w:webHidden/>
          </w:rPr>
          <w:tab/>
        </w:r>
        <w:r w:rsidR="003C440C">
          <w:rPr>
            <w:noProof/>
            <w:webHidden/>
          </w:rPr>
          <w:fldChar w:fldCharType="begin"/>
        </w:r>
        <w:r w:rsidR="003C440C">
          <w:rPr>
            <w:noProof/>
            <w:webHidden/>
          </w:rPr>
          <w:instrText xml:space="preserve"> PAGEREF _Toc384196546 \h </w:instrText>
        </w:r>
        <w:r w:rsidR="003C440C">
          <w:rPr>
            <w:noProof/>
            <w:webHidden/>
          </w:rPr>
        </w:r>
        <w:r w:rsidR="003C440C">
          <w:rPr>
            <w:noProof/>
            <w:webHidden/>
          </w:rPr>
          <w:fldChar w:fldCharType="separate"/>
        </w:r>
        <w:r w:rsidR="005B5FD6">
          <w:rPr>
            <w:noProof/>
            <w:webHidden/>
          </w:rPr>
          <w:t>24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7" w:history="1">
        <w:r w:rsidR="003C440C" w:rsidRPr="008501F5">
          <w:rPr>
            <w:rStyle w:val="Hyperlink"/>
            <w:noProof/>
          </w:rPr>
          <w:t xml:space="preserve">Table 11. </w:t>
        </w:r>
        <w:r w:rsidR="003C440C" w:rsidRPr="008501F5">
          <w:rPr>
            <w:rStyle w:val="Hyperlink"/>
            <w:i/>
            <w:noProof/>
          </w:rPr>
          <w:t>Area of seagrass shallower than 15m in each NRM region (from McKenzie 2010) within the boundaries of the Great Barrier Reef World Heritage Area</w:t>
        </w:r>
        <w:r w:rsidR="003C440C">
          <w:rPr>
            <w:noProof/>
            <w:webHidden/>
          </w:rPr>
          <w:tab/>
        </w:r>
        <w:r w:rsidR="003C440C">
          <w:rPr>
            <w:noProof/>
            <w:webHidden/>
          </w:rPr>
          <w:fldChar w:fldCharType="begin"/>
        </w:r>
        <w:r w:rsidR="003C440C">
          <w:rPr>
            <w:noProof/>
            <w:webHidden/>
          </w:rPr>
          <w:instrText xml:space="preserve"> PAGEREF _Toc384196547 \h </w:instrText>
        </w:r>
        <w:r w:rsidR="003C440C">
          <w:rPr>
            <w:noProof/>
            <w:webHidden/>
          </w:rPr>
        </w:r>
        <w:r w:rsidR="003C440C">
          <w:rPr>
            <w:noProof/>
            <w:webHidden/>
          </w:rPr>
          <w:fldChar w:fldCharType="separate"/>
        </w:r>
        <w:r w:rsidR="005B5FD6">
          <w:rPr>
            <w:noProof/>
            <w:webHidden/>
          </w:rPr>
          <w:t>24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8" w:history="1">
        <w:r w:rsidR="003C440C" w:rsidRPr="008501F5">
          <w:rPr>
            <w:rStyle w:val="Hyperlink"/>
            <w:noProof/>
          </w:rPr>
          <w:t xml:space="preserve">Table 12. </w:t>
        </w:r>
        <w:r w:rsidR="003C440C" w:rsidRPr="008501F5">
          <w:rPr>
            <w:rStyle w:val="Hyperlink"/>
            <w:i/>
            <w:noProof/>
          </w:rPr>
          <w:t>Report card for seagrass status for the GBR and each NRM region: July 2011 – May 2012</w:t>
        </w:r>
        <w:r w:rsidR="003C440C">
          <w:rPr>
            <w:noProof/>
            <w:webHidden/>
          </w:rPr>
          <w:tab/>
        </w:r>
        <w:r w:rsidR="003C440C">
          <w:rPr>
            <w:noProof/>
            <w:webHidden/>
          </w:rPr>
          <w:fldChar w:fldCharType="begin"/>
        </w:r>
        <w:r w:rsidR="003C440C">
          <w:rPr>
            <w:noProof/>
            <w:webHidden/>
          </w:rPr>
          <w:instrText xml:space="preserve"> PAGEREF _Toc384196548 \h </w:instrText>
        </w:r>
        <w:r w:rsidR="003C440C">
          <w:rPr>
            <w:noProof/>
            <w:webHidden/>
          </w:rPr>
        </w:r>
        <w:r w:rsidR="003C440C">
          <w:rPr>
            <w:noProof/>
            <w:webHidden/>
          </w:rPr>
          <w:fldChar w:fldCharType="separate"/>
        </w:r>
        <w:r w:rsidR="005B5FD6">
          <w:rPr>
            <w:noProof/>
            <w:webHidden/>
          </w:rPr>
          <w:t>26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49" w:history="1">
        <w:r w:rsidR="003C440C" w:rsidRPr="008501F5">
          <w:rPr>
            <w:rStyle w:val="Hyperlink"/>
            <w:noProof/>
          </w:rPr>
          <w:t xml:space="preserve">Table 13. </w:t>
        </w:r>
        <w:r w:rsidR="003C440C" w:rsidRPr="008501F5">
          <w:rPr>
            <w:rStyle w:val="Hyperlink"/>
            <w:i/>
            <w:noProof/>
          </w:rPr>
          <w:t>Long-term report card for seagrass abundance status for each habitat in each NRM region: July 2005 – May 2012</w:t>
        </w:r>
        <w:r w:rsidR="003C440C">
          <w:rPr>
            <w:noProof/>
            <w:webHidden/>
          </w:rPr>
          <w:tab/>
        </w:r>
        <w:r w:rsidR="003C440C">
          <w:rPr>
            <w:noProof/>
            <w:webHidden/>
          </w:rPr>
          <w:fldChar w:fldCharType="begin"/>
        </w:r>
        <w:r w:rsidR="003C440C">
          <w:rPr>
            <w:noProof/>
            <w:webHidden/>
          </w:rPr>
          <w:instrText xml:space="preserve"> PAGEREF _Toc384196549 \h </w:instrText>
        </w:r>
        <w:r w:rsidR="003C440C">
          <w:rPr>
            <w:noProof/>
            <w:webHidden/>
          </w:rPr>
        </w:r>
        <w:r w:rsidR="003C440C">
          <w:rPr>
            <w:noProof/>
            <w:webHidden/>
          </w:rPr>
          <w:fldChar w:fldCharType="separate"/>
        </w:r>
        <w:r w:rsidR="005B5FD6">
          <w:rPr>
            <w:noProof/>
            <w:webHidden/>
          </w:rPr>
          <w:t>28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0" w:history="1">
        <w:r w:rsidR="003C440C" w:rsidRPr="008501F5">
          <w:rPr>
            <w:rStyle w:val="Hyperlink"/>
            <w:noProof/>
          </w:rPr>
          <w:t xml:space="preserve">Table 14. </w:t>
        </w:r>
        <w:r w:rsidR="003C440C" w:rsidRPr="008501F5">
          <w:rPr>
            <w:rStyle w:val="Hyperlink"/>
            <w:i/>
            <w:noProof/>
          </w:rPr>
          <w:t>Minimal light threshold exceedance for days below defined threshold</w:t>
        </w:r>
        <w:r w:rsidR="003C440C">
          <w:rPr>
            <w:noProof/>
            <w:webHidden/>
          </w:rPr>
          <w:tab/>
        </w:r>
        <w:r w:rsidR="003C440C">
          <w:rPr>
            <w:noProof/>
            <w:webHidden/>
          </w:rPr>
          <w:fldChar w:fldCharType="begin"/>
        </w:r>
        <w:r w:rsidR="003C440C">
          <w:rPr>
            <w:noProof/>
            <w:webHidden/>
          </w:rPr>
          <w:instrText xml:space="preserve"> PAGEREF _Toc384196550 \h </w:instrText>
        </w:r>
        <w:r w:rsidR="003C440C">
          <w:rPr>
            <w:noProof/>
            <w:webHidden/>
          </w:rPr>
        </w:r>
        <w:r w:rsidR="003C440C">
          <w:rPr>
            <w:noProof/>
            <w:webHidden/>
          </w:rPr>
          <w:fldChar w:fldCharType="separate"/>
        </w:r>
        <w:r w:rsidR="005B5FD6">
          <w:rPr>
            <w:noProof/>
            <w:webHidden/>
          </w:rPr>
          <w:t>36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1" w:history="1">
        <w:r w:rsidR="003C440C" w:rsidRPr="008501F5">
          <w:rPr>
            <w:rStyle w:val="Hyperlink"/>
            <w:noProof/>
          </w:rPr>
          <w:t xml:space="preserve">Table 15. </w:t>
        </w:r>
        <w:r w:rsidR="003C440C" w:rsidRPr="008501F5">
          <w:rPr>
            <w:rStyle w:val="Hyperlink"/>
            <w:i/>
            <w:noProof/>
          </w:rPr>
          <w:t>Report card for seagrass status (community &amp; environment) for the Cape York region: July 2011 – May 2012</w:t>
        </w:r>
        <w:r w:rsidR="003C440C">
          <w:rPr>
            <w:noProof/>
            <w:webHidden/>
          </w:rPr>
          <w:tab/>
        </w:r>
        <w:r w:rsidR="003C440C">
          <w:rPr>
            <w:noProof/>
            <w:webHidden/>
          </w:rPr>
          <w:fldChar w:fldCharType="begin"/>
        </w:r>
        <w:r w:rsidR="003C440C">
          <w:rPr>
            <w:noProof/>
            <w:webHidden/>
          </w:rPr>
          <w:instrText xml:space="preserve"> PAGEREF _Toc384196551 \h </w:instrText>
        </w:r>
        <w:r w:rsidR="003C440C">
          <w:rPr>
            <w:noProof/>
            <w:webHidden/>
          </w:rPr>
        </w:r>
        <w:r w:rsidR="003C440C">
          <w:rPr>
            <w:noProof/>
            <w:webHidden/>
          </w:rPr>
          <w:fldChar w:fldCharType="separate"/>
        </w:r>
        <w:r w:rsidR="005B5FD6">
          <w:rPr>
            <w:noProof/>
            <w:webHidden/>
          </w:rPr>
          <w:t>39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2" w:history="1">
        <w:r w:rsidR="003C440C" w:rsidRPr="008501F5">
          <w:rPr>
            <w:rStyle w:val="Hyperlink"/>
            <w:noProof/>
          </w:rPr>
          <w:t xml:space="preserve">Table 16. </w:t>
        </w:r>
        <w:r w:rsidR="003C440C" w:rsidRPr="008501F5">
          <w:rPr>
            <w:rStyle w:val="Hyperlink"/>
            <w:i/>
            <w:noProof/>
          </w:rPr>
          <w:t>Area (ha) of seagrass meadow being monitored within 100m radius of each Archer Point site</w:t>
        </w:r>
        <w:r w:rsidR="003C440C">
          <w:rPr>
            <w:noProof/>
            <w:webHidden/>
          </w:rPr>
          <w:tab/>
        </w:r>
        <w:r w:rsidR="003C440C">
          <w:rPr>
            <w:noProof/>
            <w:webHidden/>
          </w:rPr>
          <w:fldChar w:fldCharType="begin"/>
        </w:r>
        <w:r w:rsidR="003C440C">
          <w:rPr>
            <w:noProof/>
            <w:webHidden/>
          </w:rPr>
          <w:instrText xml:space="preserve"> PAGEREF _Toc384196552 \h </w:instrText>
        </w:r>
        <w:r w:rsidR="003C440C">
          <w:rPr>
            <w:noProof/>
            <w:webHidden/>
          </w:rPr>
        </w:r>
        <w:r w:rsidR="003C440C">
          <w:rPr>
            <w:noProof/>
            <w:webHidden/>
          </w:rPr>
          <w:fldChar w:fldCharType="separate"/>
        </w:r>
        <w:r w:rsidR="005B5FD6">
          <w:rPr>
            <w:noProof/>
            <w:webHidden/>
          </w:rPr>
          <w:t>45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3" w:history="1">
        <w:r w:rsidR="003C440C" w:rsidRPr="008501F5">
          <w:rPr>
            <w:rStyle w:val="Hyperlink"/>
            <w:noProof/>
          </w:rPr>
          <w:t xml:space="preserve">Table 17.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Cape York locations in the late dry 2011 and late wet 2012.</w:t>
        </w:r>
        <w:r w:rsidR="003C440C">
          <w:rPr>
            <w:noProof/>
            <w:webHidden/>
          </w:rPr>
          <w:tab/>
        </w:r>
        <w:r w:rsidR="003C440C">
          <w:rPr>
            <w:noProof/>
            <w:webHidden/>
          </w:rPr>
          <w:fldChar w:fldCharType="begin"/>
        </w:r>
        <w:r w:rsidR="003C440C">
          <w:rPr>
            <w:noProof/>
            <w:webHidden/>
          </w:rPr>
          <w:instrText xml:space="preserve"> PAGEREF _Toc384196553 \h </w:instrText>
        </w:r>
        <w:r w:rsidR="003C440C">
          <w:rPr>
            <w:noProof/>
            <w:webHidden/>
          </w:rPr>
        </w:r>
        <w:r w:rsidR="003C440C">
          <w:rPr>
            <w:noProof/>
            <w:webHidden/>
          </w:rPr>
          <w:fldChar w:fldCharType="separate"/>
        </w:r>
        <w:r w:rsidR="005B5FD6">
          <w:rPr>
            <w:noProof/>
            <w:webHidden/>
          </w:rPr>
          <w:t>48</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4" w:history="1">
        <w:r w:rsidR="003C440C" w:rsidRPr="008501F5">
          <w:rPr>
            <w:rStyle w:val="Hyperlink"/>
            <w:noProof/>
          </w:rPr>
          <w:t xml:space="preserve">Table 18. </w:t>
        </w:r>
        <w:r w:rsidR="003C440C" w:rsidRPr="008501F5">
          <w:rPr>
            <w:rStyle w:val="Hyperlink"/>
            <w:i/>
            <w:noProof/>
          </w:rPr>
          <w:t>Concentration of herbicides (mg kg</w:t>
        </w:r>
        <w:r w:rsidR="003C440C" w:rsidRPr="008501F5">
          <w:rPr>
            <w:rStyle w:val="Hyperlink"/>
            <w:i/>
            <w:noProof/>
            <w:vertAlign w:val="superscript"/>
          </w:rPr>
          <w:t>-1</w:t>
        </w:r>
        <w:r w:rsidR="003C440C" w:rsidRPr="008501F5">
          <w:rPr>
            <w:rStyle w:val="Hyperlink"/>
            <w:i/>
            <w:noProof/>
          </w:rPr>
          <w:t>) in sediments of Cape York seagrass monitoring sites in late monsoon 2012.</w:t>
        </w:r>
        <w:r w:rsidR="003C440C">
          <w:rPr>
            <w:noProof/>
            <w:webHidden/>
          </w:rPr>
          <w:tab/>
        </w:r>
        <w:r w:rsidR="003C440C">
          <w:rPr>
            <w:noProof/>
            <w:webHidden/>
          </w:rPr>
          <w:fldChar w:fldCharType="begin"/>
        </w:r>
        <w:r w:rsidR="003C440C">
          <w:rPr>
            <w:noProof/>
            <w:webHidden/>
          </w:rPr>
          <w:instrText xml:space="preserve"> PAGEREF _Toc384196554 \h </w:instrText>
        </w:r>
        <w:r w:rsidR="003C440C">
          <w:rPr>
            <w:noProof/>
            <w:webHidden/>
          </w:rPr>
        </w:r>
        <w:r w:rsidR="003C440C">
          <w:rPr>
            <w:noProof/>
            <w:webHidden/>
          </w:rPr>
          <w:fldChar w:fldCharType="separate"/>
        </w:r>
        <w:r w:rsidR="005B5FD6">
          <w:rPr>
            <w:noProof/>
            <w:webHidden/>
          </w:rPr>
          <w:t>49</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5" w:history="1">
        <w:r w:rsidR="003C440C" w:rsidRPr="008501F5">
          <w:rPr>
            <w:rStyle w:val="Hyperlink"/>
            <w:noProof/>
          </w:rPr>
          <w:t xml:space="preserve">Table 19. </w:t>
        </w:r>
        <w:r w:rsidR="003C440C" w:rsidRPr="008501F5">
          <w:rPr>
            <w:rStyle w:val="Hyperlink"/>
            <w:i/>
            <w:noProof/>
          </w:rPr>
          <w:t>Report card for seagrass status (community &amp; environment) for the Wet Tropics region: July 2011 – May 2012.</w:t>
        </w:r>
        <w:r w:rsidR="003C440C">
          <w:rPr>
            <w:noProof/>
            <w:webHidden/>
          </w:rPr>
          <w:tab/>
        </w:r>
        <w:r w:rsidR="003C440C">
          <w:rPr>
            <w:noProof/>
            <w:webHidden/>
          </w:rPr>
          <w:fldChar w:fldCharType="begin"/>
        </w:r>
        <w:r w:rsidR="003C440C">
          <w:rPr>
            <w:noProof/>
            <w:webHidden/>
          </w:rPr>
          <w:instrText xml:space="preserve"> PAGEREF _Toc384196555 \h </w:instrText>
        </w:r>
        <w:r w:rsidR="003C440C">
          <w:rPr>
            <w:noProof/>
            <w:webHidden/>
          </w:rPr>
        </w:r>
        <w:r w:rsidR="003C440C">
          <w:rPr>
            <w:noProof/>
            <w:webHidden/>
          </w:rPr>
          <w:fldChar w:fldCharType="separate"/>
        </w:r>
        <w:r w:rsidR="005B5FD6">
          <w:rPr>
            <w:noProof/>
            <w:webHidden/>
          </w:rPr>
          <w:t>54</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6" w:history="1">
        <w:r w:rsidR="003C440C" w:rsidRPr="008501F5">
          <w:rPr>
            <w:rStyle w:val="Hyperlink"/>
            <w:noProof/>
          </w:rPr>
          <w:t xml:space="preserve">Table 20. </w:t>
        </w:r>
        <w:r w:rsidR="003C440C" w:rsidRPr="008501F5">
          <w:rPr>
            <w:rStyle w:val="Hyperlink"/>
            <w:i/>
            <w:noProof/>
          </w:rPr>
          <w:t>Area (ha) of seagrass meadow within 100m radius of each intertidal site.</w:t>
        </w:r>
        <w:r w:rsidR="003C440C">
          <w:rPr>
            <w:noProof/>
            <w:webHidden/>
          </w:rPr>
          <w:tab/>
        </w:r>
        <w:r w:rsidR="003C440C">
          <w:rPr>
            <w:noProof/>
            <w:webHidden/>
          </w:rPr>
          <w:fldChar w:fldCharType="begin"/>
        </w:r>
        <w:r w:rsidR="003C440C">
          <w:rPr>
            <w:noProof/>
            <w:webHidden/>
          </w:rPr>
          <w:instrText xml:space="preserve"> PAGEREF _Toc384196556 \h </w:instrText>
        </w:r>
        <w:r w:rsidR="003C440C">
          <w:rPr>
            <w:noProof/>
            <w:webHidden/>
          </w:rPr>
        </w:r>
        <w:r w:rsidR="003C440C">
          <w:rPr>
            <w:noProof/>
            <w:webHidden/>
          </w:rPr>
          <w:fldChar w:fldCharType="separate"/>
        </w:r>
        <w:r w:rsidR="005B5FD6">
          <w:rPr>
            <w:noProof/>
            <w:webHidden/>
          </w:rPr>
          <w:t>62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7" w:history="1">
        <w:r w:rsidR="003C440C" w:rsidRPr="008501F5">
          <w:rPr>
            <w:rStyle w:val="Hyperlink"/>
            <w:noProof/>
          </w:rPr>
          <w:t xml:space="preserve">Table 21. </w:t>
        </w:r>
        <w:r w:rsidR="003C440C" w:rsidRPr="008501F5">
          <w:rPr>
            <w:rStyle w:val="Hyperlink"/>
            <w:i/>
            <w:noProof/>
          </w:rPr>
          <w:t>Tissue nutrient ratios for all foundation species pooled for subtidal sites in the Wet Tropics. NB there was insufficient seagrass at the Dunk Island and Low Isles subtidal sites for analysis.</w:t>
        </w:r>
        <w:r w:rsidR="003C440C">
          <w:rPr>
            <w:noProof/>
            <w:webHidden/>
          </w:rPr>
          <w:tab/>
        </w:r>
        <w:r w:rsidR="003C440C">
          <w:rPr>
            <w:noProof/>
            <w:webHidden/>
          </w:rPr>
          <w:fldChar w:fldCharType="begin"/>
        </w:r>
        <w:r w:rsidR="003C440C">
          <w:rPr>
            <w:noProof/>
            <w:webHidden/>
          </w:rPr>
          <w:instrText xml:space="preserve"> PAGEREF _Toc384196557 \h </w:instrText>
        </w:r>
        <w:r w:rsidR="003C440C">
          <w:rPr>
            <w:noProof/>
            <w:webHidden/>
          </w:rPr>
        </w:r>
        <w:r w:rsidR="003C440C">
          <w:rPr>
            <w:noProof/>
            <w:webHidden/>
          </w:rPr>
          <w:fldChar w:fldCharType="separate"/>
        </w:r>
        <w:r w:rsidR="005B5FD6">
          <w:rPr>
            <w:noProof/>
            <w:webHidden/>
          </w:rPr>
          <w:t>67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8" w:history="1">
        <w:r w:rsidR="003C440C" w:rsidRPr="008501F5">
          <w:rPr>
            <w:rStyle w:val="Hyperlink"/>
            <w:noProof/>
          </w:rPr>
          <w:t xml:space="preserve">Table 22.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Wet Tropics locations in the late dry 2011.</w:t>
        </w:r>
        <w:r w:rsidR="003C440C">
          <w:rPr>
            <w:noProof/>
            <w:webHidden/>
          </w:rPr>
          <w:tab/>
        </w:r>
        <w:r w:rsidR="003C440C">
          <w:rPr>
            <w:noProof/>
            <w:webHidden/>
          </w:rPr>
          <w:fldChar w:fldCharType="begin"/>
        </w:r>
        <w:r w:rsidR="003C440C">
          <w:rPr>
            <w:noProof/>
            <w:webHidden/>
          </w:rPr>
          <w:instrText xml:space="preserve"> PAGEREF _Toc384196558 \h </w:instrText>
        </w:r>
        <w:r w:rsidR="003C440C">
          <w:rPr>
            <w:noProof/>
            <w:webHidden/>
          </w:rPr>
        </w:r>
        <w:r w:rsidR="003C440C">
          <w:rPr>
            <w:noProof/>
            <w:webHidden/>
          </w:rPr>
          <w:fldChar w:fldCharType="separate"/>
        </w:r>
        <w:r w:rsidR="005B5FD6">
          <w:rPr>
            <w:noProof/>
            <w:webHidden/>
          </w:rPr>
          <w:t>67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59" w:history="1">
        <w:r w:rsidR="003C440C" w:rsidRPr="008501F5">
          <w:rPr>
            <w:rStyle w:val="Hyperlink"/>
            <w:noProof/>
          </w:rPr>
          <w:t xml:space="preserve">Table 23. </w:t>
        </w:r>
        <w:r w:rsidR="003C440C" w:rsidRPr="008501F5">
          <w:rPr>
            <w:rStyle w:val="Hyperlink"/>
            <w:i/>
            <w:noProof/>
          </w:rPr>
          <w:t>Report card for seagrass status (community &amp; environment) for the Burdekin region: July 2011 – May 2012.</w:t>
        </w:r>
        <w:r w:rsidR="003C440C">
          <w:rPr>
            <w:noProof/>
            <w:webHidden/>
          </w:rPr>
          <w:tab/>
        </w:r>
        <w:r w:rsidR="003C440C">
          <w:rPr>
            <w:noProof/>
            <w:webHidden/>
          </w:rPr>
          <w:fldChar w:fldCharType="begin"/>
        </w:r>
        <w:r w:rsidR="003C440C">
          <w:rPr>
            <w:noProof/>
            <w:webHidden/>
          </w:rPr>
          <w:instrText xml:space="preserve"> PAGEREF _Toc384196559 \h </w:instrText>
        </w:r>
        <w:r w:rsidR="003C440C">
          <w:rPr>
            <w:noProof/>
            <w:webHidden/>
          </w:rPr>
        </w:r>
        <w:r w:rsidR="003C440C">
          <w:rPr>
            <w:noProof/>
            <w:webHidden/>
          </w:rPr>
          <w:fldChar w:fldCharType="separate"/>
        </w:r>
        <w:r w:rsidR="005B5FD6">
          <w:rPr>
            <w:noProof/>
            <w:webHidden/>
          </w:rPr>
          <w:t>85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0" w:history="1">
        <w:r w:rsidR="003C440C" w:rsidRPr="008501F5">
          <w:rPr>
            <w:rStyle w:val="Hyperlink"/>
            <w:noProof/>
          </w:rPr>
          <w:t xml:space="preserve">Table 24. </w:t>
        </w:r>
        <w:r w:rsidR="003C440C" w:rsidRPr="008501F5">
          <w:rPr>
            <w:rStyle w:val="Hyperlink"/>
            <w:i/>
            <w:noProof/>
          </w:rPr>
          <w:t>Area (ha) of seagrass meadow within 100m radius of each site.</w:t>
        </w:r>
        <w:r w:rsidR="003C440C">
          <w:rPr>
            <w:noProof/>
            <w:webHidden/>
          </w:rPr>
          <w:tab/>
        </w:r>
        <w:r w:rsidR="003C440C">
          <w:rPr>
            <w:noProof/>
            <w:webHidden/>
          </w:rPr>
          <w:fldChar w:fldCharType="begin"/>
        </w:r>
        <w:r w:rsidR="003C440C">
          <w:rPr>
            <w:noProof/>
            <w:webHidden/>
          </w:rPr>
          <w:instrText xml:space="preserve"> PAGEREF _Toc384196560 \h </w:instrText>
        </w:r>
        <w:r w:rsidR="003C440C">
          <w:rPr>
            <w:noProof/>
            <w:webHidden/>
          </w:rPr>
        </w:r>
        <w:r w:rsidR="003C440C">
          <w:rPr>
            <w:noProof/>
            <w:webHidden/>
          </w:rPr>
          <w:fldChar w:fldCharType="separate"/>
        </w:r>
        <w:r w:rsidR="005B5FD6">
          <w:rPr>
            <w:noProof/>
            <w:webHidden/>
          </w:rPr>
          <w:t>92</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1" w:history="1">
        <w:r w:rsidR="003C440C" w:rsidRPr="008501F5">
          <w:rPr>
            <w:rStyle w:val="Hyperlink"/>
            <w:noProof/>
          </w:rPr>
          <w:t xml:space="preserve">Table 25.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Burdekin locations in the late dry 2011.</w:t>
        </w:r>
        <w:r w:rsidR="003C440C">
          <w:rPr>
            <w:noProof/>
            <w:webHidden/>
          </w:rPr>
          <w:tab/>
        </w:r>
        <w:r w:rsidR="003C440C">
          <w:rPr>
            <w:noProof/>
            <w:webHidden/>
          </w:rPr>
          <w:fldChar w:fldCharType="begin"/>
        </w:r>
        <w:r w:rsidR="003C440C">
          <w:rPr>
            <w:noProof/>
            <w:webHidden/>
          </w:rPr>
          <w:instrText xml:space="preserve"> PAGEREF _Toc384196561 \h </w:instrText>
        </w:r>
        <w:r w:rsidR="003C440C">
          <w:rPr>
            <w:noProof/>
            <w:webHidden/>
          </w:rPr>
        </w:r>
        <w:r w:rsidR="003C440C">
          <w:rPr>
            <w:noProof/>
            <w:webHidden/>
          </w:rPr>
          <w:fldChar w:fldCharType="separate"/>
        </w:r>
        <w:r w:rsidR="005B5FD6">
          <w:rPr>
            <w:noProof/>
            <w:webHidden/>
          </w:rPr>
          <w:t>96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2" w:history="1">
        <w:r w:rsidR="003C440C" w:rsidRPr="008501F5">
          <w:rPr>
            <w:rStyle w:val="Hyperlink"/>
            <w:noProof/>
          </w:rPr>
          <w:t xml:space="preserve">Table 26. </w:t>
        </w:r>
        <w:r w:rsidR="003C440C" w:rsidRPr="008501F5">
          <w:rPr>
            <w:rStyle w:val="Hyperlink"/>
            <w:i/>
            <w:noProof/>
          </w:rPr>
          <w:t>Concentration of herbicides (mg kg</w:t>
        </w:r>
        <w:r w:rsidR="003C440C" w:rsidRPr="008501F5">
          <w:rPr>
            <w:rStyle w:val="Hyperlink"/>
            <w:i/>
            <w:noProof/>
            <w:vertAlign w:val="superscript"/>
          </w:rPr>
          <w:t>-1</w:t>
        </w:r>
        <w:r w:rsidR="003C440C" w:rsidRPr="008501F5">
          <w:rPr>
            <w:rStyle w:val="Hyperlink"/>
            <w:i/>
            <w:noProof/>
          </w:rPr>
          <w:t>) in sediments of Bowling Green Bay (Barratta Creek) seagrass monitoring sites in late monsoon 2012.</w:t>
        </w:r>
        <w:r w:rsidR="003C440C">
          <w:rPr>
            <w:noProof/>
            <w:webHidden/>
          </w:rPr>
          <w:tab/>
        </w:r>
        <w:r w:rsidR="003C440C">
          <w:rPr>
            <w:noProof/>
            <w:webHidden/>
          </w:rPr>
          <w:fldChar w:fldCharType="begin"/>
        </w:r>
        <w:r w:rsidR="003C440C">
          <w:rPr>
            <w:noProof/>
            <w:webHidden/>
          </w:rPr>
          <w:instrText xml:space="preserve"> PAGEREF _Toc384196562 \h </w:instrText>
        </w:r>
        <w:r w:rsidR="003C440C">
          <w:rPr>
            <w:noProof/>
            <w:webHidden/>
          </w:rPr>
        </w:r>
        <w:r w:rsidR="003C440C">
          <w:rPr>
            <w:noProof/>
            <w:webHidden/>
          </w:rPr>
          <w:fldChar w:fldCharType="separate"/>
        </w:r>
        <w:r w:rsidR="005B5FD6">
          <w:rPr>
            <w:noProof/>
            <w:webHidden/>
          </w:rPr>
          <w:t>97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3" w:history="1">
        <w:r w:rsidR="003C440C" w:rsidRPr="008501F5">
          <w:rPr>
            <w:rStyle w:val="Hyperlink"/>
            <w:noProof/>
          </w:rPr>
          <w:t>Table 27.</w:t>
        </w:r>
        <w:r w:rsidR="003C440C" w:rsidRPr="008501F5">
          <w:rPr>
            <w:rStyle w:val="Hyperlink"/>
            <w:i/>
            <w:noProof/>
          </w:rPr>
          <w:t xml:space="preserve"> Report card for seagrass status (community &amp; environment) for the Mackay Whitsunday region: July 2011 – May 2012.</w:t>
        </w:r>
        <w:r w:rsidR="003C440C">
          <w:rPr>
            <w:noProof/>
            <w:webHidden/>
          </w:rPr>
          <w:tab/>
        </w:r>
        <w:r w:rsidR="003C440C">
          <w:rPr>
            <w:noProof/>
            <w:webHidden/>
          </w:rPr>
          <w:fldChar w:fldCharType="begin"/>
        </w:r>
        <w:r w:rsidR="003C440C">
          <w:rPr>
            <w:noProof/>
            <w:webHidden/>
          </w:rPr>
          <w:instrText xml:space="preserve"> PAGEREF _Toc384196563 \h </w:instrText>
        </w:r>
        <w:r w:rsidR="003C440C">
          <w:rPr>
            <w:noProof/>
            <w:webHidden/>
          </w:rPr>
        </w:r>
        <w:r w:rsidR="003C440C">
          <w:rPr>
            <w:noProof/>
            <w:webHidden/>
          </w:rPr>
          <w:fldChar w:fldCharType="separate"/>
        </w:r>
        <w:r w:rsidR="005B5FD6">
          <w:rPr>
            <w:noProof/>
            <w:webHidden/>
          </w:rPr>
          <w:t>105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4" w:history="1">
        <w:r w:rsidR="003C440C" w:rsidRPr="008501F5">
          <w:rPr>
            <w:rStyle w:val="Hyperlink"/>
            <w:noProof/>
          </w:rPr>
          <w:t xml:space="preserve">Table 28. </w:t>
        </w:r>
        <w:r w:rsidR="003C440C" w:rsidRPr="008501F5">
          <w:rPr>
            <w:rStyle w:val="Hyperlink"/>
            <w:i/>
            <w:noProof/>
          </w:rPr>
          <w:t>Area (ha) of seagrass meadow within 100m radius of each site.</w:t>
        </w:r>
        <w:r w:rsidR="003C440C">
          <w:rPr>
            <w:noProof/>
            <w:webHidden/>
          </w:rPr>
          <w:tab/>
        </w:r>
        <w:r w:rsidR="003C440C">
          <w:rPr>
            <w:noProof/>
            <w:webHidden/>
          </w:rPr>
          <w:fldChar w:fldCharType="begin"/>
        </w:r>
        <w:r w:rsidR="003C440C">
          <w:rPr>
            <w:noProof/>
            <w:webHidden/>
          </w:rPr>
          <w:instrText xml:space="preserve"> PAGEREF _Toc384196564 \h </w:instrText>
        </w:r>
        <w:r w:rsidR="003C440C">
          <w:rPr>
            <w:noProof/>
            <w:webHidden/>
          </w:rPr>
        </w:r>
        <w:r w:rsidR="003C440C">
          <w:rPr>
            <w:noProof/>
            <w:webHidden/>
          </w:rPr>
          <w:fldChar w:fldCharType="separate"/>
        </w:r>
        <w:r w:rsidR="005B5FD6">
          <w:rPr>
            <w:noProof/>
            <w:webHidden/>
          </w:rPr>
          <w:t>113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5" w:history="1">
        <w:r w:rsidR="003C440C" w:rsidRPr="008501F5">
          <w:rPr>
            <w:rStyle w:val="Hyperlink"/>
            <w:noProof/>
          </w:rPr>
          <w:t xml:space="preserve">Table 29.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Mackay Whitsunday locations in the late dry 2011.</w:t>
        </w:r>
        <w:r w:rsidR="003C440C">
          <w:rPr>
            <w:noProof/>
            <w:webHidden/>
          </w:rPr>
          <w:tab/>
        </w:r>
        <w:r w:rsidR="003C440C">
          <w:rPr>
            <w:noProof/>
            <w:webHidden/>
          </w:rPr>
          <w:fldChar w:fldCharType="begin"/>
        </w:r>
        <w:r w:rsidR="003C440C">
          <w:rPr>
            <w:noProof/>
            <w:webHidden/>
          </w:rPr>
          <w:instrText xml:space="preserve"> PAGEREF _Toc384196565 \h </w:instrText>
        </w:r>
        <w:r w:rsidR="003C440C">
          <w:rPr>
            <w:noProof/>
            <w:webHidden/>
          </w:rPr>
        </w:r>
        <w:r w:rsidR="003C440C">
          <w:rPr>
            <w:noProof/>
            <w:webHidden/>
          </w:rPr>
          <w:fldChar w:fldCharType="separate"/>
        </w:r>
        <w:r w:rsidR="005B5FD6">
          <w:rPr>
            <w:noProof/>
            <w:webHidden/>
          </w:rPr>
          <w:t>117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6" w:history="1">
        <w:r w:rsidR="003C440C" w:rsidRPr="008501F5">
          <w:rPr>
            <w:rStyle w:val="Hyperlink"/>
            <w:noProof/>
          </w:rPr>
          <w:t xml:space="preserve">Table 30. </w:t>
        </w:r>
        <w:r w:rsidR="003C440C" w:rsidRPr="008501F5">
          <w:rPr>
            <w:rStyle w:val="Hyperlink"/>
            <w:i/>
            <w:noProof/>
          </w:rPr>
          <w:t>Report card for seagrass status (community &amp; environment) for the Fitzroy NRM region: July 2011 – May 2012.</w:t>
        </w:r>
        <w:r w:rsidR="003C440C">
          <w:rPr>
            <w:noProof/>
            <w:webHidden/>
          </w:rPr>
          <w:tab/>
        </w:r>
        <w:r w:rsidR="003C440C">
          <w:rPr>
            <w:noProof/>
            <w:webHidden/>
          </w:rPr>
          <w:fldChar w:fldCharType="begin"/>
        </w:r>
        <w:r w:rsidR="003C440C">
          <w:rPr>
            <w:noProof/>
            <w:webHidden/>
          </w:rPr>
          <w:instrText xml:space="preserve"> PAGEREF _Toc384196566 \h </w:instrText>
        </w:r>
        <w:r w:rsidR="003C440C">
          <w:rPr>
            <w:noProof/>
            <w:webHidden/>
          </w:rPr>
        </w:r>
        <w:r w:rsidR="003C440C">
          <w:rPr>
            <w:noProof/>
            <w:webHidden/>
          </w:rPr>
          <w:fldChar w:fldCharType="separate"/>
        </w:r>
        <w:r w:rsidR="005B5FD6">
          <w:rPr>
            <w:noProof/>
            <w:webHidden/>
          </w:rPr>
          <w:t>126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7" w:history="1">
        <w:r w:rsidR="003C440C" w:rsidRPr="008501F5">
          <w:rPr>
            <w:rStyle w:val="Hyperlink"/>
            <w:noProof/>
          </w:rPr>
          <w:t xml:space="preserve">Table 31. </w:t>
        </w:r>
        <w:r w:rsidR="003C440C" w:rsidRPr="008501F5">
          <w:rPr>
            <w:rStyle w:val="Hyperlink"/>
            <w:i/>
            <w:noProof/>
          </w:rPr>
          <w:t>Area (ha) of seagrass meadow within 100m radius of each monitoring site.</w:t>
        </w:r>
        <w:r w:rsidR="003C440C">
          <w:rPr>
            <w:noProof/>
            <w:webHidden/>
          </w:rPr>
          <w:tab/>
        </w:r>
        <w:r w:rsidR="003C440C">
          <w:rPr>
            <w:noProof/>
            <w:webHidden/>
          </w:rPr>
          <w:fldChar w:fldCharType="begin"/>
        </w:r>
        <w:r w:rsidR="003C440C">
          <w:rPr>
            <w:noProof/>
            <w:webHidden/>
          </w:rPr>
          <w:instrText xml:space="preserve"> PAGEREF _Toc384196567 \h </w:instrText>
        </w:r>
        <w:r w:rsidR="003C440C">
          <w:rPr>
            <w:noProof/>
            <w:webHidden/>
          </w:rPr>
        </w:r>
        <w:r w:rsidR="003C440C">
          <w:rPr>
            <w:noProof/>
            <w:webHidden/>
          </w:rPr>
          <w:fldChar w:fldCharType="separate"/>
        </w:r>
        <w:r w:rsidR="005B5FD6">
          <w:rPr>
            <w:noProof/>
            <w:webHidden/>
          </w:rPr>
          <w:t>133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8" w:history="1">
        <w:r w:rsidR="003C440C" w:rsidRPr="008501F5">
          <w:rPr>
            <w:rStyle w:val="Hyperlink"/>
            <w:noProof/>
          </w:rPr>
          <w:t xml:space="preserve">Table 32.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Fitzroy locations in the late dry 2011.</w:t>
        </w:r>
        <w:r w:rsidR="003C440C">
          <w:rPr>
            <w:noProof/>
            <w:webHidden/>
          </w:rPr>
          <w:tab/>
        </w:r>
        <w:r w:rsidR="003C440C">
          <w:rPr>
            <w:noProof/>
            <w:webHidden/>
          </w:rPr>
          <w:fldChar w:fldCharType="begin"/>
        </w:r>
        <w:r w:rsidR="003C440C">
          <w:rPr>
            <w:noProof/>
            <w:webHidden/>
          </w:rPr>
          <w:instrText xml:space="preserve"> PAGEREF _Toc384196568 \h </w:instrText>
        </w:r>
        <w:r w:rsidR="003C440C">
          <w:rPr>
            <w:noProof/>
            <w:webHidden/>
          </w:rPr>
        </w:r>
        <w:r w:rsidR="003C440C">
          <w:rPr>
            <w:noProof/>
            <w:webHidden/>
          </w:rPr>
          <w:fldChar w:fldCharType="separate"/>
        </w:r>
        <w:r w:rsidR="005B5FD6">
          <w:rPr>
            <w:noProof/>
            <w:webHidden/>
          </w:rPr>
          <w:t>137</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69" w:history="1">
        <w:r w:rsidR="003C440C" w:rsidRPr="008501F5">
          <w:rPr>
            <w:rStyle w:val="Hyperlink"/>
            <w:noProof/>
          </w:rPr>
          <w:t xml:space="preserve">Table 33. </w:t>
        </w:r>
        <w:r w:rsidR="003C440C" w:rsidRPr="008501F5">
          <w:rPr>
            <w:rStyle w:val="Hyperlink"/>
            <w:i/>
            <w:noProof/>
          </w:rPr>
          <w:t>Report card for seagrass status (community &amp; environment) for the Burnett Mary NRM region: July 2011 – May 2012.</w:t>
        </w:r>
        <w:r w:rsidR="003C440C">
          <w:rPr>
            <w:noProof/>
            <w:webHidden/>
          </w:rPr>
          <w:tab/>
        </w:r>
        <w:r w:rsidR="003C440C">
          <w:rPr>
            <w:noProof/>
            <w:webHidden/>
          </w:rPr>
          <w:fldChar w:fldCharType="begin"/>
        </w:r>
        <w:r w:rsidR="003C440C">
          <w:rPr>
            <w:noProof/>
            <w:webHidden/>
          </w:rPr>
          <w:instrText xml:space="preserve"> PAGEREF _Toc384196569 \h </w:instrText>
        </w:r>
        <w:r w:rsidR="003C440C">
          <w:rPr>
            <w:noProof/>
            <w:webHidden/>
          </w:rPr>
        </w:r>
        <w:r w:rsidR="003C440C">
          <w:rPr>
            <w:noProof/>
            <w:webHidden/>
          </w:rPr>
          <w:fldChar w:fldCharType="separate"/>
        </w:r>
        <w:r w:rsidR="005B5FD6">
          <w:rPr>
            <w:noProof/>
            <w:webHidden/>
          </w:rPr>
          <w:t>145</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70" w:history="1">
        <w:r w:rsidR="003C440C" w:rsidRPr="008501F5">
          <w:rPr>
            <w:rStyle w:val="Hyperlink"/>
            <w:noProof/>
          </w:rPr>
          <w:t xml:space="preserve">Table 34.  </w:t>
        </w:r>
        <w:r w:rsidR="003C440C" w:rsidRPr="008501F5">
          <w:rPr>
            <w:rStyle w:val="Hyperlink"/>
            <w:i/>
            <w:noProof/>
          </w:rPr>
          <w:t>Area (ha) of seagrass meadow within 100m radius of each monitoring site.</w:t>
        </w:r>
        <w:r w:rsidR="003C440C">
          <w:rPr>
            <w:noProof/>
            <w:webHidden/>
          </w:rPr>
          <w:tab/>
        </w:r>
        <w:r w:rsidR="003C440C">
          <w:rPr>
            <w:noProof/>
            <w:webHidden/>
          </w:rPr>
          <w:fldChar w:fldCharType="begin"/>
        </w:r>
        <w:r w:rsidR="003C440C">
          <w:rPr>
            <w:noProof/>
            <w:webHidden/>
          </w:rPr>
          <w:instrText xml:space="preserve"> PAGEREF _Toc384196570 \h </w:instrText>
        </w:r>
        <w:r w:rsidR="003C440C">
          <w:rPr>
            <w:noProof/>
            <w:webHidden/>
          </w:rPr>
        </w:r>
        <w:r w:rsidR="003C440C">
          <w:rPr>
            <w:noProof/>
            <w:webHidden/>
          </w:rPr>
          <w:fldChar w:fldCharType="separate"/>
        </w:r>
        <w:r w:rsidR="005B5FD6">
          <w:rPr>
            <w:noProof/>
            <w:webHidden/>
          </w:rPr>
          <w:t>150</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71" w:history="1">
        <w:r w:rsidR="003C440C" w:rsidRPr="008501F5">
          <w:rPr>
            <w:rStyle w:val="Hyperlink"/>
            <w:noProof/>
          </w:rPr>
          <w:t xml:space="preserve">Table 35. </w:t>
        </w:r>
        <w:r w:rsidR="003C440C" w:rsidRPr="008501F5">
          <w:rPr>
            <w:rStyle w:val="Hyperlink"/>
            <w:i/>
            <w:noProof/>
          </w:rPr>
          <w:t>Seagrass leaf tissue nutrient, δ</w:t>
        </w:r>
        <w:r w:rsidR="003C440C" w:rsidRPr="008501F5">
          <w:rPr>
            <w:rStyle w:val="Hyperlink"/>
            <w:i/>
            <w:noProof/>
            <w:vertAlign w:val="superscript"/>
          </w:rPr>
          <w:t>13</w:t>
        </w:r>
        <w:r w:rsidR="003C440C" w:rsidRPr="008501F5">
          <w:rPr>
            <w:rStyle w:val="Hyperlink"/>
            <w:i/>
            <w:noProof/>
          </w:rPr>
          <w:t>C and δ</w:t>
        </w:r>
        <w:r w:rsidR="003C440C" w:rsidRPr="008501F5">
          <w:rPr>
            <w:rStyle w:val="Hyperlink"/>
            <w:i/>
            <w:noProof/>
            <w:vertAlign w:val="superscript"/>
          </w:rPr>
          <w:t>15</w:t>
        </w:r>
        <w:r w:rsidR="003C440C" w:rsidRPr="008501F5">
          <w:rPr>
            <w:rStyle w:val="Hyperlink"/>
            <w:i/>
            <w:noProof/>
          </w:rPr>
          <w:t>N concentrations from Urangan (Burnett Mary region) in the late dry 2011.</w:t>
        </w:r>
        <w:r w:rsidR="003C440C">
          <w:rPr>
            <w:noProof/>
            <w:webHidden/>
          </w:rPr>
          <w:tab/>
        </w:r>
        <w:r w:rsidR="003C440C">
          <w:rPr>
            <w:noProof/>
            <w:webHidden/>
          </w:rPr>
          <w:fldChar w:fldCharType="begin"/>
        </w:r>
        <w:r w:rsidR="003C440C">
          <w:rPr>
            <w:noProof/>
            <w:webHidden/>
          </w:rPr>
          <w:instrText xml:space="preserve"> PAGEREF _Toc384196571 \h </w:instrText>
        </w:r>
        <w:r w:rsidR="003C440C">
          <w:rPr>
            <w:noProof/>
            <w:webHidden/>
          </w:rPr>
        </w:r>
        <w:r w:rsidR="003C440C">
          <w:rPr>
            <w:noProof/>
            <w:webHidden/>
          </w:rPr>
          <w:fldChar w:fldCharType="separate"/>
        </w:r>
        <w:r w:rsidR="005B5FD6">
          <w:rPr>
            <w:noProof/>
            <w:webHidden/>
          </w:rPr>
          <w:t>153</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72" w:history="1">
        <w:r w:rsidR="003C440C" w:rsidRPr="008501F5">
          <w:rPr>
            <w:rStyle w:val="Hyperlink"/>
            <w:noProof/>
          </w:rPr>
          <w:t xml:space="preserve">Table 36. </w:t>
        </w:r>
        <w:r w:rsidR="003C440C" w:rsidRPr="008501F5">
          <w:rPr>
            <w:rStyle w:val="Hyperlink"/>
            <w:i/>
            <w:noProof/>
          </w:rPr>
          <w:t>Annual freshwater discharge (ML) for the major GBR Catchment rivers in proximity to the inshore seagrass sampling sites.</w:t>
        </w:r>
        <w:r w:rsidR="003C440C">
          <w:rPr>
            <w:noProof/>
            <w:webHidden/>
          </w:rPr>
          <w:tab/>
        </w:r>
        <w:r w:rsidR="003C440C">
          <w:rPr>
            <w:noProof/>
            <w:webHidden/>
          </w:rPr>
          <w:fldChar w:fldCharType="begin"/>
        </w:r>
        <w:r w:rsidR="003C440C">
          <w:rPr>
            <w:noProof/>
            <w:webHidden/>
          </w:rPr>
          <w:instrText xml:space="preserve"> PAGEREF _Toc384196572 \h </w:instrText>
        </w:r>
        <w:r w:rsidR="003C440C">
          <w:rPr>
            <w:noProof/>
            <w:webHidden/>
          </w:rPr>
        </w:r>
        <w:r w:rsidR="003C440C">
          <w:rPr>
            <w:noProof/>
            <w:webHidden/>
          </w:rPr>
          <w:fldChar w:fldCharType="separate"/>
        </w:r>
        <w:r w:rsidR="005B5FD6">
          <w:rPr>
            <w:noProof/>
            <w:webHidden/>
          </w:rPr>
          <w:t>176</w:t>
        </w:r>
        <w:r w:rsidR="003C440C">
          <w:rPr>
            <w:noProof/>
            <w:webHidden/>
          </w:rPr>
          <w:fldChar w:fldCharType="end"/>
        </w:r>
      </w:hyperlink>
    </w:p>
    <w:p w:rsidR="003C440C" w:rsidRDefault="009A14B8">
      <w:pPr>
        <w:pStyle w:val="TableofFigures"/>
        <w:tabs>
          <w:tab w:val="right" w:leader="dot" w:pos="9060"/>
        </w:tabs>
        <w:rPr>
          <w:rFonts w:ascii="Times New Roman" w:hAnsi="Times New Roman"/>
          <w:noProof/>
          <w:sz w:val="24"/>
          <w:lang w:eastAsia="en-AU"/>
        </w:rPr>
      </w:pPr>
      <w:hyperlink w:anchor="_Toc384196573" w:history="1">
        <w:r w:rsidR="003C440C" w:rsidRPr="008501F5">
          <w:rPr>
            <w:rStyle w:val="Hyperlink"/>
            <w:noProof/>
          </w:rPr>
          <w:t xml:space="preserve">Table 37. </w:t>
        </w:r>
        <w:r w:rsidR="003C440C" w:rsidRPr="008501F5">
          <w:rPr>
            <w:rStyle w:val="Hyperlink"/>
            <w:i/>
            <w:noProof/>
          </w:rPr>
          <w:t>Percent carbon in seagrass leaf tissue from published literature.</w:t>
        </w:r>
        <w:r w:rsidR="003C440C">
          <w:rPr>
            <w:noProof/>
            <w:webHidden/>
          </w:rPr>
          <w:tab/>
        </w:r>
        <w:r w:rsidR="003C440C">
          <w:rPr>
            <w:noProof/>
            <w:webHidden/>
          </w:rPr>
          <w:fldChar w:fldCharType="begin"/>
        </w:r>
        <w:r w:rsidR="003C440C">
          <w:rPr>
            <w:noProof/>
            <w:webHidden/>
          </w:rPr>
          <w:instrText xml:space="preserve"> PAGEREF _Toc384196573 \h </w:instrText>
        </w:r>
        <w:r w:rsidR="003C440C">
          <w:rPr>
            <w:noProof/>
            <w:webHidden/>
          </w:rPr>
        </w:r>
        <w:r w:rsidR="003C440C">
          <w:rPr>
            <w:noProof/>
            <w:webHidden/>
          </w:rPr>
          <w:fldChar w:fldCharType="separate"/>
        </w:r>
        <w:r w:rsidR="005B5FD6">
          <w:rPr>
            <w:noProof/>
            <w:webHidden/>
          </w:rPr>
          <w:t>176</w:t>
        </w:r>
        <w:r w:rsidR="003C440C">
          <w:rPr>
            <w:noProof/>
            <w:webHidden/>
          </w:rPr>
          <w:fldChar w:fldCharType="end"/>
        </w:r>
      </w:hyperlink>
    </w:p>
    <w:p w:rsidR="005132EF" w:rsidRPr="00370E70" w:rsidRDefault="005132EF" w:rsidP="00034AD4">
      <w:pPr>
        <w:tabs>
          <w:tab w:val="left" w:pos="1134"/>
        </w:tabs>
        <w:ind w:left="1134" w:hanging="1134"/>
        <w:rPr>
          <w:rFonts w:cs="Arial"/>
        </w:rPr>
      </w:pPr>
      <w:r w:rsidRPr="00370E70">
        <w:rPr>
          <w:rFonts w:cs="Arial"/>
          <w:szCs w:val="22"/>
        </w:rPr>
        <w:fldChar w:fldCharType="end"/>
      </w:r>
    </w:p>
    <w:p w:rsidR="005132EF" w:rsidRPr="00370E70" w:rsidRDefault="005132EF" w:rsidP="00034AD4">
      <w:pPr>
        <w:pStyle w:val="Heading1"/>
        <w:pageBreakBefore w:val="0"/>
        <w:rPr>
          <w:rFonts w:ascii="Century Gothic" w:hAnsi="Century Gothic"/>
        </w:rPr>
      </w:pPr>
      <w:r w:rsidRPr="00370E70">
        <w:br w:type="page"/>
      </w:r>
      <w:bookmarkStart w:id="0" w:name="_Toc265677012"/>
      <w:bookmarkStart w:id="1" w:name="_Toc184101939"/>
      <w:bookmarkStart w:id="2" w:name="_Toc384196101"/>
      <w:r w:rsidRPr="00370E70">
        <w:rPr>
          <w:rFonts w:ascii="Century Gothic" w:hAnsi="Century Gothic"/>
        </w:rPr>
        <w:lastRenderedPageBreak/>
        <w:t>Acronyms Used In This Report</w:t>
      </w:r>
      <w:bookmarkEnd w:id="0"/>
      <w:bookmarkEnd w:id="1"/>
      <w:bookmarkEnd w:id="2"/>
    </w:p>
    <w:p w:rsidR="005132EF" w:rsidRPr="00370E70" w:rsidRDefault="005132EF" w:rsidP="00034AD4">
      <w:pPr>
        <w:tabs>
          <w:tab w:val="left" w:pos="1701"/>
        </w:tabs>
        <w:ind w:left="1701" w:hanging="1701"/>
        <w:rPr>
          <w:color w:val="000000"/>
          <w:szCs w:val="22"/>
        </w:rPr>
      </w:pPr>
      <w:r w:rsidRPr="00370E70">
        <w:rPr>
          <w:color w:val="000000"/>
          <w:szCs w:val="22"/>
        </w:rPr>
        <w:t>SEWPaC</w:t>
      </w:r>
      <w:r w:rsidRPr="00370E70">
        <w:rPr>
          <w:color w:val="000000"/>
          <w:szCs w:val="22"/>
        </w:rPr>
        <w:tab/>
        <w:t>Australian Government Department of Sustainability, Environment, Water, Population and Communities</w:t>
      </w:r>
    </w:p>
    <w:p w:rsidR="005132EF" w:rsidRPr="00370E70" w:rsidRDefault="005132EF" w:rsidP="00034AD4">
      <w:pPr>
        <w:tabs>
          <w:tab w:val="left" w:pos="1701"/>
        </w:tabs>
        <w:ind w:left="1701" w:hanging="1701"/>
        <w:rPr>
          <w:color w:val="000000"/>
          <w:szCs w:val="22"/>
        </w:rPr>
      </w:pPr>
      <w:r w:rsidRPr="00370E70">
        <w:rPr>
          <w:color w:val="000000"/>
          <w:szCs w:val="22"/>
        </w:rPr>
        <w:t>DAFF</w:t>
      </w:r>
      <w:r w:rsidRPr="00370E70">
        <w:rPr>
          <w:color w:val="000000"/>
          <w:szCs w:val="22"/>
        </w:rPr>
        <w:tab/>
        <w:t xml:space="preserve">Department of </w:t>
      </w:r>
      <w:r w:rsidR="002C6536" w:rsidRPr="00370E70">
        <w:rPr>
          <w:color w:val="000000"/>
          <w:szCs w:val="22"/>
        </w:rPr>
        <w:t>Agriculture</w:t>
      </w:r>
      <w:r w:rsidRPr="00370E70">
        <w:rPr>
          <w:color w:val="000000"/>
          <w:szCs w:val="22"/>
        </w:rPr>
        <w:t>, Fisheries and Forestry</w:t>
      </w:r>
    </w:p>
    <w:p w:rsidR="005132EF" w:rsidRPr="00370E70" w:rsidRDefault="005132EF" w:rsidP="00034AD4">
      <w:pPr>
        <w:tabs>
          <w:tab w:val="left" w:pos="1701"/>
        </w:tabs>
        <w:ind w:left="1701" w:hanging="1701"/>
        <w:rPr>
          <w:color w:val="000000"/>
          <w:szCs w:val="22"/>
        </w:rPr>
      </w:pPr>
      <w:r w:rsidRPr="00370E70">
        <w:rPr>
          <w:color w:val="000000"/>
          <w:szCs w:val="22"/>
        </w:rPr>
        <w:t>DERM</w:t>
      </w:r>
      <w:r w:rsidRPr="00370E70">
        <w:rPr>
          <w:color w:val="000000"/>
          <w:szCs w:val="22"/>
        </w:rPr>
        <w:tab/>
        <w:t>Department of Environment and Resource Management</w:t>
      </w:r>
    </w:p>
    <w:p w:rsidR="005132EF" w:rsidRPr="00370E70" w:rsidRDefault="005132EF" w:rsidP="00034AD4">
      <w:pPr>
        <w:tabs>
          <w:tab w:val="left" w:pos="1701"/>
        </w:tabs>
        <w:ind w:left="1701" w:hanging="1701"/>
        <w:rPr>
          <w:color w:val="000000"/>
          <w:szCs w:val="22"/>
        </w:rPr>
      </w:pPr>
      <w:r w:rsidRPr="00370E70">
        <w:rPr>
          <w:color w:val="000000"/>
          <w:szCs w:val="22"/>
        </w:rPr>
        <w:t>Fisheries QLD</w:t>
      </w:r>
      <w:r w:rsidRPr="00370E70">
        <w:rPr>
          <w:color w:val="000000"/>
          <w:szCs w:val="22"/>
        </w:rPr>
        <w:tab/>
        <w:t xml:space="preserve">Fisheries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(DAFF)</w:t>
      </w:r>
    </w:p>
    <w:p w:rsidR="005132EF" w:rsidRPr="00370E70" w:rsidRDefault="005132EF" w:rsidP="00034AD4">
      <w:pPr>
        <w:tabs>
          <w:tab w:val="left" w:pos="1701"/>
        </w:tabs>
        <w:ind w:left="1701" w:hanging="1701"/>
        <w:rPr>
          <w:color w:val="000000"/>
          <w:szCs w:val="22"/>
        </w:rPr>
      </w:pPr>
      <w:r w:rsidRPr="00370E70">
        <w:rPr>
          <w:color w:val="000000"/>
          <w:szCs w:val="22"/>
        </w:rPr>
        <w:t>GBR</w:t>
      </w:r>
      <w:r w:rsidRPr="00370E70">
        <w:rPr>
          <w:color w:val="000000"/>
          <w:szCs w:val="22"/>
        </w:rPr>
        <w:tab/>
      </w:r>
      <w:smartTag w:uri="urn:schemas-microsoft-com:office:smarttags" w:element="place">
        <w:r w:rsidRPr="00370E70">
          <w:rPr>
            <w:color w:val="000000"/>
            <w:szCs w:val="22"/>
          </w:rPr>
          <w:t>Great Barrier Reef</w:t>
        </w:r>
      </w:smartTag>
    </w:p>
    <w:p w:rsidR="005132EF" w:rsidRPr="00370E70" w:rsidRDefault="005132EF" w:rsidP="00034AD4">
      <w:pPr>
        <w:tabs>
          <w:tab w:val="left" w:pos="1701"/>
        </w:tabs>
        <w:ind w:left="1701" w:hanging="1701"/>
        <w:rPr>
          <w:color w:val="000000"/>
          <w:szCs w:val="22"/>
        </w:rPr>
      </w:pPr>
      <w:r w:rsidRPr="00370E70">
        <w:rPr>
          <w:color w:val="000000"/>
          <w:szCs w:val="22"/>
        </w:rPr>
        <w:t>GBRMPA</w:t>
      </w:r>
      <w:r w:rsidRPr="00370E70">
        <w:rPr>
          <w:color w:val="000000"/>
          <w:szCs w:val="22"/>
        </w:rPr>
        <w:tab/>
      </w:r>
      <w:smartTag w:uri="urn:schemas-microsoft-com:office:smarttags" w:element="place">
        <w:smartTag w:uri="urn:schemas-microsoft-com:office:smarttags" w:element="PlaceName">
          <w:r w:rsidRPr="00370E70">
            <w:rPr>
              <w:color w:val="000000"/>
              <w:szCs w:val="22"/>
            </w:rPr>
            <w:t>Great Barrier Reef</w:t>
          </w:r>
        </w:smartTag>
        <w:r w:rsidRPr="00370E70">
          <w:rPr>
            <w:color w:val="000000"/>
            <w:szCs w:val="22"/>
          </w:rPr>
          <w:t xml:space="preserve"> </w:t>
        </w:r>
        <w:smartTag w:uri="urn:schemas-microsoft-com:office:smarttags" w:element="PlaceName">
          <w:r w:rsidRPr="00370E70">
            <w:rPr>
              <w:color w:val="000000"/>
              <w:szCs w:val="22"/>
            </w:rPr>
            <w:t>Marine</w:t>
          </w:r>
        </w:smartTag>
        <w:r w:rsidRPr="00370E70">
          <w:rPr>
            <w:color w:val="000000"/>
            <w:szCs w:val="22"/>
          </w:rPr>
          <w:t xml:space="preserve"> </w:t>
        </w:r>
        <w:smartTag w:uri="urn:schemas-microsoft-com:office:smarttags" w:element="PlaceType">
          <w:r w:rsidRPr="00370E70">
            <w:rPr>
              <w:color w:val="000000"/>
              <w:szCs w:val="22"/>
            </w:rPr>
            <w:t>Park</w:t>
          </w:r>
        </w:smartTag>
      </w:smartTag>
      <w:r w:rsidRPr="00370E70">
        <w:rPr>
          <w:color w:val="000000"/>
          <w:szCs w:val="22"/>
        </w:rPr>
        <w:t xml:space="preserve"> Authority</w:t>
      </w:r>
    </w:p>
    <w:p w:rsidR="005132EF" w:rsidRPr="00370E70" w:rsidRDefault="005132EF" w:rsidP="00034AD4">
      <w:pPr>
        <w:tabs>
          <w:tab w:val="left" w:pos="1701"/>
        </w:tabs>
        <w:ind w:left="1701" w:hanging="1701"/>
        <w:rPr>
          <w:color w:val="000000"/>
          <w:szCs w:val="22"/>
        </w:rPr>
      </w:pPr>
      <w:r w:rsidRPr="00370E70">
        <w:rPr>
          <w:color w:val="000000"/>
          <w:szCs w:val="22"/>
        </w:rPr>
        <w:t>JCU</w:t>
      </w:r>
      <w:r w:rsidRPr="00370E70">
        <w:rPr>
          <w:color w:val="000000"/>
          <w:szCs w:val="22"/>
        </w:rPr>
        <w:tab/>
      </w:r>
      <w:smartTag w:uri="urn:schemas-microsoft-com:office:smarttags" w:element="place">
        <w:smartTag w:uri="urn:schemas-microsoft-com:office:smarttags" w:element="PlaceName">
          <w:r w:rsidRPr="00370E70">
            <w:rPr>
              <w:color w:val="000000"/>
              <w:szCs w:val="22"/>
            </w:rPr>
            <w:t>James</w:t>
          </w:r>
        </w:smartTag>
        <w:r w:rsidRPr="00370E70">
          <w:rPr>
            <w:color w:val="000000"/>
            <w:szCs w:val="22"/>
          </w:rPr>
          <w:t xml:space="preserve"> </w:t>
        </w:r>
        <w:smartTag w:uri="urn:schemas-microsoft-com:office:smarttags" w:element="PlaceName">
          <w:r w:rsidRPr="00370E70">
            <w:rPr>
              <w:color w:val="000000"/>
              <w:szCs w:val="22"/>
            </w:rPr>
            <w:t>Cook</w:t>
          </w:r>
        </w:smartTag>
        <w:r w:rsidRPr="00370E70">
          <w:rPr>
            <w:color w:val="000000"/>
            <w:szCs w:val="22"/>
          </w:rPr>
          <w:t xml:space="preserve"> </w:t>
        </w:r>
        <w:smartTag w:uri="urn:schemas-microsoft-com:office:smarttags" w:element="PlaceType">
          <w:r w:rsidRPr="00370E70">
            <w:rPr>
              <w:color w:val="000000"/>
              <w:szCs w:val="22"/>
            </w:rPr>
            <w:t>University</w:t>
          </w:r>
        </w:smartTag>
      </w:smartTag>
      <w:r w:rsidRPr="00370E70">
        <w:rPr>
          <w:color w:val="000000"/>
          <w:szCs w:val="22"/>
        </w:rPr>
        <w:t xml:space="preserve"> </w:t>
      </w:r>
    </w:p>
    <w:p w:rsidR="005132EF" w:rsidRPr="00370E70" w:rsidRDefault="005132EF" w:rsidP="00034AD4">
      <w:pPr>
        <w:tabs>
          <w:tab w:val="left" w:pos="1701"/>
        </w:tabs>
        <w:ind w:left="1701" w:hanging="1701"/>
        <w:rPr>
          <w:color w:val="000000"/>
          <w:szCs w:val="22"/>
        </w:rPr>
      </w:pPr>
      <w:r w:rsidRPr="00370E70">
        <w:rPr>
          <w:color w:val="000000"/>
          <w:szCs w:val="22"/>
        </w:rPr>
        <w:t>MMP</w:t>
      </w:r>
      <w:r w:rsidRPr="00370E70">
        <w:rPr>
          <w:color w:val="000000"/>
          <w:szCs w:val="22"/>
        </w:rPr>
        <w:tab/>
        <w:t>Marine Monitoring Program</w:t>
      </w:r>
    </w:p>
    <w:p w:rsidR="005132EF" w:rsidRPr="00370E70" w:rsidRDefault="005132EF" w:rsidP="00034AD4">
      <w:pPr>
        <w:tabs>
          <w:tab w:val="left" w:pos="1701"/>
        </w:tabs>
        <w:ind w:left="1701" w:hanging="1701"/>
        <w:rPr>
          <w:color w:val="000000"/>
          <w:szCs w:val="22"/>
        </w:rPr>
      </w:pPr>
      <w:r w:rsidRPr="00370E70">
        <w:rPr>
          <w:color w:val="000000"/>
          <w:szCs w:val="22"/>
        </w:rPr>
        <w:t>NRM</w:t>
      </w:r>
      <w:r w:rsidRPr="00370E70">
        <w:rPr>
          <w:color w:val="000000"/>
          <w:szCs w:val="22"/>
        </w:rPr>
        <w:tab/>
        <w:t xml:space="preserve">Natural Resource Management </w:t>
      </w:r>
    </w:p>
    <w:p w:rsidR="005132EF" w:rsidRPr="00370E70" w:rsidRDefault="005132EF" w:rsidP="00034AD4">
      <w:pPr>
        <w:tabs>
          <w:tab w:val="left" w:pos="1701"/>
        </w:tabs>
        <w:ind w:left="1701" w:hanging="1701"/>
        <w:rPr>
          <w:color w:val="000000"/>
          <w:szCs w:val="22"/>
        </w:rPr>
      </w:pPr>
      <w:r w:rsidRPr="00370E70">
        <w:rPr>
          <w:color w:val="000000"/>
          <w:szCs w:val="22"/>
        </w:rPr>
        <w:t>Paddock to Reef</w:t>
      </w:r>
      <w:r w:rsidRPr="00370E70">
        <w:rPr>
          <w:color w:val="000000"/>
          <w:szCs w:val="22"/>
        </w:rPr>
        <w:tab/>
        <w:t>Paddock to Reef Integrated Monitoring, Modelling and Reporting Program</w:t>
      </w:r>
    </w:p>
    <w:p w:rsidR="005132EF" w:rsidRPr="00370E70" w:rsidRDefault="005132EF" w:rsidP="00034AD4">
      <w:pPr>
        <w:tabs>
          <w:tab w:val="left" w:pos="1701"/>
        </w:tabs>
        <w:ind w:left="1701" w:hanging="1701"/>
        <w:rPr>
          <w:color w:val="000000"/>
          <w:szCs w:val="22"/>
        </w:rPr>
      </w:pPr>
    </w:p>
    <w:p w:rsidR="005132EF" w:rsidRPr="00370E70" w:rsidRDefault="005132EF" w:rsidP="00034AD4">
      <w:pPr>
        <w:tabs>
          <w:tab w:val="left" w:pos="1134"/>
        </w:tabs>
        <w:ind w:left="1134" w:hanging="1134"/>
      </w:pPr>
      <w:r w:rsidRPr="00370E70">
        <w:rPr>
          <w:rFonts w:cs="Arial"/>
        </w:rPr>
        <w:br w:type="page"/>
      </w:r>
    </w:p>
    <w:p w:rsidR="005132EF" w:rsidRPr="00370E70" w:rsidRDefault="005132EF" w:rsidP="00034AD4">
      <w:pPr>
        <w:pStyle w:val="Heading1"/>
        <w:pageBreakBefore w:val="0"/>
        <w:rPr>
          <w:rFonts w:ascii="Century Gothic" w:hAnsi="Century Gothic"/>
        </w:rPr>
      </w:pPr>
      <w:bookmarkStart w:id="3" w:name="_Toc232845887"/>
      <w:bookmarkStart w:id="4" w:name="_Toc184101940"/>
      <w:bookmarkStart w:id="5" w:name="_Toc384196102"/>
      <w:r w:rsidRPr="00370E70">
        <w:rPr>
          <w:rFonts w:ascii="Century Gothic" w:hAnsi="Century Gothic"/>
        </w:rPr>
        <w:lastRenderedPageBreak/>
        <w:t>Acknowledgements</w:t>
      </w:r>
      <w:bookmarkEnd w:id="3"/>
      <w:bookmarkEnd w:id="4"/>
      <w:bookmarkEnd w:id="5"/>
    </w:p>
    <w:p w:rsidR="00A46CDE" w:rsidRPr="00370E70" w:rsidRDefault="005132EF" w:rsidP="00A46CDE">
      <w:pPr>
        <w:rPr>
          <w:color w:val="000000"/>
          <w:szCs w:val="22"/>
        </w:rPr>
      </w:pPr>
      <w:r w:rsidRPr="00370E70">
        <w:rPr>
          <w:color w:val="000000"/>
          <w:szCs w:val="22"/>
        </w:rPr>
        <w:t xml:space="preserve">We thank our collaborators for their assistance with field collections, laboratory processing and data management: Naomi Smith, Rudi Yoshida, Rachel Amies, Miwa Takahashi, Louise Johns, Rob Coles, Phil Hales, Lloyd Sheppard and Christina Howley. </w:t>
      </w:r>
      <w:r w:rsidR="00A46CDE" w:rsidRPr="00370E70">
        <w:rPr>
          <w:color w:val="000000"/>
          <w:szCs w:val="22"/>
        </w:rPr>
        <w:t xml:space="preserve">We also thank the many volunteers who assisted with field monitoring in </w:t>
      </w:r>
      <w:smartTag w:uri="urn:schemas-microsoft-com:office:smarttags" w:element="PlaceName">
        <w:r w:rsidR="00755054" w:rsidRPr="00370E70">
          <w:rPr>
            <w:color w:val="000000"/>
            <w:szCs w:val="22"/>
          </w:rPr>
          <w:t>Archer</w:t>
        </w:r>
      </w:smartTag>
      <w:r w:rsidR="00755054" w:rsidRPr="00370E70">
        <w:rPr>
          <w:color w:val="000000"/>
          <w:szCs w:val="22"/>
        </w:rPr>
        <w:t xml:space="preserve"> </w:t>
      </w:r>
      <w:smartTag w:uri="urn:schemas-microsoft-com:office:smarttags" w:element="PlaceName">
        <w:r w:rsidR="00755054" w:rsidRPr="00370E70">
          <w:rPr>
            <w:color w:val="000000"/>
            <w:szCs w:val="22"/>
          </w:rPr>
          <w:t>Point</w:t>
        </w:r>
      </w:smartTag>
      <w:r w:rsidR="00755054" w:rsidRPr="00370E70">
        <w:rPr>
          <w:color w:val="000000"/>
          <w:szCs w:val="22"/>
        </w:rPr>
        <w:t xml:space="preserve">, </w:t>
      </w:r>
      <w:r w:rsidR="00A46CDE" w:rsidRPr="00370E70">
        <w:rPr>
          <w:color w:val="000000"/>
          <w:szCs w:val="22"/>
        </w:rPr>
        <w:t xml:space="preserve">Townsville and </w:t>
      </w:r>
      <w:smartTag w:uri="urn:schemas-microsoft-com:office:smarttags" w:element="place">
        <w:smartTag w:uri="urn:schemas-microsoft-com:office:smarttags" w:element="PlaceName">
          <w:r w:rsidR="00A46CDE" w:rsidRPr="00370E70">
            <w:rPr>
              <w:color w:val="000000"/>
              <w:szCs w:val="22"/>
            </w:rPr>
            <w:t>Pioneer</w:t>
          </w:r>
        </w:smartTag>
        <w:r w:rsidR="00A46CDE" w:rsidRPr="00370E70">
          <w:rPr>
            <w:color w:val="000000"/>
            <w:szCs w:val="22"/>
          </w:rPr>
          <w:t xml:space="preserve"> </w:t>
        </w:r>
        <w:smartTag w:uri="urn:schemas-microsoft-com:office:smarttags" w:element="PlaceType">
          <w:r w:rsidR="00A46CDE" w:rsidRPr="00370E70">
            <w:rPr>
              <w:color w:val="000000"/>
              <w:szCs w:val="22"/>
            </w:rPr>
            <w:t>Bay</w:t>
          </w:r>
        </w:smartTag>
      </w:smartTag>
      <w:r w:rsidR="00A46CDE" w:rsidRPr="00370E70">
        <w:rPr>
          <w:color w:val="000000"/>
          <w:szCs w:val="22"/>
        </w:rPr>
        <w:t>.</w:t>
      </w:r>
    </w:p>
    <w:p w:rsidR="005132EF" w:rsidRPr="00370E70" w:rsidRDefault="005132EF" w:rsidP="00034AD4">
      <w:pPr>
        <w:rPr>
          <w:color w:val="000000"/>
          <w:szCs w:val="22"/>
        </w:rPr>
      </w:pPr>
      <w:r w:rsidRPr="00370E70">
        <w:rPr>
          <w:color w:val="000000"/>
          <w:szCs w:val="22"/>
        </w:rPr>
        <w:t>We thank Jim Fourqurean, Rob Coles, and Katherine Martin for their guidance and scientific discussions regarding the program. We thank Range Control Officer (Department of Defence) for providing support and access to the Shoalwater Bay Training Area to conduct biannual monitoring.</w:t>
      </w:r>
      <w:r w:rsidR="00091849" w:rsidRPr="00370E70">
        <w:rPr>
          <w:color w:val="000000"/>
          <w:szCs w:val="22"/>
        </w:rPr>
        <w:t xml:space="preserve"> We thank the Traditional Owners of the Sea Countries we visited to conduct our monitoring.</w:t>
      </w:r>
    </w:p>
    <w:p w:rsidR="005132EF" w:rsidRPr="00370E70" w:rsidRDefault="005132EF" w:rsidP="00034AD4">
      <w:pPr>
        <w:pStyle w:val="BodyText"/>
        <w:spacing w:after="0" w:line="240" w:lineRule="auto"/>
        <w:rPr>
          <w:color w:val="000000"/>
          <w:szCs w:val="22"/>
        </w:rPr>
      </w:pPr>
      <w:r w:rsidRPr="00370E70">
        <w:rPr>
          <w:color w:val="000000"/>
          <w:szCs w:val="22"/>
        </w:rPr>
        <w:t xml:space="preserve">River discharge data provided by the State of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(Department of Environment and Resource Management) 2012. The conceptual diagram symbols are courtesy of the Integration and Application Network (ian.umces.edu/symbols/), University of Maryland Center for Environmental Science. Climate data courtesy of the Australian Bureau of Meteorology.</w:t>
      </w:r>
    </w:p>
    <w:p w:rsidR="005132EF" w:rsidRPr="00370E70" w:rsidRDefault="005132EF" w:rsidP="00034AD4">
      <w:pPr>
        <w:rPr>
          <w:color w:val="000000"/>
          <w:szCs w:val="22"/>
        </w:rPr>
      </w:pPr>
    </w:p>
    <w:p w:rsidR="00A91077" w:rsidRPr="00370E70" w:rsidRDefault="00A91077" w:rsidP="00034AD4">
      <w:pPr>
        <w:rPr>
          <w:color w:val="000000"/>
          <w:szCs w:val="22"/>
        </w:rPr>
      </w:pPr>
      <w:r w:rsidRPr="00370E70">
        <w:rPr>
          <w:color w:val="000000"/>
          <w:szCs w:val="22"/>
        </w:rPr>
        <w:br w:type="page"/>
      </w:r>
    </w:p>
    <w:p w:rsidR="00A91077" w:rsidRPr="00370E70" w:rsidRDefault="00A91077" w:rsidP="00034AD4">
      <w:pPr>
        <w:rPr>
          <w:color w:val="000000"/>
          <w:szCs w:val="22"/>
        </w:rPr>
      </w:pPr>
    </w:p>
    <w:p w:rsidR="005132EF" w:rsidRPr="00370E70" w:rsidRDefault="005132EF" w:rsidP="00034AD4">
      <w:pPr>
        <w:pStyle w:val="BodyText"/>
        <w:spacing w:line="240" w:lineRule="auto"/>
        <w:rPr>
          <w:color w:val="000000"/>
        </w:rPr>
      </w:pPr>
    </w:p>
    <w:p w:rsidR="005132EF" w:rsidRPr="00370E70" w:rsidRDefault="005132EF" w:rsidP="00034AD4">
      <w:pPr>
        <w:pStyle w:val="BodyText"/>
        <w:spacing w:line="240" w:lineRule="auto"/>
        <w:rPr>
          <w:color w:val="000000"/>
        </w:rPr>
        <w:sectPr w:rsidR="005132EF" w:rsidRPr="00370E70" w:rsidSect="00034AD4">
          <w:footerReference w:type="even" r:id="rId14"/>
          <w:footerReference w:type="default" r:id="rId15"/>
          <w:pgSz w:w="11906" w:h="16838" w:code="9"/>
          <w:pgMar w:top="1418" w:right="1418" w:bottom="1418" w:left="1418" w:header="709" w:footer="709" w:gutter="0"/>
          <w:pgNumType w:fmt="lowerRoman" w:start="1"/>
          <w:cols w:space="708"/>
          <w:titlePg/>
          <w:docGrid w:linePitch="360"/>
        </w:sectPr>
      </w:pPr>
    </w:p>
    <w:p w:rsidR="005132EF" w:rsidRPr="00370E70" w:rsidRDefault="005132EF" w:rsidP="00034AD4">
      <w:pPr>
        <w:pStyle w:val="Heading1"/>
        <w:rPr>
          <w:rFonts w:ascii="Century Gothic" w:hAnsi="Century Gothic"/>
          <w:color w:val="000000"/>
          <w:sz w:val="36"/>
          <w:szCs w:val="36"/>
        </w:rPr>
      </w:pPr>
      <w:bookmarkStart w:id="6" w:name="_Toc176079531"/>
      <w:bookmarkStart w:id="7" w:name="_Toc232845888"/>
      <w:bookmarkStart w:id="8" w:name="_Toc184101941"/>
      <w:bookmarkStart w:id="9" w:name="_Toc384196103"/>
      <w:bookmarkStart w:id="10" w:name="_Toc175991037"/>
      <w:bookmarkStart w:id="11" w:name="OLE_LINK1"/>
      <w:bookmarkStart w:id="12" w:name="OLE_LINK2"/>
      <w:r w:rsidRPr="00370E70">
        <w:rPr>
          <w:rFonts w:ascii="Century Gothic" w:hAnsi="Century Gothic"/>
          <w:color w:val="000000"/>
          <w:sz w:val="36"/>
          <w:szCs w:val="36"/>
        </w:rPr>
        <w:lastRenderedPageBreak/>
        <w:t>Executive summary</w:t>
      </w:r>
      <w:bookmarkEnd w:id="6"/>
      <w:bookmarkEnd w:id="7"/>
      <w:bookmarkEnd w:id="8"/>
      <w:bookmarkEnd w:id="9"/>
      <w:r w:rsidRPr="00370E70">
        <w:rPr>
          <w:rFonts w:ascii="Century Gothic" w:hAnsi="Century Gothic"/>
          <w:color w:val="000000"/>
          <w:sz w:val="36"/>
          <w:szCs w:val="36"/>
        </w:rPr>
        <w:t xml:space="preserve"> </w:t>
      </w:r>
    </w:p>
    <w:p w:rsidR="00C62601" w:rsidRPr="00370E70" w:rsidRDefault="00C62601" w:rsidP="00C62601">
      <w:pPr>
        <w:tabs>
          <w:tab w:val="left" w:pos="6804"/>
        </w:tabs>
        <w:rPr>
          <w:color w:val="000000"/>
          <w:szCs w:val="22"/>
        </w:rPr>
      </w:pPr>
      <w:r w:rsidRPr="00370E70">
        <w:rPr>
          <w:color w:val="000000"/>
          <w:szCs w:val="22"/>
        </w:rPr>
        <w:t>The Reef Rescue Marine Monitoring Program (herein referred to as the MMP) undertaken in the Great Barrier Reef (GBR) lagoon assesses the long-term effectiveness of the Australian and Queensland Government’s Reef Water Quality Protection Plan (Reef Plan) and the Australian Government’s Reef Rescue initiative. Established in 2005 to help assess the long-term status and health of GBR ecosystems the MMP is a critical component in the assessment of regional water quality as land management practices are improved across GBR catchments. The program forms an integral part of the Reef Plan Paddock to Reef Integrated Monitoring, Modelling and Reporting Program (P2R program) supported through Reef Plan and Reef Rescue. This report details the results of sampling that has occurred under the MMP to assess the status and identify responses to the environmental drivers of trends in the inshore seagrass ecosystems of the GBR lagoon.</w:t>
      </w:r>
    </w:p>
    <w:p w:rsidR="0048142F" w:rsidRPr="00370E70" w:rsidRDefault="00420162" w:rsidP="0048142F">
      <w:pPr>
        <w:tabs>
          <w:tab w:val="left" w:pos="6804"/>
        </w:tabs>
        <w:rPr>
          <w:color w:val="000000"/>
          <w:szCs w:val="22"/>
        </w:rPr>
      </w:pPr>
      <w:r w:rsidRPr="00370E70">
        <w:rPr>
          <w:color w:val="000000"/>
          <w:szCs w:val="22"/>
        </w:rPr>
        <w:t xml:space="preserve">Inshore seagrass meadows along the developed </w:t>
      </w:r>
      <w:r w:rsidR="00CF2B92" w:rsidRPr="00370E70">
        <w:rPr>
          <w:color w:val="000000"/>
          <w:szCs w:val="22"/>
        </w:rPr>
        <w:t xml:space="preserve">(agricultural/urban) </w:t>
      </w:r>
      <w:r w:rsidRPr="00370E70">
        <w:rPr>
          <w:color w:val="000000"/>
          <w:szCs w:val="22"/>
        </w:rPr>
        <w:t>coast of the GBR were in a vulnerable condition with declining trajectories p</w:t>
      </w:r>
      <w:r w:rsidR="005132EF" w:rsidRPr="00370E70">
        <w:rPr>
          <w:color w:val="000000"/>
          <w:szCs w:val="22"/>
        </w:rPr>
        <w:t xml:space="preserve">rior to </w:t>
      </w:r>
      <w:r w:rsidRPr="00370E70">
        <w:rPr>
          <w:color w:val="000000"/>
          <w:szCs w:val="22"/>
        </w:rPr>
        <w:t>20</w:t>
      </w:r>
      <w:r w:rsidR="00CF2B92" w:rsidRPr="00370E70">
        <w:rPr>
          <w:color w:val="000000"/>
          <w:szCs w:val="22"/>
        </w:rPr>
        <w:t>1</w:t>
      </w:r>
      <w:r w:rsidRPr="00370E70">
        <w:rPr>
          <w:color w:val="000000"/>
          <w:szCs w:val="22"/>
        </w:rPr>
        <w:t xml:space="preserve">1. Following the </w:t>
      </w:r>
      <w:r w:rsidR="005132EF" w:rsidRPr="00370E70">
        <w:rPr>
          <w:color w:val="000000"/>
          <w:szCs w:val="22"/>
        </w:rPr>
        <w:t xml:space="preserve">extreme weather events of </w:t>
      </w:r>
      <w:r w:rsidRPr="00370E70">
        <w:rPr>
          <w:color w:val="000000"/>
          <w:szCs w:val="22"/>
        </w:rPr>
        <w:t xml:space="preserve">early </w:t>
      </w:r>
      <w:r w:rsidR="005132EF" w:rsidRPr="00370E70">
        <w:rPr>
          <w:color w:val="000000"/>
          <w:szCs w:val="22"/>
        </w:rPr>
        <w:t>2011</w:t>
      </w:r>
      <w:r w:rsidR="0048142F" w:rsidRPr="00370E70">
        <w:rPr>
          <w:color w:val="000000"/>
          <w:szCs w:val="22"/>
        </w:rPr>
        <w:t>,</w:t>
      </w:r>
      <w:r w:rsidR="005132EF" w:rsidRPr="00370E70">
        <w:rPr>
          <w:color w:val="000000"/>
          <w:szCs w:val="22"/>
        </w:rPr>
        <w:t xml:space="preserve"> </w:t>
      </w:r>
      <w:r w:rsidRPr="00370E70">
        <w:rPr>
          <w:color w:val="000000"/>
          <w:szCs w:val="22"/>
        </w:rPr>
        <w:t xml:space="preserve">inshore </w:t>
      </w:r>
      <w:r w:rsidR="005132EF" w:rsidRPr="00370E70">
        <w:rPr>
          <w:color w:val="000000"/>
          <w:szCs w:val="22"/>
        </w:rPr>
        <w:t xml:space="preserve">seagrass meadows </w:t>
      </w:r>
      <w:r w:rsidR="00CF2B92" w:rsidRPr="00370E70">
        <w:rPr>
          <w:color w:val="000000"/>
          <w:szCs w:val="22"/>
        </w:rPr>
        <w:t xml:space="preserve">throughout much </w:t>
      </w:r>
      <w:r w:rsidR="005132EF" w:rsidRPr="00370E70">
        <w:rPr>
          <w:color w:val="000000"/>
          <w:szCs w:val="22"/>
        </w:rPr>
        <w:t xml:space="preserve">of the GBR were </w:t>
      </w:r>
      <w:r w:rsidRPr="00370E70">
        <w:rPr>
          <w:color w:val="000000"/>
          <w:szCs w:val="22"/>
        </w:rPr>
        <w:t>in a dire condition</w:t>
      </w:r>
      <w:r w:rsidR="00CF2B92" w:rsidRPr="00370E70">
        <w:rPr>
          <w:color w:val="000000"/>
          <w:szCs w:val="22"/>
        </w:rPr>
        <w:t xml:space="preserve"> </w:t>
      </w:r>
      <w:r w:rsidR="0048142F" w:rsidRPr="00370E70">
        <w:rPr>
          <w:color w:val="000000"/>
          <w:szCs w:val="22"/>
        </w:rPr>
        <w:t>after experiencing</w:t>
      </w:r>
      <w:r w:rsidR="00CF2B92" w:rsidRPr="00370E70">
        <w:rPr>
          <w:color w:val="000000"/>
          <w:szCs w:val="22"/>
        </w:rPr>
        <w:t xml:space="preserve"> w</w:t>
      </w:r>
      <w:r w:rsidR="00CF2B92" w:rsidRPr="00370E70">
        <w:rPr>
          <w:noProof/>
          <w:color w:val="000000"/>
          <w:szCs w:val="22"/>
        </w:rPr>
        <w:t>idespread and substantial losses</w:t>
      </w:r>
      <w:r w:rsidR="00CF2B92" w:rsidRPr="00370E70">
        <w:rPr>
          <w:color w:val="000000"/>
          <w:szCs w:val="22"/>
        </w:rPr>
        <w:t>.</w:t>
      </w:r>
      <w:r w:rsidR="0048142F" w:rsidRPr="00370E70">
        <w:rPr>
          <w:color w:val="000000"/>
          <w:szCs w:val="22"/>
        </w:rPr>
        <w:t xml:space="preserve"> As a critical component of the GBR inshore ecosystems, the substantial loss of seagrass had </w:t>
      </w:r>
      <w:r w:rsidR="00957E83" w:rsidRPr="00370E70">
        <w:rPr>
          <w:color w:val="000000"/>
          <w:szCs w:val="22"/>
        </w:rPr>
        <w:t>devastating</w:t>
      </w:r>
      <w:r w:rsidR="0048142F" w:rsidRPr="00370E70">
        <w:rPr>
          <w:color w:val="000000"/>
          <w:szCs w:val="22"/>
        </w:rPr>
        <w:t xml:space="preserve"> flow-on effects </w:t>
      </w:r>
      <w:r w:rsidR="0048142F" w:rsidRPr="00370E70">
        <w:rPr>
          <w:szCs w:val="22"/>
        </w:rPr>
        <w:t>to the dugong and green turtle populations</w:t>
      </w:r>
      <w:r w:rsidR="00655045" w:rsidRPr="00370E70">
        <w:rPr>
          <w:szCs w:val="22"/>
        </w:rPr>
        <w:t>,</w:t>
      </w:r>
      <w:r w:rsidR="0048142F" w:rsidRPr="00370E70">
        <w:rPr>
          <w:szCs w:val="22"/>
        </w:rPr>
        <w:t xml:space="preserve"> which are highly dependent on seagrass as their primary food supply</w:t>
      </w:r>
      <w:r w:rsidR="0048142F" w:rsidRPr="00370E70">
        <w:rPr>
          <w:color w:val="000000"/>
          <w:szCs w:val="22"/>
        </w:rPr>
        <w:t xml:space="preserve">. </w:t>
      </w:r>
    </w:p>
    <w:p w:rsidR="00271E58" w:rsidRPr="00370E70" w:rsidRDefault="00A05961" w:rsidP="009B70C6">
      <w:pPr>
        <w:autoSpaceDE w:val="0"/>
        <w:autoSpaceDN w:val="0"/>
        <w:adjustRightInd w:val="0"/>
        <w:rPr>
          <w:rFonts w:cs="TimesNewRoman"/>
          <w:color w:val="000000"/>
          <w:szCs w:val="22"/>
        </w:rPr>
      </w:pPr>
      <w:bookmarkStart w:id="13" w:name="OLE_LINK47"/>
      <w:bookmarkStart w:id="14" w:name="OLE_LINK48"/>
      <w:r w:rsidRPr="00370E70">
        <w:rPr>
          <w:rFonts w:cs="TimesNewRoman"/>
          <w:color w:val="000000"/>
          <w:szCs w:val="22"/>
        </w:rPr>
        <w:t>Throughout 2011/12, s</w:t>
      </w:r>
      <w:r w:rsidR="009B70C6" w:rsidRPr="00370E70">
        <w:rPr>
          <w:rFonts w:cs="TimesNewRoman"/>
          <w:color w:val="000000"/>
          <w:szCs w:val="22"/>
        </w:rPr>
        <w:t>eagrass condition in the far north (</w:t>
      </w:r>
      <w:smartTag w:uri="urn:schemas-microsoft-com:office:smarttags" w:element="place">
        <w:r w:rsidR="009B70C6" w:rsidRPr="00370E70">
          <w:rPr>
            <w:rFonts w:cs="TimesNewRoman"/>
            <w:color w:val="000000"/>
            <w:szCs w:val="22"/>
          </w:rPr>
          <w:t>Cape York</w:t>
        </w:r>
      </w:smartTag>
      <w:r w:rsidR="009B70C6" w:rsidRPr="00370E70">
        <w:rPr>
          <w:rFonts w:cs="TimesNewRoman"/>
          <w:color w:val="000000"/>
          <w:szCs w:val="22"/>
        </w:rPr>
        <w:t xml:space="preserve"> and Wet Tropics) continued to decline, whereas seagrass condition in </w:t>
      </w:r>
      <w:r w:rsidR="004A3BF1" w:rsidRPr="00370E70">
        <w:rPr>
          <w:rFonts w:cs="TimesNewRoman"/>
          <w:color w:val="000000"/>
          <w:szCs w:val="22"/>
        </w:rPr>
        <w:t>remaining</w:t>
      </w:r>
      <w:r w:rsidR="009B70C6" w:rsidRPr="00370E70">
        <w:rPr>
          <w:rFonts w:cs="TimesNewRoman"/>
          <w:color w:val="000000"/>
          <w:szCs w:val="22"/>
        </w:rPr>
        <w:t xml:space="preserve"> NRM regions </w:t>
      </w:r>
      <w:r w:rsidRPr="00370E70">
        <w:rPr>
          <w:rFonts w:cs="TimesNewRoman"/>
          <w:color w:val="000000"/>
          <w:szCs w:val="22"/>
        </w:rPr>
        <w:t xml:space="preserve">slightly </w:t>
      </w:r>
      <w:r w:rsidR="009B70C6" w:rsidRPr="00370E70">
        <w:rPr>
          <w:rFonts w:cs="TimesNewRoman"/>
          <w:color w:val="000000"/>
          <w:szCs w:val="22"/>
        </w:rPr>
        <w:t xml:space="preserve">improved, but remained in either </w:t>
      </w:r>
      <w:r w:rsidR="00655045" w:rsidRPr="00370E70">
        <w:rPr>
          <w:rFonts w:cs="TimesNewRoman"/>
          <w:color w:val="000000"/>
          <w:szCs w:val="22"/>
        </w:rPr>
        <w:t xml:space="preserve">a </w:t>
      </w:r>
      <w:r w:rsidR="009B70C6" w:rsidRPr="00370E70">
        <w:rPr>
          <w:rFonts w:cs="TimesNewRoman"/>
          <w:color w:val="000000"/>
          <w:szCs w:val="22"/>
        </w:rPr>
        <w:t>poor or very poor state</w:t>
      </w:r>
      <w:r w:rsidR="00271E58" w:rsidRPr="00370E70">
        <w:rPr>
          <w:rFonts w:cs="TimesNewRoman"/>
          <w:color w:val="000000"/>
          <w:szCs w:val="22"/>
        </w:rPr>
        <w:t xml:space="preserve"> (</w:t>
      </w:r>
      <w:r w:rsidR="00271E58" w:rsidRPr="00370E70">
        <w:rPr>
          <w:rFonts w:cs="TimesNewRoman"/>
          <w:color w:val="000000"/>
          <w:szCs w:val="22"/>
        </w:rPr>
        <w:fldChar w:fldCharType="begin"/>
      </w:r>
      <w:r w:rsidR="00271E58" w:rsidRPr="00370E70">
        <w:rPr>
          <w:rFonts w:cs="TimesNewRoman"/>
          <w:color w:val="000000"/>
          <w:szCs w:val="22"/>
        </w:rPr>
        <w:instrText xml:space="preserve"> REF _Ref354915687 \h </w:instrText>
      </w:r>
      <w:r w:rsidR="00271E58" w:rsidRPr="00370E70">
        <w:rPr>
          <w:rFonts w:cs="TimesNewRoman"/>
          <w:color w:val="000000"/>
          <w:szCs w:val="22"/>
        </w:rPr>
      </w:r>
      <w:r w:rsidR="00271E58" w:rsidRPr="00370E70">
        <w:rPr>
          <w:rFonts w:cs="TimesNewRoman"/>
          <w:color w:val="000000"/>
          <w:szCs w:val="22"/>
        </w:rPr>
        <w:fldChar w:fldCharType="separate"/>
      </w:r>
      <w:r w:rsidR="005B5FD6" w:rsidRPr="00370E70">
        <w:t xml:space="preserve">Table </w:t>
      </w:r>
      <w:r w:rsidR="005B5FD6">
        <w:rPr>
          <w:noProof/>
        </w:rPr>
        <w:t>1</w:t>
      </w:r>
      <w:r w:rsidR="00271E58" w:rsidRPr="00370E70">
        <w:rPr>
          <w:rFonts w:cs="TimesNewRoman"/>
          <w:color w:val="000000"/>
          <w:szCs w:val="22"/>
        </w:rPr>
        <w:fldChar w:fldCharType="end"/>
      </w:r>
      <w:r w:rsidR="00271E58" w:rsidRPr="00370E70">
        <w:rPr>
          <w:rFonts w:cs="TimesNewRoman"/>
          <w:color w:val="000000"/>
          <w:szCs w:val="22"/>
        </w:rPr>
        <w:t>)</w:t>
      </w:r>
      <w:r w:rsidR="009B70C6" w:rsidRPr="00370E70">
        <w:rPr>
          <w:rFonts w:cs="TimesNewRoman"/>
          <w:color w:val="000000"/>
          <w:szCs w:val="22"/>
        </w:rPr>
        <w:t>.</w:t>
      </w:r>
      <w:bookmarkEnd w:id="13"/>
      <w:bookmarkEnd w:id="14"/>
      <w:r w:rsidR="00E31603" w:rsidRPr="00370E70">
        <w:rPr>
          <w:rFonts w:cs="TimesNewRoman"/>
          <w:color w:val="000000"/>
          <w:szCs w:val="22"/>
        </w:rPr>
        <w:t xml:space="preserve"> </w:t>
      </w:r>
      <w:r w:rsidR="00E65C32" w:rsidRPr="00370E70">
        <w:rPr>
          <w:rFonts w:cs="TimesNewRoman"/>
          <w:color w:val="000000"/>
          <w:szCs w:val="22"/>
        </w:rPr>
        <w:t xml:space="preserve">Overall the system remains in low health status (very poor condition). </w:t>
      </w:r>
    </w:p>
    <w:p w:rsidR="0033652B" w:rsidRPr="00370E70" w:rsidRDefault="00271E58" w:rsidP="0033652B">
      <w:pPr>
        <w:pStyle w:val="Caption"/>
        <w:jc w:val="center"/>
        <w:rPr>
          <w:i/>
          <w:vanish/>
          <w:szCs w:val="22"/>
          <w:lang w:val="en-AU"/>
          <w:specVanish/>
        </w:rPr>
      </w:pPr>
      <w:bookmarkStart w:id="15" w:name="_Ref354915687"/>
      <w:bookmarkStart w:id="16" w:name="_Toc384196537"/>
      <w:r w:rsidRPr="00370E70">
        <w:rP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w:t>
      </w:r>
      <w:r w:rsidRPr="00370E70">
        <w:rPr>
          <w:lang w:val="en-AU"/>
        </w:rPr>
        <w:fldChar w:fldCharType="end"/>
      </w:r>
      <w:bookmarkEnd w:id="15"/>
      <w:r w:rsidRPr="00370E70">
        <w:rPr>
          <w:lang w:val="en-AU"/>
        </w:rPr>
        <w:t xml:space="preserve">. </w:t>
      </w:r>
      <w:r w:rsidRPr="00370E70">
        <w:rPr>
          <w:i/>
          <w:lang w:val="en-AU"/>
        </w:rPr>
        <w:t>Report card for seagrass status for the GBR and each NRM region: July 2011 – May 2012</w:t>
      </w:r>
      <w:bookmarkEnd w:id="16"/>
    </w:p>
    <w:p w:rsidR="0033652B" w:rsidRPr="00370E70" w:rsidRDefault="00271E58" w:rsidP="0033652B">
      <w:pPr>
        <w:pStyle w:val="Caption"/>
        <w:jc w:val="center"/>
        <w:rPr>
          <w:i/>
          <w:lang w:val="en-AU"/>
        </w:rPr>
      </w:pPr>
      <w:r w:rsidRPr="00370E70">
        <w:rPr>
          <w:i/>
          <w:lang w:val="en-AU"/>
        </w:rPr>
        <w:t xml:space="preserve">. 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33652B" w:rsidRPr="00370E70">
        <w:rPr>
          <w:i/>
          <w:lang w:val="en-AU"/>
        </w:rPr>
        <w:t xml:space="preserve"> </w:t>
      </w:r>
    </w:p>
    <w:tbl>
      <w:tblPr>
        <w:tblW w:w="8013" w:type="dxa"/>
        <w:jc w:val="center"/>
        <w:tblLook w:val="0000" w:firstRow="0" w:lastRow="0" w:firstColumn="0" w:lastColumn="0" w:noHBand="0" w:noVBand="0"/>
      </w:tblPr>
      <w:tblGrid>
        <w:gridCol w:w="2227"/>
        <w:gridCol w:w="1362"/>
        <w:gridCol w:w="1540"/>
        <w:gridCol w:w="1666"/>
        <w:gridCol w:w="1218"/>
      </w:tblGrid>
      <w:tr w:rsidR="00271E58" w:rsidRPr="00370E70" w:rsidTr="00271E58">
        <w:trPr>
          <w:trHeight w:val="575"/>
          <w:jc w:val="center"/>
        </w:trPr>
        <w:tc>
          <w:tcPr>
            <w:tcW w:w="2227" w:type="dxa"/>
            <w:tcBorders>
              <w:top w:val="single" w:sz="4" w:space="0" w:color="auto"/>
              <w:left w:val="nil"/>
              <w:bottom w:val="single" w:sz="4" w:space="0" w:color="000000"/>
              <w:right w:val="nil"/>
            </w:tcBorders>
            <w:noWrap/>
            <w:vAlign w:val="center"/>
          </w:tcPr>
          <w:p w:rsidR="00271E58" w:rsidRPr="00370E70" w:rsidRDefault="00271E58" w:rsidP="00271E58">
            <w:pPr>
              <w:spacing w:before="0" w:after="0"/>
              <w:jc w:val="center"/>
              <w:rPr>
                <w:b/>
                <w:color w:val="000000"/>
              </w:rPr>
            </w:pPr>
            <w:r w:rsidRPr="00370E70">
              <w:rPr>
                <w:b/>
                <w:color w:val="000000"/>
                <w:szCs w:val="22"/>
              </w:rPr>
              <w:t>Region</w:t>
            </w:r>
          </w:p>
        </w:tc>
        <w:tc>
          <w:tcPr>
            <w:tcW w:w="1362" w:type="dxa"/>
            <w:tcBorders>
              <w:top w:val="single" w:sz="4" w:space="0" w:color="auto"/>
              <w:left w:val="nil"/>
              <w:bottom w:val="single" w:sz="4" w:space="0" w:color="000000"/>
              <w:right w:val="nil"/>
            </w:tcBorders>
            <w:vAlign w:val="center"/>
          </w:tcPr>
          <w:p w:rsidR="00271E58" w:rsidRPr="00370E70" w:rsidRDefault="00271E58" w:rsidP="00271E58">
            <w:pPr>
              <w:spacing w:before="0" w:after="0"/>
              <w:jc w:val="center"/>
              <w:rPr>
                <w:color w:val="000000"/>
              </w:rPr>
            </w:pPr>
            <w:r w:rsidRPr="00370E70">
              <w:rPr>
                <w:color w:val="000000"/>
                <w:szCs w:val="22"/>
              </w:rPr>
              <w:t>Seagrass</w:t>
            </w:r>
          </w:p>
          <w:p w:rsidR="00271E58" w:rsidRPr="00370E70" w:rsidRDefault="00271E58" w:rsidP="00271E58">
            <w:pPr>
              <w:spacing w:before="0" w:after="0"/>
              <w:jc w:val="center"/>
              <w:rPr>
                <w:color w:val="000000"/>
              </w:rPr>
            </w:pPr>
            <w:r w:rsidRPr="00370E70">
              <w:rPr>
                <w:color w:val="000000"/>
                <w:szCs w:val="22"/>
              </w:rPr>
              <w:t>Abundance</w:t>
            </w:r>
          </w:p>
        </w:tc>
        <w:tc>
          <w:tcPr>
            <w:tcW w:w="1540" w:type="dxa"/>
            <w:tcBorders>
              <w:top w:val="single" w:sz="4" w:space="0" w:color="auto"/>
              <w:left w:val="nil"/>
              <w:bottom w:val="single" w:sz="4" w:space="0" w:color="000000"/>
              <w:right w:val="nil"/>
            </w:tcBorders>
            <w:vAlign w:val="center"/>
          </w:tcPr>
          <w:p w:rsidR="00271E58" w:rsidRPr="00370E70" w:rsidRDefault="00271E58" w:rsidP="00271E58">
            <w:pPr>
              <w:spacing w:before="0" w:after="0"/>
              <w:jc w:val="center"/>
              <w:rPr>
                <w:color w:val="000000"/>
              </w:rPr>
            </w:pPr>
            <w:r w:rsidRPr="00370E70">
              <w:rPr>
                <w:color w:val="000000"/>
                <w:szCs w:val="22"/>
              </w:rPr>
              <w:t>Reproductive</w:t>
            </w:r>
          </w:p>
          <w:p w:rsidR="00271E58" w:rsidRPr="00370E70" w:rsidRDefault="00271E58" w:rsidP="00271E58">
            <w:pPr>
              <w:spacing w:before="0" w:after="0"/>
              <w:jc w:val="center"/>
              <w:rPr>
                <w:color w:val="000000"/>
              </w:rPr>
            </w:pPr>
            <w:r w:rsidRPr="00370E70">
              <w:rPr>
                <w:color w:val="000000"/>
                <w:szCs w:val="22"/>
              </w:rPr>
              <w:t>Effort</w:t>
            </w:r>
          </w:p>
        </w:tc>
        <w:tc>
          <w:tcPr>
            <w:tcW w:w="1666" w:type="dxa"/>
            <w:tcBorders>
              <w:top w:val="single" w:sz="4" w:space="0" w:color="auto"/>
              <w:left w:val="nil"/>
              <w:bottom w:val="single" w:sz="4" w:space="0" w:color="000000"/>
              <w:right w:val="nil"/>
            </w:tcBorders>
            <w:vAlign w:val="center"/>
          </w:tcPr>
          <w:p w:rsidR="00271E58" w:rsidRPr="00370E70" w:rsidRDefault="00271E58" w:rsidP="00271E58">
            <w:pPr>
              <w:spacing w:before="0" w:after="0"/>
              <w:jc w:val="center"/>
              <w:rPr>
                <w:color w:val="000000"/>
              </w:rPr>
            </w:pPr>
            <w:r w:rsidRPr="00370E70">
              <w:rPr>
                <w:color w:val="000000"/>
                <w:szCs w:val="22"/>
              </w:rPr>
              <w:t>Nutrient status</w:t>
            </w:r>
          </w:p>
          <w:p w:rsidR="00271E58" w:rsidRPr="00370E70" w:rsidRDefault="00271E58" w:rsidP="00271E58">
            <w:pPr>
              <w:spacing w:before="0" w:after="0"/>
              <w:jc w:val="center"/>
              <w:rPr>
                <w:color w:val="000000"/>
              </w:rPr>
            </w:pPr>
            <w:r w:rsidRPr="00370E70">
              <w:rPr>
                <w:color w:val="000000"/>
                <w:szCs w:val="22"/>
              </w:rPr>
              <w:t>(C:N ratio)</w:t>
            </w:r>
          </w:p>
        </w:tc>
        <w:tc>
          <w:tcPr>
            <w:tcW w:w="1218" w:type="dxa"/>
            <w:tcBorders>
              <w:top w:val="single" w:sz="4" w:space="0" w:color="auto"/>
              <w:left w:val="nil"/>
              <w:bottom w:val="single" w:sz="4" w:space="0" w:color="000000"/>
              <w:right w:val="nil"/>
            </w:tcBorders>
            <w:vAlign w:val="center"/>
          </w:tcPr>
          <w:p w:rsidR="00271E58" w:rsidRPr="00370E70" w:rsidRDefault="00271E58" w:rsidP="00271E58">
            <w:pPr>
              <w:spacing w:before="0" w:after="0"/>
              <w:jc w:val="center"/>
              <w:rPr>
                <w:b/>
                <w:bCs/>
                <w:color w:val="000000"/>
              </w:rPr>
            </w:pPr>
            <w:r w:rsidRPr="00370E70">
              <w:rPr>
                <w:b/>
                <w:bCs/>
                <w:color w:val="000000"/>
                <w:szCs w:val="22"/>
              </w:rPr>
              <w:t>Seagrass Index</w:t>
            </w:r>
          </w:p>
        </w:tc>
      </w:tr>
      <w:tr w:rsidR="00271E58" w:rsidRPr="00370E70" w:rsidTr="00271E58">
        <w:trPr>
          <w:trHeight w:val="315"/>
          <w:jc w:val="center"/>
        </w:trPr>
        <w:tc>
          <w:tcPr>
            <w:tcW w:w="2227" w:type="dxa"/>
            <w:tcBorders>
              <w:top w:val="single" w:sz="4" w:space="0" w:color="000000"/>
              <w:left w:val="single" w:sz="4" w:space="0" w:color="FFFFFF"/>
              <w:bottom w:val="single" w:sz="4" w:space="0" w:color="FFFFFF"/>
              <w:right w:val="single" w:sz="4" w:space="0" w:color="FFFFFF"/>
            </w:tcBorders>
            <w:noWrap/>
            <w:vAlign w:val="bottom"/>
          </w:tcPr>
          <w:p w:rsidR="00271E58" w:rsidRPr="00370E70" w:rsidRDefault="00271E58" w:rsidP="00271E58">
            <w:pPr>
              <w:spacing w:before="0" w:after="0"/>
              <w:rPr>
                <w:color w:val="000000"/>
              </w:rPr>
            </w:pPr>
            <w:smartTag w:uri="urn:schemas-microsoft-com:office:smarttags" w:element="place">
              <w:r w:rsidRPr="00370E70">
                <w:rPr>
                  <w:color w:val="000000"/>
                  <w:szCs w:val="22"/>
                </w:rPr>
                <w:t>Cape York</w:t>
              </w:r>
            </w:smartTag>
          </w:p>
        </w:tc>
        <w:tc>
          <w:tcPr>
            <w:tcW w:w="1362"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25</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13</w:t>
            </w:r>
          </w:p>
        </w:tc>
        <w:tc>
          <w:tcPr>
            <w:tcW w:w="1666"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21</w:t>
            </w:r>
          </w:p>
        </w:tc>
        <w:tc>
          <w:tcPr>
            <w:tcW w:w="1218"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20</w:t>
            </w:r>
          </w:p>
        </w:tc>
      </w:tr>
      <w:tr w:rsidR="00271E58" w:rsidRPr="00370E70" w:rsidTr="00271E58">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271E58" w:rsidRPr="00370E70" w:rsidRDefault="00271E58" w:rsidP="00271E58">
            <w:pPr>
              <w:spacing w:before="0" w:after="0"/>
              <w:rPr>
                <w:color w:val="000000"/>
              </w:rPr>
            </w:pPr>
            <w:r w:rsidRPr="00370E70">
              <w:rPr>
                <w:color w:val="000000"/>
                <w:szCs w:val="22"/>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13</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3</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21</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13</w:t>
            </w:r>
          </w:p>
        </w:tc>
      </w:tr>
      <w:tr w:rsidR="00271E58" w:rsidRPr="00370E70" w:rsidTr="00271E58">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271E58" w:rsidRPr="00370E70" w:rsidRDefault="00271E58" w:rsidP="00271E58">
            <w:pPr>
              <w:spacing w:before="0" w:after="0"/>
              <w:rPr>
                <w:color w:val="000000"/>
              </w:rPr>
            </w:pPr>
            <w:r w:rsidRPr="00370E70">
              <w:rPr>
                <w:color w:val="000000"/>
                <w:szCs w:val="22"/>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11</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19</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21</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17</w:t>
            </w:r>
          </w:p>
        </w:tc>
      </w:tr>
      <w:tr w:rsidR="00271E58" w:rsidRPr="00370E70" w:rsidTr="00271E58">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271E58" w:rsidRPr="00370E70" w:rsidRDefault="00271E58" w:rsidP="00271E58">
            <w:pPr>
              <w:spacing w:before="0" w:after="0"/>
              <w:rPr>
                <w:color w:val="000000"/>
              </w:rPr>
            </w:pPr>
            <w:r w:rsidRPr="00370E70">
              <w:rPr>
                <w:color w:val="000000"/>
                <w:szCs w:val="22"/>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14</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13</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9</w:t>
            </w:r>
          </w:p>
        </w:tc>
      </w:tr>
      <w:tr w:rsidR="00271E58" w:rsidRPr="00370E70" w:rsidTr="00271E58">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271E58" w:rsidRPr="00370E70" w:rsidRDefault="00271E58" w:rsidP="00271E58">
            <w:pPr>
              <w:spacing w:before="0" w:after="0"/>
              <w:rPr>
                <w:color w:val="000000"/>
              </w:rPr>
            </w:pPr>
            <w:r w:rsidRPr="00370E70">
              <w:rPr>
                <w:color w:val="000000"/>
                <w:szCs w:val="22"/>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31</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17</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271E58" w:rsidRPr="00370E70" w:rsidRDefault="00271E58" w:rsidP="00271E58">
            <w:pPr>
              <w:spacing w:before="0" w:after="0"/>
              <w:jc w:val="center"/>
              <w:rPr>
                <w:sz w:val="18"/>
                <w:szCs w:val="18"/>
              </w:rPr>
            </w:pPr>
            <w:r w:rsidRPr="00370E70">
              <w:rPr>
                <w:sz w:val="18"/>
                <w:szCs w:val="18"/>
              </w:rPr>
              <w:t>50</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33</w:t>
            </w:r>
          </w:p>
        </w:tc>
      </w:tr>
      <w:tr w:rsidR="00271E58" w:rsidRPr="00370E70" w:rsidTr="00271E58">
        <w:trPr>
          <w:trHeight w:val="315"/>
          <w:jc w:val="center"/>
        </w:trPr>
        <w:tc>
          <w:tcPr>
            <w:tcW w:w="2227" w:type="dxa"/>
            <w:tcBorders>
              <w:top w:val="single" w:sz="4" w:space="0" w:color="FFFFFF"/>
              <w:left w:val="single" w:sz="4" w:space="0" w:color="FFFFFF"/>
              <w:bottom w:val="single" w:sz="4" w:space="0" w:color="000000"/>
              <w:right w:val="single" w:sz="4" w:space="0" w:color="FFFFFF"/>
            </w:tcBorders>
            <w:noWrap/>
            <w:vAlign w:val="bottom"/>
          </w:tcPr>
          <w:p w:rsidR="00271E58" w:rsidRPr="00370E70" w:rsidRDefault="00271E58" w:rsidP="00271E58">
            <w:pPr>
              <w:spacing w:before="0" w:after="0"/>
              <w:rPr>
                <w:color w:val="000000"/>
              </w:rPr>
            </w:pPr>
            <w:r w:rsidRPr="00370E70">
              <w:rPr>
                <w:color w:val="000000"/>
                <w:szCs w:val="22"/>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0</w:t>
            </w:r>
          </w:p>
        </w:tc>
        <w:tc>
          <w:tcPr>
            <w:tcW w:w="1666"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271E58" w:rsidRPr="00370E70" w:rsidRDefault="00271E58" w:rsidP="00271E58">
            <w:pPr>
              <w:spacing w:before="0" w:after="0"/>
              <w:jc w:val="center"/>
              <w:rPr>
                <w:sz w:val="18"/>
                <w:szCs w:val="18"/>
              </w:rPr>
            </w:pPr>
            <w:r w:rsidRPr="00370E70">
              <w:rPr>
                <w:sz w:val="18"/>
                <w:szCs w:val="18"/>
              </w:rPr>
              <w:t>47</w:t>
            </w:r>
          </w:p>
        </w:tc>
        <w:tc>
          <w:tcPr>
            <w:tcW w:w="1218"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18</w:t>
            </w:r>
          </w:p>
        </w:tc>
      </w:tr>
      <w:tr w:rsidR="00271E58" w:rsidRPr="00370E70" w:rsidTr="00271E58">
        <w:trPr>
          <w:trHeight w:val="315"/>
          <w:jc w:val="center"/>
        </w:trPr>
        <w:tc>
          <w:tcPr>
            <w:tcW w:w="2227" w:type="dxa"/>
            <w:tcBorders>
              <w:top w:val="single" w:sz="4" w:space="0" w:color="000000"/>
              <w:left w:val="single" w:sz="4" w:space="0" w:color="FFFFFF"/>
              <w:bottom w:val="single" w:sz="4" w:space="0" w:color="000000"/>
              <w:right w:val="single" w:sz="4" w:space="0" w:color="FFFFFF"/>
            </w:tcBorders>
            <w:noWrap/>
            <w:vAlign w:val="bottom"/>
          </w:tcPr>
          <w:p w:rsidR="00271E58" w:rsidRPr="00370E70" w:rsidRDefault="00271E58" w:rsidP="00271E58">
            <w:pPr>
              <w:spacing w:before="0" w:after="0"/>
              <w:rPr>
                <w:b/>
                <w:color w:val="000000"/>
              </w:rPr>
            </w:pPr>
            <w:r w:rsidRPr="00370E70">
              <w:rPr>
                <w:b/>
                <w:color w:val="000000"/>
                <w:szCs w:val="22"/>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15</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sz w:val="18"/>
                <w:szCs w:val="18"/>
              </w:rPr>
            </w:pPr>
            <w:r w:rsidRPr="00370E70">
              <w:rPr>
                <w:sz w:val="18"/>
                <w:szCs w:val="18"/>
              </w:rPr>
              <w:t>12</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271E58" w:rsidRPr="00370E70" w:rsidRDefault="00271E58" w:rsidP="00271E58">
            <w:pPr>
              <w:spacing w:before="0" w:after="0"/>
              <w:jc w:val="center"/>
              <w:rPr>
                <w:sz w:val="18"/>
                <w:szCs w:val="18"/>
              </w:rPr>
            </w:pPr>
            <w:r w:rsidRPr="00370E70">
              <w:rPr>
                <w:sz w:val="18"/>
                <w:szCs w:val="18"/>
              </w:rPr>
              <w:t>27</w:t>
            </w:r>
          </w:p>
        </w:tc>
        <w:tc>
          <w:tcPr>
            <w:tcW w:w="1218"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271E58" w:rsidRPr="00370E70" w:rsidRDefault="00271E58" w:rsidP="00271E58">
            <w:pPr>
              <w:spacing w:before="0" w:after="0"/>
              <w:jc w:val="center"/>
              <w:rPr>
                <w:b/>
                <w:sz w:val="18"/>
                <w:szCs w:val="18"/>
              </w:rPr>
            </w:pPr>
            <w:r w:rsidRPr="00370E70">
              <w:rPr>
                <w:b/>
                <w:sz w:val="18"/>
                <w:szCs w:val="18"/>
              </w:rPr>
              <w:t>18</w:t>
            </w:r>
          </w:p>
        </w:tc>
      </w:tr>
    </w:tbl>
    <w:p w:rsidR="00D534BC" w:rsidRPr="00370E70" w:rsidRDefault="004A3BF1" w:rsidP="00D534BC">
      <w:pPr>
        <w:autoSpaceDE w:val="0"/>
        <w:autoSpaceDN w:val="0"/>
        <w:adjustRightInd w:val="0"/>
        <w:rPr>
          <w:rFonts w:cs="TimesNewRoman"/>
          <w:color w:val="000000"/>
          <w:szCs w:val="22"/>
        </w:rPr>
      </w:pPr>
      <w:r w:rsidRPr="00370E70">
        <w:rPr>
          <w:rFonts w:cs="TimesNewRoman"/>
          <w:color w:val="000000"/>
          <w:szCs w:val="22"/>
        </w:rPr>
        <w:t xml:space="preserve">The capacity of seagrass meadows to recover following catastrophic disturbances, or survive unfavourable periods for growth, depends on the interaction between light availability, nutrient loads, suitable habitat and the availability of seeds or propagules to form the foundation of new populations. </w:t>
      </w:r>
      <w:r w:rsidR="00D534BC" w:rsidRPr="00370E70">
        <w:rPr>
          <w:szCs w:val="22"/>
        </w:rPr>
        <w:t xml:space="preserve">In the current reporting year, light availability improved relative to previous years at a number of locations and turbidity </w:t>
      </w:r>
      <w:r w:rsidR="001F7E0D" w:rsidRPr="00370E70">
        <w:rPr>
          <w:szCs w:val="22"/>
        </w:rPr>
        <w:t xml:space="preserve">had </w:t>
      </w:r>
      <w:r w:rsidR="00D534BC" w:rsidRPr="00370E70">
        <w:rPr>
          <w:szCs w:val="22"/>
        </w:rPr>
        <w:t xml:space="preserve">reduced where measured. </w:t>
      </w:r>
      <w:r w:rsidRPr="00370E70">
        <w:rPr>
          <w:szCs w:val="22"/>
        </w:rPr>
        <w:t>R</w:t>
      </w:r>
      <w:r w:rsidR="00D534BC" w:rsidRPr="00370E70">
        <w:rPr>
          <w:szCs w:val="22"/>
        </w:rPr>
        <w:t xml:space="preserve">unoff </w:t>
      </w:r>
      <w:r w:rsidRPr="00370E70">
        <w:rPr>
          <w:szCs w:val="22"/>
        </w:rPr>
        <w:t xml:space="preserve">from adjacent catchments was less in 2011/12 than the previous year, which </w:t>
      </w:r>
      <w:r w:rsidR="00A145E8" w:rsidRPr="00370E70">
        <w:rPr>
          <w:szCs w:val="22"/>
        </w:rPr>
        <w:t xml:space="preserve">possibly </w:t>
      </w:r>
      <w:r w:rsidR="00D534BC" w:rsidRPr="00370E70">
        <w:rPr>
          <w:szCs w:val="22"/>
        </w:rPr>
        <w:t xml:space="preserve">reduced sediment loads and </w:t>
      </w:r>
      <w:r w:rsidR="00A145E8" w:rsidRPr="00370E70">
        <w:rPr>
          <w:szCs w:val="22"/>
        </w:rPr>
        <w:t xml:space="preserve">improved light </w:t>
      </w:r>
      <w:r w:rsidR="008A3429" w:rsidRPr="00370E70">
        <w:rPr>
          <w:szCs w:val="22"/>
        </w:rPr>
        <w:t>available for seagrass growth</w:t>
      </w:r>
      <w:r w:rsidR="00D534BC" w:rsidRPr="00370E70">
        <w:rPr>
          <w:szCs w:val="22"/>
        </w:rPr>
        <w:t xml:space="preserve">. Coincident with improved light availability at most sites, </w:t>
      </w:r>
      <w:r w:rsidR="00A145E8" w:rsidRPr="00370E70">
        <w:rPr>
          <w:rFonts w:cs="TimesNewRoman"/>
          <w:color w:val="000000"/>
          <w:szCs w:val="22"/>
        </w:rPr>
        <w:t xml:space="preserve">68% of the meadows which had declined in extent or were absent for some period over the previous 2-5 years, reappeared or expanded in early 2012. </w:t>
      </w:r>
      <w:r w:rsidR="008A3429" w:rsidRPr="00370E70">
        <w:rPr>
          <w:rFonts w:cs="TimesNewRoman"/>
          <w:color w:val="000000"/>
          <w:szCs w:val="22"/>
        </w:rPr>
        <w:t xml:space="preserve">Locations where seagrass meadow extent increased relative to the previous monitoring period underwent a state change, primarily a consequence of the proliferation of colonising seagrass species such as </w:t>
      </w:r>
      <w:r w:rsidR="008A3429" w:rsidRPr="00370E70">
        <w:rPr>
          <w:rFonts w:cs="TimesNewRoman"/>
          <w:i/>
          <w:color w:val="000000"/>
          <w:szCs w:val="22"/>
        </w:rPr>
        <w:t>Halophila ovalis</w:t>
      </w:r>
      <w:r w:rsidR="008A3429" w:rsidRPr="00370E70">
        <w:rPr>
          <w:rFonts w:cs="TimesNewRoman"/>
          <w:color w:val="000000"/>
          <w:szCs w:val="22"/>
        </w:rPr>
        <w:t>, rather than recovery of foundation species.</w:t>
      </w:r>
    </w:p>
    <w:p w:rsidR="00271E58" w:rsidRPr="00370E70" w:rsidRDefault="00564242" w:rsidP="00271E58">
      <w:pPr>
        <w:autoSpaceDE w:val="0"/>
        <w:autoSpaceDN w:val="0"/>
        <w:adjustRightInd w:val="0"/>
        <w:rPr>
          <w:szCs w:val="22"/>
        </w:rPr>
      </w:pPr>
      <w:r w:rsidRPr="00370E70">
        <w:rPr>
          <w:szCs w:val="22"/>
        </w:rPr>
        <w:lastRenderedPageBreak/>
        <w:t>Recovery, however, did not commence at all sites in 2011/12. Although light improved, it is possible that light levels may not have increased sufficiently (i.e. recovery thresholds higher than impact thresholds). There may also be other associated impacts, such as elevated nutrient concentrations, for which there is evidence at many sites. Seagrass leaf tissue nutrients for foundation species across the majority of GBR locations in late 2011 suggested P and N surplus to C requirements. The high tissue nutrient concentrations measured were likely a consequence of the elevated N, influenced by anthropogenic N sources such as fertiliser at the majority of sites within the influence of major rivers. The elevated nitrogen in the system would not be unexpected after a period of increased runoff. However, elevated N may increase epiphyte and macroalgae loads in the future, which could compromise the light available for photosynthesis and in turn reduce seagrass survival and capacity to produce a viable seed bank. This may leave the meadows vulnerable to further environmental perturbations from which some may then fail to recover after loss.</w:t>
      </w:r>
    </w:p>
    <w:p w:rsidR="00D534BC" w:rsidRPr="00370E70" w:rsidRDefault="00D534BC" w:rsidP="00D534BC">
      <w:pPr>
        <w:autoSpaceDE w:val="0"/>
        <w:autoSpaceDN w:val="0"/>
        <w:adjustRightInd w:val="0"/>
        <w:rPr>
          <w:rFonts w:cs="TimesNewRoman"/>
          <w:color w:val="000000"/>
          <w:szCs w:val="22"/>
        </w:rPr>
      </w:pPr>
      <w:r w:rsidRPr="00370E70">
        <w:rPr>
          <w:rFonts w:cs="TimesNewRoman"/>
          <w:color w:val="000000"/>
          <w:szCs w:val="22"/>
        </w:rPr>
        <w:t xml:space="preserve">The presence of increasing seed banks in several locations </w:t>
      </w:r>
      <w:r w:rsidR="001F7E0D" w:rsidRPr="00370E70">
        <w:rPr>
          <w:rFonts w:cs="TimesNewRoman"/>
          <w:color w:val="000000"/>
          <w:szCs w:val="22"/>
        </w:rPr>
        <w:t xml:space="preserve">over the current monitoring period </w:t>
      </w:r>
      <w:r w:rsidRPr="00370E70">
        <w:rPr>
          <w:rFonts w:cs="TimesNewRoman"/>
          <w:color w:val="000000"/>
          <w:szCs w:val="22"/>
        </w:rPr>
        <w:t xml:space="preserve">will improve the capacity of the seagrass to recover, however it may take another 1-2 years for recovery to progress to the foundation species as reproductive effort has generally declined. There are some locations (e.g. Lugger Bay, Dunk Island, Great Keppel Island) which risk protracted recovery due to an absent seed bank, and where seagrass abundance and reproductive effort remain low. </w:t>
      </w:r>
    </w:p>
    <w:p w:rsidR="00E31603" w:rsidRPr="00370E70" w:rsidRDefault="00271E58" w:rsidP="00E65C32">
      <w:pPr>
        <w:autoSpaceDE w:val="0"/>
        <w:autoSpaceDN w:val="0"/>
        <w:adjustRightInd w:val="0"/>
        <w:rPr>
          <w:rFonts w:cs="TimesNewRoman"/>
          <w:color w:val="000000"/>
          <w:szCs w:val="22"/>
        </w:rPr>
      </w:pPr>
      <w:r w:rsidRPr="00370E70">
        <w:rPr>
          <w:rFonts w:cs="TimesNewRoman"/>
          <w:color w:val="000000"/>
          <w:szCs w:val="22"/>
        </w:rPr>
        <w:t xml:space="preserve">With the onset of recovery from previous stressors, indications are that once re-established, seagrass meadows of the inshore GBR are expected to increase in abundance and distribution should environmental conditions remain favourable. Recovery processes will be key to maintaining the long-term health of these seagrass meadows. Unfortunately, the characteristics of seagrass meadows that confer resilience are not well understood, and require priority attention as we are challenged to maintain long-term resilience of these important ecosystems as other cumulative impacts worsen due to changes in disturbance regimes.  </w:t>
      </w:r>
    </w:p>
    <w:p w:rsidR="008A3429" w:rsidRPr="00370E70" w:rsidRDefault="008A3429" w:rsidP="00E65C32">
      <w:pPr>
        <w:autoSpaceDE w:val="0"/>
        <w:autoSpaceDN w:val="0"/>
        <w:adjustRightInd w:val="0"/>
        <w:rPr>
          <w:rFonts w:cs="TimesNewRoman"/>
          <w:color w:val="000000"/>
          <w:szCs w:val="22"/>
        </w:rPr>
      </w:pPr>
    </w:p>
    <w:p w:rsidR="005132EF" w:rsidRPr="00370E70" w:rsidRDefault="005132EF" w:rsidP="00034AD4">
      <w:pPr>
        <w:pStyle w:val="Heading1"/>
        <w:rPr>
          <w:rFonts w:ascii="Century Gothic" w:hAnsi="Century Gothic"/>
          <w:color w:val="000000"/>
          <w:sz w:val="36"/>
          <w:szCs w:val="36"/>
        </w:rPr>
      </w:pPr>
      <w:bookmarkStart w:id="17" w:name="_Toc232845889"/>
      <w:bookmarkStart w:id="18" w:name="_Toc184101942"/>
      <w:bookmarkStart w:id="19" w:name="_Toc384196104"/>
      <w:r w:rsidRPr="00370E70">
        <w:rPr>
          <w:rFonts w:ascii="Century Gothic" w:hAnsi="Century Gothic"/>
          <w:color w:val="000000"/>
          <w:sz w:val="36"/>
          <w:szCs w:val="36"/>
        </w:rPr>
        <w:lastRenderedPageBreak/>
        <w:t>1. Introduction</w:t>
      </w:r>
      <w:bookmarkEnd w:id="10"/>
      <w:bookmarkEnd w:id="17"/>
      <w:bookmarkEnd w:id="18"/>
      <w:bookmarkEnd w:id="19"/>
    </w:p>
    <w:bookmarkEnd w:id="11"/>
    <w:bookmarkEnd w:id="12"/>
    <w:p w:rsidR="005132EF" w:rsidRPr="00370E70" w:rsidRDefault="005132EF" w:rsidP="00034AD4">
      <w:pPr>
        <w:spacing w:before="240"/>
        <w:rPr>
          <w:color w:val="000000"/>
          <w:szCs w:val="22"/>
        </w:rPr>
      </w:pPr>
      <w:r w:rsidRPr="00370E70">
        <w:rPr>
          <w:color w:val="000000"/>
          <w:szCs w:val="22"/>
        </w:rPr>
        <w:t xml:space="preserve">A key component of Reef Rescue is the implementation of a long-term water quality and ecosystem monitoring program in the </w:t>
      </w:r>
      <w:smartTag w:uri="urn:schemas-microsoft-com:office:smarttags" w:element="place">
        <w:r w:rsidRPr="00370E70">
          <w:rPr>
            <w:color w:val="000000"/>
            <w:szCs w:val="22"/>
          </w:rPr>
          <w:t>Great Barrier Reef</w:t>
        </w:r>
      </w:smartTag>
      <w:r w:rsidRPr="00370E70">
        <w:rPr>
          <w:color w:val="000000"/>
          <w:szCs w:val="22"/>
        </w:rPr>
        <w:t xml:space="preserve"> lagoon. The Australian Government Department of Sustainability, Environment, Water, Population and Communities (SEWPaC) has responsibility for implementation of this program. Fisheries Queensland (DAFF)</w:t>
      </w:r>
      <w:r w:rsidR="001015C2" w:rsidRPr="00370E70">
        <w:rPr>
          <w:rStyle w:val="FootnoteReference"/>
          <w:color w:val="000000"/>
          <w:szCs w:val="22"/>
        </w:rPr>
        <w:footnoteReference w:id="1"/>
      </w:r>
      <w:r w:rsidRPr="00370E70">
        <w:rPr>
          <w:color w:val="000000"/>
          <w:szCs w:val="22"/>
        </w:rPr>
        <w:t xml:space="preserve"> and James Cook University (JCU) were contracted to provide the </w:t>
      </w:r>
      <w:r w:rsidR="001015C2" w:rsidRPr="00370E70">
        <w:rPr>
          <w:color w:val="000000"/>
          <w:szCs w:val="22"/>
        </w:rPr>
        <w:t xml:space="preserve">inshore </w:t>
      </w:r>
      <w:r w:rsidRPr="00370E70">
        <w:rPr>
          <w:color w:val="000000"/>
          <w:szCs w:val="22"/>
        </w:rPr>
        <w:t>seagrass monitoring component. The key aims were</w:t>
      </w:r>
      <w:r w:rsidR="001015C2" w:rsidRPr="00370E70">
        <w:rPr>
          <w:color w:val="000000"/>
          <w:szCs w:val="22"/>
        </w:rPr>
        <w:t xml:space="preserve"> to</w:t>
      </w:r>
      <w:r w:rsidRPr="00370E70">
        <w:rPr>
          <w:color w:val="000000"/>
          <w:szCs w:val="22"/>
        </w:rPr>
        <w:t>:</w:t>
      </w:r>
    </w:p>
    <w:p w:rsidR="005132EF" w:rsidRPr="00370E70" w:rsidRDefault="005132EF" w:rsidP="00034AD4">
      <w:pPr>
        <w:numPr>
          <w:ilvl w:val="0"/>
          <w:numId w:val="11"/>
        </w:numPr>
        <w:rPr>
          <w:color w:val="000000"/>
          <w:szCs w:val="22"/>
        </w:rPr>
      </w:pPr>
      <w:r w:rsidRPr="00370E70">
        <w:rPr>
          <w:color w:val="000000"/>
          <w:szCs w:val="22"/>
        </w:rPr>
        <w:t xml:space="preserve">Understand the status and trend of GBR intertidal seagrass </w:t>
      </w:r>
      <w:r w:rsidRPr="00370E70">
        <w:rPr>
          <w:i/>
          <w:color w:val="000000"/>
          <w:szCs w:val="22"/>
        </w:rPr>
        <w:t>(detect long-term trends in seagrass abundance, community structure, distribution, reproductive health, and nutrient status from representative inshore seagrass meadows)</w:t>
      </w:r>
      <w:r w:rsidRPr="00370E70">
        <w:rPr>
          <w:color w:val="000000"/>
          <w:szCs w:val="22"/>
        </w:rPr>
        <w:t>,</w:t>
      </w:r>
    </w:p>
    <w:p w:rsidR="005132EF" w:rsidRPr="00370E70" w:rsidRDefault="005132EF" w:rsidP="00034AD4">
      <w:pPr>
        <w:numPr>
          <w:ilvl w:val="0"/>
          <w:numId w:val="11"/>
        </w:numPr>
        <w:rPr>
          <w:color w:val="000000"/>
          <w:szCs w:val="22"/>
        </w:rPr>
      </w:pPr>
      <w:r w:rsidRPr="00370E70">
        <w:rPr>
          <w:color w:val="000000"/>
          <w:szCs w:val="22"/>
        </w:rPr>
        <w:t>Identify response of seagrass to environmental drivers of change,</w:t>
      </w:r>
    </w:p>
    <w:p w:rsidR="005132EF" w:rsidRPr="00370E70" w:rsidRDefault="005132EF" w:rsidP="00034AD4">
      <w:pPr>
        <w:numPr>
          <w:ilvl w:val="0"/>
          <w:numId w:val="11"/>
        </w:numPr>
        <w:rPr>
          <w:color w:val="000000"/>
          <w:szCs w:val="22"/>
        </w:rPr>
      </w:pPr>
      <w:r w:rsidRPr="00370E70">
        <w:rPr>
          <w:color w:val="000000"/>
          <w:szCs w:val="22"/>
        </w:rPr>
        <w:t>Integrate reporting on GBR seagrass status including production of seagrass report card metrics for use in an annual Paddock to Reef report card.</w:t>
      </w:r>
    </w:p>
    <w:p w:rsidR="005132EF" w:rsidRPr="00370E70" w:rsidRDefault="005132EF" w:rsidP="00034AD4">
      <w:pPr>
        <w:pStyle w:val="Heading2"/>
        <w:rPr>
          <w:rFonts w:ascii="Century Gothic" w:hAnsi="Century Gothic"/>
          <w:color w:val="000000"/>
        </w:rPr>
      </w:pPr>
      <w:bookmarkStart w:id="20" w:name="_Toc175991038"/>
      <w:bookmarkStart w:id="21" w:name="_Toc232845890"/>
      <w:bookmarkStart w:id="22" w:name="_Toc184101943"/>
      <w:bookmarkStart w:id="23" w:name="_Toc384196105"/>
      <w:r w:rsidRPr="00370E70">
        <w:rPr>
          <w:rFonts w:ascii="Century Gothic" w:hAnsi="Century Gothic"/>
          <w:color w:val="000000"/>
        </w:rPr>
        <w:t>Background</w:t>
      </w:r>
      <w:bookmarkEnd w:id="20"/>
      <w:bookmarkEnd w:id="21"/>
      <w:bookmarkEnd w:id="22"/>
      <w:bookmarkEnd w:id="23"/>
    </w:p>
    <w:p w:rsidR="005132EF" w:rsidRPr="00370E70" w:rsidRDefault="005132EF" w:rsidP="008F153B">
      <w:pPr>
        <w:spacing w:before="240"/>
        <w:rPr>
          <w:color w:val="000000"/>
          <w:szCs w:val="22"/>
        </w:rPr>
      </w:pPr>
      <w:r w:rsidRPr="00370E70">
        <w:rPr>
          <w:color w:val="000000"/>
          <w:szCs w:val="22"/>
        </w:rPr>
        <w:t>Seagrass are considered coastal canaries or coastal sentinels that can be monitored to detect human influences to coastal ecosystems (</w:t>
      </w:r>
      <w:hyperlink w:anchor="_ENREF_152" w:tooltip="Orth, 2006 #9135" w:history="1">
        <w:r w:rsidR="00964A70" w:rsidRPr="00370E70">
          <w:rPr>
            <w:color w:val="000000"/>
            <w:szCs w:val="22"/>
          </w:rPr>
          <w:fldChar w:fldCharType="begin"/>
        </w:r>
        <w:r w:rsidR="00964A70" w:rsidRPr="00370E70">
          <w:rPr>
            <w:color w:val="000000"/>
            <w:szCs w:val="22"/>
          </w:rPr>
          <w:instrText xml:space="preserve"> ADDIN EN.CITE &lt;EndNote&gt;&lt;Cite&gt;&lt;Author&gt;Orth&lt;/Author&gt;&lt;Year&gt;2006&lt;/Year&gt;&lt;RecNum&gt;9135&lt;/RecNum&gt;&lt;DisplayText&gt;Orth&lt;style face="italic"&gt; et al.&lt;/style&gt; 2006a&lt;/DisplayText&gt;&lt;record&gt;&lt;rec-number&gt;9135&lt;/rec-number&gt;&lt;foreign-keys&gt;&lt;key app="EN" db-id="0eve55x9y5vfd6e9dacxtew4eatve2dzds9a"&gt;9135&lt;/key&gt;&lt;/foreign-keys&gt;&lt;ref-type name="Journal Article"&gt;17&lt;/ref-type&gt;&lt;contributors&gt;&lt;authors&gt;&lt;author&gt;Orth, R.J.&lt;/author&gt;&lt;author&gt;Carruthers, T.J.B. &lt;/author&gt;&lt;author&gt;Dennison, W.C. &lt;/author&gt;&lt;author&gt;Duarte, C.M. &lt;/author&gt;&lt;author&gt;Fourqurean, J.W. &lt;/author&gt;&lt;author&gt;Heck, K.L. &lt;/author&gt;&lt;author&gt;Randall Hughes, A. &lt;/author&gt;&lt;author&gt;Kendrick, G.A. &lt;/author&gt;&lt;author&gt;Judson Kenworthy, W. &lt;/author&gt;&lt;author&gt;Olyarnik, S. &lt;/author&gt;&lt;author&gt;Short, F.T. &lt;/author&gt;&lt;author&gt;Michelle, W. &lt;/author&gt;&lt;author&gt;Williams, S.L.  &lt;/author&gt;&lt;/authors&gt;&lt;/contributors&gt;&lt;titles&gt;&lt;title&gt;A global crisis for seagrass ecosystems&lt;/title&gt;&lt;secondary-title&gt;BioScience&lt;/secondary-title&gt;&lt;/titles&gt;&lt;periodical&gt;&lt;full-title&gt;BioScience&lt;/full-title&gt;&lt;/periodical&gt;&lt;pages&gt;987-996&lt;/pages&gt;&lt;volume&gt;56&lt;/volume&gt;&lt;dates&gt;&lt;year&gt;2006&lt;/year&gt;&lt;/dates&gt;&lt;urls&gt;&lt;/urls&gt;&lt;/record&gt;&lt;/Cite&gt;&lt;/EndNote&gt;</w:instrText>
        </w:r>
        <w:r w:rsidR="00964A70" w:rsidRPr="00370E70">
          <w:rPr>
            <w:color w:val="000000"/>
            <w:szCs w:val="22"/>
          </w:rPr>
          <w:fldChar w:fldCharType="separate"/>
        </w:r>
        <w:r w:rsidR="00964A70" w:rsidRPr="00370E70">
          <w:rPr>
            <w:noProof/>
            <w:color w:val="000000"/>
            <w:szCs w:val="22"/>
          </w:rPr>
          <w:t>Orth</w:t>
        </w:r>
        <w:r w:rsidR="00964A70" w:rsidRPr="00370E70">
          <w:rPr>
            <w:i/>
            <w:noProof/>
            <w:color w:val="000000"/>
            <w:szCs w:val="22"/>
          </w:rPr>
          <w:t xml:space="preserve"> et al.</w:t>
        </w:r>
        <w:r w:rsidR="00964A70" w:rsidRPr="00370E70">
          <w:rPr>
            <w:noProof/>
            <w:color w:val="000000"/>
            <w:szCs w:val="22"/>
          </w:rPr>
          <w:t xml:space="preserve"> 2006a</w:t>
        </w:r>
        <w:r w:rsidR="00964A70" w:rsidRPr="00370E70">
          <w:rPr>
            <w:color w:val="000000"/>
            <w:szCs w:val="22"/>
          </w:rPr>
          <w:fldChar w:fldCharType="end"/>
        </w:r>
      </w:hyperlink>
      <w:r w:rsidRPr="00370E70">
        <w:rPr>
          <w:color w:val="000000"/>
          <w:szCs w:val="22"/>
        </w:rPr>
        <w:t>). Since 1990, seagrasses globally have been declining at a rate of 7% per year (</w:t>
      </w:r>
      <w:hyperlink w:anchor="_ENREF_193" w:tooltip="Waycott, 2009 #7831"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&lt;EndNote&gt;&lt;Cite&gt;&lt;Author&gt;Waycott&lt;/Author&gt;&lt;Year&gt;2009&lt;/Year&gt;&lt;RecNum&gt;7831&lt;/RecNum&gt;&lt;DisplayText&gt;Waycott&lt;style face="italic"&gt; et al.&lt;/style&gt; 2009&lt;/DisplayText&gt;&lt;record&gt;&lt;rec-number&gt;7831&lt;/rec-number&gt;&lt;foreign-keys&gt;&lt;key app="EN" db-id="0eve55x9y5vfd6e9dacxtew4eatve2dzds9a"&gt;7831&lt;/key&gt;&lt;/foreign-keys&gt;&lt;ref-type name="Journal Article"&gt;17&lt;/ref-type&gt;&lt;contributors&gt;&lt;authors&gt;&lt;author&gt;Waycott, M&lt;/author&gt;&lt;author&gt;Duarte, C M&lt;/author&gt;&lt;author&gt;Carruthers, T J B&lt;/author&gt;&lt;author&gt;Orth, R J&lt;/author&gt;&lt;author&gt;Dennison, W C&lt;/author&gt;&lt;author&gt;Olyarnik, S&lt;/author&gt;&lt;author&gt;Calladine, A&lt;/author&gt;&lt;author&gt;Fourqurean, J W&lt;/author&gt;&lt;author&gt;Heck Jr., K L&lt;/author&gt;&lt;author&gt;Hughes, A R&lt;/author&gt;&lt;author&gt;Kendrick, G A&lt;/author&gt;&lt;author&gt;Kenworthy, W J&lt;/author&gt;&lt;author&gt;Short, F T&lt;/author&gt;&lt;author&gt;Williams, S L&lt;/author&gt;&lt;/authors&gt;&lt;/contributors&gt;&lt;titles&gt;&lt;title&gt;Accelerating loss of seagrasses across the globe threatens coastal ecosystems&lt;/title&gt;&lt;secondary-title&gt;Proceedings of the National Academy of Sciences USA&lt;/secondary-title&gt;&lt;/titles&gt;&lt;pages&gt;12377-12381&lt;/pages&gt;&lt;volume&gt;106&lt;/volume&gt;&lt;number&gt;30&lt;/number&gt;&lt;dates&gt;&lt;year&gt;2009&lt;/year&gt;&lt;/dates&gt;&lt;urls&gt;&lt;/urls&gt;&lt;electronic-resource-num&gt;&lt;style face="underline" font="default" size="100%"&gt;doi:10.1073/pnas.0905620106&lt;/style&gt;&lt;/electronic-resource-num&gt;&lt;/record&gt;&lt;/Cite&gt;&lt;/EndNote&gt;</w:instrText>
        </w:r>
        <w:r w:rsidR="00964A70" w:rsidRPr="00370E70">
          <w:rPr>
            <w:color w:val="000000"/>
            <w:szCs w:val="22"/>
          </w:rPr>
          <w:fldChar w:fldCharType="separate"/>
        </w:r>
        <w:r w:rsidR="00964A70" w:rsidRPr="00370E70">
          <w:rPr>
            <w:noProof/>
            <w:color w:val="000000"/>
            <w:szCs w:val="22"/>
          </w:rPr>
          <w:t>Waycott</w:t>
        </w:r>
        <w:r w:rsidR="00964A70" w:rsidRPr="00370E70">
          <w:rPr>
            <w:i/>
            <w:noProof/>
            <w:color w:val="000000"/>
            <w:szCs w:val="22"/>
          </w:rPr>
          <w:t xml:space="preserve">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xml:space="preserve">). Multiple stressors are the cause of this decline, the most significant being degraded water quality. In seagrass ecosystems, nutrients and light are the most common limiting factors that control abundance and these factors are interrelated (see </w:t>
      </w:r>
      <w:hyperlink w:anchor="_ENREF_194" w:tooltip="Waycott, 2010 #9798"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&lt;EndNote&gt;&lt;Cite&gt;&lt;Author&gt;Waycott&lt;/Author&gt;&lt;Year&gt;2010&lt;/Year&gt;&lt;RecNum&gt;9798&lt;/RecNum&gt;&lt;DisplayText&gt;Waycott and McKenzie 2010&lt;/DisplayText&gt;&lt;record&gt;&lt;rec-number&gt;9798&lt;/rec-number&gt;&lt;foreign-keys&gt;&lt;key app="EN" db-id="0eve55x9y5vfd6e9dacxtew4eatve2dzds9a"&gt;9798&lt;/key&gt;&lt;/foreign-keys&gt;&lt;ref-type name="Book"&gt;6&lt;/ref-type&gt;&lt;contributors&gt;&lt;authors&gt;&lt;author&gt;Waycott, Michelle&lt;/author&gt;&lt;author&gt;McKenzie, Len J&lt;/author&gt;&lt;/authors&gt;&lt;/contributors&gt;&lt;titles&gt;&lt;title&gt;Final report project 1.1.3 and 3.7.1 to the Marine and Tropical Sciences Research Facility: Indicators and thresholds of concern for seagrass ecosystem health for the Great Barrier Reef&lt;/title&gt;&lt;/titles&gt;&lt;dates&gt;&lt;year&gt;2010&lt;/year&gt;&lt;/dates&gt;&lt;pub-location&gt;Cairns, Australia&lt;/pub-location&gt;&lt;publisher&gt;Reef and Rainforest Research Centre Limited&lt;/publisher&gt;&lt;urls&gt;&lt;/urls&gt;&lt;/record&gt;&lt;/Cite&gt;&lt;/EndNote&gt;</w:instrText>
        </w:r>
        <w:r w:rsidR="00964A70" w:rsidRPr="00370E70">
          <w:rPr>
            <w:color w:val="000000"/>
            <w:szCs w:val="22"/>
          </w:rPr>
          <w:fldChar w:fldCharType="separate"/>
        </w:r>
        <w:r w:rsidR="00964A70" w:rsidRPr="00370E70">
          <w:rPr>
            <w:noProof/>
            <w:color w:val="000000"/>
            <w:szCs w:val="22"/>
          </w:rPr>
          <w:t>Waycott and McKenzie 2010</w:t>
        </w:r>
        <w:r w:rsidR="00964A70" w:rsidRPr="00370E70">
          <w:rPr>
            <w:color w:val="000000"/>
            <w:szCs w:val="22"/>
          </w:rPr>
          <w:fldChar w:fldCharType="end"/>
        </w:r>
      </w:hyperlink>
      <w:r w:rsidRPr="00370E70">
        <w:rPr>
          <w:color w:val="000000"/>
          <w:szCs w:val="22"/>
        </w:rPr>
        <w:t>). Indeed, the various threats to seagrass ecosystems along the coast of the GBR will cause a variety of impacts to seagrass growth (</w:t>
      </w:r>
      <w:hyperlink w:anchor="_ENREF_91" w:tooltip="Grech, 2011 #9070" w:history="1">
        <w:r w:rsidR="00964A70" w:rsidRPr="00370E70">
          <w:rPr>
            <w:color w:val="000000"/>
            <w:szCs w:val="22"/>
          </w:rPr>
          <w:fldChar w:fldCharType="begin"/>
        </w:r>
        <w:r w:rsidR="00964A70" w:rsidRPr="00370E70">
          <w:rPr>
            <w:color w:val="000000"/>
            <w:szCs w:val="22"/>
          </w:rPr>
          <w:instrText xml:space="preserve"> ADDIN EN.CITE &lt;EndNote&gt;&lt;Cite&gt;&lt;Author&gt;Grech&lt;/Author&gt;&lt;Year&gt;2011&lt;/Year&gt;&lt;RecNum&gt;9070&lt;/RecNum&gt;&lt;DisplayText&gt;Grech&lt;style face="italic"&gt; et al.&lt;/style&gt; 2011&lt;/DisplayText&gt;&lt;record&gt;&lt;rec-number&gt;9070&lt;/rec-number&gt;&lt;foreign-keys&gt;&lt;key app="EN" db-id="0eve55x9y5vfd6e9dacxtew4eatve2dzds9a"&gt;9070&lt;/key&gt;&lt;/foreign-keys&gt;&lt;ref-type name="Journal Article"&gt;17&lt;/ref-type&gt;&lt;contributors&gt;&lt;authors&gt;&lt;author&gt;Grech, Alana&lt;/author&gt;&lt;author&gt;Coles, Robert Graham&lt;/author&gt;&lt;author&gt;March, Helene&lt;/author&gt;&lt;/authors&gt;&lt;/contributors&gt;&lt;titles&gt;&lt;title&gt;A broad-scale assessment of the risk to coastal seagrasses from cumulative threats&lt;/title&gt;&lt;secondary-title&gt;Marine Policy&lt;/secondary-title&gt;&lt;/titles&gt;&lt;periodical&gt;&lt;full-title&gt;Marine Policy&lt;/full-title&gt;&lt;/periodical&gt;&lt;pages&gt;560-567&lt;/pages&gt;&lt;volume&gt;35&lt;/volume&gt;&lt;dates&gt;&lt;year&gt;2011&lt;/year&gt;&lt;/dates&gt;&lt;urls&gt;&lt;/urls&gt;&lt;/record&gt;&lt;/Cite&gt;&lt;/EndNote&gt;</w:instrText>
        </w:r>
        <w:r w:rsidR="00964A70" w:rsidRPr="00370E70">
          <w:rPr>
            <w:color w:val="000000"/>
            <w:szCs w:val="22"/>
          </w:rPr>
          <w:fldChar w:fldCharType="separate"/>
        </w:r>
        <w:r w:rsidR="00964A70" w:rsidRPr="00370E70">
          <w:rPr>
            <w:noProof/>
            <w:color w:val="000000"/>
            <w:szCs w:val="22"/>
          </w:rPr>
          <w:t>Grech</w:t>
        </w:r>
        <w:r w:rsidR="00964A70" w:rsidRPr="00370E70">
          <w:rPr>
            <w:i/>
            <w:noProof/>
            <w:color w:val="000000"/>
            <w:szCs w:val="22"/>
          </w:rPr>
          <w:t xml:space="preserve"> et al.</w:t>
        </w:r>
        <w:r w:rsidR="00964A70" w:rsidRPr="00370E70">
          <w:rPr>
            <w:noProof/>
            <w:color w:val="000000"/>
            <w:szCs w:val="22"/>
          </w:rPr>
          <w:t xml:space="preserve"> 2011</w:t>
        </w:r>
        <w:r w:rsidR="00964A70" w:rsidRPr="00370E70">
          <w:rPr>
            <w:color w:val="000000"/>
            <w:szCs w:val="22"/>
          </w:rPr>
          <w:fldChar w:fldCharType="end"/>
        </w:r>
      </w:hyperlink>
      <w:r w:rsidRPr="00370E70">
        <w:rPr>
          <w:color w:val="000000"/>
          <w:szCs w:val="22"/>
        </w:rPr>
        <w:t xml:space="preserve">; </w:t>
      </w:r>
      <w:r w:rsidRPr="00370E70">
        <w:rPr>
          <w:color w:val="000000"/>
          <w:szCs w:val="22"/>
        </w:rPr>
        <w:fldChar w:fldCharType="begin"/>
      </w:r>
      <w:r w:rsidRPr="00370E70">
        <w:rPr>
          <w:color w:val="000000"/>
          <w:szCs w:val="22"/>
        </w:rPr>
        <w:instrText xml:space="preserve"> REF _Ref352679457 \h </w:instrText>
      </w:r>
      <w:r w:rsidR="002D4AD4" w:rsidRPr="00370E70">
        <w:rPr>
          <w:color w:val="000000"/>
          <w:szCs w:val="22"/>
        </w:rPr>
        <w:instrText xml:space="preserve"> \* MERGEFORMAT </w:instrText>
      </w:r>
      <w:r w:rsidRPr="00370E70">
        <w:rPr>
          <w:color w:val="000000"/>
          <w:szCs w:val="22"/>
        </w:rPr>
      </w:r>
      <w:r w:rsidRPr="00370E70">
        <w:rPr>
          <w:color w:val="000000"/>
          <w:szCs w:val="22"/>
        </w:rPr>
        <w:fldChar w:fldCharType="separate"/>
      </w:r>
      <w:r w:rsidR="005B5FD6" w:rsidRPr="005B5FD6">
        <w:rPr>
          <w:szCs w:val="22"/>
        </w:rPr>
        <w:t xml:space="preserve">Figure </w:t>
      </w:r>
      <w:r w:rsidR="005B5FD6" w:rsidRPr="005B5FD6">
        <w:rPr>
          <w:noProof/>
          <w:color w:val="000000"/>
          <w:szCs w:val="22"/>
        </w:rPr>
        <w:t>1</w:t>
      </w:r>
      <w:r w:rsidRPr="00370E70">
        <w:rPr>
          <w:color w:val="000000"/>
          <w:szCs w:val="22"/>
        </w:rPr>
        <w:fldChar w:fldCharType="end"/>
      </w:r>
      <w:r w:rsidRPr="00370E70">
        <w:rPr>
          <w:color w:val="000000"/>
          <w:szCs w:val="22"/>
        </w:rPr>
        <w:t xml:space="preserve">). In the GBR system, seagrasses are at risk from a wide diversity of impacts, in particular where coastal developments occur </w:t>
      </w:r>
      <w:r w:rsidRPr="00370E70">
        <w:rPr>
          <w:noProof/>
          <w:color w:val="000000"/>
          <w:szCs w:val="22"/>
        </w:rPr>
        <w:t>(</w:t>
      </w:r>
      <w:hyperlink w:anchor="_ENREF_90" w:tooltip="Grech, 2010 #9344"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&lt;EndNote&gt;&lt;Cite&gt;&lt;Author&gt;Grech&lt;/Author&gt;&lt;Year&gt;2010&lt;/Year&gt;&lt;RecNum&gt;9344&lt;/RecNum&gt;&lt;DisplayText&gt;Grech&lt;style face="italic"&gt; et al.&lt;/style&gt; 2010&lt;/DisplayText&gt;&lt;record&gt;&lt;rec-number&gt;9344&lt;/rec-number&gt;&lt;foreign-keys&gt;&lt;key app="EN" db-id="0eve55x9y5vfd6e9dacxtew4eatve2dzds9a"&gt;9344&lt;/key&gt;&lt;/foreign-keys&gt;&lt;ref-type name="Journal Article"&gt;17&lt;/ref-type&gt;&lt;contributors&gt;&lt;authors&gt;&lt;author&gt;Grech, Alana&lt;/author&gt;&lt;author&gt;Coles, Rob&lt;/author&gt;&lt;author&gt;Waycott, Michelle&lt;/author&gt;&lt;author&gt;Rasheed, Michael&lt;/author&gt;&lt;author&gt;McKenzie, Len&lt;/author&gt;&lt;/authors&gt;&lt;/contributors&gt;&lt;titles&gt;&lt;title&gt;Risk Assessment for Coastal Seagrass Habitats of the Great Barrier Reef World Heritage Area: Outputs from the Risk Assessment Working Group&lt;/title&gt;&lt;/titles&gt;&lt;dates&gt;&lt;year&gt;2010&lt;/year&gt;&lt;/dates&gt;&lt;urls&gt;&lt;/urls&gt;&lt;/record&gt;&lt;/Cite&gt;&lt;/EndNote&gt;</w:instrText>
        </w:r>
        <w:r w:rsidR="00964A70" w:rsidRPr="00370E70">
          <w:rPr>
            <w:noProof/>
            <w:color w:val="000000"/>
            <w:szCs w:val="22"/>
          </w:rPr>
          <w:fldChar w:fldCharType="separate"/>
        </w:r>
        <w:r w:rsidR="00964A70" w:rsidRPr="00370E70">
          <w:rPr>
            <w:noProof/>
            <w:color w:val="000000"/>
            <w:szCs w:val="22"/>
          </w:rPr>
          <w:t>Grech</w:t>
        </w:r>
        <w:r w:rsidR="00964A70" w:rsidRPr="00370E70">
          <w:rPr>
            <w:i/>
            <w:noProof/>
            <w:color w:val="000000"/>
            <w:szCs w:val="22"/>
          </w:rPr>
          <w:t xml:space="preserve"> et al.</w:t>
        </w:r>
        <w:r w:rsidR="00964A70" w:rsidRPr="00370E70">
          <w:rPr>
            <w:noProof/>
            <w:color w:val="000000"/>
            <w:szCs w:val="22"/>
          </w:rPr>
          <w:t xml:space="preserve"> 2010</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w:t>
      </w:r>
    </w:p>
    <w:p w:rsidR="005132EF" w:rsidRPr="00370E70" w:rsidRDefault="007B15AB" w:rsidP="00233C4D">
      <w:pPr>
        <w:rPr>
          <w:color w:val="000000"/>
          <w:szCs w:val="22"/>
        </w:rPr>
      </w:pPr>
      <w:r>
        <w:rPr>
          <w:noProof/>
          <w:color w:val="000000"/>
          <w:szCs w:val="22"/>
          <w:lang w:eastAsia="en-AU"/>
        </w:rPr>
        <w:drawing>
          <wp:inline distT="0" distB="0" distL="0" distR="0">
            <wp:extent cx="5744210" cy="2009140"/>
            <wp:effectExtent l="0" t="0" r="8890" b="0"/>
            <wp:docPr id="1" name="Picture 15" descr="Conceptual diagram depicting threats to seagrass meadows and potential limitations to seagrass growth in inshore regions of the GBR related to changing water quality (adapted from Waycott and McKenzie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nceptual diagram depicting threats to seagrass meadows and potential limitations to seagrass growth in inshore regions of the GBR related to changing water quality (adapted from Waycott and McKenzie 2010).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4210" cy="2009140"/>
                    </a:xfrm>
                    <a:prstGeom prst="rect">
                      <a:avLst/>
                    </a:prstGeom>
                    <a:noFill/>
                    <a:ln>
                      <a:noFill/>
                    </a:ln>
                  </pic:spPr>
                </pic:pic>
              </a:graphicData>
            </a:graphic>
          </wp:inline>
        </w:drawing>
      </w:r>
    </w:p>
    <w:p w:rsidR="0033652B" w:rsidRPr="00370E70" w:rsidRDefault="005132EF" w:rsidP="0033652B">
      <w:pPr>
        <w:pStyle w:val="Caption"/>
        <w:rPr>
          <w:rFonts w:cs="TimesNewRoman,Italic"/>
          <w:i/>
          <w:iCs/>
          <w:vanish/>
          <w:color w:val="000000"/>
          <w:szCs w:val="22"/>
          <w:lang w:val="en-AU"/>
          <w:specVanish/>
        </w:rPr>
      </w:pPr>
      <w:bookmarkStart w:id="24" w:name="_Ref352679457"/>
      <w:bookmarkStart w:id="25" w:name="_Toc38419634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w:t>
      </w:r>
      <w:r w:rsidRPr="00370E70">
        <w:rPr>
          <w:lang w:val="en-AU"/>
        </w:rPr>
        <w:fldChar w:fldCharType="end"/>
      </w:r>
      <w:bookmarkEnd w:id="24"/>
      <w:r w:rsidRPr="00370E70">
        <w:rPr>
          <w:rStyle w:val="StyleCaptionCaptionCharCharLatinCalibri11ptBlackChar"/>
          <w:lang w:val="en-AU"/>
        </w:rPr>
        <w:t xml:space="preserve">. </w:t>
      </w:r>
      <w:r w:rsidRPr="00370E70">
        <w:rPr>
          <w:i/>
          <w:lang w:val="en-AU"/>
        </w:rPr>
        <w:t>Conceptual diagram depicting threats to seagrass meadows and potential limitations to seagrass growth in inshore regions of the GBR related to changing water quality</w:t>
      </w:r>
      <w:bookmarkEnd w:id="25"/>
    </w:p>
    <w:p w:rsidR="0033652B" w:rsidRPr="00370E70" w:rsidRDefault="005132EF" w:rsidP="0033652B">
      <w:pPr>
        <w:pStyle w:val="Caption"/>
        <w:rPr>
          <w:i/>
          <w:lang w:val="en-AU"/>
        </w:rPr>
      </w:pPr>
      <w:r w:rsidRPr="00370E70">
        <w:rPr>
          <w:i/>
          <w:lang w:val="en-AU"/>
        </w:rPr>
        <w:t xml:space="preserve"> (adapted from Waycott and McKenzie 2010). </w:t>
      </w:r>
    </w:p>
    <w:p w:rsidR="005132EF" w:rsidRPr="00370E70" w:rsidRDefault="005132EF" w:rsidP="008F153B">
      <w:pPr>
        <w:spacing w:before="240"/>
        <w:rPr>
          <w:color w:val="000000"/>
          <w:szCs w:val="22"/>
        </w:rPr>
      </w:pPr>
      <w:r w:rsidRPr="00370E70">
        <w:rPr>
          <w:color w:val="000000"/>
          <w:szCs w:val="22"/>
        </w:rPr>
        <w:t xml:space="preserve">As seagrasses are well recognised as integrators of environmental stressors, monitoring their status and trend can provide insight into the status of the surrounding environment (e.g. </w:t>
      </w:r>
      <w:hyperlink w:anchor="_ENREF_60" w:tooltip="Dennison, 1997 #1687" w:history="1">
        <w:r w:rsidR="00964A70" w:rsidRPr="00370E70">
          <w:rPr>
            <w:color w:val="000000"/>
            <w:szCs w:val="22"/>
          </w:rPr>
          <w:fldChar w:fldCharType="begin"/>
        </w:r>
        <w:r w:rsidR="00964A70" w:rsidRPr="00370E70">
          <w:rPr>
            <w:color w:val="000000"/>
            <w:szCs w:val="22"/>
          </w:rPr>
          <w:instrText xml:space="preserve"> ADDIN EN.CITE &lt;EndNote&gt;&lt;Cite&gt;&lt;Author&gt;Dennison&lt;/Author&gt;&lt;Year&gt;1997&lt;/Year&gt;&lt;RecNum&gt;1687&lt;/RecNum&gt;&lt;DisplayText&gt;Dennison&lt;style face="italic"&gt; et al.&lt;/style&gt; 1997&lt;/DisplayText&gt;&lt;record&gt;&lt;rec-number&gt;1687&lt;/rec-number&gt;&lt;foreign-keys&gt;&lt;key app="EN" db-id="0eve55x9y5vfd6e9dacxtew4eatve2dzds9a"&gt;1687&lt;/key&gt;&lt;/foreign-keys&gt;&lt;ref-type name="Book Section"&gt;5&lt;/ref-type&gt;&lt;contributors&gt;&lt;authors&gt;&lt;author&gt;Dennison, W. C.&lt;/author&gt;&lt;author&gt;Longstaff, B. J.&lt;/author&gt;&lt;author&gt;O&amp;apos;Donohue, M. J.&lt;/author&gt;&lt;/authors&gt;&lt;secondary-authors&gt;&lt;author&gt;Hillman, S.&lt;/author&gt;&lt;author&gt;Raaymakers, S.&lt;/author&gt;&lt;/secondary-authors&gt;&lt;/contributors&gt;&lt;titles&gt;&lt;title&gt;Seagrasses as Bio-indicators&lt;/title&gt;&lt;secondary-title&gt;Karumba dredging 1996 - Environmental Monitoring Report. EcoPorts Monograph Series No.6&lt;/secondary-title&gt;&lt;/titles&gt;&lt;pages&gt;255&lt;/pages&gt;&lt;keywords&gt;&lt;keyword&gt;CHLOROPHYLL-A&lt;/keyword&gt;&lt;keyword&gt;COASTAL DEVELOPMENT&lt;/keyword&gt;&lt;keyword&gt;DREDGING&lt;/keyword&gt;&lt;keyword&gt;LIGHT&lt;/keyword&gt;&lt;keyword&gt;PHOTOSYNTHESIS&lt;/keyword&gt;&lt;keyword&gt;SEAGRASS&lt;/keyword&gt;&lt;/keywords&gt;&lt;dates&gt;&lt;year&gt;1997&lt;/year&gt;&lt;/dates&gt;&lt;pub-location&gt;Brisbane&lt;/pub-location&gt;&lt;publisher&gt;Ports Corporation of Queensland&lt;/publisher&gt;&lt;label&gt;1775&lt;/label&gt;&lt;urls&gt;&lt;/urls&gt;&lt;custom1&gt;Annex&lt;/custom1&gt;&lt;/record&gt;&lt;/Cite&gt;&lt;/EndNote&gt;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Dennison</w:t>
        </w:r>
        <w:r w:rsidR="00964A70" w:rsidRPr="00370E70">
          <w:rPr>
            <w:i/>
            <w:noProof/>
            <w:color w:val="000000"/>
            <w:szCs w:val="22"/>
          </w:rPr>
          <w:t xml:space="preserve"> et al.</w:t>
        </w:r>
        <w:r w:rsidR="00964A70" w:rsidRPr="00370E70">
          <w:rPr>
            <w:noProof/>
            <w:color w:val="000000"/>
            <w:szCs w:val="22"/>
          </w:rPr>
          <w:t xml:space="preserve"> 1997</w:t>
        </w:r>
        <w:r w:rsidR="00964A70" w:rsidRPr="00370E70">
          <w:rPr>
            <w:color w:val="000000"/>
            <w:szCs w:val="22"/>
          </w:rPr>
          <w:fldChar w:fldCharType="end"/>
        </w:r>
      </w:hyperlink>
      <w:r w:rsidRPr="00370E70">
        <w:rPr>
          <w:color w:val="000000"/>
          <w:szCs w:val="22"/>
        </w:rPr>
        <w:t>). In low nutrient, oligotrophic systems there is typically high light availability to the plants, while high nutrient, eutrophic ecosystems have little light reaching the benthos (</w:t>
      </w:r>
      <w:hyperlink w:anchor="_ENREF_109" w:tooltip="Johnson, 2006 #7503" w:history="1">
        <w:r w:rsidR="00964A70" w:rsidRPr="00370E70">
          <w:rPr>
            <w:color w:val="000000"/>
            <w:szCs w:val="22"/>
          </w:rPr>
          <w:fldChar w:fldCharType="begin"/>
        </w:r>
        <w:r w:rsidR="00964A70" w:rsidRPr="00370E70">
          <w:rPr>
            <w:color w:val="000000"/>
            <w:szCs w:val="22"/>
          </w:rPr>
          <w:instrText xml:space="preserve"> ADDIN EN.CITE &lt;EndNote&gt;&lt;Cite&gt;&lt;Author&gt;Johnson&lt;/Author&gt;&lt;Year&gt;2006&lt;/Year&gt;&lt;RecNum&gt;7503&lt;/RecNum&gt;&lt;DisplayText&gt;Johnson&lt;style face="italic"&gt; et al.&lt;/style&gt; 2006&lt;/DisplayText&gt;&lt;record&gt;&lt;rec-number&gt;7503&lt;/rec-number&gt;&lt;foreign-keys&gt;&lt;key app="EN" db-id="0eve55x9y5vfd6e9dacxtew4eatve2dzds9a"&gt;7503&lt;/key&gt;&lt;/foreign-keys&gt;&lt;ref-type name="Journal Article"&gt;17&lt;/ref-type&gt;&lt;contributors&gt;&lt;authors&gt;&lt;author&gt;Johnson, M. W.&lt;/author&gt;&lt;author&gt;Heck, K. L.&lt;/author&gt;&lt;author&gt;Fourqurean, J. W.&lt;/author&gt;&lt;/authors&gt;&lt;/contributors&gt;&lt;auth-address&gt;Johnson, Mw&amp;#xD;Univ S Alabama, Dept Marine Sci, LCSB 25, Mobile, AL 36688 USA&amp;#xD;Univ S Alabama, Dept Marine Sci, Mobile, AL 36688 USA&amp;#xD;Dauphin Isl Sea Lab, Dauphin Isl, AL 36528 USA&amp;#xD;Florida Int Univ, Dept Sci Biol, Miami, FL 33199 USA&amp;#xD;Florida Int Univ, SE Environm Res Ctr, Miami, FL 33199 USA&lt;/auth-address&gt;&lt;titles&gt;&lt;title&gt;Nutrient content of seagrasses and epiphytes in the northern Gulf of Mexico: Evidence of phosphorus and nitrogen limitation&lt;/title&gt;&lt;secondary-title&gt;Aquatic Botany&lt;/secondary-title&gt;&lt;alt-title&gt;Aquat Bot&amp;#xD;Aquat Bot&lt;/alt-title&gt;&lt;/titles&gt;&lt;periodical&gt;&lt;full-title&gt;Aquatic Botany&lt;/full-title&gt;&lt;/periodical&gt;&lt;pages&gt;103-111&lt;/pages&gt;&lt;volume&gt;85&lt;/volume&gt;&lt;number&gt;2&lt;/number&gt;&lt;keywords&gt;&lt;keyword&gt;c : n : p ratio&lt;/keyword&gt;&lt;keyword&gt;eutrophication&lt;/keyword&gt;&lt;keyword&gt;halodule wrightii&lt;/keyword&gt;&lt;keyword&gt;nutrient&lt;/keyword&gt;&lt;keyword&gt;thalassia testudinum&lt;/keyword&gt;&lt;keyword&gt;eelgrass zostera-marina&lt;/keyword&gt;&lt;keyword&gt;n-p ratios&lt;/keyword&gt;&lt;keyword&gt;thalassia-testudinum&lt;/keyword&gt;&lt;keyword&gt;fresh-water&lt;/keyword&gt;&lt;keyword&gt;relative availability&lt;/keyword&gt;&lt;keyword&gt;florida-keys&lt;/keyword&gt;&lt;keyword&gt;enrichment&lt;/keyword&gt;&lt;keyword&gt;bay&lt;/keyword&gt;&lt;keyword&gt;ecosystems&lt;/keyword&gt;&lt;keyword&gt;growth&lt;/keyword&gt;&lt;/keywords&gt;&lt;dates&gt;&lt;year&gt;2006&lt;/year&gt;&lt;pub-dates&gt;&lt;date&gt;AUG&lt;/date&gt;&lt;/pub-dates&gt;&lt;/dates&gt;&lt;isbn&gt;0304-3770&lt;/isbn&gt;&lt;accession-num&gt;ISI:000238729400003&lt;/accession-num&gt;&lt;urls&gt;&lt;related-urls&gt;&lt;url&gt;&amp;lt;Go to ISI&amp;gt;://000238729400003&lt;/url&gt;&lt;/related-urls&gt;&lt;/urls&gt;&lt;language&gt;English&lt;/language&gt;&lt;/record&gt;&lt;/Cite&gt;&lt;/EndNote&gt;</w:instrText>
        </w:r>
        <w:r w:rsidR="00964A70" w:rsidRPr="00370E70">
          <w:rPr>
            <w:color w:val="000000"/>
            <w:szCs w:val="22"/>
          </w:rPr>
          <w:fldChar w:fldCharType="separate"/>
        </w:r>
        <w:r w:rsidR="00964A70" w:rsidRPr="00370E70">
          <w:rPr>
            <w:noProof/>
            <w:color w:val="000000"/>
            <w:szCs w:val="22"/>
          </w:rPr>
          <w:t>Johnson</w:t>
        </w:r>
        <w:r w:rsidR="00964A70" w:rsidRPr="00370E70">
          <w:rPr>
            <w:i/>
            <w:noProof/>
            <w:color w:val="000000"/>
            <w:szCs w:val="22"/>
          </w:rPr>
          <w:t xml:space="preserve"> et al.</w:t>
        </w:r>
        <w:r w:rsidR="00964A70" w:rsidRPr="00370E70">
          <w:rPr>
            <w:noProof/>
            <w:color w:val="000000"/>
            <w:szCs w:val="22"/>
          </w:rPr>
          <w:t xml:space="preserve"> 2006</w:t>
        </w:r>
        <w:r w:rsidR="00964A70" w:rsidRPr="00370E70">
          <w:rPr>
            <w:color w:val="000000"/>
            <w:szCs w:val="22"/>
          </w:rPr>
          <w:fldChar w:fldCharType="end"/>
        </w:r>
      </w:hyperlink>
      <w:r w:rsidRPr="00370E70">
        <w:rPr>
          <w:color w:val="000000"/>
          <w:szCs w:val="22"/>
        </w:rPr>
        <w:t xml:space="preserve">). </w:t>
      </w:r>
      <w:r w:rsidRPr="00370E70">
        <w:rPr>
          <w:rFonts w:cs="TimesNewRoman"/>
          <w:color w:val="000000"/>
          <w:szCs w:val="22"/>
          <w:lang w:eastAsia="en-AU"/>
        </w:rPr>
        <w:lastRenderedPageBreak/>
        <w:t>Monitoring of C:N:P ratios may be advantageous for the early detection of changes in nutrient regimes for environmentally sensitive seagrasses (</w:t>
      </w:r>
      <w:hyperlink w:anchor="_ENREF_109" w:tooltip="Johnson, 2006 #7503" w:history="1">
        <w:r w:rsidR="00964A70" w:rsidRPr="00370E70">
          <w:rPr>
            <w:rFonts w:cs="TimesNewRoman"/>
            <w:color w:val="000000"/>
            <w:szCs w:val="22"/>
            <w:lang w:eastAsia="en-AU"/>
          </w:rPr>
          <w:fldChar w:fldCharType="begin"/>
        </w:r>
        <w:r w:rsidR="00964A70" w:rsidRPr="00370E70">
          <w:rPr>
            <w:rFonts w:cs="TimesNewRoman"/>
            <w:color w:val="000000"/>
            <w:szCs w:val="22"/>
            <w:lang w:eastAsia="en-AU"/>
          </w:rPr>
          <w:instrText xml:space="preserve"> ADDIN EN.CITE &lt;EndNote&gt;&lt;Cite&gt;&lt;Author&gt;Johnson&lt;/Author&gt;&lt;Year&gt;2006&lt;/Year&gt;&lt;RecNum&gt;7503&lt;/RecNum&gt;&lt;DisplayText&gt;Johnson&lt;style face="italic"&gt;, et al.&lt;/style&gt; 2006&lt;/DisplayText&gt;&lt;record&gt;&lt;rec-number&gt;7503&lt;/rec-number&gt;&lt;foreign-keys&gt;&lt;key app="EN" db-id="0eve55x9y5vfd6e9dacxtew4eatve2dzds9a"&gt;7503&lt;/key&gt;&lt;/foreign-keys&gt;&lt;ref-type name="Journal Article"&gt;17&lt;/ref-type&gt;&lt;contributors&gt;&lt;authors&gt;&lt;author&gt;Johnson, M. W.&lt;/author&gt;&lt;author&gt;Heck, K. L.&lt;/author&gt;&lt;author&gt;Fourqurean, J. W.&lt;/author&gt;&lt;/authors&gt;&lt;/contributors&gt;&lt;auth-address&gt;Johnson, Mw&amp;#xD;Univ S Alabama, Dept Marine Sci, LCSB 25, Mobile, AL 36688 USA&amp;#xD;Univ S Alabama, Dept Marine Sci, Mobile, AL 36688 USA&amp;#xD;Dauphin Isl Sea Lab, Dauphin Isl, AL 36528 USA&amp;#xD;Florida Int Univ, Dept Sci Biol, Miami, FL 33199 USA&amp;#xD;Florida Int Univ, SE Environm Res Ctr, Miami, FL 33199 USA&lt;/auth-address&gt;&lt;titles&gt;&lt;title&gt;Nutrient content of seagrasses and epiphytes in the northern Gulf of Mexico: Evidence of phosphorus and nitrogen limitation&lt;/title&gt;&lt;secondary-title&gt;Aquatic Botany&lt;/secondary-title&gt;&lt;alt-title&gt;Aquat Bot&amp;#xD;Aquat Bot&lt;/alt-title&gt;&lt;/titles&gt;&lt;periodical&gt;&lt;full-title&gt;Aquatic Botany&lt;/full-title&gt;&lt;/periodical&gt;&lt;pages&gt;103-111&lt;/pages&gt;&lt;volume&gt;85&lt;/volume&gt;&lt;number&gt;2&lt;/number&gt;&lt;keywords&gt;&lt;keyword&gt;c : n : p ratio&lt;/keyword&gt;&lt;keyword&gt;eutrophication&lt;/keyword&gt;&lt;keyword&gt;halodule wrightii&lt;/keyword&gt;&lt;keyword&gt;nutrient&lt;/keyword&gt;&lt;keyword&gt;thalassia testudinum&lt;/keyword&gt;&lt;keyword&gt;eelgrass zostera-marina&lt;/keyword&gt;&lt;keyword&gt;n-p ratios&lt;/keyword&gt;&lt;keyword&gt;thalassia-testudinum&lt;/keyword&gt;&lt;keyword&gt;fresh-water&lt;/keyword&gt;&lt;keyword&gt;relative availability&lt;/keyword&gt;&lt;keyword&gt;florida-keys&lt;/keyword&gt;&lt;keyword&gt;enrichment&lt;/keyword&gt;&lt;keyword&gt;bay&lt;/keyword&gt;&lt;keyword&gt;ecosystems&lt;/keyword&gt;&lt;keyword&gt;growth&lt;/keyword&gt;&lt;/keywords&gt;&lt;dates&gt;&lt;year&gt;2006&lt;/year&gt;&lt;pub-dates&gt;&lt;date&gt;AUG&lt;/date&gt;&lt;/pub-dates&gt;&lt;/dates&gt;&lt;isbn&gt;0304-3770&lt;/isbn&gt;&lt;accession-num&gt;ISI:000238729400003&lt;/accession-num&gt;&lt;urls&gt;&lt;related-urls&gt;&lt;url&gt;&amp;lt;Go to ISI&amp;gt;://000238729400003&lt;/url&gt;&lt;/related-urls&gt;&lt;/urls&gt;&lt;language&gt;English&lt;/language&gt;&lt;/record&gt;&lt;/Cite&gt;&lt;/EndNote&gt;</w:instrText>
        </w:r>
        <w:r w:rsidR="00964A70" w:rsidRPr="00370E70">
          <w:rPr>
            <w:rFonts w:cs="TimesNewRoman"/>
            <w:color w:val="000000"/>
            <w:szCs w:val="22"/>
            <w:lang w:eastAsia="en-AU"/>
          </w:rPr>
          <w:fldChar w:fldCharType="separate"/>
        </w:r>
        <w:r w:rsidR="00964A70" w:rsidRPr="00370E70">
          <w:rPr>
            <w:rFonts w:cs="TimesNewRoman"/>
            <w:noProof/>
            <w:color w:val="000000"/>
            <w:szCs w:val="22"/>
            <w:lang w:eastAsia="en-AU"/>
          </w:rPr>
          <w:t>Johnson</w:t>
        </w:r>
        <w:r w:rsidR="00964A70" w:rsidRPr="00370E70">
          <w:rPr>
            <w:rFonts w:cs="TimesNewRoman"/>
            <w:i/>
            <w:noProof/>
            <w:color w:val="000000"/>
            <w:szCs w:val="22"/>
            <w:lang w:eastAsia="en-AU"/>
          </w:rPr>
          <w:t>, et al.</w:t>
        </w:r>
        <w:r w:rsidR="00964A70" w:rsidRPr="00370E70">
          <w:rPr>
            <w:rFonts w:cs="TimesNewRoman"/>
            <w:noProof/>
            <w:color w:val="000000"/>
            <w:szCs w:val="22"/>
            <w:lang w:eastAsia="en-AU"/>
          </w:rPr>
          <w:t xml:space="preserve"> 2006</w:t>
        </w:r>
        <w:r w:rsidR="00964A70" w:rsidRPr="00370E70">
          <w:rPr>
            <w:rFonts w:cs="TimesNewRoman"/>
            <w:color w:val="000000"/>
            <w:szCs w:val="22"/>
            <w:lang w:eastAsia="en-AU"/>
          </w:rPr>
          <w:fldChar w:fldCharType="end"/>
        </w:r>
      </w:hyperlink>
      <w:r w:rsidRPr="00370E70">
        <w:rPr>
          <w:rFonts w:cs="TimesNewRoman"/>
          <w:color w:val="000000"/>
          <w:szCs w:val="22"/>
          <w:lang w:eastAsia="en-AU"/>
        </w:rPr>
        <w:t xml:space="preserve">; </w:t>
      </w:r>
      <w:hyperlink w:anchor="_ENREF_194" w:tooltip="Waycott, 2010 #9798"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&lt;EndNote&gt;&lt;Cite&gt;&lt;Author&gt;Waycott&lt;/Author&gt;&lt;Year&gt;2010&lt;/Year&gt;&lt;RecNum&gt;9798&lt;/RecNum&gt;&lt;DisplayText&gt;Waycott and McKenzie 2010&lt;/DisplayText&gt;&lt;record&gt;&lt;rec-number&gt;9798&lt;/rec-number&gt;&lt;foreign-keys&gt;&lt;key app="EN" db-id="0eve55x9y5vfd6e9dacxtew4eatve2dzds9a"&gt;9798&lt;/key&gt;&lt;/foreign-keys&gt;&lt;ref-type name="Book"&gt;6&lt;/ref-type&gt;&lt;contributors&gt;&lt;authors&gt;&lt;author&gt;Waycott, Michelle&lt;/author&gt;&lt;author&gt;McKenzie, Len J&lt;/author&gt;&lt;/authors&gt;&lt;/contributors&gt;&lt;titles&gt;&lt;title&gt;Final report project 1.1.3 and 3.7.1 to the Marine and Tropical Sciences Research Facility: Indicators and thresholds of concern for seagrass ecosystem health for the Great Barrier Reef&lt;/title&gt;&lt;/titles&gt;&lt;dates&gt;&lt;year&gt;2010&lt;/year&gt;&lt;/dates&gt;&lt;pub-location&gt;Cairns, Australia&lt;/pub-location&gt;&lt;publisher&gt;Reef and Rainforest Research Centre Limited&lt;/publisher&gt;&lt;urls&gt;&lt;/urls&gt;&lt;/record&gt;&lt;/Cite&gt;&lt;/EndNote&gt;</w:instrText>
        </w:r>
        <w:r w:rsidR="00964A70" w:rsidRPr="00370E70">
          <w:rPr>
            <w:color w:val="000000"/>
            <w:szCs w:val="22"/>
          </w:rPr>
          <w:fldChar w:fldCharType="separate"/>
        </w:r>
        <w:r w:rsidR="00964A70" w:rsidRPr="00370E70">
          <w:rPr>
            <w:noProof/>
            <w:color w:val="000000"/>
            <w:szCs w:val="22"/>
          </w:rPr>
          <w:t>Waycott and McKenzie 2010</w:t>
        </w:r>
        <w:r w:rsidR="00964A70" w:rsidRPr="00370E70">
          <w:rPr>
            <w:color w:val="000000"/>
            <w:szCs w:val="22"/>
          </w:rPr>
          <w:fldChar w:fldCharType="end"/>
        </w:r>
      </w:hyperlink>
      <w:r w:rsidRPr="00370E70">
        <w:rPr>
          <w:rFonts w:cs="TimesNewRoman"/>
          <w:color w:val="000000"/>
          <w:szCs w:val="22"/>
          <w:lang w:eastAsia="en-AU"/>
        </w:rPr>
        <w:t xml:space="preserve">). Observations of trends in indicators such as C:N:P ratios or changes in seagrass meadow composition provide insight into the responses of seagrasses to environmental change </w:t>
      </w:r>
      <w:r w:rsidRPr="00370E70">
        <w:rPr>
          <w:color w:val="000000"/>
          <w:szCs w:val="22"/>
        </w:rPr>
        <w:t>(</w:t>
      </w:r>
      <w:hyperlink w:anchor="_ENREF_194" w:tooltip="Waycott, 2010 #9798"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&lt;EndNote&gt;&lt;Cite&gt;&lt;Author&gt;Waycott&lt;/Author&gt;&lt;Year&gt;2010&lt;/Year&gt;&lt;RecNum&gt;9798&lt;/RecNum&gt;&lt;DisplayText&gt;Waycott and McKenzie 2010&lt;/DisplayText&gt;&lt;record&gt;&lt;rec-number&gt;9798&lt;/rec-number&gt;&lt;foreign-keys&gt;&lt;key app="EN" db-id="0eve55x9y5vfd6e9dacxtew4eatve2dzds9a"&gt;9798&lt;/key&gt;&lt;/foreign-keys&gt;&lt;ref-type name="Book"&gt;6&lt;/ref-type&gt;&lt;contributors&gt;&lt;authors&gt;&lt;author&gt;Waycott, Michelle&lt;/author&gt;&lt;author&gt;McKenzie, Len J&lt;/author&gt;&lt;/authors&gt;&lt;/contributors&gt;&lt;titles&gt;&lt;title&gt;Final report project 1.1.3 and 3.7.1 to the Marine and Tropical Sciences Research Facility: Indicators and thresholds of concern for seagrass ecosystem health for the Great Barrier Reef&lt;/title&gt;&lt;/titles&gt;&lt;dates&gt;&lt;year&gt;2010&lt;/year&gt;&lt;/dates&gt;&lt;pub-location&gt;Cairns, Australia&lt;/pub-location&gt;&lt;publisher&gt;Reef and Rainforest Research Centre Limited&lt;/publisher&gt;&lt;urls&gt;&lt;/urls&gt;&lt;/record&gt;&lt;/Cite&gt;&lt;/EndNote&gt;</w:instrText>
        </w:r>
        <w:r w:rsidR="00964A70" w:rsidRPr="00370E70">
          <w:rPr>
            <w:color w:val="000000"/>
            <w:szCs w:val="22"/>
          </w:rPr>
          <w:fldChar w:fldCharType="separate"/>
        </w:r>
        <w:r w:rsidR="00964A70" w:rsidRPr="00370E70">
          <w:rPr>
            <w:noProof/>
            <w:color w:val="000000"/>
            <w:szCs w:val="22"/>
          </w:rPr>
          <w:t>Waycott and McKenzie 2010</w:t>
        </w:r>
        <w:r w:rsidR="00964A70" w:rsidRPr="00370E70">
          <w:rPr>
            <w:color w:val="000000"/>
            <w:szCs w:val="22"/>
          </w:rPr>
          <w:fldChar w:fldCharType="end"/>
        </w:r>
      </w:hyperlink>
      <w:r w:rsidRPr="00370E70">
        <w:rPr>
          <w:color w:val="000000"/>
          <w:szCs w:val="22"/>
        </w:rPr>
        <w:t>). We have developed a matrix of comparison for these indicators (</w:t>
      </w:r>
      <w:r w:rsidR="002D4AD4" w:rsidRPr="00370E70">
        <w:rPr>
          <w:color w:val="000000"/>
          <w:szCs w:val="22"/>
        </w:rPr>
        <w:fldChar w:fldCharType="begin"/>
      </w:r>
      <w:r w:rsidR="002D4AD4" w:rsidRPr="00370E70">
        <w:rPr>
          <w:color w:val="000000"/>
          <w:szCs w:val="22"/>
        </w:rPr>
        <w:instrText xml:space="preserve"> REF _Ref353002821 \h  \* MERGEFORMAT </w:instrText>
      </w:r>
      <w:r w:rsidR="002D4AD4" w:rsidRPr="00370E70">
        <w:rPr>
          <w:color w:val="000000"/>
          <w:szCs w:val="22"/>
        </w:rPr>
      </w:r>
      <w:r w:rsidR="002D4AD4" w:rsidRPr="00370E70">
        <w:rPr>
          <w:color w:val="000000"/>
          <w:szCs w:val="22"/>
        </w:rPr>
        <w:fldChar w:fldCharType="separate"/>
      </w:r>
      <w:r w:rsidR="005B5FD6" w:rsidRPr="005B5FD6">
        <w:rPr>
          <w:szCs w:val="22"/>
        </w:rPr>
        <w:t xml:space="preserve">Table </w:t>
      </w:r>
      <w:r w:rsidR="005B5FD6" w:rsidRPr="005B5FD6">
        <w:rPr>
          <w:noProof/>
          <w:color w:val="000000"/>
          <w:szCs w:val="22"/>
        </w:rPr>
        <w:t>2</w:t>
      </w:r>
      <w:r w:rsidR="002D4AD4" w:rsidRPr="00370E70">
        <w:rPr>
          <w:color w:val="000000"/>
          <w:szCs w:val="22"/>
        </w:rPr>
        <w:fldChar w:fldCharType="end"/>
      </w:r>
      <w:r w:rsidRPr="00370E70">
        <w:rPr>
          <w:color w:val="000000"/>
          <w:szCs w:val="22"/>
        </w:rPr>
        <w:t>) and have evidence of seagrass responses in most categories. This framework, provides a structure for acknowledging and interpreting the variety of indicators being used to detect different types of environmental change.</w:t>
      </w:r>
    </w:p>
    <w:p w:rsidR="0033652B" w:rsidRPr="00370E70" w:rsidRDefault="005132EF" w:rsidP="0033652B">
      <w:pPr>
        <w:pStyle w:val="Caption"/>
        <w:keepNext/>
        <w:jc w:val="center"/>
        <w:rPr>
          <w:i/>
          <w:vanish/>
          <w:color w:val="000000"/>
          <w:szCs w:val="22"/>
          <w:lang w:val="en-AU"/>
          <w:specVanish/>
        </w:rPr>
      </w:pPr>
      <w:bookmarkStart w:id="26" w:name="_Ref353002821"/>
      <w:bookmarkStart w:id="27" w:name="_Toc384196538"/>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w:t>
      </w:r>
      <w:r w:rsidRPr="00370E70">
        <w:rPr>
          <w:lang w:val="en-AU"/>
        </w:rPr>
        <w:fldChar w:fldCharType="end"/>
      </w:r>
      <w:bookmarkEnd w:id="26"/>
      <w:r w:rsidRPr="00370E70">
        <w:rPr>
          <w:rStyle w:val="StyleCaptionCaptionCharCharLatinCalibri11ptBlackChar"/>
          <w:lang w:val="en-AU"/>
        </w:rPr>
        <w:t xml:space="preserve">. </w:t>
      </w:r>
      <w:r w:rsidRPr="00370E70">
        <w:rPr>
          <w:i/>
          <w:lang w:val="en-AU"/>
        </w:rPr>
        <w:t xml:space="preserve">Response stages of seagrass meadows to external stressors and the indicator responses observed in </w:t>
      </w:r>
      <w:smartTag w:uri="urn:schemas-microsoft-com:office:smarttags" w:element="place">
        <w:r w:rsidRPr="00370E70">
          <w:rPr>
            <w:i/>
            <w:lang w:val="en-AU"/>
          </w:rPr>
          <w:t>Great Barrier Reef</w:t>
        </w:r>
      </w:smartTag>
      <w:r w:rsidRPr="00370E70">
        <w:rPr>
          <w:i/>
          <w:lang w:val="en-AU"/>
        </w:rPr>
        <w:t xml:space="preserve"> monitored seagrass meadows</w:t>
      </w:r>
      <w:bookmarkEnd w:id="27"/>
    </w:p>
    <w:p w:rsidR="0033652B" w:rsidRPr="00370E70" w:rsidRDefault="005132EF" w:rsidP="0033652B">
      <w:pPr>
        <w:pStyle w:val="Caption"/>
        <w:keepNext/>
        <w:jc w:val="center"/>
        <w:rPr>
          <w:i/>
          <w:lang w:val="en-AU"/>
        </w:rPr>
      </w:pPr>
      <w:r w:rsidRPr="00370E70">
        <w:rPr>
          <w:i/>
          <w:lang w:val="en-AU"/>
        </w:rPr>
        <w:t xml:space="preserve">(adapted from </w:t>
      </w:r>
      <w:hyperlink w:anchor="_ENREF_194" w:tooltip="Waycott, 2010 #9798" w:history="1">
        <w:r w:rsidR="00964A70" w:rsidRPr="00370E70">
          <w:rPr>
            <w:i/>
            <w:lang w:val="en-AU"/>
          </w:rPr>
          <w:fldChar w:fldCharType="begin"/>
        </w:r>
        <w:r w:rsidR="00964A70" w:rsidRPr="00370E70">
          <w:rPr>
            <w:i/>
            <w:lang w:val="en-AU"/>
          </w:rPr>
          <w:instrText xml:space="preserve"> ADDIN EN.CITE &lt;EndNote&gt;&lt;Cite&gt;&lt;Author&gt;Waycott&lt;/Author&gt;&lt;Year&gt;2010&lt;/Year&gt;&lt;RecNum&gt;9798&lt;/RecNum&gt;&lt;DisplayText&gt;Waycott and McKenzie 2010&lt;/DisplayText&gt;&lt;record&gt;&lt;rec-number&gt;9798&lt;/rec-number&gt;&lt;foreign-keys&gt;&lt;key app="EN" db-id="0eve55x9y5vfd6e9dacxtew4eatve2dzds9a"&gt;9798&lt;/key&gt;&lt;/foreign-keys&gt;&lt;ref-type name="Book"&gt;6&lt;/ref-type&gt;&lt;contributors&gt;&lt;authors&gt;&lt;author&gt;Waycott, Michelle&lt;/author&gt;&lt;author&gt;McKenzie, Len J&lt;/author&gt;&lt;/authors&gt;&lt;/contributors&gt;&lt;titles&gt;&lt;title&gt;Final report project 1.1.3 and 3.7.1 to the Marine and Tropical Sciences Research Facility: Indicators and thresholds of concern for seagrass ecosystem health for the Great Barrier Reef&lt;/title&gt;&lt;/titles&gt;&lt;dates&gt;&lt;year&gt;2010&lt;/year&gt;&lt;/dates&gt;&lt;pub-location&gt;Cairns, Australia&lt;/pub-location&gt;&lt;publisher&gt;Reef and Rainforest Research Centre Limited&lt;/publisher&gt;&lt;urls&gt;&lt;/urls&gt;&lt;/record&gt;&lt;/Cite&gt;&lt;/EndNote&gt;</w:instrText>
        </w:r>
        <w:r w:rsidR="00964A70" w:rsidRPr="00370E70">
          <w:rPr>
            <w:i/>
            <w:lang w:val="en-AU"/>
          </w:rPr>
          <w:fldChar w:fldCharType="separate"/>
        </w:r>
        <w:r w:rsidR="00964A70" w:rsidRPr="00370E70">
          <w:rPr>
            <w:i/>
            <w:noProof/>
            <w:lang w:val="en-AU"/>
          </w:rPr>
          <w:t>Waycott and McKenzie 2010</w:t>
        </w:r>
        <w:r w:rsidR="00964A70" w:rsidRPr="00370E70">
          <w:rPr>
            <w:i/>
            <w:lang w:val="en-AU"/>
          </w:rPr>
          <w:fldChar w:fldCharType="end"/>
        </w:r>
      </w:hyperlink>
      <w:r w:rsidRPr="00370E70">
        <w:rPr>
          <w:i/>
          <w:lang w:val="en-AU"/>
        </w:rPr>
        <w:t>) * utilised in Paddock to Reef reporting.</w:t>
      </w:r>
    </w:p>
    <w:tbl>
      <w:tblPr>
        <w:tblW w:w="0" w:type="auto"/>
        <w:tblLook w:val="00A0" w:firstRow="1" w:lastRow="0" w:firstColumn="1" w:lastColumn="0" w:noHBand="0" w:noVBand="0"/>
      </w:tblPr>
      <w:tblGrid>
        <w:gridCol w:w="2370"/>
        <w:gridCol w:w="2377"/>
        <w:gridCol w:w="2255"/>
        <w:gridCol w:w="2284"/>
      </w:tblGrid>
      <w:tr w:rsidR="005132EF" w:rsidRPr="00370E70" w:rsidTr="001269B5">
        <w:tc>
          <w:tcPr>
            <w:tcW w:w="2370" w:type="dxa"/>
            <w:tcBorders>
              <w:top w:val="single" w:sz="4" w:space="0" w:color="000000"/>
              <w:bottom w:val="single" w:sz="4" w:space="0" w:color="000000"/>
            </w:tcBorders>
          </w:tcPr>
          <w:p w:rsidR="005132EF" w:rsidRPr="00370E70" w:rsidRDefault="005132EF" w:rsidP="001269B5">
            <w:pPr>
              <w:spacing w:before="0" w:after="0"/>
              <w:jc w:val="center"/>
              <w:rPr>
                <w:color w:val="000000"/>
                <w:sz w:val="18"/>
                <w:szCs w:val="18"/>
              </w:rPr>
            </w:pPr>
            <w:r w:rsidRPr="00370E70">
              <w:rPr>
                <w:b/>
                <w:bCs/>
                <w:i/>
                <w:iCs/>
                <w:color w:val="000000"/>
                <w:sz w:val="18"/>
                <w:szCs w:val="18"/>
              </w:rPr>
              <w:t>Indicator</w:t>
            </w:r>
          </w:p>
        </w:tc>
        <w:tc>
          <w:tcPr>
            <w:tcW w:w="2377" w:type="dxa"/>
            <w:tcBorders>
              <w:top w:val="single" w:sz="4" w:space="0" w:color="000000"/>
              <w:bottom w:val="single" w:sz="4" w:space="0" w:color="000000"/>
            </w:tcBorders>
            <w:shd w:val="clear" w:color="auto" w:fill="F3F9FA"/>
          </w:tcPr>
          <w:p w:rsidR="001269B5" w:rsidRPr="00370E70" w:rsidRDefault="005132EF" w:rsidP="00233C4D">
            <w:pPr>
              <w:keepNext/>
              <w:spacing w:before="0" w:after="0"/>
              <w:jc w:val="center"/>
              <w:rPr>
                <w:b/>
                <w:bCs/>
                <w:i/>
                <w:iCs/>
                <w:color w:val="000000"/>
                <w:sz w:val="18"/>
                <w:szCs w:val="18"/>
              </w:rPr>
            </w:pPr>
            <w:r w:rsidRPr="00370E70">
              <w:rPr>
                <w:b/>
                <w:bCs/>
                <w:i/>
                <w:iCs/>
                <w:color w:val="000000"/>
                <w:sz w:val="18"/>
                <w:szCs w:val="18"/>
              </w:rPr>
              <w:t>Sub-lethal</w:t>
            </w:r>
          </w:p>
          <w:p w:rsidR="005132EF" w:rsidRPr="00370E70" w:rsidRDefault="005132EF" w:rsidP="00233C4D">
            <w:pPr>
              <w:keepNext/>
              <w:spacing w:before="0" w:after="0"/>
              <w:jc w:val="center"/>
              <w:rPr>
                <w:b/>
                <w:bCs/>
                <w:i/>
                <w:iCs/>
                <w:color w:val="000000"/>
                <w:sz w:val="14"/>
                <w:szCs w:val="14"/>
              </w:rPr>
            </w:pPr>
            <w:r w:rsidRPr="00370E70">
              <w:rPr>
                <w:bCs/>
                <w:iCs/>
                <w:color w:val="000000"/>
                <w:sz w:val="14"/>
                <w:szCs w:val="14"/>
              </w:rPr>
              <w:t>(ecophysiological)</w:t>
            </w:r>
          </w:p>
        </w:tc>
        <w:tc>
          <w:tcPr>
            <w:tcW w:w="2255" w:type="dxa"/>
            <w:tcBorders>
              <w:top w:val="single" w:sz="4" w:space="0" w:color="000000"/>
              <w:bottom w:val="single" w:sz="4" w:space="0" w:color="000000"/>
            </w:tcBorders>
            <w:shd w:val="clear" w:color="auto" w:fill="E7F3F4"/>
          </w:tcPr>
          <w:p w:rsidR="005132EF" w:rsidRPr="00370E70" w:rsidRDefault="005132EF" w:rsidP="00233C4D">
            <w:pPr>
              <w:keepNext/>
              <w:spacing w:before="0" w:after="0"/>
              <w:jc w:val="center"/>
              <w:rPr>
                <w:b/>
                <w:bCs/>
                <w:i/>
                <w:iCs/>
                <w:color w:val="000000"/>
                <w:sz w:val="18"/>
                <w:szCs w:val="18"/>
              </w:rPr>
            </w:pPr>
            <w:r w:rsidRPr="00370E70">
              <w:rPr>
                <w:b/>
                <w:bCs/>
                <w:i/>
                <w:iCs/>
                <w:color w:val="000000"/>
                <w:sz w:val="18"/>
                <w:szCs w:val="18"/>
              </w:rPr>
              <w:t>State change</w:t>
            </w:r>
          </w:p>
          <w:p w:rsidR="005132EF" w:rsidRPr="00370E70" w:rsidRDefault="005132EF" w:rsidP="00233C4D">
            <w:pPr>
              <w:keepNext/>
              <w:spacing w:before="0" w:after="0"/>
              <w:jc w:val="center"/>
              <w:rPr>
                <w:color w:val="000000"/>
                <w:sz w:val="14"/>
                <w:szCs w:val="14"/>
              </w:rPr>
            </w:pPr>
            <w:r w:rsidRPr="00370E70">
              <w:rPr>
                <w:bCs/>
                <w:iCs/>
                <w:color w:val="000000"/>
                <w:sz w:val="14"/>
                <w:szCs w:val="14"/>
              </w:rPr>
              <w:t>(whole plant and population scale)</w:t>
            </w:r>
          </w:p>
        </w:tc>
        <w:tc>
          <w:tcPr>
            <w:tcW w:w="2284" w:type="dxa"/>
            <w:tcBorders>
              <w:top w:val="single" w:sz="4" w:space="0" w:color="000000"/>
              <w:bottom w:val="single" w:sz="4" w:space="0" w:color="000000"/>
            </w:tcBorders>
            <w:shd w:val="clear" w:color="auto" w:fill="BBE0E3"/>
          </w:tcPr>
          <w:p w:rsidR="001269B5" w:rsidRPr="00370E70" w:rsidRDefault="005132EF" w:rsidP="00233C4D">
            <w:pPr>
              <w:keepNext/>
              <w:spacing w:before="0" w:after="0"/>
              <w:jc w:val="center"/>
              <w:rPr>
                <w:b/>
                <w:bCs/>
                <w:i/>
                <w:iCs/>
                <w:color w:val="000000"/>
                <w:sz w:val="18"/>
                <w:szCs w:val="18"/>
              </w:rPr>
            </w:pPr>
            <w:r w:rsidRPr="00370E70">
              <w:rPr>
                <w:b/>
                <w:bCs/>
                <w:i/>
                <w:iCs/>
                <w:color w:val="000000"/>
                <w:sz w:val="18"/>
                <w:szCs w:val="18"/>
              </w:rPr>
              <w:t>Population decline</w:t>
            </w:r>
          </w:p>
          <w:p w:rsidR="005132EF" w:rsidRPr="00370E70" w:rsidRDefault="005132EF" w:rsidP="00233C4D">
            <w:pPr>
              <w:keepNext/>
              <w:spacing w:before="0" w:after="0"/>
              <w:jc w:val="center"/>
              <w:rPr>
                <w:color w:val="000000"/>
                <w:sz w:val="14"/>
                <w:szCs w:val="14"/>
              </w:rPr>
            </w:pPr>
            <w:r w:rsidRPr="00370E70">
              <w:rPr>
                <w:bCs/>
                <w:iCs/>
                <w:color w:val="000000"/>
                <w:sz w:val="14"/>
                <w:szCs w:val="14"/>
              </w:rPr>
              <w:t>(whole meadow scale)</w:t>
            </w:r>
          </w:p>
        </w:tc>
      </w:tr>
      <w:tr w:rsidR="005132EF" w:rsidRPr="00370E70" w:rsidTr="001269B5">
        <w:tc>
          <w:tcPr>
            <w:tcW w:w="2370" w:type="dxa"/>
            <w:tcBorders>
              <w:top w:val="single" w:sz="4" w:space="0" w:color="000000"/>
              <w:bottom w:val="single" w:sz="2" w:space="0" w:color="000000"/>
            </w:tcBorders>
          </w:tcPr>
          <w:p w:rsidR="005132EF" w:rsidRPr="00370E70" w:rsidRDefault="005132EF" w:rsidP="001269B5">
            <w:pPr>
              <w:spacing w:before="0" w:after="0"/>
              <w:rPr>
                <w:color w:val="000000"/>
                <w:sz w:val="18"/>
                <w:szCs w:val="18"/>
              </w:rPr>
            </w:pPr>
            <w:r w:rsidRPr="00370E70">
              <w:rPr>
                <w:b/>
                <w:bCs/>
                <w:color w:val="000000"/>
                <w:sz w:val="18"/>
                <w:szCs w:val="18"/>
              </w:rPr>
              <w:t xml:space="preserve">Tissue nutrients </w:t>
            </w:r>
          </w:p>
        </w:tc>
        <w:tc>
          <w:tcPr>
            <w:tcW w:w="2377" w:type="dxa"/>
            <w:tcBorders>
              <w:top w:val="single" w:sz="4"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Ratios of key macronutrients change to indicate relative excesses (i.e. C:N*, C:P, N:P)</w:t>
            </w:r>
          </w:p>
        </w:tc>
        <w:tc>
          <w:tcPr>
            <w:tcW w:w="2255" w:type="dxa"/>
            <w:tcBorders>
              <w:top w:val="single" w:sz="4"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Limited by species variable upper threshold</w:t>
            </w:r>
          </w:p>
        </w:tc>
        <w:tc>
          <w:tcPr>
            <w:tcW w:w="2284" w:type="dxa"/>
            <w:tcBorders>
              <w:top w:val="single" w:sz="4"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color w:val="000000"/>
                <w:sz w:val="18"/>
                <w:szCs w:val="18"/>
              </w:rPr>
            </w:pPr>
            <w:r w:rsidRPr="00370E70">
              <w:rPr>
                <w:b/>
                <w:bCs/>
                <w:color w:val="000000"/>
                <w:sz w:val="18"/>
                <w:szCs w:val="18"/>
              </w:rPr>
              <w:t xml:space="preserve">Chlorophyll concentrations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 xml:space="preserve">Rapid short term changes observed </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 xml:space="preserve">Limited by species variable upper threshold </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color w:val="000000"/>
                <w:sz w:val="18"/>
                <w:szCs w:val="18"/>
              </w:rPr>
            </w:pPr>
            <w:r w:rsidRPr="00370E70">
              <w:rPr>
                <w:b/>
                <w:bCs/>
                <w:color w:val="000000"/>
                <w:sz w:val="18"/>
                <w:szCs w:val="18"/>
              </w:rPr>
              <w:t xml:space="preserve">Production of reproductive structures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Reduced flowering and fruiting, loss of seeds for meadow recovery seen as high variability among sites*</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Threshold reached where no reproduction occurs</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color w:val="000000"/>
                <w:sz w:val="18"/>
                <w:szCs w:val="18"/>
              </w:rPr>
            </w:pPr>
            <w:r w:rsidRPr="00370E70">
              <w:rPr>
                <w:b/>
                <w:bCs/>
                <w:color w:val="000000"/>
                <w:sz w:val="18"/>
                <w:szCs w:val="18"/>
              </w:rPr>
              <w:t xml:space="preserve">Change in plant morphology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 xml:space="preserve">Reduction in leaf area </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Threshold reached</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b/>
                <w:bCs/>
                <w:color w:val="000000"/>
                <w:sz w:val="18"/>
                <w:szCs w:val="18"/>
              </w:rPr>
            </w:pPr>
            <w:r w:rsidRPr="00370E70">
              <w:rPr>
                <w:b/>
                <w:bCs/>
                <w:color w:val="000000"/>
                <w:sz w:val="18"/>
                <w:szCs w:val="18"/>
              </w:rPr>
              <w:t xml:space="preserve">Community structure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Change in species composition</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Loss of species</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b/>
                <w:bCs/>
                <w:color w:val="000000"/>
                <w:sz w:val="18"/>
                <w:szCs w:val="18"/>
              </w:rPr>
            </w:pPr>
            <w:r w:rsidRPr="00370E70">
              <w:rPr>
                <w:b/>
                <w:bCs/>
                <w:color w:val="000000"/>
                <w:sz w:val="18"/>
                <w:szCs w:val="18"/>
              </w:rPr>
              <w:t xml:space="preserve">Change in species abundance </w:t>
            </w:r>
            <w:r w:rsidRPr="00370E70">
              <w:rPr>
                <w:bCs/>
                <w:color w:val="000000"/>
                <w:sz w:val="18"/>
                <w:szCs w:val="18"/>
              </w:rPr>
              <w:t>(population structure)</w:t>
            </w:r>
            <w:r w:rsidRPr="00370E70">
              <w:rPr>
                <w:b/>
                <w:bCs/>
                <w:color w:val="000000"/>
                <w:sz w:val="18"/>
                <w:szCs w:val="18"/>
              </w:rPr>
              <w:t xml:space="preserve">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Change in abundance of species (i.e. % cover)*</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Reduction in effective population size</w:t>
            </w:r>
          </w:p>
        </w:tc>
      </w:tr>
      <w:tr w:rsidR="005132EF" w:rsidRPr="00370E70" w:rsidTr="001269B5">
        <w:tc>
          <w:tcPr>
            <w:tcW w:w="2370" w:type="dxa"/>
            <w:tcBorders>
              <w:top w:val="single" w:sz="2" w:space="0" w:color="000000"/>
              <w:bottom w:val="single" w:sz="2" w:space="0" w:color="000000"/>
            </w:tcBorders>
          </w:tcPr>
          <w:p w:rsidR="005132EF" w:rsidRPr="00370E70" w:rsidRDefault="005132EF" w:rsidP="001269B5">
            <w:pPr>
              <w:spacing w:before="0" w:after="0"/>
              <w:rPr>
                <w:b/>
                <w:bCs/>
                <w:color w:val="000000"/>
                <w:sz w:val="18"/>
                <w:szCs w:val="18"/>
              </w:rPr>
            </w:pPr>
            <w:r w:rsidRPr="00370E70">
              <w:rPr>
                <w:b/>
                <w:bCs/>
                <w:color w:val="000000"/>
                <w:sz w:val="18"/>
                <w:szCs w:val="18"/>
              </w:rPr>
              <w:t xml:space="preserve">Change in meadow area </w:t>
            </w:r>
          </w:p>
        </w:tc>
        <w:tc>
          <w:tcPr>
            <w:tcW w:w="2377" w:type="dxa"/>
            <w:tcBorders>
              <w:top w:val="single" w:sz="2" w:space="0" w:color="000000"/>
              <w:bottom w:val="single" w:sz="2"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55" w:type="dxa"/>
            <w:tcBorders>
              <w:top w:val="single" w:sz="2" w:space="0" w:color="000000"/>
              <w:bottom w:val="single" w:sz="2"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w:t>
            </w:r>
          </w:p>
        </w:tc>
        <w:tc>
          <w:tcPr>
            <w:tcW w:w="2284" w:type="dxa"/>
            <w:tcBorders>
              <w:top w:val="single" w:sz="2" w:space="0" w:color="000000"/>
              <w:bottom w:val="single" w:sz="2"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Reduction (or increase) in total meadow area</w:t>
            </w:r>
          </w:p>
        </w:tc>
      </w:tr>
      <w:tr w:rsidR="005132EF" w:rsidRPr="00370E70" w:rsidTr="001269B5">
        <w:tc>
          <w:tcPr>
            <w:tcW w:w="2370" w:type="dxa"/>
            <w:tcBorders>
              <w:top w:val="single" w:sz="2" w:space="0" w:color="000000"/>
              <w:bottom w:val="single" w:sz="4" w:space="0" w:color="000000"/>
            </w:tcBorders>
          </w:tcPr>
          <w:p w:rsidR="005132EF" w:rsidRPr="00370E70" w:rsidRDefault="005132EF" w:rsidP="001269B5">
            <w:pPr>
              <w:spacing w:before="0" w:after="0"/>
              <w:rPr>
                <w:b/>
                <w:bCs/>
                <w:color w:val="000000"/>
                <w:sz w:val="18"/>
                <w:szCs w:val="18"/>
              </w:rPr>
            </w:pPr>
            <w:r w:rsidRPr="00370E70">
              <w:rPr>
                <w:b/>
                <w:bCs/>
                <w:color w:val="000000"/>
                <w:sz w:val="18"/>
                <w:szCs w:val="18"/>
              </w:rPr>
              <w:t xml:space="preserve">Recovery time from loss </w:t>
            </w:r>
          </w:p>
        </w:tc>
        <w:tc>
          <w:tcPr>
            <w:tcW w:w="2377" w:type="dxa"/>
            <w:tcBorders>
              <w:top w:val="single" w:sz="2" w:space="0" w:color="000000"/>
              <w:bottom w:val="single" w:sz="4" w:space="0" w:color="000000"/>
            </w:tcBorders>
            <w:shd w:val="clear" w:color="auto" w:fill="F3F9FA"/>
          </w:tcPr>
          <w:p w:rsidR="005132EF" w:rsidRPr="00370E70" w:rsidRDefault="005132EF" w:rsidP="00233C4D">
            <w:pPr>
              <w:keepNext/>
              <w:spacing w:before="0" w:after="0"/>
              <w:rPr>
                <w:color w:val="000000"/>
                <w:sz w:val="18"/>
                <w:szCs w:val="18"/>
              </w:rPr>
            </w:pPr>
            <w:r w:rsidRPr="00370E70">
              <w:rPr>
                <w:color w:val="000000"/>
                <w:sz w:val="18"/>
                <w:szCs w:val="18"/>
              </w:rPr>
              <w:t>Limited or no change</w:t>
            </w:r>
          </w:p>
        </w:tc>
        <w:tc>
          <w:tcPr>
            <w:tcW w:w="2255" w:type="dxa"/>
            <w:tcBorders>
              <w:top w:val="single" w:sz="2" w:space="0" w:color="000000"/>
              <w:bottom w:val="single" w:sz="4" w:space="0" w:color="000000"/>
            </w:tcBorders>
            <w:shd w:val="clear" w:color="auto" w:fill="E7F3F4"/>
          </w:tcPr>
          <w:p w:rsidR="005132EF" w:rsidRPr="00370E70" w:rsidRDefault="005132EF" w:rsidP="00233C4D">
            <w:pPr>
              <w:keepNext/>
              <w:spacing w:before="0" w:after="0"/>
              <w:rPr>
                <w:color w:val="000000"/>
                <w:sz w:val="18"/>
                <w:szCs w:val="18"/>
              </w:rPr>
            </w:pPr>
            <w:r w:rsidRPr="00370E70">
              <w:rPr>
                <w:color w:val="000000"/>
                <w:sz w:val="18"/>
                <w:szCs w:val="18"/>
              </w:rPr>
              <w:t>Measurably delayed</w:t>
            </w:r>
          </w:p>
        </w:tc>
        <w:tc>
          <w:tcPr>
            <w:tcW w:w="2284" w:type="dxa"/>
            <w:tcBorders>
              <w:top w:val="single" w:sz="2" w:space="0" w:color="000000"/>
              <w:bottom w:val="single" w:sz="4" w:space="0" w:color="000000"/>
            </w:tcBorders>
            <w:shd w:val="clear" w:color="auto" w:fill="BBE0E3"/>
          </w:tcPr>
          <w:p w:rsidR="005132EF" w:rsidRPr="00370E70" w:rsidRDefault="005132EF" w:rsidP="00233C4D">
            <w:pPr>
              <w:keepNext/>
              <w:spacing w:before="0" w:after="0"/>
              <w:rPr>
                <w:color w:val="000000"/>
                <w:sz w:val="18"/>
                <w:szCs w:val="18"/>
              </w:rPr>
            </w:pPr>
            <w:r w:rsidRPr="00370E70">
              <w:rPr>
                <w:color w:val="000000"/>
                <w:sz w:val="18"/>
                <w:szCs w:val="18"/>
              </w:rPr>
              <w:t>Potentially no recovery if threshold reached</w:t>
            </w:r>
          </w:p>
        </w:tc>
      </w:tr>
    </w:tbl>
    <w:p w:rsidR="005132EF" w:rsidRPr="00370E70" w:rsidRDefault="005132EF" w:rsidP="00233C4D">
      <w:pPr>
        <w:spacing w:before="240"/>
        <w:rPr>
          <w:color w:val="000000"/>
          <w:szCs w:val="22"/>
        </w:rPr>
      </w:pPr>
      <w:r w:rsidRPr="00370E70">
        <w:rPr>
          <w:color w:val="000000"/>
          <w:szCs w:val="22"/>
        </w:rPr>
        <w:t>In addition to the multiple stressors, the tropical seagrass ecosystems of the GBR are a complex mosaic of different habitat types comprised of multiple seagrass species (</w:t>
      </w:r>
      <w:hyperlink w:anchor="_ENREF_31" w:tooltip="Carruthers, 2002 #8021" w:history="1">
        <w:r w:rsidR="00964A70" w:rsidRPr="00370E70">
          <w:rPr>
            <w:color w:val="000000"/>
            <w:szCs w:val="22"/>
          </w:rPr>
          <w:fldChar w:fldCharType="begin"/>
        </w:r>
        <w:r w:rsidR="00964A70" w:rsidRPr="00370E70">
          <w:rPr>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color w:val="000000"/>
            <w:szCs w:val="22"/>
          </w:rPr>
          <w:fldChar w:fldCharType="separate"/>
        </w:r>
        <w:r w:rsidR="00964A70" w:rsidRPr="00370E70">
          <w:rPr>
            <w:noProof/>
            <w:color w:val="000000"/>
            <w:szCs w:val="22"/>
          </w:rPr>
          <w:t>Carruthers</w:t>
        </w:r>
        <w:r w:rsidR="00964A70" w:rsidRPr="00370E70">
          <w:rPr>
            <w:i/>
            <w:noProof/>
            <w:color w:val="000000"/>
            <w:szCs w:val="22"/>
          </w:rPr>
          <w:t xml:space="preserve"> et al.</w:t>
        </w:r>
        <w:r w:rsidR="00964A70" w:rsidRPr="00370E70">
          <w:rPr>
            <w:noProof/>
            <w:color w:val="000000"/>
            <w:szCs w:val="22"/>
          </w:rPr>
          <w:t xml:space="preserve"> 2002</w:t>
        </w:r>
        <w:r w:rsidR="00964A70" w:rsidRPr="00370E70">
          <w:rPr>
            <w:color w:val="000000"/>
            <w:szCs w:val="22"/>
          </w:rPr>
          <w:fldChar w:fldCharType="end"/>
        </w:r>
      </w:hyperlink>
      <w:r w:rsidRPr="00370E70">
        <w:rPr>
          <w:color w:val="000000"/>
          <w:szCs w:val="22"/>
        </w:rPr>
        <w:t xml:space="preserve">) in which timing and mechanisms that capture their dynamism are relatively poorly understood. The seagrass ecosystems of the GBR, on a global scale, would be for the most part categorised as being </w:t>
      </w:r>
      <w:r w:rsidR="002C6536" w:rsidRPr="00370E70">
        <w:rPr>
          <w:color w:val="000000"/>
          <w:szCs w:val="22"/>
        </w:rPr>
        <w:t>dominated</w:t>
      </w:r>
      <w:r w:rsidRPr="00370E70">
        <w:rPr>
          <w:color w:val="000000"/>
          <w:szCs w:val="22"/>
        </w:rPr>
        <w:t xml:space="preserve"> by disturbance opportunist species (e.g. </w:t>
      </w:r>
      <w:r w:rsidRPr="00370E70">
        <w:rPr>
          <w:i/>
          <w:color w:val="000000"/>
          <w:szCs w:val="22"/>
        </w:rPr>
        <w:t>Halophila</w:t>
      </w:r>
      <w:r w:rsidRPr="00370E70">
        <w:rPr>
          <w:color w:val="000000"/>
          <w:szCs w:val="22"/>
        </w:rPr>
        <w:t xml:space="preserve">, </w:t>
      </w:r>
      <w:r w:rsidRPr="00370E70">
        <w:rPr>
          <w:i/>
          <w:color w:val="000000"/>
          <w:szCs w:val="22"/>
        </w:rPr>
        <w:t>Halodule</w:t>
      </w:r>
      <w:r w:rsidRPr="00370E70">
        <w:rPr>
          <w:color w:val="000000"/>
          <w:szCs w:val="22"/>
        </w:rPr>
        <w:t xml:space="preserve"> and </w:t>
      </w:r>
      <w:r w:rsidRPr="00370E70">
        <w:rPr>
          <w:i/>
          <w:color w:val="000000"/>
          <w:szCs w:val="22"/>
        </w:rPr>
        <w:t>Zostera</w:t>
      </w:r>
      <w:r w:rsidRPr="00370E70">
        <w:rPr>
          <w:color w:val="000000"/>
          <w:szCs w:val="22"/>
        </w:rPr>
        <w:t>) typically having low standing biomass and high turnover rates (</w:t>
      </w:r>
      <w:r w:rsidR="00126051" w:rsidRPr="00370E70">
        <w:rPr>
          <w:color w:val="000000"/>
          <w:szCs w:val="22"/>
        </w:rPr>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aWMiPiBldCBhbC48L3N0eWxlPiAyMDA3PC9EaXNwbGF5VGV4dD48cmVjb3JkPjxyZWMtbnVtYmVy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aWMiPiBldCBhbC48L3N0eWxlPiAyMDA3PC9EaXNwbGF5VGV4dD48cmVjb3JkPjxyZWMtbnVtYmVy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00126051" w:rsidRPr="00370E70">
        <w:rPr>
          <w:color w:val="000000"/>
          <w:szCs w:val="22"/>
        </w:rPr>
      </w:r>
      <w:r w:rsidR="00126051" w:rsidRPr="00370E70">
        <w:rPr>
          <w:color w:val="000000"/>
          <w:szCs w:val="22"/>
        </w:rPr>
        <w:fldChar w:fldCharType="separate"/>
      </w:r>
      <w:hyperlink w:anchor="_ENREF_31" w:tooltip="Carruthers, 2002 #8021" w:history="1">
        <w:r w:rsidR="00964A70" w:rsidRPr="00370E70">
          <w:rPr>
            <w:noProof/>
            <w:color w:val="000000"/>
            <w:szCs w:val="22"/>
          </w:rPr>
          <w:t>Carruthers</w:t>
        </w:r>
        <w:r w:rsidR="00964A70" w:rsidRPr="00370E70">
          <w:rPr>
            <w:i/>
            <w:noProof/>
            <w:color w:val="000000"/>
            <w:szCs w:val="22"/>
          </w:rPr>
          <w:t>, et al.</w:t>
        </w:r>
        <w:r w:rsidR="00964A70" w:rsidRPr="00370E70">
          <w:rPr>
            <w:noProof/>
            <w:color w:val="000000"/>
            <w:szCs w:val="22"/>
          </w:rPr>
          <w:t xml:space="preserve"> 2002</w:t>
        </w:r>
      </w:hyperlink>
      <w:r w:rsidR="00126051" w:rsidRPr="00370E70">
        <w:rPr>
          <w:noProof/>
          <w:color w:val="000000"/>
          <w:szCs w:val="22"/>
        </w:rPr>
        <w:t xml:space="preserve">; </w:t>
      </w:r>
      <w:hyperlink w:anchor="_ENREF_192" w:tooltip="Waycott, 2007 #9133" w:history="1">
        <w:r w:rsidR="00964A70" w:rsidRPr="00370E70">
          <w:rPr>
            <w:noProof/>
            <w:color w:val="000000"/>
            <w:szCs w:val="22"/>
          </w:rPr>
          <w:t>Waycott</w:t>
        </w:r>
        <w:r w:rsidR="00964A70" w:rsidRPr="00370E70">
          <w:rPr>
            <w:i/>
            <w:noProof/>
            <w:color w:val="000000"/>
            <w:szCs w:val="22"/>
          </w:rPr>
          <w:t xml:space="preserve"> et al.</w:t>
        </w:r>
        <w:r w:rsidR="00964A70" w:rsidRPr="00370E70">
          <w:rPr>
            <w:noProof/>
            <w:color w:val="000000"/>
            <w:szCs w:val="22"/>
          </w:rPr>
          <w:t xml:space="preserve"> 2007</w:t>
        </w:r>
      </w:hyperlink>
      <w:r w:rsidR="00126051" w:rsidRPr="00370E70">
        <w:rPr>
          <w:color w:val="000000"/>
          <w:szCs w:val="22"/>
        </w:rPr>
        <w:fldChar w:fldCharType="end"/>
      </w:r>
      <w:r w:rsidRPr="00370E70">
        <w:rPr>
          <w:color w:val="000000"/>
          <w:szCs w:val="22"/>
        </w:rPr>
        <w:t>). In more sheltered areas, including in reef top or inshore protected areas, more persistent species are found, although are still relatively capable of being responsive to disturbance (</w:t>
      </w:r>
      <w:r w:rsidR="00126051" w:rsidRPr="00370E70">
        <w:rPr>
          <w:color w:val="000000"/>
          <w:szCs w:val="22"/>
        </w:rPr>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aWMiPiwgZXQgYWwuPC9zdHlsZT4gMjAwNzsgQ29sbGllciBhbmQgV2F5Y290dCAyMDA5PC9EaXNw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aWMiPiwgZXQgYWwuPC9zdHlsZT4gMjAwNzsgQ29sbGllciBhbmQgV2F5Y290dCAyMDA5PC9EaXNw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00126051" w:rsidRPr="00370E70">
        <w:rPr>
          <w:color w:val="000000"/>
          <w:szCs w:val="22"/>
        </w:rPr>
      </w:r>
      <w:r w:rsidR="00126051" w:rsidRPr="00370E70">
        <w:rPr>
          <w:color w:val="000000"/>
          <w:szCs w:val="22"/>
        </w:rPr>
        <w:fldChar w:fldCharType="separate"/>
      </w:r>
      <w:hyperlink w:anchor="_ENREF_31" w:tooltip="Carruthers, 2002 #8021" w:history="1">
        <w:r w:rsidR="00964A70" w:rsidRPr="00370E70">
          <w:rPr>
            <w:noProof/>
            <w:color w:val="000000"/>
            <w:szCs w:val="22"/>
          </w:rPr>
          <w:t>Carruthers</w:t>
        </w:r>
        <w:r w:rsidR="00964A70" w:rsidRPr="00370E70">
          <w:rPr>
            <w:i/>
            <w:noProof/>
            <w:color w:val="000000"/>
            <w:szCs w:val="22"/>
          </w:rPr>
          <w:t>, et al.</w:t>
        </w:r>
        <w:r w:rsidR="00964A70" w:rsidRPr="00370E70">
          <w:rPr>
            <w:noProof/>
            <w:color w:val="000000"/>
            <w:szCs w:val="22"/>
          </w:rPr>
          <w:t xml:space="preserve"> 2002</w:t>
        </w:r>
      </w:hyperlink>
      <w:r w:rsidR="00126051" w:rsidRPr="00370E70">
        <w:rPr>
          <w:noProof/>
          <w:color w:val="000000"/>
          <w:szCs w:val="22"/>
        </w:rPr>
        <w:t xml:space="preserve">; </w:t>
      </w:r>
      <w:hyperlink w:anchor="_ENREF_192" w:tooltip="Waycott, 2007 #9133" w:history="1">
        <w:r w:rsidR="00964A70" w:rsidRPr="00370E70">
          <w:rPr>
            <w:noProof/>
            <w:color w:val="000000"/>
            <w:szCs w:val="22"/>
          </w:rPr>
          <w:t>Waycott</w:t>
        </w:r>
        <w:r w:rsidR="00964A70" w:rsidRPr="00370E70">
          <w:rPr>
            <w:i/>
            <w:noProof/>
            <w:color w:val="000000"/>
            <w:szCs w:val="22"/>
          </w:rPr>
          <w:t>, et al.</w:t>
        </w:r>
        <w:r w:rsidR="00964A70" w:rsidRPr="00370E70">
          <w:rPr>
            <w:noProof/>
            <w:color w:val="000000"/>
            <w:szCs w:val="22"/>
          </w:rPr>
          <w:t xml:space="preserve"> 2007</w:t>
        </w:r>
      </w:hyperlink>
      <w:r w:rsidR="00126051" w:rsidRPr="00370E70">
        <w:rPr>
          <w:noProof/>
          <w:color w:val="000000"/>
          <w:szCs w:val="22"/>
        </w:rPr>
        <w:t xml:space="preserve">; </w:t>
      </w:r>
      <w:hyperlink w:anchor="_ENREF_42" w:tooltip="Collier, 2009 #9285" w:history="1">
        <w:r w:rsidR="00964A70" w:rsidRPr="00370E70">
          <w:rPr>
            <w:noProof/>
            <w:color w:val="000000"/>
            <w:szCs w:val="22"/>
          </w:rPr>
          <w:t>Collier and Waycott 2009</w:t>
        </w:r>
      </w:hyperlink>
      <w:r w:rsidR="00126051" w:rsidRPr="00370E70">
        <w:rPr>
          <w:color w:val="000000"/>
          <w:szCs w:val="22"/>
        </w:rPr>
        <w:fldChar w:fldCharType="end"/>
      </w:r>
      <w:r w:rsidRPr="00370E70">
        <w:rPr>
          <w:color w:val="000000"/>
          <w:szCs w:val="22"/>
        </w:rPr>
        <w:t>). As a result, baseline condition of dynamic ecosystems requires a greater level of understanding of causes of dynamism although considerable insight into the causes and responses of ecosystems to perturbations can be inferred when these insights are gained. However, when comparing the species present in the coastal GBR, the area covered by this monitoring program, as well as the ecosystems and drivers themselves, monitoring approaches, thresholds and system drivers being studied in other coastal seagrass ecosystems around the world, which are predominantly in temperate Northern Hemisphere systems (</w:t>
      </w:r>
      <w:r w:rsidR="00126051" w:rsidRPr="00370E70">
        <w:rPr>
          <w:color w:val="000000"/>
          <w:szCs w:val="22"/>
        </w:rPr>
        <w:fldChar w:fldCharType="begin">
          <w:fldData xml:space="preserve">PEVuZE5vdGU+PENpdGU+PEF1dGhvcj5PcnRoPC9BdXRob3I+PFllYXI+MjAwNjwvWWVhcj48UmVj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PEVuZE5vdGU+PENpdGU+PEF1dGhvcj5PcnRoPC9BdXRob3I+PFllYXI+MjAwNjwvWWVhcj48UmVj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00126051" w:rsidRPr="00370E70">
        <w:rPr>
          <w:color w:val="000000"/>
          <w:szCs w:val="22"/>
        </w:rPr>
      </w:r>
      <w:r w:rsidR="00126051" w:rsidRPr="00370E70">
        <w:rPr>
          <w:color w:val="000000"/>
          <w:szCs w:val="22"/>
        </w:rPr>
        <w:fldChar w:fldCharType="separate"/>
      </w:r>
      <w:hyperlink w:anchor="_ENREF_152" w:tooltip="Orth, 2006 #9135" w:history="1">
        <w:r w:rsidR="00964A70" w:rsidRPr="00370E70">
          <w:rPr>
            <w:noProof/>
            <w:color w:val="000000"/>
            <w:szCs w:val="22"/>
          </w:rPr>
          <w:t>Orth</w:t>
        </w:r>
        <w:r w:rsidR="00964A70" w:rsidRPr="00370E70">
          <w:rPr>
            <w:i/>
            <w:noProof/>
            <w:color w:val="000000"/>
            <w:szCs w:val="22"/>
          </w:rPr>
          <w:t>, et al.</w:t>
        </w:r>
        <w:r w:rsidR="00964A70" w:rsidRPr="00370E70">
          <w:rPr>
            <w:noProof/>
            <w:color w:val="000000"/>
            <w:szCs w:val="22"/>
          </w:rPr>
          <w:t xml:space="preserve"> 2006a</w:t>
        </w:r>
      </w:hyperlink>
      <w:r w:rsidR="00126051" w:rsidRPr="00370E70">
        <w:rPr>
          <w:noProof/>
          <w:color w:val="000000"/>
          <w:szCs w:val="22"/>
        </w:rPr>
        <w:t xml:space="preserve">; </w:t>
      </w:r>
      <w:hyperlink w:anchor="_ENREF_193" w:tooltip="Waycott, 2009 #7831" w:history="1">
        <w:r w:rsidR="00964A70" w:rsidRPr="00370E70">
          <w:rPr>
            <w:noProof/>
            <w:color w:val="000000"/>
            <w:szCs w:val="22"/>
          </w:rPr>
          <w:t>Waycott</w:t>
        </w:r>
        <w:r w:rsidR="00964A70" w:rsidRPr="00370E70">
          <w:rPr>
            <w:i/>
            <w:noProof/>
            <w:color w:val="000000"/>
            <w:szCs w:val="22"/>
          </w:rPr>
          <w:t>, et al.</w:t>
        </w:r>
        <w:r w:rsidR="00964A70" w:rsidRPr="00370E70">
          <w:rPr>
            <w:noProof/>
            <w:color w:val="000000"/>
            <w:szCs w:val="22"/>
          </w:rPr>
          <w:t xml:space="preserve"> 2009</w:t>
        </w:r>
      </w:hyperlink>
      <w:r w:rsidR="00126051" w:rsidRPr="00370E70">
        <w:rPr>
          <w:color w:val="000000"/>
          <w:szCs w:val="22"/>
        </w:rPr>
        <w:fldChar w:fldCharType="end"/>
      </w:r>
      <w:r w:rsidRPr="00370E70">
        <w:rPr>
          <w:color w:val="000000"/>
          <w:szCs w:val="22"/>
        </w:rPr>
        <w:t xml:space="preserve">), few system wide parameters are comparable, as a result, monitoring the unique GBR seagrass system requires </w:t>
      </w:r>
      <w:r w:rsidR="001015C2" w:rsidRPr="00370E70">
        <w:rPr>
          <w:color w:val="000000"/>
          <w:szCs w:val="22"/>
        </w:rPr>
        <w:t>baseline</w:t>
      </w:r>
      <w:r w:rsidRPr="00370E70">
        <w:rPr>
          <w:color w:val="000000"/>
          <w:szCs w:val="22"/>
        </w:rPr>
        <w:t xml:space="preserve"> understanding to be gained and not rely on models and predictions generated by systems elsewhere.</w:t>
      </w:r>
    </w:p>
    <w:p w:rsidR="005132EF" w:rsidRPr="00370E70" w:rsidRDefault="005132EF" w:rsidP="00034AD4">
      <w:pPr>
        <w:spacing w:before="240"/>
        <w:rPr>
          <w:color w:val="000000"/>
          <w:szCs w:val="22"/>
        </w:rPr>
      </w:pPr>
      <w:r w:rsidRPr="00370E70">
        <w:rPr>
          <w:color w:val="000000"/>
          <w:szCs w:val="22"/>
        </w:rPr>
        <w:t xml:space="preserve">Healthy seagrass meadows in the GBR act as important resources as the primary food for dugong, green turtles, numerous commercially important fish species and as habitat for large number of </w:t>
      </w:r>
      <w:r w:rsidRPr="00370E70">
        <w:rPr>
          <w:color w:val="000000"/>
          <w:szCs w:val="22"/>
        </w:rPr>
        <w:lastRenderedPageBreak/>
        <w:t xml:space="preserve">invertebrates, fish and algal species </w:t>
      </w:r>
      <w:r w:rsidRPr="00370E70">
        <w:rPr>
          <w:noProof/>
          <w:color w:val="000000"/>
          <w:szCs w:val="22"/>
        </w:rPr>
        <w:t>(</w:t>
      </w:r>
      <w:hyperlink w:anchor="_ENREF_31" w:tooltip="Carruthers, 2002 #8021"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noProof/>
            <w:color w:val="000000"/>
            <w:szCs w:val="22"/>
          </w:rPr>
          <w:fldChar w:fldCharType="separate"/>
        </w:r>
        <w:r w:rsidR="00964A70" w:rsidRPr="00370E70">
          <w:rPr>
            <w:noProof/>
            <w:color w:val="000000"/>
            <w:szCs w:val="22"/>
          </w:rPr>
          <w:t>Carruthers</w:t>
        </w:r>
        <w:r w:rsidR="00964A70" w:rsidRPr="00370E70">
          <w:rPr>
            <w:i/>
            <w:noProof/>
            <w:color w:val="000000"/>
            <w:szCs w:val="22"/>
          </w:rPr>
          <w:t>, et al.</w:t>
        </w:r>
        <w:r w:rsidR="00964A70" w:rsidRPr="00370E70">
          <w:rPr>
            <w:noProof/>
            <w:color w:val="000000"/>
            <w:szCs w:val="22"/>
          </w:rPr>
          <w:t xml:space="preserve"> 2002</w:t>
        </w:r>
        <w:r w:rsidR="00964A70" w:rsidRPr="00370E70">
          <w:rPr>
            <w:noProof/>
            <w:color w:val="000000"/>
            <w:szCs w:val="22"/>
          </w:rPr>
          <w:fldChar w:fldCharType="end"/>
        </w:r>
      </w:hyperlink>
      <w:r w:rsidRPr="00370E70">
        <w:rPr>
          <w:noProof/>
          <w:color w:val="000000"/>
          <w:szCs w:val="22"/>
        </w:rPr>
        <w:t>)</w:t>
      </w:r>
      <w:r w:rsidRPr="00370E70">
        <w:rPr>
          <w:color w:val="000000"/>
          <w:szCs w:val="22"/>
        </w:rPr>
        <w:t>. Much of the connectivity in reef ecosystems depends on intact and healthy non-reef habitats, such as seagrass meadows (</w:t>
      </w:r>
      <w:hyperlink w:anchor="_ENREF_195" w:tooltip="Waycott, 2011 #9279"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&lt;EndNote&gt;&lt;Cite&gt;&lt;Author&gt;Waycott&lt;/Author&gt;&lt;Year&gt;2011&lt;/Year&gt;&lt;RecNum&gt;9279&lt;/RecNum&gt;&lt;DisplayText&gt;Waycott&lt;style face="italic"&gt; et al.&lt;/style&gt; 2011a&lt;/DisplayText&gt;&lt;record&gt;&lt;rec-number&gt;9279&lt;/rec-number&gt;&lt;foreign-keys&gt;&lt;key app="EN" db-id="0eve55x9y5vfd6e9dacxtew4eatve2dzds9a"&gt;9279&lt;/key&gt;&lt;/foreign-keys&gt;&lt;ref-type name="Book Section"&gt;5&lt;/ref-type&gt;&lt;contributors&gt;&lt;authors&gt;&lt;author&gt;Waycott, M.&lt;/author&gt;&lt;author&gt;McKenzie, Len 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fisheries and aquaculture in the Pacific to climate change&lt;/secondary-title&gt;&lt;/titles&gt;&lt;pages&gt;97-168&lt;/pages&gt;&lt;section&gt;6&lt;/section&gt;&lt;dates&gt;&lt;year&gt;2011&lt;/year&gt;&lt;/dates&gt;&lt;pub-location&gt;Noumea, New Caledonia&lt;/pub-location&gt;&lt;publisher&gt;Secretariat of the Pacific Community&lt;/publisher&gt;&lt;urls&gt;&lt;/urls&gt;&lt;/record&gt;&lt;/Cite&gt;&lt;/EndNote&gt;</w:instrText>
        </w:r>
        <w:r w:rsidR="00964A70" w:rsidRPr="00370E70">
          <w:rPr>
            <w:color w:val="000000"/>
            <w:szCs w:val="22"/>
          </w:rPr>
          <w:fldChar w:fldCharType="separate"/>
        </w:r>
        <w:r w:rsidR="00964A70" w:rsidRPr="00370E70">
          <w:rPr>
            <w:noProof/>
            <w:color w:val="000000"/>
            <w:szCs w:val="22"/>
          </w:rPr>
          <w:t>Waycott</w:t>
        </w:r>
        <w:r w:rsidR="00964A70" w:rsidRPr="00370E70">
          <w:rPr>
            <w:i/>
            <w:noProof/>
            <w:color w:val="000000"/>
            <w:szCs w:val="22"/>
          </w:rPr>
          <w:t xml:space="preserve"> et al.</w:t>
        </w:r>
        <w:r w:rsidR="00964A70" w:rsidRPr="00370E70">
          <w:rPr>
            <w:noProof/>
            <w:color w:val="000000"/>
            <w:szCs w:val="22"/>
          </w:rPr>
          <w:t xml:space="preserve"> 2011a</w:t>
        </w:r>
        <w:r w:rsidR="00964A70" w:rsidRPr="00370E70">
          <w:rPr>
            <w:color w:val="000000"/>
            <w:szCs w:val="22"/>
          </w:rPr>
          <w:fldChar w:fldCharType="end"/>
        </w:r>
      </w:hyperlink>
      <w:r w:rsidRPr="00370E70">
        <w:rPr>
          <w:color w:val="000000"/>
          <w:szCs w:val="22"/>
        </w:rPr>
        <w:t>). These non-reef habitats are particularly important to the maintenance and regeneration of populations, e.g., reef fish.  Therefore, monitoring changes in seagrasses meadows can provide an indication of coastal ecosystem health and be used to improve our capacity to predict expected changes to reefs, mangroves and associated resources upon which coastal communities depend (</w:t>
      </w:r>
      <w:hyperlink w:anchor="_ENREF_100" w:tooltip="Heck, 2008 #7826" w:history="1">
        <w:r w:rsidR="00964A70" w:rsidRPr="00370E70">
          <w:rPr>
            <w:color w:val="000000"/>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dmZkNmU5ZGFjeHRldzRlYXR2ZTJkemRzOWEiPjc4MjY8L2tleT48L2ZvcmVpZ24ta2V5cz48cmVm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=
</w:fldData>
          </w:fldChar>
        </w:r>
        <w:r w:rsidR="00964A70" w:rsidRPr="00370E70">
          <w:rPr>
            <w:color w:val="000000"/>
            <w:szCs w:val="22"/>
          </w:rPr>
          <w:instrText xml:space="preserve"> ADDIN EN.CITE </w:instrText>
        </w:r>
        <w:r w:rsidR="00964A70" w:rsidRPr="00370E70">
          <w:rPr>
            <w:color w:val="000000"/>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dmZkNmU5ZGFjeHRldzRlYXR2ZTJkemRzOWEiPjc4MjY8L2tleT48L2ZvcmVpZ24ta2V5cz48cmVm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=
</w:fldData>
          </w:fldChar>
        </w:r>
        <w:r w:rsidR="00964A70" w:rsidRPr="00370E70">
          <w:rPr>
            <w:color w:val="000000"/>
            <w:szCs w:val="22"/>
          </w:rPr>
          <w:instrText xml:space="preserve"> ADDIN EN.CITE.DATA </w:instrText>
        </w:r>
        <w:r w:rsidR="00964A70" w:rsidRPr="00370E70">
          <w:rPr>
            <w:color w:val="000000"/>
            <w:szCs w:val="22"/>
          </w:rPr>
        </w:r>
        <w:r w:rsidR="00964A70" w:rsidRPr="00370E70">
          <w:rPr>
            <w:color w:val="000000"/>
            <w:szCs w:val="22"/>
          </w:rPr>
          <w:fldChar w:fldCharType="end"/>
        </w:r>
        <w:r w:rsidR="00964A70" w:rsidRPr="00370E70">
          <w:rPr>
            <w:color w:val="000000"/>
            <w:szCs w:val="22"/>
          </w:rPr>
        </w:r>
        <w:r w:rsidR="00964A70" w:rsidRPr="00370E70">
          <w:rPr>
            <w:color w:val="000000"/>
            <w:szCs w:val="22"/>
          </w:rPr>
          <w:fldChar w:fldCharType="separate"/>
        </w:r>
        <w:r w:rsidR="00964A70" w:rsidRPr="00370E70">
          <w:rPr>
            <w:noProof/>
            <w:color w:val="000000"/>
            <w:szCs w:val="22"/>
          </w:rPr>
          <w:t>Heck</w:t>
        </w:r>
        <w:r w:rsidR="00964A70" w:rsidRPr="00370E70">
          <w:rPr>
            <w:i/>
            <w:noProof/>
            <w:color w:val="000000"/>
            <w:szCs w:val="22"/>
          </w:rPr>
          <w:t xml:space="preserve"> et al.</w:t>
        </w:r>
        <w:r w:rsidR="00964A70" w:rsidRPr="00370E70">
          <w:rPr>
            <w:noProof/>
            <w:color w:val="000000"/>
            <w:szCs w:val="22"/>
          </w:rPr>
          <w:t xml:space="preserve"> 2008</w:t>
        </w:r>
        <w:r w:rsidR="00964A70" w:rsidRPr="00370E70">
          <w:rPr>
            <w:color w:val="000000"/>
            <w:szCs w:val="22"/>
          </w:rPr>
          <w:fldChar w:fldCharType="end"/>
        </w:r>
      </w:hyperlink>
      <w:r w:rsidRPr="00370E70">
        <w:rPr>
          <w:color w:val="000000"/>
          <w:szCs w:val="22"/>
        </w:rPr>
        <w:t>).</w:t>
      </w:r>
    </w:p>
    <w:p w:rsidR="005132EF" w:rsidRPr="00370E70" w:rsidRDefault="002D4AD4" w:rsidP="00034AD4">
      <w:pPr>
        <w:spacing w:before="240"/>
        <w:rPr>
          <w:color w:val="000000"/>
          <w:szCs w:val="22"/>
        </w:rPr>
      </w:pPr>
      <w:r w:rsidRPr="00370E70">
        <w:rPr>
          <w:rFonts w:cs="MetaOT-Normal"/>
          <w:color w:val="000000"/>
          <w:szCs w:val="22"/>
          <w:lang w:eastAsia="en-AU"/>
        </w:rPr>
        <w:t xml:space="preserve">Approximately 3,063 </w:t>
      </w:r>
      <w:r w:rsidR="001015C2" w:rsidRPr="00370E70">
        <w:rPr>
          <w:rFonts w:cs="MetaOT-Normal"/>
          <w:color w:val="000000"/>
          <w:szCs w:val="22"/>
          <w:lang w:eastAsia="en-AU"/>
        </w:rPr>
        <w:t>km</w:t>
      </w:r>
      <w:r w:rsidR="001015C2" w:rsidRPr="00370E70">
        <w:rPr>
          <w:rFonts w:cs="MetaOT-Normal"/>
          <w:color w:val="000000"/>
          <w:szCs w:val="22"/>
          <w:vertAlign w:val="superscript"/>
          <w:lang w:eastAsia="en-AU"/>
        </w:rPr>
        <w:t>2</w:t>
      </w:r>
      <w:r w:rsidRPr="00370E70">
        <w:rPr>
          <w:rFonts w:cs="MetaOT-Normal"/>
          <w:color w:val="000000"/>
          <w:szCs w:val="22"/>
          <w:lang w:eastAsia="en-AU"/>
        </w:rPr>
        <w:t xml:space="preserve"> of coastal seagrass meadows has been mapped in Great Barrier Reef World Heritage Area (GBRWHA) waters shallower than 15m, and in locations that can potentially be influenced by adjacent land use practices (</w:t>
      </w:r>
      <w:hyperlink w:anchor="_ENREF_140" w:tooltip="McKenzie, 2010 #9605" w:history="1">
        <w:r w:rsidR="00964A70" w:rsidRPr="00370E70">
          <w:rPr>
            <w:rFonts w:cs="MetaOT-Normal"/>
            <w:color w:val="000000"/>
            <w:szCs w:val="22"/>
            <w:lang w:eastAsia="en-AU"/>
          </w:rPr>
          <w:fldChar w:fldCharType="begin"/>
        </w:r>
        <w:r w:rsidR="00964A70" w:rsidRPr="00370E70">
          <w:rPr>
            <w:rFonts w:cs="MetaOT-Normal"/>
            <w:color w:val="000000"/>
            <w:szCs w:val="22"/>
            <w:lang w:eastAsia="en-AU"/>
          </w:rPr>
          <w:instrText xml:space="preserve"> ADDIN EN.CITE &lt;EndNote&gt;&lt;Cite&gt;&lt;Author&gt;McKenzie&lt;/Author&gt;&lt;Year&gt;2010&lt;/Year&gt;&lt;RecNum&gt;9605&lt;/RecNum&gt;&lt;DisplayText&gt;McKenzie&lt;style face="italic"&gt; et al.&lt;/style&gt; 2010b&lt;/DisplayText&gt;&lt;record&gt;&lt;rec-number&gt;9605&lt;/rec-number&gt;&lt;foreign-keys&gt;&lt;key app="EN" db-id="0eve55x9y5vfd6e9dacxtew4eatve2dzds9a"&gt;9605&lt;/key&gt;&lt;/foreign-keys&gt;&lt;ref-type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Queensland&lt;/publisher&gt;&lt;urls&gt;&lt;/urls&gt;&lt;/record&gt;&lt;/Cite&gt;&lt;/EndNote&gt;</w:instrText>
        </w:r>
        <w:r w:rsidR="00964A70" w:rsidRPr="00370E70">
          <w:rPr>
            <w:rFonts w:cs="MetaOT-Normal"/>
            <w:color w:val="000000"/>
            <w:szCs w:val="22"/>
            <w:lang w:eastAsia="en-AU"/>
          </w:rPr>
          <w:fldChar w:fldCharType="separate"/>
        </w:r>
        <w:r w:rsidR="00964A70" w:rsidRPr="00370E70">
          <w:rPr>
            <w:rFonts w:cs="MetaOT-Normal"/>
            <w:noProof/>
            <w:color w:val="000000"/>
            <w:szCs w:val="22"/>
            <w:lang w:eastAsia="en-AU"/>
          </w:rPr>
          <w:t>McKenzie</w:t>
        </w:r>
        <w:r w:rsidR="00964A70" w:rsidRPr="00370E70">
          <w:rPr>
            <w:rFonts w:cs="MetaOT-Normal"/>
            <w:i/>
            <w:noProof/>
            <w:color w:val="000000"/>
            <w:szCs w:val="22"/>
            <w:lang w:eastAsia="en-AU"/>
          </w:rPr>
          <w:t xml:space="preserve"> et al.</w:t>
        </w:r>
        <w:r w:rsidR="00964A70" w:rsidRPr="00370E70">
          <w:rPr>
            <w:rFonts w:cs="MetaOT-Normal"/>
            <w:noProof/>
            <w:color w:val="000000"/>
            <w:szCs w:val="22"/>
            <w:lang w:eastAsia="en-AU"/>
          </w:rPr>
          <w:t xml:space="preserve"> 2010b</w:t>
        </w:r>
        <w:r w:rsidR="00964A70" w:rsidRPr="00370E70">
          <w:rPr>
            <w:rFonts w:cs="MetaOT-Normal"/>
            <w:color w:val="000000"/>
            <w:szCs w:val="22"/>
            <w:lang w:eastAsia="en-AU"/>
          </w:rPr>
          <w:fldChar w:fldCharType="end"/>
        </w:r>
      </w:hyperlink>
      <w:r w:rsidRPr="00370E70">
        <w:rPr>
          <w:rFonts w:cs="MetaOT-Normal"/>
          <w:color w:val="000000"/>
          <w:szCs w:val="22"/>
          <w:lang w:eastAsia="en-AU"/>
        </w:rPr>
        <w:t xml:space="preserve">). An additional 31,778 </w:t>
      </w:r>
      <w:r w:rsidR="001015C2" w:rsidRPr="00370E70">
        <w:rPr>
          <w:rFonts w:cs="MetaOT-Normal"/>
          <w:color w:val="000000"/>
          <w:szCs w:val="22"/>
          <w:lang w:eastAsia="en-AU"/>
        </w:rPr>
        <w:t>km</w:t>
      </w:r>
      <w:r w:rsidR="001015C2" w:rsidRPr="00370E70">
        <w:rPr>
          <w:rFonts w:cs="MetaOT-Normal"/>
          <w:color w:val="000000"/>
          <w:szCs w:val="22"/>
          <w:vertAlign w:val="superscript"/>
          <w:lang w:eastAsia="en-AU"/>
        </w:rPr>
        <w:t>2</w:t>
      </w:r>
      <w:r w:rsidRPr="00370E70">
        <w:rPr>
          <w:rFonts w:cs="MetaOT-Normal"/>
          <w:color w:val="000000"/>
          <w:szCs w:val="22"/>
          <w:lang w:eastAsia="en-AU"/>
        </w:rPr>
        <w:t xml:space="preserve"> of the sea floor within the GBRWHA has some seagrass present (</w:t>
      </w:r>
      <w:hyperlink w:anchor="_ENREF_36" w:tooltip="Coles, 2009 #9326" w:history="1">
        <w:r w:rsidR="00964A70" w:rsidRPr="00370E70">
          <w:rPr>
            <w:rFonts w:cs="MetaOT-Normal"/>
            <w:color w:val="000000"/>
            <w:szCs w:val="22"/>
            <w:lang w:eastAsia="en-AU"/>
          </w:rPr>
          <w:fldChar w:fldCharType="begin"/>
        </w:r>
        <w:r w:rsidR="00964A70" w:rsidRPr="00370E70">
          <w:rPr>
            <w:rFonts w:cs="MetaOT-Normal"/>
            <w:color w:val="000000"/>
            <w:szCs w:val="22"/>
            <w:lang w:eastAsia="en-AU"/>
          </w:rPr>
          <w:instrText xml:space="preserve"> ADDIN EN.CITE &lt;EndNote&gt;&lt;Cite&gt;&lt;Author&gt;Coles&lt;/Author&gt;&lt;Year&gt;2009&lt;/Year&gt;&lt;RecNum&gt;9326&lt;/RecNum&gt;&lt;DisplayText&gt;Coles&lt;style face="italic"&gt; et al.&lt;/style&gt; 2009a&lt;/DisplayText&gt;&lt;record&gt;&lt;rec-number&gt;9326&lt;/rec-number&gt;&lt;foreign-keys&gt;&lt;key app="EN" db-id="0eve55x9y5vfd6e9dacxtew4eatve2dzds9a"&gt;9326&lt;/key&gt;&lt;/foreign-keys&gt;&lt;ref-type name="Journal Article"&gt;17&lt;/ref-type&gt;&lt;contributors&gt;&lt;authors&gt;&lt;author&gt;Coles, Robert&lt;/author&gt;&lt;author&gt;McKenzie, Len&lt;/author&gt;&lt;author&gt;De’ath, Glenn&lt;/author&gt;&lt;author&gt;Roelofs, Anthony&lt;/author&gt;&lt;author&gt;Long, Warren Lee&lt;/author&gt;&lt;/authors&gt;&lt;/contributors&gt;&lt;titles&gt;&lt;title&gt;Spatial distribution of deepwater seagrass in the inter-reef lagoon of the Great Barrier Reef World Heritage Area&lt;/title&gt;&lt;secondary-title&gt;Mar Ecol Prog Ser&lt;/secondary-title&gt;&lt;/titles&gt;&lt;periodical&gt;&lt;full-title&gt;Mar Ecol Prog Ser&lt;/full-title&gt;&lt;/periodical&gt;&lt;pages&gt;57-68&lt;/pages&gt;&lt;volume&gt;392&lt;/volume&gt;&lt;dates&gt;&lt;year&gt;2009&lt;/year&gt;&lt;/dates&gt;&lt;urls&gt;&lt;/urls&gt;&lt;/record&gt;&lt;/Cite&gt;&lt;/EndNote&gt;</w:instrText>
        </w:r>
        <w:r w:rsidR="00964A70" w:rsidRPr="00370E70">
          <w:rPr>
            <w:rFonts w:cs="MetaOT-Normal"/>
            <w:color w:val="000000"/>
            <w:szCs w:val="22"/>
            <w:lang w:eastAsia="en-AU"/>
          </w:rPr>
          <w:fldChar w:fldCharType="separate"/>
        </w:r>
        <w:r w:rsidR="00964A70" w:rsidRPr="00370E70">
          <w:rPr>
            <w:rFonts w:cs="MetaOT-Normal"/>
            <w:noProof/>
            <w:color w:val="000000"/>
            <w:szCs w:val="22"/>
            <w:lang w:eastAsia="en-AU"/>
          </w:rPr>
          <w:t>Coles</w:t>
        </w:r>
        <w:r w:rsidR="00964A70" w:rsidRPr="00370E70">
          <w:rPr>
            <w:rFonts w:cs="MetaOT-Normal"/>
            <w:i/>
            <w:noProof/>
            <w:color w:val="000000"/>
            <w:szCs w:val="22"/>
            <w:lang w:eastAsia="en-AU"/>
          </w:rPr>
          <w:t xml:space="preserve"> et al.</w:t>
        </w:r>
        <w:r w:rsidR="00964A70" w:rsidRPr="00370E70">
          <w:rPr>
            <w:rFonts w:cs="MetaOT-Normal"/>
            <w:noProof/>
            <w:color w:val="000000"/>
            <w:szCs w:val="22"/>
            <w:lang w:eastAsia="en-AU"/>
          </w:rPr>
          <w:t xml:space="preserve"> 2009a</w:t>
        </w:r>
        <w:r w:rsidR="00964A70" w:rsidRPr="00370E70">
          <w:rPr>
            <w:rFonts w:cs="MetaOT-Normal"/>
            <w:color w:val="000000"/>
            <w:szCs w:val="22"/>
            <w:lang w:eastAsia="en-AU"/>
          </w:rPr>
          <w:fldChar w:fldCharType="end"/>
        </w:r>
      </w:hyperlink>
      <w:r w:rsidRPr="00370E70">
        <w:rPr>
          <w:rFonts w:cs="MetaOT-Normal"/>
          <w:color w:val="000000"/>
          <w:szCs w:val="22"/>
          <w:lang w:eastAsia="en-AU"/>
        </w:rPr>
        <w:t>). This represents more than 50% of the total recorded area of seagrass in Australia (</w:t>
      </w:r>
      <w:hyperlink w:anchor="_ENREF_92" w:tooltip="Green, 2003 #9435" w:history="1">
        <w:r w:rsidR="00964A70" w:rsidRPr="00370E70">
          <w:rPr>
            <w:rFonts w:cs="MetaOT-Normal"/>
            <w:color w:val="000000"/>
            <w:szCs w:val="22"/>
            <w:lang w:eastAsia="en-AU"/>
          </w:rPr>
          <w:fldChar w:fldCharType="begin"/>
        </w:r>
        <w:r w:rsidR="00964A70" w:rsidRPr="00370E70">
          <w:rPr>
            <w:rFonts w:cs="MetaOT-Normal"/>
            <w:color w:val="000000"/>
            <w:szCs w:val="22"/>
            <w:lang w:eastAsia="en-AU"/>
          </w:rPr>
          <w:instrText xml:space="preserve"> ADDIN EN.CITE &lt;EndNote&gt;&lt;Cite&gt;&lt;Author&gt;Green&lt;/Author&gt;&lt;Year&gt;2003&lt;/Year&gt;&lt;RecNum&gt;9435&lt;/RecNum&gt;&lt;DisplayText&gt;Green and Short 2003&lt;/DisplayText&gt;&lt;record&gt;&lt;rec-number&gt;9435&lt;/rec-number&gt;&lt;foreign-keys&gt;&lt;key app="EN" db-id="0eve55x9y5vfd6e9dacxtew4eatve2dzds9a"&gt;9435&lt;/key&gt;&lt;/foreign-keys&gt;&lt;ref-type name="Edited Book"&gt;28&lt;/ref-type&gt;&lt;contributors&gt;&lt;authors&gt;&lt;author&gt;Green, E.P&lt;/author&gt;&lt;author&gt;Short, F.T&lt;/author&gt;&lt;/authors&gt;&lt;/contributors&gt;&lt;titles&gt;&lt;title&gt;World Atlas of Seagrasses&lt;/title&gt;&lt;/titles&gt;&lt;pages&gt;298&lt;/pages&gt;&lt;dates&gt;&lt;year&gt;2003&lt;/year&gt;&lt;/dates&gt;&lt;pub-location&gt;Berkeley. USA&lt;/pub-location&gt;&lt;publisher&gt;University of California Press,&lt;/publisher&gt;&lt;urls&gt;&lt;/urls&gt;&lt;/record&gt;&lt;/Cite&gt;&lt;/EndNote&gt;</w:instrText>
        </w:r>
        <w:r w:rsidR="00964A70" w:rsidRPr="00370E70">
          <w:rPr>
            <w:rFonts w:cs="MetaOT-Normal"/>
            <w:color w:val="000000"/>
            <w:szCs w:val="22"/>
            <w:lang w:eastAsia="en-AU"/>
          </w:rPr>
          <w:fldChar w:fldCharType="separate"/>
        </w:r>
        <w:r w:rsidR="00964A70" w:rsidRPr="00370E70">
          <w:rPr>
            <w:rFonts w:cs="MetaOT-Normal"/>
            <w:noProof/>
            <w:color w:val="000000"/>
            <w:szCs w:val="22"/>
            <w:lang w:eastAsia="en-AU"/>
          </w:rPr>
          <w:t>Green and Short 2003</w:t>
        </w:r>
        <w:r w:rsidR="00964A70" w:rsidRPr="00370E70">
          <w:rPr>
            <w:rFonts w:cs="MetaOT-Normal"/>
            <w:color w:val="000000"/>
            <w:szCs w:val="22"/>
            <w:lang w:eastAsia="en-AU"/>
          </w:rPr>
          <w:fldChar w:fldCharType="end"/>
        </w:r>
      </w:hyperlink>
      <w:r w:rsidRPr="00370E70">
        <w:rPr>
          <w:rFonts w:cs="MetaOT-Normal"/>
          <w:color w:val="000000"/>
          <w:szCs w:val="22"/>
          <w:lang w:eastAsia="en-AU"/>
        </w:rPr>
        <w:t>) and between 6% and 12% globally (</w:t>
      </w:r>
      <w:hyperlink w:anchor="_ENREF_67" w:tooltip="Duarte, 2005 #7774" w:history="1">
        <w:r w:rsidR="00964A70" w:rsidRPr="00370E70">
          <w:rPr>
            <w:rFonts w:cs="MetaOT-Normal"/>
            <w:color w:val="000000"/>
            <w:szCs w:val="22"/>
            <w:lang w:eastAsia="en-AU"/>
          </w:rPr>
          <w:fldChar w:fldCharType="begin"/>
        </w:r>
        <w:r w:rsidR="00964A70" w:rsidRPr="00370E70">
          <w:rPr>
            <w:rFonts w:cs="MetaOT-Normal"/>
            <w:color w:val="000000"/>
            <w:szCs w:val="22"/>
            <w:lang w:eastAsia="en-AU"/>
          </w:rPr>
          <w:instrText xml:space="preserve"> ADDIN EN.CITE &lt;EndNote&gt;&lt;Cite&gt;&lt;Author&gt;Duarte&lt;/Author&gt;&lt;Year&gt;2005&lt;/Year&gt;&lt;RecNum&gt;7774&lt;/RecNum&gt;&lt;DisplayText&gt;Duarte&lt;style face="italic"&gt; et al.&lt;/style&gt; 2005&lt;/DisplayText&gt;&lt;record&gt;&lt;rec-number&gt;7774&lt;/rec-number&gt;&lt;foreign-keys&gt;&lt;key app="EN" db-id="0eve55x9y5vfd6e9dacxtew4eatve2dzds9a"&gt;7774&lt;/key&gt;&lt;/foreign-keys&gt;&lt;ref-type name="Journal Article"&gt;17&lt;/ref-type&gt;&lt;contributors&gt;&lt;authors&gt;&lt;author&gt;Duarte, C M&lt;/author&gt;&lt;author&gt;Middelburg, J&lt;/author&gt;&lt;author&gt;Caraco, N&lt;/author&gt;&lt;/authors&gt;&lt;/contributors&gt;&lt;titles&gt;&lt;title&gt;Major role of marine vegetation on the oceanic carbon cycle&lt;/title&gt;&lt;secondary-title&gt;Biogeosciences&lt;/secondary-title&gt;&lt;/titles&gt;&lt;volume&gt;2&lt;/volume&gt;&lt;number&gt;1-8&lt;/number&gt;&lt;dates&gt;&lt;year&gt;2005&lt;/year&gt;&lt;/dates&gt;&lt;urls&gt;&lt;/urls&gt;&lt;/record&gt;&lt;/Cite&gt;&lt;/EndNote&gt;</w:instrText>
        </w:r>
        <w:r w:rsidR="00964A70" w:rsidRPr="00370E70">
          <w:rPr>
            <w:rFonts w:cs="MetaOT-Normal"/>
            <w:color w:val="000000"/>
            <w:szCs w:val="22"/>
            <w:lang w:eastAsia="en-AU"/>
          </w:rPr>
          <w:fldChar w:fldCharType="separate"/>
        </w:r>
        <w:r w:rsidR="00964A70" w:rsidRPr="00370E70">
          <w:rPr>
            <w:rFonts w:cs="MetaOT-Normal"/>
            <w:noProof/>
            <w:color w:val="000000"/>
            <w:szCs w:val="22"/>
            <w:lang w:eastAsia="en-AU"/>
          </w:rPr>
          <w:t>Duarte</w:t>
        </w:r>
        <w:r w:rsidR="00964A70" w:rsidRPr="00370E70">
          <w:rPr>
            <w:rFonts w:cs="MetaOT-Normal"/>
            <w:i/>
            <w:noProof/>
            <w:color w:val="000000"/>
            <w:szCs w:val="22"/>
            <w:lang w:eastAsia="en-AU"/>
          </w:rPr>
          <w:t xml:space="preserve"> et al.</w:t>
        </w:r>
        <w:r w:rsidR="00964A70" w:rsidRPr="00370E70">
          <w:rPr>
            <w:rFonts w:cs="MetaOT-Normal"/>
            <w:noProof/>
            <w:color w:val="000000"/>
            <w:szCs w:val="22"/>
            <w:lang w:eastAsia="en-AU"/>
          </w:rPr>
          <w:t xml:space="preserve"> 2005</w:t>
        </w:r>
        <w:r w:rsidR="00964A70" w:rsidRPr="00370E70">
          <w:rPr>
            <w:rFonts w:cs="MetaOT-Normal"/>
            <w:color w:val="000000"/>
            <w:szCs w:val="22"/>
            <w:lang w:eastAsia="en-AU"/>
          </w:rPr>
          <w:fldChar w:fldCharType="end"/>
        </w:r>
      </w:hyperlink>
      <w:r w:rsidRPr="00370E70">
        <w:rPr>
          <w:rFonts w:cs="MetaOT-Normal"/>
          <w:color w:val="000000"/>
          <w:szCs w:val="22"/>
          <w:lang w:eastAsia="en-AU"/>
        </w:rPr>
        <w:t xml:space="preserve">) making the Great Barrier Reef’s seagrass resources globally significant. </w:t>
      </w:r>
      <w:r w:rsidR="005132EF" w:rsidRPr="00370E70">
        <w:rPr>
          <w:color w:val="000000"/>
          <w:szCs w:val="22"/>
        </w:rPr>
        <w:t>Monitoring of the major marine ecosystem types most at risk from land based sources of pollutants is being conducted to ensure that any change in their status is identified. Seagrass monitoring sites have been located as close as practically possible (dependent on historical monitoring and location of existing meadows) to river mouth and inshore marine water quality monitoring programs to enable correlation and concurrently collected water quality information.</w:t>
      </w:r>
    </w:p>
    <w:p w:rsidR="005132EF" w:rsidRPr="00370E70" w:rsidRDefault="005132EF" w:rsidP="00034AD4">
      <w:pPr>
        <w:tabs>
          <w:tab w:val="left" w:pos="360"/>
        </w:tabs>
        <w:spacing w:before="240"/>
        <w:rPr>
          <w:rFonts w:cs="Arial"/>
          <w:color w:val="000000"/>
          <w:szCs w:val="22"/>
        </w:rPr>
      </w:pPr>
      <w:r w:rsidRPr="00370E70">
        <w:rPr>
          <w:rFonts w:cs="Arial"/>
          <w:color w:val="000000"/>
          <w:szCs w:val="22"/>
        </w:rPr>
        <w:t>There are 15 species of seagrass in the GBR (</w:t>
      </w:r>
      <w:hyperlink w:anchor="_ENREF_192" w:tooltip="Waycott, 2007 #9133" w:history="1">
        <w:r w:rsidR="00964A70" w:rsidRPr="00370E70">
          <w:rPr>
            <w:rFonts w:cs="Arial"/>
            <w:color w:val="000000"/>
            <w:szCs w:val="22"/>
          </w:rPr>
          <w:fldChar w:fldCharType="begin"/>
        </w:r>
        <w:r w:rsidR="00964A70" w:rsidRPr="00370E70">
          <w:rPr>
            <w:rFonts w:cs="Arial"/>
            <w:color w:val="000000"/>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964A70" w:rsidRPr="00370E70">
          <w:rPr>
            <w:rFonts w:cs="Arial"/>
            <w:color w:val="000000"/>
            <w:szCs w:val="22"/>
          </w:rPr>
          <w:fldChar w:fldCharType="separate"/>
        </w:r>
        <w:r w:rsidR="00964A70" w:rsidRPr="00370E70">
          <w:rPr>
            <w:rFonts w:cs="Arial"/>
            <w:noProof/>
            <w:color w:val="000000"/>
            <w:szCs w:val="22"/>
          </w:rPr>
          <w:t>Waycott</w:t>
        </w:r>
        <w:r w:rsidR="00964A70" w:rsidRPr="00370E70">
          <w:rPr>
            <w:rFonts w:cs="Arial"/>
            <w:i/>
            <w:noProof/>
            <w:color w:val="000000"/>
            <w:szCs w:val="22"/>
          </w:rPr>
          <w:t>, et al.</w:t>
        </w:r>
        <w:r w:rsidR="00964A70" w:rsidRPr="00370E70">
          <w:rPr>
            <w:rFonts w:cs="Arial"/>
            <w:noProof/>
            <w:color w:val="000000"/>
            <w:szCs w:val="22"/>
          </w:rPr>
          <w:t xml:space="preserve"> 2007</w:t>
        </w:r>
        <w:r w:rsidR="00964A70" w:rsidRPr="00370E70">
          <w:rPr>
            <w:rFonts w:cs="Arial"/>
            <w:color w:val="000000"/>
            <w:szCs w:val="22"/>
          </w:rPr>
          <w:fldChar w:fldCharType="end"/>
        </w:r>
      </w:hyperlink>
      <w:r w:rsidRPr="00370E70">
        <w:rPr>
          <w:rFonts w:cs="Arial"/>
          <w:color w:val="000000"/>
          <w:szCs w:val="22"/>
        </w:rPr>
        <w:t xml:space="preserve">). A high diversity of seagrass habitats is provided by extensive bays, estuaries, rivers and the 2600 km length of the </w:t>
      </w:r>
      <w:smartTag w:uri="urn:schemas-microsoft-com:office:smarttags" w:element="place">
        <w:r w:rsidRPr="00370E70">
          <w:rPr>
            <w:rFonts w:cs="Arial"/>
            <w:color w:val="000000"/>
            <w:szCs w:val="22"/>
          </w:rPr>
          <w:t>Great Barrier Reef</w:t>
        </w:r>
      </w:smartTag>
      <w:r w:rsidRPr="00370E70">
        <w:rPr>
          <w:rFonts w:cs="Arial"/>
          <w:color w:val="000000"/>
          <w:szCs w:val="22"/>
        </w:rPr>
        <w:t xml:space="preserve"> with its reef platforms and inshore lagoon. They can be found on sand or muddy beaches, on reef platforms and in reef lagoons, and on sandy and muddy bottoms down to 60 metres or more below Mean Sea Level (MSL). Seagrasses in the GBR can be separated into four major habitat types: estuary/inlet, coastal, reef and deepwater (</w:t>
      </w:r>
      <w:hyperlink w:anchor="_ENREF_31" w:tooltip="Carruthers, 2002 #8021" w:history="1">
        <w:r w:rsidR="00964A70" w:rsidRPr="00370E70">
          <w:rPr>
            <w:rFonts w:cs="Arial"/>
            <w:color w:val="000000"/>
            <w:szCs w:val="22"/>
          </w:rPr>
          <w:fldChar w:fldCharType="begin"/>
        </w:r>
        <w:r w:rsidR="00964A70" w:rsidRPr="00370E70">
          <w:rPr>
            <w:rFonts w:cs="Arial"/>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rFonts w:cs="Arial"/>
            <w:color w:val="000000"/>
            <w:szCs w:val="22"/>
          </w:rPr>
          <w:fldChar w:fldCharType="separate"/>
        </w:r>
        <w:r w:rsidR="00964A70" w:rsidRPr="00370E70">
          <w:rPr>
            <w:rFonts w:cs="Arial"/>
            <w:noProof/>
            <w:color w:val="000000"/>
            <w:szCs w:val="22"/>
          </w:rPr>
          <w:t>Carruthers</w:t>
        </w:r>
        <w:r w:rsidR="00964A70" w:rsidRPr="00370E70">
          <w:rPr>
            <w:rFonts w:cs="Arial"/>
            <w:i/>
            <w:noProof/>
            <w:color w:val="000000"/>
            <w:szCs w:val="22"/>
          </w:rPr>
          <w:t>, et al.</w:t>
        </w:r>
        <w:r w:rsidR="00964A70" w:rsidRPr="00370E70">
          <w:rPr>
            <w:rFonts w:cs="Arial"/>
            <w:noProof/>
            <w:color w:val="000000"/>
            <w:szCs w:val="22"/>
          </w:rPr>
          <w:t xml:space="preserve"> 2002</w:t>
        </w:r>
        <w:r w:rsidR="00964A70" w:rsidRPr="00370E70">
          <w:rPr>
            <w:rFonts w:cs="Arial"/>
            <w:color w:val="000000"/>
            <w:szCs w:val="22"/>
          </w:rPr>
          <w:fldChar w:fldCharType="end"/>
        </w:r>
      </w:hyperlink>
      <w:r w:rsidRPr="00370E70">
        <w:rPr>
          <w:rFonts w:cs="Arial"/>
          <w:color w:val="000000"/>
          <w:szCs w:val="22"/>
        </w:rPr>
        <w:t>) (</w:t>
      </w:r>
      <w:r w:rsidRPr="00370E70">
        <w:rPr>
          <w:color w:val="000000"/>
        </w:rPr>
        <w:fldChar w:fldCharType="begin"/>
      </w:r>
      <w:r w:rsidRPr="00370E70">
        <w:rPr>
          <w:color w:val="000000"/>
        </w:rPr>
        <w:instrText xml:space="preserve"> REF _Ref179269924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2</w:t>
      </w:r>
      <w:r w:rsidRPr="00370E70">
        <w:rPr>
          <w:color w:val="000000"/>
        </w:rPr>
        <w:fldChar w:fldCharType="end"/>
      </w:r>
      <w:r w:rsidRPr="00370E70">
        <w:rPr>
          <w:rFonts w:cs="Arial"/>
          <w:color w:val="000000"/>
          <w:szCs w:val="22"/>
        </w:rPr>
        <w:t>).</w:t>
      </w:r>
      <w:r w:rsidRPr="00370E70">
        <w:rPr>
          <w:rFonts w:cs="TimesNewRomanPSMT"/>
          <w:color w:val="000000"/>
          <w:szCs w:val="22"/>
        </w:rPr>
        <w:t xml:space="preserve"> </w:t>
      </w:r>
      <w:r w:rsidRPr="00370E70">
        <w:rPr>
          <w:rFonts w:cs="Arial"/>
          <w:color w:val="000000"/>
          <w:szCs w:val="22"/>
        </w:rPr>
        <w:t>All but the outer reef habitats are significantly influenced by seasonal and episodic pulses of sediment laden, nutrient rich river flows, resulting from high volume summer rainfall. Cyclones, severe storms, wind and waves as well as macro grazers (fish, dugongs and turtles) influence all habitats in this region to varying degrees. The result is a series of dynamic, spatially and temporally variable seagrass meadows.</w:t>
      </w:r>
      <w:bookmarkStart w:id="28" w:name="_Toc175991039"/>
      <w:r w:rsidRPr="00370E70">
        <w:rPr>
          <w:color w:val="000000"/>
          <w:szCs w:val="22"/>
        </w:rPr>
        <w:t xml:space="preserve"> </w:t>
      </w:r>
    </w:p>
    <w:p w:rsidR="005132EF" w:rsidRPr="00370E70" w:rsidRDefault="007B15AB" w:rsidP="00034AD4">
      <w:pPr>
        <w:keepNext/>
        <w:tabs>
          <w:tab w:val="left" w:pos="360"/>
        </w:tabs>
        <w:jc w:val="center"/>
        <w:rPr>
          <w:rFonts w:cs="Arial"/>
          <w:color w:val="000000"/>
          <w:szCs w:val="22"/>
        </w:rPr>
      </w:pPr>
      <w:r>
        <w:rPr>
          <w:noProof/>
          <w:color w:val="000000"/>
          <w:lang w:eastAsia="en-AU"/>
        </w:rPr>
        <w:drawing>
          <wp:inline distT="0" distB="0" distL="0" distR="0">
            <wp:extent cx="3606165" cy="1790065"/>
            <wp:effectExtent l="0" t="0" r="0" b="635"/>
            <wp:docPr id="2" name="Picture 16" descr="General conceptual model of seagrass habitats in north east Australia (from Carruthers et al.,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eneral conceptual model of seagrass habitats in north east Australia (from Carruthers et al., 20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6165" cy="1790065"/>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29" w:name="_Ref179269924"/>
      <w:bookmarkStart w:id="30" w:name="_Toc384196349"/>
      <w:bookmarkStart w:id="31" w:name="_Toc176158845"/>
      <w:bookmarkStart w:id="32" w:name="_Toc23284595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w:t>
      </w:r>
      <w:r w:rsidRPr="00370E70">
        <w:rPr>
          <w:lang w:val="en-AU"/>
        </w:rPr>
        <w:fldChar w:fldCharType="end"/>
      </w:r>
      <w:bookmarkEnd w:id="29"/>
      <w:r w:rsidRPr="00370E70">
        <w:rPr>
          <w:lang w:val="en-AU"/>
        </w:rPr>
        <w:t xml:space="preserve">. </w:t>
      </w:r>
      <w:r w:rsidRPr="00370E70">
        <w:rPr>
          <w:i/>
          <w:lang w:val="en-AU"/>
        </w:rPr>
        <w:t>General conceptual model of seagrass habitats in north east Australia</w:t>
      </w:r>
      <w:bookmarkEnd w:id="30"/>
    </w:p>
    <w:p w:rsidR="0033652B" w:rsidRPr="00370E70" w:rsidRDefault="005132EF" w:rsidP="0033652B">
      <w:pPr>
        <w:pStyle w:val="Caption"/>
        <w:rPr>
          <w:i/>
          <w:lang w:val="en-AU"/>
        </w:rPr>
      </w:pPr>
      <w:r w:rsidRPr="00370E70">
        <w:rPr>
          <w:i/>
          <w:lang w:val="en-AU"/>
        </w:rPr>
        <w:t xml:space="preserve"> (from </w:t>
      </w:r>
      <w:hyperlink w:anchor="_ENREF_31" w:tooltip="Carruthers, 2002 #8021" w:history="1">
        <w:r w:rsidR="00964A70" w:rsidRPr="00370E70">
          <w:rPr>
            <w:i/>
            <w:lang w:val="en-AU"/>
          </w:rPr>
          <w:fldChar w:fldCharType="begin"/>
        </w:r>
        <w:r w:rsidR="00964A70" w:rsidRPr="00370E70">
          <w:rPr>
            <w:i/>
            <w:lang w:val="en-AU"/>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i/>
            <w:lang w:val="en-AU"/>
          </w:rPr>
          <w:fldChar w:fldCharType="separate"/>
        </w:r>
        <w:r w:rsidR="00964A70" w:rsidRPr="00370E70">
          <w:rPr>
            <w:i/>
            <w:noProof/>
            <w:lang w:val="en-AU"/>
          </w:rPr>
          <w:t>Carruthers, et al. 2002</w:t>
        </w:r>
        <w:r w:rsidR="00964A70" w:rsidRPr="00370E70">
          <w:rPr>
            <w:i/>
            <w:lang w:val="en-AU"/>
          </w:rPr>
          <w:fldChar w:fldCharType="end"/>
        </w:r>
      </w:hyperlink>
      <w:r w:rsidRPr="00370E70">
        <w:rPr>
          <w:i/>
          <w:lang w:val="en-AU"/>
        </w:rPr>
        <w:t>)</w:t>
      </w:r>
      <w:bookmarkEnd w:id="31"/>
      <w:bookmarkEnd w:id="32"/>
      <w:r w:rsidR="0033652B" w:rsidRPr="00370E70">
        <w:rPr>
          <w:i/>
          <w:lang w:val="en-AU"/>
        </w:rPr>
        <w:t xml:space="preserve"> </w:t>
      </w:r>
    </w:p>
    <w:p w:rsidR="005132EF" w:rsidRPr="00370E70" w:rsidRDefault="005132EF" w:rsidP="00034AD4">
      <w:pPr>
        <w:rPr>
          <w:szCs w:val="22"/>
        </w:rPr>
      </w:pPr>
      <w:r w:rsidRPr="00370E70">
        <w:rPr>
          <w:color w:val="000000"/>
          <w:szCs w:val="22"/>
        </w:rPr>
        <w:t xml:space="preserve">The requirements for formation of healthy seagrass meadows are relatively clear as they are photosynthetic plants occupying a marine habitat. They require adequate light, nutrients, carbon dioxide, suitable substrate for anchoring along with tolerable salinity, temperature and </w:t>
      </w:r>
      <w:r w:rsidRPr="00370E70">
        <w:rPr>
          <w:i/>
          <w:color w:val="000000"/>
          <w:szCs w:val="22"/>
        </w:rPr>
        <w:t>p</w:t>
      </w:r>
      <w:r w:rsidRPr="00370E70">
        <w:rPr>
          <w:color w:val="000000"/>
          <w:szCs w:val="22"/>
        </w:rPr>
        <w:t>H (</w:t>
      </w:r>
      <w:hyperlink w:anchor="_ENREF_194" w:tooltip="Waycott, 2010 #9798" w:history="1">
        <w:r w:rsidR="00964A70" w:rsidRPr="00370E70">
          <w:rPr>
            <w:color w:val="000000"/>
            <w:szCs w:val="22"/>
          </w:rPr>
          <w:fldChar w:fldCharType="begin"/>
        </w:r>
        <w:r w:rsidR="00964A70" w:rsidRPr="00370E70">
          <w:rPr>
            <w:color w:val="000000"/>
            <w:szCs w:val="22"/>
          </w:rPr>
          <w:instrText xml:space="preserve"> ADDIN EN.CITE &lt;EndNote&gt;&lt;Cite&gt;&lt;Author&gt;Waycott&lt;/Author&gt;&lt;Year&gt;2010&lt;/Year&gt;&lt;RecNum&gt;9798&lt;/RecNum&gt;&lt;DisplayText&gt;Waycott and McKenzie 2010&lt;/DisplayText&gt;&lt;record&gt;&lt;rec-number&gt;9798&lt;/rec-number&gt;&lt;foreign-keys&gt;&lt;key app="EN" db-id="0eve55x9y5vfd6e9dacxtew4eatve2dzds9a"&gt;9798&lt;/key&gt;&lt;/foreign-keys&gt;&lt;ref-type name="Book"&gt;6&lt;/ref-type&gt;&lt;contributors&gt;&lt;authors&gt;&lt;author&gt;Waycott, Michelle&lt;/author&gt;&lt;author&gt;McKenzie, Len J&lt;/author&gt;&lt;/authors&gt;&lt;/contributors&gt;&lt;titles&gt;&lt;title&gt;Final report project 1.1.3 and 3.7.1 to the Marine and Tropical Sciences Research Facility: Indicators and thresholds of concern for seagrass ecosystem health for the Great Barrier Reef&lt;/title&gt;&lt;/titles&gt;&lt;dates&gt;&lt;year&gt;2010&lt;/year&gt;&lt;/dates&gt;&lt;pub-location&gt;Cairns, Australia&lt;/pub-location&gt;&lt;publisher&gt;Reef and Rainforest Research Centre Limited&lt;/publisher&gt;&lt;urls&gt;&lt;/urls&gt;&lt;/record&gt;&lt;/Cite&gt;&lt;/EndNote&gt;</w:instrText>
        </w:r>
        <w:r w:rsidR="00964A70" w:rsidRPr="00370E70">
          <w:rPr>
            <w:color w:val="000000"/>
            <w:szCs w:val="22"/>
          </w:rPr>
          <w:fldChar w:fldCharType="separate"/>
        </w:r>
        <w:r w:rsidR="00964A70" w:rsidRPr="00370E70">
          <w:rPr>
            <w:noProof/>
            <w:color w:val="000000"/>
            <w:szCs w:val="22"/>
          </w:rPr>
          <w:t>Waycott and McKenzie 2010</w:t>
        </w:r>
        <w:r w:rsidR="00964A70" w:rsidRPr="00370E70">
          <w:rPr>
            <w:color w:val="000000"/>
            <w:szCs w:val="22"/>
          </w:rPr>
          <w:fldChar w:fldCharType="end"/>
        </w:r>
      </w:hyperlink>
      <w:r w:rsidRPr="00370E70">
        <w:rPr>
          <w:color w:val="000000"/>
          <w:szCs w:val="22"/>
        </w:rPr>
        <w:t>). A number of indicators and thresholds of some of these requirements have been established for seagrass communities that are relevant to the GBR, and are monitored as part of the Reef Rescue Marine Monitoring Program.</w:t>
      </w:r>
    </w:p>
    <w:p w:rsidR="005132EF" w:rsidRPr="00370E70" w:rsidRDefault="005132EF" w:rsidP="00034AD4">
      <w:pPr>
        <w:pStyle w:val="Heading1"/>
        <w:rPr>
          <w:rFonts w:ascii="Century Gothic" w:hAnsi="Century Gothic"/>
          <w:color w:val="000000"/>
          <w:sz w:val="36"/>
          <w:szCs w:val="36"/>
        </w:rPr>
      </w:pPr>
      <w:bookmarkStart w:id="33" w:name="_Toc232845891"/>
      <w:bookmarkStart w:id="34" w:name="_Toc184101944"/>
      <w:bookmarkStart w:id="35" w:name="_Toc384196106"/>
      <w:r w:rsidRPr="00370E70">
        <w:rPr>
          <w:rFonts w:ascii="Century Gothic" w:hAnsi="Century Gothic"/>
          <w:color w:val="000000"/>
          <w:sz w:val="36"/>
          <w:szCs w:val="36"/>
        </w:rPr>
        <w:lastRenderedPageBreak/>
        <w:t>2. Methodolgy</w:t>
      </w:r>
      <w:bookmarkEnd w:id="28"/>
      <w:bookmarkEnd w:id="33"/>
      <w:bookmarkEnd w:id="34"/>
      <w:bookmarkEnd w:id="35"/>
    </w:p>
    <w:p w:rsidR="00E454F0" w:rsidRPr="00370E70" w:rsidRDefault="00E454F0" w:rsidP="00E454F0">
      <w:pPr>
        <w:spacing w:before="240"/>
        <w:rPr>
          <w:color w:val="000000"/>
          <w:szCs w:val="22"/>
        </w:rPr>
      </w:pPr>
      <w:r w:rsidRPr="00370E70">
        <w:rPr>
          <w:color w:val="000000"/>
          <w:szCs w:val="22"/>
        </w:rPr>
        <w:t>In the following, an overview is given of the sample collection, preparation and analyses methods. Detailed documentation of the methods used in the MMP, including quality assurance and quality control procedures, is available in a separate report, updated in May 2012 (</w:t>
      </w:r>
      <w:hyperlink w:anchor="_ENREF_137" w:tooltip="McKenzie, 2010 #9606"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xml:space="preserve"> et al.</w:t>
        </w:r>
        <w:r w:rsidR="00964A70" w:rsidRPr="00370E70">
          <w:rPr>
            <w:noProof/>
            <w:color w:val="000000"/>
            <w:szCs w:val="22"/>
          </w:rPr>
          <w:t xml:space="preserve"> 2010a</w:t>
        </w:r>
        <w:r w:rsidR="00964A70" w:rsidRPr="00370E70">
          <w:rPr>
            <w:color w:val="000000"/>
            <w:szCs w:val="22"/>
          </w:rPr>
          <w:fldChar w:fldCharType="end"/>
        </w:r>
      </w:hyperlink>
      <w:r w:rsidRPr="00370E70">
        <w:rPr>
          <w:color w:val="000000"/>
          <w:szCs w:val="22"/>
        </w:rPr>
        <w:t>).</w:t>
      </w:r>
    </w:p>
    <w:p w:rsidR="005132EF" w:rsidRPr="00370E70" w:rsidRDefault="005132EF" w:rsidP="001362B3">
      <w:pPr>
        <w:pStyle w:val="Heading2"/>
        <w:rPr>
          <w:rFonts w:ascii="Century Gothic" w:hAnsi="Century Gothic"/>
          <w:color w:val="000000"/>
        </w:rPr>
      </w:pPr>
      <w:bookmarkStart w:id="36" w:name="_Toc384196107"/>
      <w:r w:rsidRPr="00370E70">
        <w:rPr>
          <w:rFonts w:ascii="Century Gothic" w:hAnsi="Century Gothic"/>
          <w:color w:val="000000"/>
        </w:rPr>
        <w:t>Sampling design &amp; site selection</w:t>
      </w:r>
      <w:bookmarkEnd w:id="36"/>
    </w:p>
    <w:p w:rsidR="00E454F0" w:rsidRPr="00370E70" w:rsidRDefault="00E454F0" w:rsidP="00E454F0">
      <w:pPr>
        <w:spacing w:before="240"/>
        <w:rPr>
          <w:color w:val="000000"/>
          <w:szCs w:val="22"/>
        </w:rPr>
      </w:pPr>
      <w:r w:rsidRPr="00370E70">
        <w:rPr>
          <w:color w:val="000000"/>
          <w:szCs w:val="22"/>
        </w:rPr>
        <w:t>The sampling design was selected for the detection of change in inshore seagrass meadows in response to improvements in water quality parameters associated to specific catchments or groups of catchments (Region) and to disturbance events.</w:t>
      </w:r>
    </w:p>
    <w:p w:rsidR="00E454F0" w:rsidRPr="00370E70" w:rsidRDefault="00E454F0" w:rsidP="00E454F0">
      <w:pPr>
        <w:spacing w:before="240"/>
        <w:rPr>
          <w:color w:val="000000"/>
          <w:szCs w:val="22"/>
        </w:rPr>
      </w:pPr>
      <w:r w:rsidRPr="00370E70">
        <w:rPr>
          <w:color w:val="000000"/>
          <w:szCs w:val="22"/>
        </w:rPr>
        <w:t xml:space="preserve">One of the paramount requirements at the onset of the Marine Monitoring Program, apart from being scientifically robust, was that its findings must have broad acceptance and ownership by the </w:t>
      </w:r>
      <w:smartTag w:uri="urn:schemas-microsoft-com:office:smarttags" w:element="place">
        <w:r w:rsidRPr="00370E70">
          <w:rPr>
            <w:color w:val="000000"/>
            <w:szCs w:val="22"/>
          </w:rPr>
          <w:t>North Queensland</w:t>
        </w:r>
      </w:smartTag>
      <w:r w:rsidRPr="00370E70">
        <w:rPr>
          <w:color w:val="000000"/>
          <w:szCs w:val="22"/>
        </w:rPr>
        <w:t xml:space="preserve"> and Australian community. It was identified very early in development of Reef Rescue (previously know as the Reef Plan), that existing long-term monitoring programs (e.g. Seagrass-Watch) and legacy sites provided an excellent opportunity on which the inshore seagrass monitoring component could be based. In late 2004 all data collected within the GBR region as part of existing monitoring programs were supplied to Glenn De’ath (Senior Statistician, AIMS) for independent review. De’ath (</w:t>
      </w:r>
      <w:hyperlink w:anchor="_ENREF_56" w:tooltip="De’ath, 2005 #9495" w:history="1">
        <w:r w:rsidR="00964A70" w:rsidRPr="00370E70">
          <w:rPr>
            <w:color w:val="000000"/>
            <w:szCs w:val="22"/>
          </w:rPr>
          <w:fldChar w:fldCharType="begin"/>
        </w:r>
        <w:r w:rsidR="00964A70" w:rsidRPr="00370E70">
          <w:rPr>
            <w:color w:val="000000"/>
            <w:szCs w:val="22"/>
          </w:rPr>
          <w:instrText xml:space="preserve"> ADDIN EN.CITE &lt;EndNote&gt;&lt;Cite ExcludeAuth="1"&gt;&lt;Author&gt;De’ath&lt;/Author&gt;&lt;Year&gt;2005&lt;/Year&gt;&lt;RecNum&gt;9495&lt;/RecNum&gt;&lt;DisplayText&gt;2005&lt;/DisplayText&gt;&lt;record&gt;&lt;rec-number&gt;9495&lt;/rec-number&gt;&lt;foreign-keys&gt;&lt;key app="EN" db-id="0eve55x9y5vfd6e9dacxtew4eatve2dzds9a"&gt;9495&lt;/key&gt;&lt;/foreign-keys&gt;&lt;ref-type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964A70" w:rsidRPr="00370E70">
          <w:rPr>
            <w:color w:val="000000"/>
            <w:szCs w:val="22"/>
          </w:rPr>
          <w:fldChar w:fldCharType="separate"/>
        </w:r>
        <w:r w:rsidR="00964A70" w:rsidRPr="00370E70">
          <w:rPr>
            <w:noProof/>
            <w:color w:val="000000"/>
            <w:szCs w:val="22"/>
          </w:rPr>
          <w:t>2005</w:t>
        </w:r>
        <w:r w:rsidR="00964A70" w:rsidRPr="00370E70">
          <w:rPr>
            <w:color w:val="000000"/>
            <w:szCs w:val="22"/>
          </w:rPr>
          <w:fldChar w:fldCharType="end"/>
        </w:r>
      </w:hyperlink>
      <w:r w:rsidRPr="00370E70">
        <w:rPr>
          <w:color w:val="000000"/>
          <w:szCs w:val="22"/>
        </w:rPr>
        <w:t xml:space="preserve">) examined the available datasets to estimate expected performance of the monitoring program. Seagrass data included from 2000–2004 and was collected from 63 sites in 29 locations from Cooktown to </w:t>
      </w:r>
      <w:smartTag w:uri="urn:schemas-microsoft-com:office:smarttags" w:element="place">
        <w:smartTag w:uri="urn:schemas-microsoft-com:office:smarttags" w:element="PlaceName">
          <w:r w:rsidRPr="00370E70">
            <w:rPr>
              <w:color w:val="000000"/>
              <w:szCs w:val="22"/>
            </w:rPr>
            <w:t>Hervey</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Results concluded that the existing monitoring was providing valuable information about long-term trends and spatial differences, with changes in seagrass cover occurring at various spatial and temporal scales. The report recommended that the value of the monitoring would be greatly enhanced by adding more widely spread locations.</w:t>
      </w:r>
    </w:p>
    <w:p w:rsidR="00E454F0" w:rsidRPr="00370E70" w:rsidRDefault="00E454F0" w:rsidP="00E454F0">
      <w:pPr>
        <w:spacing w:before="240"/>
        <w:rPr>
          <w:color w:val="000000"/>
          <w:szCs w:val="22"/>
        </w:rPr>
      </w:pPr>
      <w:r w:rsidRPr="00370E70">
        <w:rPr>
          <w:color w:val="000000"/>
          <w:szCs w:val="22"/>
        </w:rPr>
        <w:t>The meadows monitored within the MMP were selected by the GBRMPA, using advice from expert working groups. The selection of meadows was based upon two primary considerations:</w:t>
      </w:r>
    </w:p>
    <w:p w:rsidR="00E454F0" w:rsidRPr="00370E70" w:rsidRDefault="00E454F0" w:rsidP="00E454F0">
      <w:pPr>
        <w:numPr>
          <w:ilvl w:val="0"/>
          <w:numId w:val="13"/>
        </w:numPr>
        <w:spacing w:before="0" w:after="0"/>
        <w:rPr>
          <w:color w:val="000000"/>
          <w:szCs w:val="22"/>
        </w:rPr>
      </w:pPr>
      <w:r w:rsidRPr="00370E70">
        <w:rPr>
          <w:color w:val="000000"/>
          <w:szCs w:val="22"/>
        </w:rPr>
        <w:t xml:space="preserve">meadows were representative of seagrass habitats and seagrass communities across each region (based on </w:t>
      </w:r>
      <w:hyperlink w:anchor="_ENREF_119" w:tooltip="Lee Long, 1993 #682" w:history="1">
        <w:r w:rsidR="00964A70" w:rsidRPr="00370E70">
          <w:rPr>
            <w:color w:val="000000"/>
            <w:szCs w:val="22"/>
          </w:rPr>
          <w:fldChar w:fldCharType="begin"/>
        </w:r>
        <w:r w:rsidR="00964A70" w:rsidRPr="00370E70">
          <w:rPr>
            <w:color w:val="000000"/>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Lee Long</w:t>
        </w:r>
        <w:r w:rsidR="00964A70" w:rsidRPr="00370E70">
          <w:rPr>
            <w:i/>
            <w:noProof/>
            <w:color w:val="000000"/>
            <w:szCs w:val="22"/>
          </w:rPr>
          <w:t xml:space="preserve"> et al.</w:t>
        </w:r>
        <w:r w:rsidR="00964A70" w:rsidRPr="00370E70">
          <w:rPr>
            <w:noProof/>
            <w:color w:val="000000"/>
            <w:szCs w:val="22"/>
          </w:rPr>
          <w:t xml:space="preserve"> 1993</w:t>
        </w:r>
        <w:r w:rsidR="00964A70" w:rsidRPr="00370E70">
          <w:rPr>
            <w:color w:val="000000"/>
            <w:szCs w:val="22"/>
          </w:rPr>
          <w:fldChar w:fldCharType="end"/>
        </w:r>
      </w:hyperlink>
      <w:r w:rsidRPr="00370E70">
        <w:rPr>
          <w:color w:val="000000"/>
          <w:szCs w:val="22"/>
        </w:rPr>
        <w:t xml:space="preserve">, </w:t>
      </w:r>
      <w:hyperlink w:anchor="_ENREF_117" w:tooltip="Lee Long, 1997 #7422" w:history="1">
        <w:r w:rsidR="00964A70" w:rsidRPr="00370E70">
          <w:rPr>
            <w:color w:val="000000"/>
            <w:szCs w:val="22"/>
          </w:rPr>
          <w:fldChar w:fldCharType="begin"/>
        </w:r>
        <w:r w:rsidR="00964A70" w:rsidRPr="00370E70">
          <w:rPr>
            <w:color w:val="000000"/>
            <w:szCs w:val="22"/>
          </w:rPr>
          <w:instrText xml:space="preserve"> ADDIN EN.CITE &lt;EndNote&gt;&lt;Cite&gt;&lt;Author&gt;Lee Long&lt;/Author&gt;&lt;Year&gt;1997&lt;/Year&gt;&lt;RecNum&gt;7422&lt;/RecNum&gt;&lt;DisplayText&gt;Lee Long&lt;style face="italic"&gt; et al.&lt;/style&gt; 1997&lt;/DisplayText&gt;&lt;record&gt;&lt;rec-number&gt;7422&lt;/rec-number&gt;&lt;foreign-keys&gt;&lt;key app="EN" db-id="0eve55x9y5vfd6e9dacxtew4eatve2dzds9a"&gt;7422&lt;/key&gt;&lt;/foreign-keys&gt;&lt;ref-type name="Report"&gt;27&lt;/ref-type&gt;&lt;contributors&gt;&lt;authors&gt;&lt;author&gt;Lee Long, W. J.&lt;/author&gt;&lt;author&gt;McKenzie, L. J.&lt;/author&gt;&lt;author&gt;Coles, R. G.&lt;/author&gt;&lt;/authors&gt;&lt;/contributors&gt;&lt;titles&gt;&lt;title&gt;Seagrass communities in the Shoalwater Bay Region, Queensland - Spring (September) 1995 and Autumn (April) 1996&lt;/title&gt;&lt;/titles&gt;&lt;pages&gt;38&lt;/pages&gt;&lt;dates&gt;&lt;year&gt;1997&lt;/year&gt;&lt;/dates&gt;&lt;pub-location&gt;Cairns&lt;/pub-location&gt;&lt;publisher&gt;Queensland Department of Primary Industries&lt;/publisher&gt;&lt;isbn&gt;Information Series QI96042&lt;/isbn&gt;&lt;label&gt;distribution&lt;/label&gt;&lt;urls&gt;&lt;/urls&gt;&lt;/record&gt;&lt;/Cite&gt;&lt;/EndNote&gt;</w:instrText>
        </w:r>
        <w:r w:rsidR="00964A70" w:rsidRPr="00370E70">
          <w:rPr>
            <w:color w:val="000000"/>
            <w:szCs w:val="22"/>
          </w:rPr>
          <w:fldChar w:fldCharType="separate"/>
        </w:r>
        <w:r w:rsidR="00964A70" w:rsidRPr="00370E70">
          <w:rPr>
            <w:noProof/>
            <w:color w:val="000000"/>
            <w:szCs w:val="22"/>
          </w:rPr>
          <w:t>Lee Long</w:t>
        </w:r>
        <w:r w:rsidR="00964A70" w:rsidRPr="00370E70">
          <w:rPr>
            <w:i/>
            <w:noProof/>
            <w:color w:val="000000"/>
            <w:szCs w:val="22"/>
          </w:rPr>
          <w:t xml:space="preserve"> et al.</w:t>
        </w:r>
        <w:r w:rsidR="00964A70" w:rsidRPr="00370E70">
          <w:rPr>
            <w:noProof/>
            <w:color w:val="000000"/>
            <w:szCs w:val="22"/>
          </w:rPr>
          <w:t xml:space="preserve"> 1997</w:t>
        </w:r>
        <w:r w:rsidR="00964A70" w:rsidRPr="00370E70">
          <w:rPr>
            <w:color w:val="000000"/>
            <w:szCs w:val="22"/>
          </w:rPr>
          <w:fldChar w:fldCharType="end"/>
        </w:r>
      </w:hyperlink>
      <w:r w:rsidRPr="00370E70">
        <w:rPr>
          <w:color w:val="000000"/>
          <w:szCs w:val="22"/>
        </w:rPr>
        <w:t xml:space="preserve">, </w:t>
      </w:r>
      <w:hyperlink w:anchor="_ENREF_118" w:tooltip="Lee Long, 1998 #7423" w:history="1">
        <w:r w:rsidR="00964A70" w:rsidRPr="00370E70">
          <w:rPr>
            <w:color w:val="000000"/>
            <w:szCs w:val="22"/>
          </w:rPr>
          <w:fldChar w:fldCharType="begin"/>
        </w:r>
        <w:r w:rsidR="00964A70" w:rsidRPr="00370E70">
          <w:rPr>
            <w:color w:val="000000"/>
            <w:szCs w:val="22"/>
          </w:rPr>
          <w:instrText xml:space="preserve"> ADDIN EN.CITE &lt;EndNote&gt;&lt;Cite&gt;&lt;Author&gt;Lee Long&lt;/Author&gt;&lt;Year&gt;1998&lt;/Year&gt;&lt;RecNum&gt;7423&lt;/RecNum&gt;&lt;DisplayText&gt;Lee Long&lt;style face="italic"&gt; et al.&lt;/style&gt; 1998&lt;/DisplayText&gt;&lt;record&gt;&lt;rec-number&gt;7423&lt;/rec-number&gt;&lt;foreign-keys&gt;&lt;key app="EN" db-id="0eve55x9y5vfd6e9dacxtew4eatve2dzds9a"&gt;7423&lt;/key&gt;&lt;/foreign-keys&gt;&lt;ref-type name="Report"&gt;27&lt;/ref-type&gt;&lt;contributors&gt;&lt;authors&gt;&lt;author&gt;Lee Long, Warren J.&lt;/author&gt;&lt;author&gt;McKenzie, Len J.&lt;/author&gt;&lt;author&gt;Roelofs, A.J.&lt;/author&gt;&lt;author&gt;Makey, L.J.&lt;/author&gt;&lt;author&gt;Coles, R. G.&lt;/author&gt;&lt;author&gt;Roder C.A.&lt;/author&gt;&lt;/authors&gt;&lt;/contributors&gt;&lt;titles&gt;&lt;title&gt;Baseline Survey of Hinchinbrook Region Seagrasses - October (Spring) 1996. Research publication No. 51&lt;/title&gt;&lt;/titles&gt;&lt;pages&gt;26&lt;/pages&gt;&lt;dates&gt;&lt;year&gt;1998&lt;/year&gt;&lt;pub-dates&gt;&lt;date&gt;June 1998&lt;/date&gt;&lt;/pub-dates&gt;&lt;/dates&gt;&lt;pub-location&gt;Townsville&lt;/pub-location&gt;&lt;publisher&gt;Great Barrier Reef Marine Park Authority&lt;/publisher&gt;&lt;isbn&gt;51&lt;/isbn&gt;&lt;label&gt;distribution&lt;/label&gt;&lt;urls&gt;&lt;/urls&gt;&lt;/record&gt;&lt;/Cite&gt;&lt;/EndNote&gt;</w:instrText>
        </w:r>
        <w:r w:rsidR="00964A70" w:rsidRPr="00370E70">
          <w:rPr>
            <w:color w:val="000000"/>
            <w:szCs w:val="22"/>
          </w:rPr>
          <w:fldChar w:fldCharType="separate"/>
        </w:r>
        <w:r w:rsidR="00964A70" w:rsidRPr="00370E70">
          <w:rPr>
            <w:noProof/>
            <w:color w:val="000000"/>
            <w:szCs w:val="22"/>
          </w:rPr>
          <w:t>Lee Long</w:t>
        </w:r>
        <w:r w:rsidR="00964A70" w:rsidRPr="00370E70">
          <w:rPr>
            <w:i/>
            <w:noProof/>
            <w:color w:val="000000"/>
            <w:szCs w:val="22"/>
          </w:rPr>
          <w:t xml:space="preserve"> et al.</w:t>
        </w:r>
        <w:r w:rsidR="00964A70" w:rsidRPr="00370E70">
          <w:rPr>
            <w:noProof/>
            <w:color w:val="000000"/>
            <w:szCs w:val="22"/>
          </w:rPr>
          <w:t xml:space="preserve"> 1998</w:t>
        </w:r>
        <w:r w:rsidR="00964A70" w:rsidRPr="00370E70">
          <w:rPr>
            <w:color w:val="000000"/>
            <w:szCs w:val="22"/>
          </w:rPr>
          <w:fldChar w:fldCharType="end"/>
        </w:r>
      </w:hyperlink>
      <w:r w:rsidRPr="00370E70">
        <w:rPr>
          <w:color w:val="000000"/>
          <w:szCs w:val="22"/>
        </w:rPr>
        <w:t xml:space="preserve">; </w:t>
      </w:r>
      <w:hyperlink w:anchor="_ENREF_135" w:tooltip="McKenzie, 2000 #7787"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&lt;EndNote&gt;&lt;Cite&gt;&lt;Author&gt;McKenzie&lt;/Author&gt;&lt;Year&gt;2000&lt;/Year&gt;&lt;RecNum&gt;7787&lt;/RecNum&gt;&lt;DisplayText&gt;McKenzie&lt;style face="italic"&gt; et al.&lt;/style&gt; 2000&lt;/DisplayText&gt;&lt;record&gt;&lt;rec-number&gt;7787&lt;/rec-number&gt;&lt;foreign-keys&gt;&lt;key app="EN" db-id="0eve55x9y5vfd6e9dacxtew4eatve2dzds9a"&gt;7787&lt;/key&gt;&lt;/foreign-keys&gt;&lt;ref-type name="Journal Article"&gt;17&lt;/ref-type&gt;&lt;contributors&gt;&lt;authors&gt;&lt;author&gt;McKenzie, Len J&lt;/author&gt;&lt;author&gt;Lee Long, W J&lt;/author&gt;&lt;author&gt;Coles, R&lt;/author&gt;&lt;author&gt;Roder, C A&lt;/author&gt;&lt;/authors&gt;&lt;/contributors&gt;&lt;titles&gt;&lt;title&gt;Seagrass watch: community based monitoring of seagrass resources&lt;/title&gt;&lt;secondary-title&gt;Biologica Marina Mediterranea&lt;/secondary-title&gt;&lt;/titles&gt;&lt;pages&gt;393-396&lt;/pages&gt;&lt;volume&gt;7&lt;/volume&gt;&lt;number&gt;2&lt;/number&gt;&lt;dates&gt;&lt;year&gt;2000&lt;/year&gt;&lt;/dates&gt;&lt;work-type&gt;Biol. Mar. Medit.&lt;/work-type&gt;&lt;urls&gt;&lt;/urls&gt;&lt;/record&gt;&lt;/Cite&gt;&lt;/EndNote&gt;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xml:space="preserve"> et al.</w:t>
        </w:r>
        <w:r w:rsidR="00964A70" w:rsidRPr="00370E70">
          <w:rPr>
            <w:noProof/>
            <w:color w:val="000000"/>
            <w:szCs w:val="22"/>
          </w:rPr>
          <w:t xml:space="preserve"> 2000</w:t>
        </w:r>
        <w:r w:rsidR="00964A70" w:rsidRPr="00370E70">
          <w:rPr>
            <w:color w:val="000000"/>
            <w:szCs w:val="22"/>
          </w:rPr>
          <w:fldChar w:fldCharType="end"/>
        </w:r>
      </w:hyperlink>
      <w:r w:rsidRPr="00370E70">
        <w:rPr>
          <w:color w:val="000000"/>
          <w:szCs w:val="22"/>
        </w:rPr>
        <w:t xml:space="preserve">; </w:t>
      </w:r>
      <w:hyperlink w:anchor="_ENREF_163" w:tooltip="Rasheed, 2003 #9496" w:history="1">
        <w:r w:rsidR="00964A70" w:rsidRPr="00370E70">
          <w:rPr>
            <w:color w:val="000000"/>
            <w:szCs w:val="22"/>
          </w:rPr>
          <w:fldChar w:fldCharType="begin"/>
        </w:r>
        <w:r w:rsidR="00964A70" w:rsidRPr="00370E70">
          <w:rPr>
            <w:color w:val="000000"/>
            <w:szCs w:val="22"/>
          </w:rPr>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964A70" w:rsidRPr="00370E70">
          <w:rPr>
            <w:color w:val="000000"/>
            <w:szCs w:val="22"/>
          </w:rPr>
          <w:fldChar w:fldCharType="separate"/>
        </w:r>
        <w:r w:rsidR="00964A70" w:rsidRPr="00370E70">
          <w:rPr>
            <w:noProof/>
            <w:color w:val="000000"/>
            <w:szCs w:val="22"/>
          </w:rPr>
          <w:t>Rasheed</w:t>
        </w:r>
        <w:r w:rsidR="00964A70" w:rsidRPr="00370E70">
          <w:rPr>
            <w:i/>
            <w:noProof/>
            <w:color w:val="000000"/>
            <w:szCs w:val="22"/>
          </w:rPr>
          <w:t xml:space="preserve"> et al.</w:t>
        </w:r>
        <w:r w:rsidR="00964A70" w:rsidRPr="00370E70">
          <w:rPr>
            <w:noProof/>
            <w:color w:val="000000"/>
            <w:szCs w:val="22"/>
          </w:rPr>
          <w:t xml:space="preserve"> 2003</w:t>
        </w:r>
        <w:r w:rsidR="00964A70" w:rsidRPr="00370E70">
          <w:rPr>
            <w:color w:val="000000"/>
            <w:szCs w:val="22"/>
          </w:rPr>
          <w:fldChar w:fldCharType="end"/>
        </w:r>
      </w:hyperlink>
      <w:r w:rsidRPr="00370E70">
        <w:rPr>
          <w:color w:val="000000"/>
          <w:szCs w:val="22"/>
        </w:rPr>
        <w:t xml:space="preserve">; </w:t>
      </w:r>
      <w:hyperlink w:anchor="_ENREF_30" w:tooltip="Campbell, 2002 #9304" w:history="1">
        <w:r w:rsidR="00964A70" w:rsidRPr="00370E70">
          <w:rPr>
            <w:color w:val="000000"/>
            <w:szCs w:val="22"/>
          </w:rPr>
          <w:fldChar w:fldCharType="begin"/>
        </w:r>
        <w:r w:rsidR="00964A70" w:rsidRPr="00370E70">
          <w:rPr>
            <w:color w:val="000000"/>
            <w:szCs w:val="22"/>
          </w:rPr>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964A70" w:rsidRPr="00370E70">
          <w:rPr>
            <w:color w:val="000000"/>
            <w:szCs w:val="22"/>
          </w:rPr>
          <w:fldChar w:fldCharType="separate"/>
        </w:r>
        <w:r w:rsidR="00964A70" w:rsidRPr="00370E70">
          <w:rPr>
            <w:noProof/>
            <w:color w:val="000000"/>
            <w:szCs w:val="22"/>
          </w:rPr>
          <w:t>Campbell</w:t>
        </w:r>
        <w:r w:rsidR="00964A70" w:rsidRPr="00370E70">
          <w:rPr>
            <w:i/>
            <w:noProof/>
            <w:color w:val="000000"/>
            <w:szCs w:val="22"/>
          </w:rPr>
          <w:t xml:space="preserve"> et al.</w:t>
        </w:r>
        <w:r w:rsidR="00964A70" w:rsidRPr="00370E70">
          <w:rPr>
            <w:noProof/>
            <w:color w:val="000000"/>
            <w:szCs w:val="22"/>
          </w:rPr>
          <w:t xml:space="preserve"> 2002</w:t>
        </w:r>
        <w:r w:rsidR="00964A70" w:rsidRPr="00370E70">
          <w:rPr>
            <w:color w:val="000000"/>
            <w:szCs w:val="22"/>
          </w:rPr>
          <w:fldChar w:fldCharType="end"/>
        </w:r>
      </w:hyperlink>
      <w:r w:rsidRPr="00370E70">
        <w:rPr>
          <w:color w:val="000000"/>
          <w:szCs w:val="22"/>
        </w:rPr>
        <w:t xml:space="preserve">;  </w:t>
      </w:r>
      <w:hyperlink w:anchor="_ENREF_86" w:tooltip="Goldsworthy, 1994 #9497" w:history="1">
        <w:r w:rsidR="00964A70" w:rsidRPr="00370E70">
          <w:rPr>
            <w:color w:val="000000"/>
            <w:szCs w:val="22"/>
          </w:rPr>
          <w:fldChar w:fldCharType="begin"/>
        </w:r>
        <w:r w:rsidR="00964A70" w:rsidRPr="00370E70">
          <w:rPr>
            <w:color w:val="000000"/>
            <w:szCs w:val="22"/>
          </w:rPr>
          <w:instrText xml:space="preserve"> ADDIN EN.CITE &lt;EndNote&gt;&lt;Cite&gt;&lt;Author&gt;Goldsworthy&lt;/Author&gt;&lt;Year&gt;1994&lt;/Year&gt;&lt;RecNum&gt;9497&lt;/RecNum&gt;&lt;DisplayText&gt;Goldsworthy 1994&lt;/DisplayText&gt;&lt;record&gt;&lt;rec-number&gt;9497&lt;/rec-number&gt;&lt;foreign-keys&gt;&lt;key app="EN" db-id="0eve55x9y5vfd6e9dacxtew4eatve2dzds9a"&gt;9497&lt;/key&gt;&lt;/foreign-keys&gt;&lt;ref-type name="Book Section"&gt;5&lt;/ref-type&gt;&lt;contributors&gt;&lt;authors&gt;&lt;author&gt;Goldsworthy, Paul M&lt;/author&gt;&lt;/authors&gt;&lt;secondary-authors&gt;&lt;author&gt;Benson, L&lt;/author&gt;&lt;author&gt;Goldsworthy, P&lt;/author&gt;&lt;author&gt;Butler, R&lt;/author&gt;&lt;author&gt;Oliver, J&lt;/author&gt;&lt;/secondary-authors&gt;&lt;/contributors&gt;&lt;titles&gt;&lt;title&gt;Seagrasses&lt;/title&gt;&lt;secondary-title&gt;Townsville Port Authority Capital Dredging Works 1993: Environmental Monitoring Program&lt;/secondary-title&gt;&lt;/titles&gt;&lt;pages&gt;89-115&lt;/pages&gt;&lt;dates&gt;&lt;year&gt;1994&lt;/year&gt;&lt;/dates&gt;&lt;pub-location&gt;Townsville&lt;/pub-location&gt;&lt;publisher&gt;Townsville Port Authority&lt;/publisher&gt;&lt;urls&gt;&lt;/urls&gt;&lt;/record&gt;&lt;/Cite&gt;&lt;/EndNote&gt;</w:instrText>
        </w:r>
        <w:r w:rsidR="00964A70" w:rsidRPr="00370E70">
          <w:rPr>
            <w:color w:val="000000"/>
            <w:szCs w:val="22"/>
          </w:rPr>
          <w:fldChar w:fldCharType="separate"/>
        </w:r>
        <w:r w:rsidR="00964A70" w:rsidRPr="00370E70">
          <w:rPr>
            <w:noProof/>
            <w:color w:val="000000"/>
            <w:szCs w:val="22"/>
          </w:rPr>
          <w:t>Goldsworthy 1994</w:t>
        </w:r>
        <w:r w:rsidR="00964A70" w:rsidRPr="00370E70">
          <w:rPr>
            <w:color w:val="000000"/>
            <w:szCs w:val="22"/>
          </w:rPr>
          <w:fldChar w:fldCharType="end"/>
        </w:r>
      </w:hyperlink>
      <w:r w:rsidRPr="00370E70">
        <w:rPr>
          <w:color w:val="000000"/>
          <w:szCs w:val="22"/>
        </w:rPr>
        <w:t>)</w:t>
      </w:r>
    </w:p>
    <w:p w:rsidR="00E454F0" w:rsidRPr="00370E70" w:rsidRDefault="00E454F0" w:rsidP="00E454F0">
      <w:pPr>
        <w:numPr>
          <w:ilvl w:val="0"/>
          <w:numId w:val="13"/>
        </w:numPr>
        <w:spacing w:before="0" w:after="0"/>
        <w:rPr>
          <w:color w:val="000000"/>
          <w:szCs w:val="22"/>
        </w:rPr>
      </w:pPr>
      <w:r w:rsidRPr="00370E70">
        <w:rPr>
          <w:color w:val="000000"/>
          <w:szCs w:val="22"/>
        </w:rPr>
        <w:t xml:space="preserve">sampling locations where possible include legacy sites (e.g. Seagrass-Watch, MTSRF) or sites where seagrass research had been focused (e.g. </w:t>
      </w:r>
      <w:r w:rsidRPr="00370E70">
        <w:rPr>
          <w:color w:val="000000"/>
          <w:szCs w:val="22"/>
        </w:rPr>
        <w:fldChar w:fldCharType="begin">
          <w:fldData xml:space="preserve">PEVuZE5vdGU+PENpdGU+PEF1dGhvcj5Mb2JiPC9BdXRob3I+PFllYXI+MjAwNjwvWWVhcj48UmVj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</w:fldData>
        </w:fldChar>
      </w:r>
      <w:r w:rsidR="00564242" w:rsidRPr="00370E70">
        <w:rPr>
          <w:color w:val="000000"/>
          <w:szCs w:val="22"/>
        </w:rPr>
        <w:instrText xml:space="preserve"> ADDIN EN.CITE </w:instrText>
      </w:r>
      <w:r w:rsidR="00564242" w:rsidRPr="00370E70">
        <w:rPr>
          <w:color w:val="000000"/>
          <w:szCs w:val="22"/>
        </w:rPr>
        <w:fldChar w:fldCharType="begin">
          <w:fldData xml:space="preserve">PEVuZE5vdGU+PENpdGU+PEF1dGhvcj5Mb2JiPC9BdXRob3I+PFllYXI+MjAwNjwvWWVhcj48UmVj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</w:fldData>
        </w:fldChar>
      </w:r>
      <w:r w:rsidR="00564242" w:rsidRPr="00370E70">
        <w:rPr>
          <w:color w:val="000000"/>
          <w:szCs w:val="22"/>
        </w:rPr>
        <w:instrText xml:space="preserve"> ADDIN EN.CITE.DATA </w:instrText>
      </w:r>
      <w:r w:rsidR="00564242" w:rsidRPr="00370E70">
        <w:rPr>
          <w:color w:val="000000"/>
          <w:szCs w:val="22"/>
        </w:rPr>
      </w:r>
      <w:r w:rsidR="00564242" w:rsidRPr="00370E70">
        <w:rPr>
          <w:color w:val="000000"/>
          <w:szCs w:val="22"/>
        </w:rPr>
        <w:fldChar w:fldCharType="end"/>
      </w:r>
      <w:r w:rsidRPr="00370E70">
        <w:rPr>
          <w:color w:val="000000"/>
          <w:szCs w:val="22"/>
        </w:rPr>
      </w:r>
      <w:r w:rsidRPr="00370E70">
        <w:rPr>
          <w:color w:val="000000"/>
          <w:szCs w:val="22"/>
        </w:rPr>
        <w:fldChar w:fldCharType="separate"/>
      </w:r>
      <w:hyperlink w:anchor="_ENREF_61" w:tooltip="Dennison, 1995 #9771" w:history="1">
        <w:r w:rsidR="00964A70" w:rsidRPr="00370E70">
          <w:rPr>
            <w:noProof/>
            <w:color w:val="000000"/>
            <w:szCs w:val="22"/>
          </w:rPr>
          <w:t>Dennison</w:t>
        </w:r>
        <w:r w:rsidR="00964A70" w:rsidRPr="00370E70">
          <w:rPr>
            <w:i/>
            <w:noProof/>
            <w:color w:val="000000"/>
            <w:szCs w:val="22"/>
          </w:rPr>
          <w:t xml:space="preserve"> et al.</w:t>
        </w:r>
        <w:r w:rsidR="00964A70" w:rsidRPr="00370E70">
          <w:rPr>
            <w:noProof/>
            <w:color w:val="000000"/>
            <w:szCs w:val="22"/>
          </w:rPr>
          <w:t xml:space="preserve"> 1995</w:t>
        </w:r>
      </w:hyperlink>
      <w:r w:rsidR="00126051" w:rsidRPr="00370E70">
        <w:rPr>
          <w:noProof/>
          <w:color w:val="000000"/>
          <w:szCs w:val="22"/>
        </w:rPr>
        <w:t xml:space="preserve">; </w:t>
      </w:r>
      <w:hyperlink w:anchor="_ENREF_182" w:tooltip="Thorogood, 1999 #9772" w:history="1">
        <w:r w:rsidR="00964A70" w:rsidRPr="00370E70">
          <w:rPr>
            <w:noProof/>
            <w:color w:val="000000"/>
            <w:szCs w:val="22"/>
          </w:rPr>
          <w:t>Thorogood and Boggon 1999</w:t>
        </w:r>
      </w:hyperlink>
      <w:r w:rsidR="00126051" w:rsidRPr="00370E70">
        <w:rPr>
          <w:noProof/>
          <w:color w:val="000000"/>
          <w:szCs w:val="22"/>
        </w:rPr>
        <w:t xml:space="preserve">; </w:t>
      </w:r>
      <w:hyperlink w:anchor="_ENREF_189" w:tooltip="Udy, 1999 #2371" w:history="1">
        <w:r w:rsidR="00964A70" w:rsidRPr="00370E70">
          <w:rPr>
            <w:noProof/>
            <w:color w:val="000000"/>
            <w:szCs w:val="22"/>
          </w:rPr>
          <w:t>Udy</w:t>
        </w:r>
        <w:r w:rsidR="00964A70" w:rsidRPr="00370E70">
          <w:rPr>
            <w:i/>
            <w:noProof/>
            <w:color w:val="000000"/>
            <w:szCs w:val="22"/>
          </w:rPr>
          <w:t xml:space="preserve"> et al.</w:t>
        </w:r>
        <w:r w:rsidR="00964A70" w:rsidRPr="00370E70">
          <w:rPr>
            <w:noProof/>
            <w:color w:val="000000"/>
            <w:szCs w:val="22"/>
          </w:rPr>
          <w:t xml:space="preserve"> 1999</w:t>
        </w:r>
      </w:hyperlink>
      <w:r w:rsidR="00126051" w:rsidRPr="00370E70">
        <w:rPr>
          <w:noProof/>
          <w:color w:val="000000"/>
          <w:szCs w:val="22"/>
        </w:rPr>
        <w:t xml:space="preserve">; </w:t>
      </w:r>
      <w:hyperlink w:anchor="_ENREF_97" w:tooltip="Haynes, 2000 #7340" w:history="1">
        <w:r w:rsidR="00964A70" w:rsidRPr="00370E70">
          <w:rPr>
            <w:noProof/>
            <w:color w:val="000000"/>
            <w:szCs w:val="22"/>
          </w:rPr>
          <w:t>Haynes</w:t>
        </w:r>
        <w:r w:rsidR="00964A70" w:rsidRPr="00370E70">
          <w:rPr>
            <w:i/>
            <w:noProof/>
            <w:color w:val="000000"/>
            <w:szCs w:val="22"/>
          </w:rPr>
          <w:t xml:space="preserve"> et al.</w:t>
        </w:r>
        <w:r w:rsidR="00964A70" w:rsidRPr="00370E70">
          <w:rPr>
            <w:noProof/>
            <w:color w:val="000000"/>
            <w:szCs w:val="22"/>
          </w:rPr>
          <w:t xml:space="preserve"> 2000a</w:t>
        </w:r>
      </w:hyperlink>
      <w:r w:rsidR="00126051" w:rsidRPr="00370E70">
        <w:rPr>
          <w:noProof/>
          <w:color w:val="000000"/>
          <w:szCs w:val="22"/>
        </w:rPr>
        <w:t xml:space="preserve">; </w:t>
      </w:r>
      <w:hyperlink w:anchor="_ENREF_105" w:tooltip="Inglis, 2000 #5408" w:history="1">
        <w:r w:rsidR="00964A70" w:rsidRPr="00370E70">
          <w:rPr>
            <w:noProof/>
            <w:color w:val="000000"/>
            <w:szCs w:val="22"/>
          </w:rPr>
          <w:t>Inglis 2000</w:t>
        </w:r>
      </w:hyperlink>
      <w:r w:rsidR="00126051" w:rsidRPr="00370E70">
        <w:rPr>
          <w:noProof/>
          <w:color w:val="000000"/>
          <w:szCs w:val="22"/>
        </w:rPr>
        <w:t xml:space="preserve">; </w:t>
      </w:r>
      <w:hyperlink w:anchor="_ENREF_27" w:tooltip="Campbell, 2001 #9341" w:history="1">
        <w:r w:rsidR="00964A70" w:rsidRPr="00370E70">
          <w:rPr>
            <w:noProof/>
            <w:color w:val="000000"/>
            <w:szCs w:val="22"/>
          </w:rPr>
          <w:t>Campbell and McKenzie 2001</w:t>
        </w:r>
      </w:hyperlink>
      <w:r w:rsidR="00126051" w:rsidRPr="00370E70">
        <w:rPr>
          <w:noProof/>
          <w:color w:val="000000"/>
          <w:szCs w:val="22"/>
        </w:rPr>
        <w:t xml:space="preserve">; </w:t>
      </w:r>
      <w:hyperlink w:anchor="_ENREF_144" w:tooltip="Mellors, 2003 #7086" w:history="1">
        <w:r w:rsidR="00964A70" w:rsidRPr="00370E70">
          <w:rPr>
            <w:noProof/>
            <w:color w:val="000000"/>
            <w:szCs w:val="22"/>
          </w:rPr>
          <w:t>Mellors 2003</w:t>
        </w:r>
      </w:hyperlink>
      <w:r w:rsidR="00126051" w:rsidRPr="00370E70">
        <w:rPr>
          <w:noProof/>
          <w:color w:val="000000"/>
          <w:szCs w:val="22"/>
        </w:rPr>
        <w:t xml:space="preserve">; </w:t>
      </w:r>
      <w:hyperlink w:anchor="_ENREF_28" w:tooltip="Campbell, 2004 #2838" w:history="1">
        <w:r w:rsidR="00964A70" w:rsidRPr="00370E70">
          <w:rPr>
            <w:noProof/>
            <w:color w:val="000000"/>
            <w:szCs w:val="22"/>
          </w:rPr>
          <w:t>Campbell and McKenzie 2004</w:t>
        </w:r>
      </w:hyperlink>
      <w:r w:rsidR="00126051" w:rsidRPr="00370E70">
        <w:rPr>
          <w:noProof/>
          <w:color w:val="000000"/>
          <w:szCs w:val="22"/>
        </w:rPr>
        <w:t xml:space="preserve">; </w:t>
      </w:r>
      <w:hyperlink w:anchor="_ENREF_145" w:tooltip="Mellors, 2004 #8530" w:history="1">
        <w:r w:rsidR="00964A70" w:rsidRPr="00370E70">
          <w:rPr>
            <w:noProof/>
            <w:color w:val="000000"/>
            <w:szCs w:val="22"/>
          </w:rPr>
          <w:t>Mellors</w:t>
        </w:r>
        <w:r w:rsidR="00964A70" w:rsidRPr="00370E70">
          <w:rPr>
            <w:i/>
            <w:noProof/>
            <w:color w:val="000000"/>
            <w:szCs w:val="22"/>
          </w:rPr>
          <w:t xml:space="preserve"> et al.</w:t>
        </w:r>
        <w:r w:rsidR="00964A70" w:rsidRPr="00370E70">
          <w:rPr>
            <w:noProof/>
            <w:color w:val="000000"/>
            <w:szCs w:val="22"/>
          </w:rPr>
          <w:t xml:space="preserve"> 2004</w:t>
        </w:r>
      </w:hyperlink>
      <w:r w:rsidR="00126051" w:rsidRPr="00370E70">
        <w:rPr>
          <w:noProof/>
          <w:color w:val="000000"/>
          <w:szCs w:val="22"/>
        </w:rPr>
        <w:t xml:space="preserve">; </w:t>
      </w:r>
      <w:hyperlink w:anchor="_ENREF_121" w:tooltip="Limpus, 2005 #9691" w:history="1">
        <w:r w:rsidR="00964A70" w:rsidRPr="00370E70">
          <w:rPr>
            <w:noProof/>
            <w:color w:val="000000"/>
            <w:szCs w:val="22"/>
          </w:rPr>
          <w:t>Limpus</w:t>
        </w:r>
        <w:r w:rsidR="00964A70" w:rsidRPr="00370E70">
          <w:rPr>
            <w:i/>
            <w:noProof/>
            <w:color w:val="000000"/>
            <w:szCs w:val="22"/>
          </w:rPr>
          <w:t xml:space="preserve"> et al.</w:t>
        </w:r>
        <w:r w:rsidR="00964A70" w:rsidRPr="00370E70">
          <w:rPr>
            <w:noProof/>
            <w:color w:val="000000"/>
            <w:szCs w:val="22"/>
          </w:rPr>
          <w:t xml:space="preserve"> 2005</w:t>
        </w:r>
      </w:hyperlink>
      <w:r w:rsidR="00126051" w:rsidRPr="00370E70">
        <w:rPr>
          <w:noProof/>
          <w:color w:val="000000"/>
          <w:szCs w:val="22"/>
        </w:rPr>
        <w:t xml:space="preserve">; </w:t>
      </w:r>
      <w:hyperlink w:anchor="_ENREF_142" w:tooltip="McMahon, 2005 #7418" w:history="1">
        <w:r w:rsidR="00964A70" w:rsidRPr="00370E70">
          <w:rPr>
            <w:noProof/>
            <w:color w:val="000000"/>
            <w:szCs w:val="22"/>
          </w:rPr>
          <w:t>McMahon</w:t>
        </w:r>
        <w:r w:rsidR="00964A70" w:rsidRPr="00370E70">
          <w:rPr>
            <w:i/>
            <w:noProof/>
            <w:color w:val="000000"/>
            <w:szCs w:val="22"/>
          </w:rPr>
          <w:t xml:space="preserve"> et al.</w:t>
        </w:r>
        <w:r w:rsidR="00964A70" w:rsidRPr="00370E70">
          <w:rPr>
            <w:noProof/>
            <w:color w:val="000000"/>
            <w:szCs w:val="22"/>
          </w:rPr>
          <w:t xml:space="preserve"> 2005</w:t>
        </w:r>
      </w:hyperlink>
      <w:r w:rsidR="00126051" w:rsidRPr="00370E70">
        <w:rPr>
          <w:noProof/>
          <w:color w:val="000000"/>
          <w:szCs w:val="22"/>
        </w:rPr>
        <w:t xml:space="preserve">; </w:t>
      </w:r>
      <w:hyperlink w:anchor="_ENREF_122" w:tooltip="Lobb, 2006 #9758" w:history="1">
        <w:r w:rsidR="00964A70" w:rsidRPr="00370E70">
          <w:rPr>
            <w:noProof/>
            <w:color w:val="000000"/>
            <w:szCs w:val="22"/>
          </w:rPr>
          <w:t>Lobb 2006</w:t>
        </w:r>
      </w:hyperlink>
      <w:r w:rsidRPr="00370E70">
        <w:rPr>
          <w:color w:val="000000"/>
          <w:szCs w:val="22"/>
        </w:rPr>
        <w:fldChar w:fldCharType="end"/>
      </w:r>
      <w:r w:rsidRPr="00370E70">
        <w:rPr>
          <w:color w:val="000000"/>
          <w:szCs w:val="22"/>
        </w:rPr>
        <w:t>).</w:t>
      </w:r>
    </w:p>
    <w:p w:rsidR="00E454F0" w:rsidRPr="00370E70" w:rsidRDefault="00E454F0" w:rsidP="00E454F0">
      <w:pPr>
        <w:spacing w:before="240"/>
        <w:rPr>
          <w:color w:val="000000"/>
          <w:szCs w:val="22"/>
        </w:rPr>
      </w:pPr>
      <w:r w:rsidRPr="00370E70">
        <w:rPr>
          <w:color w:val="000000"/>
          <w:szCs w:val="22"/>
        </w:rPr>
        <w:t xml:space="preserve">To account for spatial heterogeneity of meadows within habitats, two sites were selected at each location. Meadows were selected using mapping surveys across the regions prior to site establishment.  Representative meadows were those which covered the greater extent of the resource, were generally the dominant seagrass community type and were within GBR average abundances (based on </w:t>
      </w:r>
      <w:r w:rsidRPr="00370E70">
        <w:rPr>
          <w:color w:val="000000"/>
          <w:szCs w:val="22"/>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ZXZlNTV4OXk1dmZkNmU5ZGFjeHRldzRlYXR2ZTJkemRzOWEiPjk3NTk8L2tleT48L2ZvcmVpZ24t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=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ZXZlNTV4OXk1dmZkNmU5ZGFjeHRldzRlYXR2ZTJkemRzOWEiPjk3NTk8L2tleT48L2ZvcmVpZ24t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=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38" w:tooltip="Coles, 2001 #9760" w:history="1">
        <w:r w:rsidR="00964A70" w:rsidRPr="00370E70">
          <w:rPr>
            <w:noProof/>
            <w:color w:val="000000"/>
            <w:szCs w:val="22"/>
          </w:rPr>
          <w:t>Coles</w:t>
        </w:r>
        <w:r w:rsidR="00964A70" w:rsidRPr="00370E70">
          <w:rPr>
            <w:i/>
            <w:noProof/>
            <w:color w:val="000000"/>
            <w:szCs w:val="22"/>
          </w:rPr>
          <w:t xml:space="preserve"> et al.</w:t>
        </w:r>
        <w:r w:rsidR="00964A70" w:rsidRPr="00370E70">
          <w:rPr>
            <w:noProof/>
            <w:color w:val="000000"/>
            <w:szCs w:val="22"/>
          </w:rPr>
          <w:t xml:space="preserve"> 2001a</w:t>
        </w:r>
      </w:hyperlink>
      <w:r w:rsidR="00126051" w:rsidRPr="00370E70">
        <w:rPr>
          <w:noProof/>
          <w:color w:val="000000"/>
          <w:szCs w:val="22"/>
        </w:rPr>
        <w:t xml:space="preserve">; </w:t>
      </w:r>
      <w:hyperlink w:anchor="_ENREF_40" w:tooltip="Coles, 2001 #9759" w:history="1">
        <w:r w:rsidR="00964A70" w:rsidRPr="00370E70">
          <w:rPr>
            <w:noProof/>
            <w:color w:val="000000"/>
            <w:szCs w:val="22"/>
          </w:rPr>
          <w:t>Coles</w:t>
        </w:r>
        <w:r w:rsidR="00964A70" w:rsidRPr="00370E70">
          <w:rPr>
            <w:i/>
            <w:noProof/>
            <w:color w:val="000000"/>
            <w:szCs w:val="22"/>
          </w:rPr>
          <w:t xml:space="preserve"> et al.</w:t>
        </w:r>
        <w:r w:rsidR="00964A70" w:rsidRPr="00370E70">
          <w:rPr>
            <w:noProof/>
            <w:color w:val="000000"/>
            <w:szCs w:val="22"/>
          </w:rPr>
          <w:t xml:space="preserve"> 2001c</w:t>
        </w:r>
      </w:hyperlink>
      <w:r w:rsidR="00126051" w:rsidRPr="00370E70">
        <w:rPr>
          <w:noProof/>
          <w:color w:val="000000"/>
          <w:szCs w:val="22"/>
        </w:rPr>
        <w:t xml:space="preserve">, </w:t>
      </w:r>
      <w:hyperlink w:anchor="_ENREF_39" w:tooltip="Coles, 2001 #9761" w:history="1">
        <w:r w:rsidR="00964A70" w:rsidRPr="00370E70">
          <w:rPr>
            <w:noProof/>
            <w:color w:val="000000"/>
            <w:szCs w:val="22"/>
          </w:rPr>
          <w:t>2001b</w:t>
        </w:r>
      </w:hyperlink>
      <w:r w:rsidR="00126051" w:rsidRPr="00370E70">
        <w:rPr>
          <w:noProof/>
          <w:color w:val="000000"/>
          <w:szCs w:val="22"/>
        </w:rPr>
        <w:t xml:space="preserve">, </w:t>
      </w:r>
      <w:hyperlink w:anchor="_ENREF_41" w:tooltip="Coles, 2001 #9762" w:history="1">
        <w:r w:rsidR="00964A70" w:rsidRPr="00370E70">
          <w:rPr>
            <w:noProof/>
            <w:color w:val="000000"/>
            <w:szCs w:val="22"/>
          </w:rPr>
          <w:t>2001d</w:t>
        </w:r>
      </w:hyperlink>
      <w:r w:rsidRPr="00370E70">
        <w:rPr>
          <w:color w:val="000000"/>
          <w:szCs w:val="22"/>
        </w:rPr>
        <w:fldChar w:fldCharType="end"/>
      </w:r>
      <w:r w:rsidRPr="00370E70">
        <w:rPr>
          <w:color w:val="000000"/>
          <w:szCs w:val="22"/>
        </w:rPr>
        <w:t>). Ideally mapping was conducted immediately prior to site positioning, however in most cases it was based on historic (&gt;5yr) information. The final constraint on site selection was that the Minimum Detectable Difference (MDD) had to be below 20% (at the 5% level of significance with 80% power) (</w:t>
      </w:r>
      <w:hyperlink w:anchor="_ENREF_24" w:tooltip="Bros, 1987 #9156" w:history="1">
        <w:r w:rsidR="00964A70" w:rsidRPr="00370E70">
          <w:rPr>
            <w:color w:val="000000"/>
            <w:szCs w:val="22"/>
          </w:rPr>
          <w:fldChar w:fldCharType="begin"/>
        </w:r>
        <w:r w:rsidR="00964A70" w:rsidRPr="00370E70">
          <w:rPr>
            <w:color w:val="000000"/>
            <w:szCs w:val="22"/>
          </w:rPr>
          <w:instrText xml:space="preserve"> ADDIN EN.CITE &lt;EndNote&gt;&lt;Cite&gt;&lt;Author&gt;Bros&lt;/Author&gt;&lt;Year&gt;1987&lt;/Year&gt;&lt;RecNum&gt;9156&lt;/RecNum&gt;&lt;DisplayText&gt;Bros and Cowell 1987&lt;/DisplayText&gt;&lt;record&gt;&lt;rec-number&gt;9156&lt;/rec-number&gt;&lt;foreign-keys&gt;&lt;key app="EN" db-id="0eve55x9y5vfd6e9dacxtew4eatve2dzds9a"&gt;9156&lt;/key&gt;&lt;/foreign-keys&gt;&lt;ref-type name="Journal Article"&gt;17&lt;/ref-type&gt;&lt;contributors&gt;&lt;authors&gt;&lt;author&gt;Bros, W.E.&lt;/author&gt;&lt;author&gt;Cowell, B.C.&lt;/author&gt;&lt;/authors&gt;&lt;/contributors&gt;&lt;titles&gt;&lt;title&gt;A technique for optimising sample size (replication)&lt;/title&gt;&lt;secondary-title&gt;Journal of  Experimental Marine Biology and Ecology&lt;/secondary-title&gt;&lt;/titles&gt;&lt;periodical&gt;&lt;full-title&gt;Journal of  Experimental Marine Biology and Ecology&lt;/full-title&gt;&lt;/periodical&gt;&lt;pages&gt;63-71&lt;/pages&gt;&lt;volume&gt;114&lt;/volume&gt;&lt;dates&gt;&lt;year&gt;1987&lt;/year&gt;&lt;/dates&gt;&lt;urls&gt;&lt;/urls&gt;&lt;/record&gt;&lt;/Cite&gt;&lt;/EndNote&gt;</w:instrText>
        </w:r>
        <w:r w:rsidR="00964A70" w:rsidRPr="00370E70">
          <w:rPr>
            <w:color w:val="000000"/>
            <w:szCs w:val="22"/>
          </w:rPr>
          <w:fldChar w:fldCharType="separate"/>
        </w:r>
        <w:r w:rsidR="00964A70" w:rsidRPr="00370E70">
          <w:rPr>
            <w:noProof/>
            <w:color w:val="000000"/>
            <w:szCs w:val="22"/>
          </w:rPr>
          <w:t>Bros and Cowell 1987</w:t>
        </w:r>
        <w:r w:rsidR="00964A70" w:rsidRPr="00370E70">
          <w:rPr>
            <w:color w:val="000000"/>
            <w:szCs w:val="22"/>
          </w:rPr>
          <w:fldChar w:fldCharType="end"/>
        </w:r>
      </w:hyperlink>
      <w:r w:rsidRPr="00370E70">
        <w:rPr>
          <w:color w:val="000000"/>
          <w:szCs w:val="22"/>
        </w:rPr>
        <w:t>).</w:t>
      </w:r>
    </w:p>
    <w:p w:rsidR="00E454F0" w:rsidRPr="00370E70" w:rsidRDefault="00E454F0" w:rsidP="00E454F0">
      <w:pPr>
        <w:spacing w:before="240"/>
        <w:rPr>
          <w:color w:val="000000"/>
          <w:szCs w:val="22"/>
        </w:rPr>
      </w:pPr>
    </w:p>
    <w:p w:rsidR="00E454F0" w:rsidRPr="00370E70" w:rsidRDefault="00E454F0" w:rsidP="00E454F0">
      <w:pPr>
        <w:spacing w:before="240"/>
        <w:rPr>
          <w:color w:val="000000"/>
          <w:szCs w:val="22"/>
        </w:rPr>
      </w:pPr>
    </w:p>
    <w:p w:rsidR="00E454F0" w:rsidRPr="00370E70" w:rsidRDefault="00E454F0" w:rsidP="00E454F0">
      <w:pPr>
        <w:spacing w:before="240"/>
        <w:rPr>
          <w:color w:val="000000"/>
          <w:szCs w:val="22"/>
        </w:rPr>
      </w:pPr>
      <w:r w:rsidRPr="00370E70">
        <w:rPr>
          <w:color w:val="000000"/>
          <w:szCs w:val="22"/>
        </w:rPr>
        <w:lastRenderedPageBreak/>
        <w:t xml:space="preserve">From the onset, inshore seagrass monitoring for the MMP was focused primarily on </w:t>
      </w:r>
      <w:r w:rsidR="00CC5703" w:rsidRPr="00370E70">
        <w:rPr>
          <w:color w:val="000000"/>
          <w:szCs w:val="22"/>
        </w:rPr>
        <w:t xml:space="preserve">lower littoral </w:t>
      </w:r>
      <w:r w:rsidRPr="00370E70">
        <w:rPr>
          <w:color w:val="000000"/>
          <w:szCs w:val="22"/>
        </w:rPr>
        <w:t>seagrass meadows due to:</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accessibility and cost effectiveness (limiting use of vessels and divers)</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Work Place Health and Safety due to dangerous marine animals (e.g., crocodiles, box jellyfish and irukandji)</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occurrence of meadows in estuarine, coastal and reef habitats across the entire GBR, and</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 xml:space="preserve">provides an opportunity for community involvement, ensuring broad acceptance and ownership of Reef Rescue by the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and Australian community.</w:t>
      </w:r>
    </w:p>
    <w:p w:rsidR="00E454F0" w:rsidRPr="00370E70" w:rsidRDefault="00E454F0" w:rsidP="00E454F0">
      <w:pPr>
        <w:spacing w:before="240"/>
        <w:rPr>
          <w:color w:val="000000"/>
          <w:szCs w:val="22"/>
        </w:rPr>
      </w:pPr>
      <w:r w:rsidRPr="00370E70">
        <w:rPr>
          <w:color w:val="000000"/>
          <w:szCs w:val="22"/>
        </w:rPr>
        <w:t xml:space="preserve">Although considered intertidal within the MMP, the meadows chosen for monitoring were in fact lower littoral (rarely not inundated) and sub littoral (permanently covered with water). This limited monitoring to the very low spring tides within small tidal windows (mostly 2-4hrs per day for </w:t>
      </w:r>
      <w:r w:rsidR="00B563A1" w:rsidRPr="00370E70">
        <w:rPr>
          <w:color w:val="000000"/>
          <w:szCs w:val="22"/>
        </w:rPr>
        <w:t>1-2</w:t>
      </w:r>
      <w:r w:rsidRPr="00370E70">
        <w:rPr>
          <w:color w:val="000000"/>
          <w:szCs w:val="22"/>
        </w:rPr>
        <w:t xml:space="preserve"> days per month for 6-8 months of the year). Traditional approaches using seagrass monitoring to assess water quality have been developed for subtidal meadows typified by small tidal ranges (e.g., Florida = 0.7m, Chesapeake Bay = 0.6m) and clear waters where the seaward edges of meadows were only determined by light (</w:t>
      </w:r>
      <w:hyperlink w:anchor="_ENREF_69" w:tooltip="EHMP, 2008 #9478" w:history="1">
        <w:r w:rsidR="00964A70" w:rsidRPr="00370E70">
          <w:rPr>
            <w:color w:val="000000"/>
            <w:szCs w:val="22"/>
          </w:rPr>
          <w:fldChar w:fldCharType="begin"/>
        </w:r>
        <w:r w:rsidR="00964A70" w:rsidRPr="00370E70">
          <w:rPr>
            <w:color w:val="000000"/>
            <w:szCs w:val="22"/>
          </w:rPr>
          <w:instrText xml:space="preserve"> ADDIN EN.CITE &lt;EndNote&gt;&lt;Cite&gt;&lt;Author&gt;EHMP&lt;/Author&gt;&lt;Year&gt;2008&lt;/Year&gt;&lt;RecNum&gt;9478&lt;/RecNum&gt;&lt;DisplayText&gt;EHMP 2008&lt;/DisplayText&gt;&lt;record&gt;&lt;rec-number&gt;9478&lt;/rec-number&gt;&lt;foreign-keys&gt;&lt;key app="EN" db-id="0eve55x9y5vfd6e9dacxtew4eatve2dzds9a"&gt;9478&lt;/key&gt;&lt;/foreign-keys&gt;&lt;ref-type name="Book"&gt;6&lt;/ref-type&gt;&lt;contributors&gt;&lt;authors&gt;&lt;author&gt;EHMP,&lt;/author&gt;&lt;/authors&gt;&lt;/contributors&gt;&lt;titles&gt;&lt;title&gt;Ecosystem Health Monitoring Program 2006-07: Annual Technical Report&lt;/title&gt;&lt;/titles&gt;&lt;section&gt;18-43&lt;/section&gt;&lt;dates&gt;&lt;year&gt;2008&lt;/year&gt;&lt;/dates&gt;&lt;pub-location&gt;Brisbane&lt;/pub-location&gt;&lt;publisher&gt;South East Queensland Healthy Waterways Partnership&lt;/publisher&gt;&lt;urls&gt;&lt;/urls&gt;&lt;/record&gt;&lt;/Cite&gt;&lt;/EndNote&gt;</w:instrText>
        </w:r>
        <w:r w:rsidR="00964A70" w:rsidRPr="00370E70">
          <w:rPr>
            <w:color w:val="000000"/>
            <w:szCs w:val="22"/>
          </w:rPr>
          <w:fldChar w:fldCharType="separate"/>
        </w:r>
        <w:r w:rsidR="00964A70" w:rsidRPr="00370E70">
          <w:rPr>
            <w:noProof/>
            <w:color w:val="000000"/>
            <w:szCs w:val="22"/>
          </w:rPr>
          <w:t>EHMP 2008</w:t>
        </w:r>
        <w:r w:rsidR="00964A70" w:rsidRPr="00370E70">
          <w:rPr>
            <w:color w:val="000000"/>
            <w:szCs w:val="22"/>
          </w:rPr>
          <w:fldChar w:fldCharType="end"/>
        </w:r>
      </w:hyperlink>
      <w:r w:rsidRPr="00370E70">
        <w:rPr>
          <w:color w:val="000000"/>
          <w:szCs w:val="22"/>
        </w:rPr>
        <w:t>). Unfortunately, depth range monitoring in subtropical/tropical seagrass meadows has not been as successful as initially expected (e.g. Moreton Bay ) and seagrass meadows within the Great Barrier Reef lagoon do not conform to traditional ecosystem models because of the system complexity (</w:t>
      </w:r>
      <w:hyperlink w:anchor="_ENREF_31" w:tooltip="Carruthers, 2002 #8021" w:history="1">
        <w:r w:rsidR="00964A70" w:rsidRPr="00370E70">
          <w:rPr>
            <w:color w:val="000000"/>
            <w:szCs w:val="22"/>
          </w:rPr>
          <w:fldChar w:fldCharType="begin"/>
        </w:r>
        <w:r w:rsidR="00964A70" w:rsidRPr="00370E70">
          <w:rPr>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color w:val="000000"/>
            <w:szCs w:val="22"/>
          </w:rPr>
          <w:fldChar w:fldCharType="separate"/>
        </w:r>
        <w:r w:rsidR="00964A70" w:rsidRPr="00370E70">
          <w:rPr>
            <w:noProof/>
            <w:color w:val="000000"/>
            <w:szCs w:val="22"/>
          </w:rPr>
          <w:t>Carruthers</w:t>
        </w:r>
        <w:r w:rsidR="00964A70" w:rsidRPr="00370E70">
          <w:rPr>
            <w:i/>
            <w:noProof/>
            <w:color w:val="000000"/>
            <w:szCs w:val="22"/>
          </w:rPr>
          <w:t>, et al.</w:t>
        </w:r>
        <w:r w:rsidR="00964A70" w:rsidRPr="00370E70">
          <w:rPr>
            <w:noProof/>
            <w:color w:val="000000"/>
            <w:szCs w:val="22"/>
          </w:rPr>
          <w:t xml:space="preserve"> 2002</w:t>
        </w:r>
        <w:r w:rsidR="00964A70" w:rsidRPr="00370E70">
          <w:rPr>
            <w:color w:val="000000"/>
            <w:szCs w:val="22"/>
          </w:rPr>
          <w:fldChar w:fldCharType="end"/>
        </w:r>
      </w:hyperlink>
      <w:r w:rsidRPr="00370E70">
        <w:rPr>
          <w:color w:val="000000"/>
          <w:szCs w:val="22"/>
        </w:rPr>
        <w:t>), including:</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a variety of habitat types (estuarine, coastal, reef and deepwater);</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a large variety of seagrass species with differencing life history traits and strategies;</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tidal ranges spanning 3.42m (</w:t>
      </w:r>
      <w:smartTag w:uri="urn:schemas-microsoft-com:office:smarttags" w:element="place">
        <w:smartTag w:uri="urn:schemas-microsoft-com:office:smarttags" w:element="City">
          <w:r w:rsidRPr="00370E70">
            <w:rPr>
              <w:color w:val="000000"/>
              <w:szCs w:val="22"/>
            </w:rPr>
            <w:t>Cairns</w:t>
          </w:r>
        </w:smartTag>
      </w:smartTag>
      <w:r w:rsidRPr="00370E70">
        <w:rPr>
          <w:color w:val="000000"/>
          <w:szCs w:val="22"/>
        </w:rPr>
        <w:t>) to 7.14m (Hay Point) (www.msq.qld.gov.au);</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a variety of substrates, from terrigenous with high organic content, to oligotrophic calcium carbonate;</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turbid nearshore to clearer offshore waters;</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large herbivorous marine mammals and reptiles influencing meadow community</w:t>
      </w:r>
      <w:r w:rsidR="00B563A1" w:rsidRPr="00370E70">
        <w:rPr>
          <w:color w:val="000000"/>
          <w:szCs w:val="22"/>
        </w:rPr>
        <w:t xml:space="preserve"> </w:t>
      </w:r>
      <w:r w:rsidRPr="00370E70">
        <w:rPr>
          <w:color w:val="000000"/>
          <w:szCs w:val="22"/>
        </w:rPr>
        <w:t>structure and landscapes;</w:t>
      </w:r>
    </w:p>
    <w:p w:rsidR="00E454F0" w:rsidRPr="00370E70" w:rsidRDefault="00E454F0" w:rsidP="00E454F0">
      <w:pPr>
        <w:numPr>
          <w:ilvl w:val="0"/>
          <w:numId w:val="40"/>
        </w:numPr>
        <w:tabs>
          <w:tab w:val="clear" w:pos="360"/>
          <w:tab w:val="num" w:pos="709"/>
        </w:tabs>
        <w:spacing w:before="0" w:after="0"/>
        <w:ind w:left="709" w:hanging="349"/>
        <w:rPr>
          <w:color w:val="000000"/>
          <w:szCs w:val="22"/>
        </w:rPr>
      </w:pPr>
      <w:r w:rsidRPr="00370E70">
        <w:rPr>
          <w:color w:val="000000"/>
          <w:szCs w:val="22"/>
        </w:rPr>
        <w:t>near absence of shallow subtidal meadows south of the Whitsundays due to the large tides which scour the seabed.</w:t>
      </w:r>
    </w:p>
    <w:p w:rsidR="00E454F0" w:rsidRPr="00370E70" w:rsidRDefault="00B563A1" w:rsidP="00E454F0">
      <w:pPr>
        <w:spacing w:before="240"/>
        <w:rPr>
          <w:color w:val="000000"/>
          <w:szCs w:val="22"/>
        </w:rPr>
      </w:pPr>
      <w:r w:rsidRPr="00370E70">
        <w:rPr>
          <w:color w:val="000000"/>
          <w:szCs w:val="22"/>
        </w:rPr>
        <w:t>Deepwater (&gt;15m)</w:t>
      </w:r>
      <w:r w:rsidR="00E454F0" w:rsidRPr="00370E70">
        <w:rPr>
          <w:color w:val="000000"/>
          <w:szCs w:val="22"/>
        </w:rPr>
        <w:t xml:space="preserve"> meadows across the GBR are predominately dominated by </w:t>
      </w:r>
      <w:r w:rsidR="00E454F0" w:rsidRPr="00370E70">
        <w:rPr>
          <w:i/>
          <w:color w:val="000000"/>
          <w:szCs w:val="22"/>
        </w:rPr>
        <w:t>Halophila</w:t>
      </w:r>
      <w:r w:rsidR="00E454F0" w:rsidRPr="00370E70">
        <w:rPr>
          <w:color w:val="000000"/>
          <w:szCs w:val="22"/>
        </w:rPr>
        <w:t xml:space="preserve"> species and are highly variable in abundance and distribution (</w:t>
      </w:r>
      <w:hyperlink w:anchor="_ENREF_116" w:tooltip="Lee Long, 2000 #5782" w:history="1">
        <w:r w:rsidR="00964A70" w:rsidRPr="00370E70">
          <w:rPr>
            <w:color w:val="000000"/>
            <w:szCs w:val="22"/>
          </w:rPr>
          <w:fldChar w:fldCharType="begin"/>
        </w:r>
        <w:r w:rsidR="00964A70" w:rsidRPr="00370E70">
          <w:rPr>
            <w:color w:val="000000"/>
            <w:szCs w:val="22"/>
          </w:rPr>
          <w:instrText xml:space="preserve"> ADDIN EN.CITE &lt;EndNote&gt;&lt;Cite&gt;&lt;Author&gt;Lee Long&lt;/Author&gt;&lt;Year&gt;2000&lt;/Year&gt;&lt;RecNum&gt;5782&lt;/RecNum&gt;&lt;DisplayText&gt;Lee Long&lt;style face="italic"&gt; et al.&lt;/style&gt; 2000&lt;/DisplayText&gt;&lt;record&gt;&lt;rec-number&gt;5782&lt;/rec-number&gt;&lt;foreign-keys&gt;&lt;key app="EN" db-id="0eve55x9y5vfd6e9dacxtew4eatve2dzds9a"&gt;5782&lt;/key&gt;&lt;/foreign-keys&gt;&lt;ref-type name="Journal Article"&gt;17&lt;/ref-type&gt;&lt;contributors&gt;&lt;authors&gt;&lt;author&gt;Lee Long, Warren J&lt;/author&gt;&lt;author&gt;Coles, Robert G&lt;/author&gt;&lt;author&gt;McKenzie, Len J&lt;/author&gt;&lt;/authors&gt;&lt;/contributors&gt;&lt;titles&gt;&lt;title&gt;Issues for Seagrass conservation management in Queensland&lt;/title&gt;&lt;secondary-title&gt;Pacific Conservation Biology&lt;/secondary-title&gt;&lt;/titles&gt;&lt;periodical&gt;&lt;full-title&gt;Pacific Conservation Biology&lt;/full-title&gt;&lt;/periodical&gt;&lt;pages&gt;321-328&lt;/pages&gt;&lt;volume&gt;5&lt;/volume&gt;&lt;number&gt;4&lt;/number&gt;&lt;dates&gt;&lt;year&gt;2000&lt;/year&gt;&lt;/dates&gt;&lt;urls&gt;&lt;/urls&gt;&lt;/record&gt;&lt;/Cite&gt;&lt;/EndNote&gt;</w:instrText>
        </w:r>
        <w:r w:rsidR="00964A70" w:rsidRPr="00370E70">
          <w:rPr>
            <w:color w:val="000000"/>
            <w:szCs w:val="22"/>
          </w:rPr>
          <w:fldChar w:fldCharType="separate"/>
        </w:r>
        <w:r w:rsidR="00964A70" w:rsidRPr="00370E70">
          <w:rPr>
            <w:noProof/>
            <w:color w:val="000000"/>
            <w:szCs w:val="22"/>
          </w:rPr>
          <w:t>Lee Long</w:t>
        </w:r>
        <w:r w:rsidR="00964A70" w:rsidRPr="00370E70">
          <w:rPr>
            <w:i/>
            <w:noProof/>
            <w:color w:val="000000"/>
            <w:szCs w:val="22"/>
          </w:rPr>
          <w:t xml:space="preserve"> et al.</w:t>
        </w:r>
        <w:r w:rsidR="00964A70" w:rsidRPr="00370E70">
          <w:rPr>
            <w:noProof/>
            <w:color w:val="000000"/>
            <w:szCs w:val="22"/>
          </w:rPr>
          <w:t xml:space="preserve"> 2000</w:t>
        </w:r>
        <w:r w:rsidR="00964A70" w:rsidRPr="00370E70">
          <w:rPr>
            <w:color w:val="000000"/>
            <w:szCs w:val="22"/>
          </w:rPr>
          <w:fldChar w:fldCharType="end"/>
        </w:r>
      </w:hyperlink>
      <w:r w:rsidR="00E454F0" w:rsidRPr="00370E70">
        <w:rPr>
          <w:color w:val="000000"/>
          <w:szCs w:val="22"/>
        </w:rPr>
        <w:t>). Due to this high variability they are generally not recommended for monitoring as the Minimum Detectable Difference (MDD) is very poor at the 5% level of significance with 80% power (</w:t>
      </w:r>
      <w:hyperlink w:anchor="_ENREF_136" w:tooltip="McKenzie, 1998 #6844"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&lt;EndNote&gt;&lt;Cite&gt;&lt;Author&gt;McKenzie&lt;/Author&gt;&lt;Year&gt;1998&lt;/Year&gt;&lt;RecNum&gt;6844&lt;/RecNum&gt;&lt;DisplayText&gt;McKenzie&lt;style face="italic"&gt; et al.&lt;/style&gt; 1998&lt;/DisplayText&gt;&lt;record&gt;&lt;rec-number&gt;6844&lt;/rec-number&gt;&lt;foreign-keys&gt;&lt;key app="EN" db-id="0eve55x9y5vfd6e9dacxtew4eatve2dzds9a"&gt;6844&lt;/key&gt;&lt;/foreign-keys&gt;&lt;ref-type name="Book"&gt;6&lt;/ref-type&gt;&lt;contributors&gt;&lt;authors&gt;&lt;author&gt;McKenzie, Len J&lt;/author&gt;&lt;author&gt;Lee Long, W. J.&lt;/author&gt;&lt;author&gt;Roelofs, A&lt;/author&gt;&lt;author&gt;Roder, C A&lt;/author&gt;&lt;author&gt;Coles, R&lt;/author&gt;&lt;/authors&gt;&lt;/contributors&gt;&lt;titles&gt;&lt;title&gt;Port of Mourilyin seagrass monitoring - first four years. EcoPorts Monograph Serie No. 15.&lt;/title&gt;&lt;/titles&gt;&lt;pages&gt;30&lt;/pages&gt;&lt;dates&gt;&lt;year&gt;1998&lt;/year&gt;&lt;/dates&gt;&lt;pub-location&gt;Brisbane&lt;/pub-location&gt;&lt;publisher&gt;Ports Corporation of Queensland&lt;/publisher&gt;&lt;urls&gt;&lt;/urls&gt;&lt;/record&gt;&lt;/Cite&gt;&lt;/EndNote&gt;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xml:space="preserve"> et al.</w:t>
        </w:r>
        <w:r w:rsidR="00964A70" w:rsidRPr="00370E70">
          <w:rPr>
            <w:noProof/>
            <w:color w:val="000000"/>
            <w:szCs w:val="22"/>
          </w:rPr>
          <w:t xml:space="preserve"> 1998</w:t>
        </w:r>
        <w:r w:rsidR="00964A70" w:rsidRPr="00370E70">
          <w:rPr>
            <w:color w:val="000000"/>
            <w:szCs w:val="22"/>
          </w:rPr>
          <w:fldChar w:fldCharType="end"/>
        </w:r>
      </w:hyperlink>
      <w:r w:rsidR="00E454F0" w:rsidRPr="00370E70">
        <w:rPr>
          <w:color w:val="000000"/>
          <w:szCs w:val="22"/>
        </w:rPr>
        <w:t xml:space="preserve">). Predominately stable lower littoral meadows of foundation species (e.g., </w:t>
      </w:r>
      <w:r w:rsidR="00E454F0" w:rsidRPr="00370E70">
        <w:rPr>
          <w:i/>
          <w:color w:val="000000"/>
          <w:szCs w:val="22"/>
        </w:rPr>
        <w:t>Zostera</w:t>
      </w:r>
      <w:r w:rsidR="00E454F0" w:rsidRPr="00370E70">
        <w:rPr>
          <w:color w:val="000000"/>
          <w:szCs w:val="22"/>
        </w:rPr>
        <w:t xml:space="preserve">) are best for determining significant change/impact (McKenzie </w:t>
      </w:r>
      <w:r w:rsidR="00E454F0" w:rsidRPr="00370E70">
        <w:rPr>
          <w:i/>
          <w:color w:val="000000"/>
          <w:szCs w:val="22"/>
        </w:rPr>
        <w:t>et al.</w:t>
      </w:r>
      <w:r w:rsidR="00E454F0" w:rsidRPr="00370E70">
        <w:rPr>
          <w:color w:val="000000"/>
          <w:szCs w:val="22"/>
        </w:rPr>
        <w:t xml:space="preserve"> 1998). Nevertheless, where possible, shallow (&lt;1.5m below Lowest Astronomical Tide) subtidal monitoring has been conducted since October 2009 at locations in the Burdekin and Wet Tropics regions. These sites were chosen as they were dominated by species similar to adjacent lower littoral meadows.</w:t>
      </w:r>
    </w:p>
    <w:p w:rsidR="00E454F0" w:rsidRPr="00370E70" w:rsidRDefault="00E454F0" w:rsidP="00E454F0">
      <w:pPr>
        <w:rPr>
          <w:color w:val="000000"/>
          <w:szCs w:val="22"/>
        </w:rPr>
      </w:pPr>
      <w:r w:rsidRPr="00370E70">
        <w:rPr>
          <w:color w:val="000000"/>
          <w:szCs w:val="22"/>
        </w:rPr>
        <w:t>Due to the high diversity of seagrass species across the GBR, it was decided in consultation with GBRMPA to direct monitoring toward the foundation seagrass species across the seagrass habitats. A foundation species is the dominant primary producer in an ecosystem both in terms of abundance and influence, playing central roles in sustaining ecosystem services (</w:t>
      </w:r>
      <w:hyperlink w:anchor="_ENREF_4" w:tooltip="Angelini, 2011 #9077" w:history="1">
        <w:r w:rsidR="00964A70" w:rsidRPr="00370E70">
          <w:rPr>
            <w:color w:val="000000"/>
            <w:szCs w:val="22"/>
          </w:rPr>
          <w:fldChar w:fldCharType="begin"/>
        </w:r>
        <w:r w:rsidR="00964A70" w:rsidRPr="00370E70">
          <w:rPr>
            <w:color w:val="000000"/>
            <w:szCs w:val="22"/>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00964A70" w:rsidRPr="00370E70">
          <w:rPr>
            <w:color w:val="000000"/>
            <w:szCs w:val="22"/>
          </w:rPr>
          <w:fldChar w:fldCharType="separate"/>
        </w:r>
        <w:r w:rsidR="00964A70" w:rsidRPr="00370E70">
          <w:rPr>
            <w:noProof/>
            <w:color w:val="000000"/>
            <w:szCs w:val="22"/>
          </w:rPr>
          <w:t>Angelini</w:t>
        </w:r>
        <w:r w:rsidR="00964A70" w:rsidRPr="00370E70">
          <w:rPr>
            <w:i/>
            <w:noProof/>
            <w:color w:val="000000"/>
            <w:szCs w:val="22"/>
          </w:rPr>
          <w:t xml:space="preserve"> et al.</w:t>
        </w:r>
        <w:r w:rsidR="00964A70" w:rsidRPr="00370E70">
          <w:rPr>
            <w:noProof/>
            <w:color w:val="000000"/>
            <w:szCs w:val="22"/>
          </w:rPr>
          <w:t xml:space="preserve"> 2011</w:t>
        </w:r>
        <w:r w:rsidR="00964A70" w:rsidRPr="00370E70">
          <w:rPr>
            <w:color w:val="000000"/>
            <w:szCs w:val="22"/>
          </w:rPr>
          <w:fldChar w:fldCharType="end"/>
        </w:r>
      </w:hyperlink>
      <w:r w:rsidRPr="00370E70">
        <w:rPr>
          <w:color w:val="000000"/>
          <w:szCs w:val="22"/>
        </w:rPr>
        <w:t xml:space="preserve">). The activities of foundation species physically modify the environment and produce and maintain habitats that benefit other organisms that use those habitats. For the seagrass habitats assessed in the MMP, the foundation seagrass species were those species which typified the habitats both in abundance and structure when the meadow was considered in </w:t>
      </w:r>
      <w:proofErr w:type="gramStart"/>
      <w:r w:rsidRPr="00370E70">
        <w:rPr>
          <w:color w:val="000000"/>
          <w:szCs w:val="22"/>
        </w:rPr>
        <w:t>it's</w:t>
      </w:r>
      <w:proofErr w:type="gramEnd"/>
      <w:r w:rsidRPr="00370E70">
        <w:rPr>
          <w:color w:val="000000"/>
          <w:szCs w:val="22"/>
        </w:rPr>
        <w:t xml:space="preserve"> steady state (</w:t>
      </w:r>
      <w:r w:rsidRPr="00370E70">
        <w:fldChar w:fldCharType="begin"/>
      </w:r>
      <w:r w:rsidRPr="00370E70">
        <w:instrText xml:space="preserve"> REF _Ref316450644 \h  \* MERGEFORMAT </w:instrText>
      </w:r>
      <w:r w:rsidRPr="00370E70">
        <w:fldChar w:fldCharType="separate"/>
      </w:r>
      <w:r w:rsidR="005B5FD6" w:rsidRPr="005B5FD6">
        <w:rPr>
          <w:szCs w:val="22"/>
        </w:rPr>
        <w:t xml:space="preserve">Figure </w:t>
      </w:r>
      <w:r w:rsidR="005B5FD6" w:rsidRPr="005B5FD6">
        <w:rPr>
          <w:noProof/>
          <w:color w:val="000000"/>
          <w:szCs w:val="22"/>
        </w:rPr>
        <w:t>3</w:t>
      </w:r>
      <w:r w:rsidRPr="00370E70">
        <w:fldChar w:fldCharType="end"/>
      </w:r>
      <w:r w:rsidRPr="00370E70">
        <w:rPr>
          <w:color w:val="000000"/>
          <w:szCs w:val="22"/>
        </w:rPr>
        <w:t>). The foundation species were all di-meristematic leaf-replacing forms.</w:t>
      </w:r>
    </w:p>
    <w:p w:rsidR="005132EF" w:rsidRPr="00370E70" w:rsidRDefault="005132EF" w:rsidP="009D1ECE">
      <w:pPr>
        <w:spacing w:before="240"/>
        <w:rPr>
          <w:color w:val="000000"/>
          <w:szCs w:val="22"/>
        </w:rPr>
      </w:pPr>
    </w:p>
    <w:p w:rsidR="005132EF" w:rsidRPr="00370E70" w:rsidRDefault="007B15AB" w:rsidP="00536F8F">
      <w:pPr>
        <w:keepNext/>
        <w:spacing w:before="240"/>
        <w:jc w:val="center"/>
        <w:rPr>
          <w:color w:val="000000"/>
          <w:szCs w:val="22"/>
        </w:rPr>
      </w:pPr>
      <w:r>
        <w:rPr>
          <w:noProof/>
          <w:color w:val="000000"/>
          <w:szCs w:val="22"/>
          <w:lang w:eastAsia="en-AU"/>
        </w:rPr>
        <w:lastRenderedPageBreak/>
        <w:drawing>
          <wp:inline distT="0" distB="0" distL="0" distR="0">
            <wp:extent cx="4752340" cy="5254625"/>
            <wp:effectExtent l="0" t="0" r="0" b="3175"/>
            <wp:docPr id="3" name="Picture 17" descr="Illustration depicting rates of seagrass recovery after loss and the categories of successional species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llustration depicting rates of seagrass recovery after loss and the categories of successional species over tim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52340" cy="5254625"/>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37" w:name="_Ref316450644"/>
      <w:bookmarkStart w:id="38" w:name="_Toc38419635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w:t>
      </w:r>
      <w:r w:rsidRPr="00370E70">
        <w:rPr>
          <w:lang w:val="en-AU"/>
        </w:rPr>
        <w:fldChar w:fldCharType="end"/>
      </w:r>
      <w:bookmarkEnd w:id="37"/>
      <w:r w:rsidRPr="00370E70">
        <w:rPr>
          <w:rStyle w:val="StyleCaptionCaptionCharCharLatinCalibri11ptBlackChar"/>
          <w:lang w:val="en-AU"/>
        </w:rPr>
        <w:t>.</w:t>
      </w:r>
      <w:r w:rsidRPr="00370E70">
        <w:rPr>
          <w:lang w:val="en-AU"/>
        </w:rPr>
        <w:t xml:space="preserve"> </w:t>
      </w:r>
      <w:r w:rsidRPr="00370E70">
        <w:rPr>
          <w:i/>
          <w:lang w:val="en-AU"/>
        </w:rPr>
        <w:t>Illustration of seagrass recovery after loss and the categories of successional species over time</w:t>
      </w:r>
      <w:bookmarkEnd w:id="38"/>
    </w:p>
    <w:p w:rsidR="0033652B" w:rsidRPr="00370E70" w:rsidRDefault="00CC5703" w:rsidP="0033652B">
      <w:pPr>
        <w:pStyle w:val="Caption"/>
        <w:rPr>
          <w:i/>
          <w:lang w:val="en-AU"/>
        </w:rPr>
      </w:pPr>
      <w:r w:rsidRPr="00370E70">
        <w:rPr>
          <w:i/>
          <w:lang w:val="en-AU"/>
        </w:rPr>
        <w:t xml:space="preserve"> (from </w:t>
      </w:r>
      <w:hyperlink w:anchor="_ENREF_134" w:tooltip="McKenzie, 2012 #9287" w:history="1">
        <w:r w:rsidR="00964A70" w:rsidRPr="00370E70">
          <w:rPr>
            <w:i/>
            <w:lang w:val="en-AU"/>
          </w:rPr>
          <w:fldChar w:fldCharType="begin"/>
        </w:r>
        <w:r w:rsidR="00964A70" w:rsidRPr="00370E70">
          <w:rPr>
            <w:i/>
            <w:lang w:val="en-AU"/>
          </w:rPr>
          <w:instrText xml:space="preserve"> ADDIN EN.CITE &lt;EndNote&gt;&lt;Cite&gt;&lt;Author&gt;McKenzie&lt;/Author&gt;&lt;Year&gt;2012&lt;/Year&gt;&lt;RecNum&gt;9287&lt;/RecNum&gt;&lt;DisplayText&gt;McKenzie&lt;style face="italic"&gt; et al.&lt;/style&gt; 2012&lt;/DisplayText&gt;&lt;record&gt;&lt;rec-number&gt;9287&lt;/rec-number&gt;&lt;foreign-keys&gt;&lt;key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964A70" w:rsidRPr="00370E70">
          <w:rPr>
            <w:i/>
            <w:lang w:val="en-AU"/>
          </w:rPr>
          <w:fldChar w:fldCharType="separate"/>
        </w:r>
        <w:r w:rsidR="00964A70" w:rsidRPr="00370E70">
          <w:rPr>
            <w:i/>
            <w:noProof/>
            <w:lang w:val="en-AU"/>
          </w:rPr>
          <w:t>McKenzie et al. 2012</w:t>
        </w:r>
        <w:r w:rsidR="00964A70" w:rsidRPr="00370E70">
          <w:rPr>
            <w:i/>
            <w:lang w:val="en-AU"/>
          </w:rPr>
          <w:fldChar w:fldCharType="end"/>
        </w:r>
      </w:hyperlink>
      <w:r w:rsidRPr="00370E70">
        <w:rPr>
          <w:i/>
          <w:lang w:val="en-AU"/>
        </w:rPr>
        <w:t>)</w:t>
      </w:r>
      <w:r w:rsidR="005132EF" w:rsidRPr="00370E70">
        <w:rPr>
          <w:i/>
          <w:lang w:val="en-AU"/>
        </w:rPr>
        <w:t>.</w:t>
      </w:r>
      <w:r w:rsidRPr="00370E70">
        <w:rPr>
          <w:i/>
          <w:lang w:val="en-AU"/>
        </w:rPr>
        <w:t xml:space="preserve"> Recovery times based on</w:t>
      </w:r>
      <w:r w:rsidR="00B563A1" w:rsidRPr="00370E70">
        <w:rPr>
          <w:i/>
          <w:lang w:val="en-AU"/>
        </w:rPr>
        <w:t xml:space="preserve"> Campbell and McKenzie</w:t>
      </w:r>
      <w:r w:rsidRPr="00370E70">
        <w:rPr>
          <w:i/>
          <w:lang w:val="en-AU"/>
        </w:rPr>
        <w:t xml:space="preserve"> </w:t>
      </w:r>
      <w:r w:rsidR="00B563A1" w:rsidRPr="00370E70">
        <w:rPr>
          <w:i/>
          <w:lang w:val="en-AU"/>
        </w:rPr>
        <w:t>(</w:t>
      </w:r>
      <w:hyperlink w:anchor="_ENREF_28" w:tooltip="Campbell, 2004 #2838" w:history="1">
        <w:r w:rsidR="00964A70" w:rsidRPr="00370E70">
          <w:rPr>
            <w:i/>
            <w:lang w:val="en-AU"/>
          </w:rPr>
          <w:fldChar w:fldCharType="begin"/>
        </w:r>
        <w:r w:rsidR="00964A70" w:rsidRPr="00370E70">
          <w:rPr>
            <w:i/>
            <w:lang w:val="en-AU"/>
          </w:rPr>
          <w:instrText xml:space="preserve"> ADDIN EN.CITE &lt;EndNote&gt;&lt;Cite ExcludeAuth="1"&gt;&lt;Author&gt;Campbell&lt;/Author&gt;&lt;Year&gt;2004&lt;/Year&gt;&lt;RecNum&gt;2838&lt;/RecNum&gt;&lt;DisplayText&gt;2004&lt;/DisplayText&gt;&lt;record&gt;&lt;rec-number&gt;2838&lt;/rec-number&gt;&lt;foreign-keys&gt;&lt;key app="EN" db-id="0eve55x9y5vfd6e9dacxtew4eatve2dzds9a"&gt;2838&lt;/key&gt;&lt;/foreign-keys&gt;&lt;ref-type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964A70" w:rsidRPr="00370E70">
          <w:rPr>
            <w:i/>
            <w:lang w:val="en-AU"/>
          </w:rPr>
          <w:fldChar w:fldCharType="separate"/>
        </w:r>
        <w:r w:rsidR="00964A70" w:rsidRPr="00370E70">
          <w:rPr>
            <w:i/>
            <w:noProof/>
            <w:lang w:val="en-AU"/>
          </w:rPr>
          <w:t>2004</w:t>
        </w:r>
        <w:r w:rsidR="00964A70" w:rsidRPr="00370E70">
          <w:rPr>
            <w:i/>
            <w:lang w:val="en-AU"/>
          </w:rPr>
          <w:fldChar w:fldCharType="end"/>
        </w:r>
      </w:hyperlink>
      <w:r w:rsidR="00B563A1" w:rsidRPr="00370E70">
        <w:rPr>
          <w:i/>
          <w:lang w:val="en-AU"/>
        </w:rPr>
        <w:t>)</w:t>
      </w:r>
      <w:r w:rsidRPr="00370E70">
        <w:rPr>
          <w:i/>
          <w:lang w:val="en-AU"/>
        </w:rPr>
        <w:t>,</w:t>
      </w:r>
      <w:r w:rsidR="00B563A1" w:rsidRPr="00370E70">
        <w:rPr>
          <w:i/>
          <w:lang w:val="en-AU"/>
        </w:rPr>
        <w:t xml:space="preserve"> McKenzie et al. (</w:t>
      </w:r>
      <w:hyperlink w:anchor="_ENREF_140" w:tooltip="McKenzie, 2010 #9605" w:history="1">
        <w:r w:rsidR="00964A70" w:rsidRPr="00370E70">
          <w:rPr>
            <w:i/>
            <w:lang w:val="en-AU"/>
          </w:rPr>
          <w:fldChar w:fldCharType="begin"/>
        </w:r>
        <w:r w:rsidR="00964A70" w:rsidRPr="00370E70">
          <w:rPr>
            <w:i/>
            <w:lang w:val="en-AU"/>
          </w:rPr>
          <w:instrText xml:space="preserve"> ADDIN EN.CITE &lt;EndNote&gt;&lt;Cite ExcludeAuth="1"&gt;&lt;Author&gt;McKenzie&lt;/Author&gt;&lt;Year&gt;2010&lt;/Year&gt;&lt;RecNum&gt;9605&lt;/RecNum&gt;&lt;DisplayText&gt;2010b&lt;/DisplayText&gt;&lt;record&gt;&lt;rec-number&gt;9605&lt;/rec-number&gt;&lt;foreign-keys&gt;&lt;key app="EN" db-id="0eve55x9y5vfd6e9dacxtew4eatve2dzds9a"&gt;9605&lt;/key&gt;&lt;/foreign-keys&gt;&lt;ref-type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Queensland&lt;/publisher&gt;&lt;urls&gt;&lt;/urls&gt;&lt;/record&gt;&lt;/Cite&gt;&lt;/EndNote&gt;</w:instrText>
        </w:r>
        <w:r w:rsidR="00964A70" w:rsidRPr="00370E70">
          <w:rPr>
            <w:i/>
            <w:lang w:val="en-AU"/>
          </w:rPr>
          <w:fldChar w:fldCharType="separate"/>
        </w:r>
        <w:r w:rsidR="00964A70" w:rsidRPr="00370E70">
          <w:rPr>
            <w:i/>
            <w:noProof/>
            <w:lang w:val="en-AU"/>
          </w:rPr>
          <w:t>2010b</w:t>
        </w:r>
        <w:r w:rsidR="00964A70" w:rsidRPr="00370E70">
          <w:rPr>
            <w:i/>
            <w:lang w:val="en-AU"/>
          </w:rPr>
          <w:fldChar w:fldCharType="end"/>
        </w:r>
      </w:hyperlink>
      <w:r w:rsidR="00B563A1" w:rsidRPr="00370E70">
        <w:rPr>
          <w:i/>
          <w:lang w:val="en-AU"/>
        </w:rPr>
        <w:t>)</w:t>
      </w:r>
      <w:r w:rsidRPr="00370E70">
        <w:rPr>
          <w:i/>
          <w:lang w:val="en-AU"/>
        </w:rPr>
        <w:t>,</w:t>
      </w:r>
      <w:r w:rsidR="00B563A1" w:rsidRPr="00370E70">
        <w:rPr>
          <w:i/>
          <w:lang w:val="en-AU"/>
        </w:rPr>
        <w:t xml:space="preserve"> </w:t>
      </w:r>
      <w:r w:rsidR="00B563A1" w:rsidRPr="00370E70">
        <w:rPr>
          <w:i/>
          <w:noProof/>
          <w:lang w:val="en-AU"/>
        </w:rPr>
        <w:t>Birch and Birch</w:t>
      </w:r>
      <w:r w:rsidRPr="00370E70">
        <w:rPr>
          <w:i/>
          <w:lang w:val="en-AU"/>
        </w:rPr>
        <w:t xml:space="preserve"> </w:t>
      </w:r>
      <w:r w:rsidR="00B563A1" w:rsidRPr="00370E70">
        <w:rPr>
          <w:i/>
          <w:lang w:val="en-AU"/>
        </w:rPr>
        <w:t>(</w:t>
      </w:r>
      <w:hyperlink w:anchor="_ENREF_16" w:tooltip="Birch, 1984 #177" w:history="1">
        <w:r w:rsidR="00964A70" w:rsidRPr="00370E70">
          <w:rPr>
            <w:i/>
            <w:lang w:val="en-AU"/>
          </w:rPr>
          <w:fldChar w:fldCharType="begin"/>
        </w:r>
        <w:r w:rsidR="00964A70" w:rsidRPr="00370E70">
          <w:rPr>
            <w:i/>
            <w:lang w:val="en-AU"/>
          </w:rPr>
          <w:instrText xml:space="preserve"> ADDIN EN.CITE &lt;EndNote&gt;&lt;Cite ExcludeAuth="1"&gt;&lt;Author&gt;Birch&lt;/Author&gt;&lt;Year&gt;1984&lt;/Year&gt;&lt;RecNum&gt;177&lt;/RecNum&gt;&lt;DisplayText&gt;1984&lt;/DisplayText&gt;&lt;record&gt;&lt;rec-number&gt;177&lt;/rec-number&gt;&lt;foreign-keys&gt;&lt;key app="EN" db-id="0eve55x9y5vfd6e9dacxtew4eatve2dzds9a"&gt;177&lt;/key&gt;&lt;/foreign-keys&gt;&lt;ref-type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1996&lt;/keyword&gt;&lt;keyword&gt;MOURILYAN&lt;/keyword&gt;&lt;/keywords&gt;&lt;dates&gt;&lt;year&gt;1984&lt;/year&gt;&lt;/dates&gt;&lt;label&gt;130&lt;/label&gt;&lt;urls&gt;&lt;/urls&gt;&lt;custom1&gt;Annex&lt;/custom1&gt;&lt;/record&gt;&lt;/Cite&gt;&lt;/EndNote&gt;</w:instrText>
        </w:r>
        <w:r w:rsidR="00964A70" w:rsidRPr="00370E70">
          <w:rPr>
            <w:i/>
            <w:lang w:val="en-AU"/>
          </w:rPr>
          <w:fldChar w:fldCharType="separate"/>
        </w:r>
        <w:r w:rsidR="00964A70" w:rsidRPr="00370E70">
          <w:rPr>
            <w:i/>
            <w:noProof/>
            <w:lang w:val="en-AU"/>
          </w:rPr>
          <w:t>1984</w:t>
        </w:r>
        <w:r w:rsidR="00964A70" w:rsidRPr="00370E70">
          <w:rPr>
            <w:i/>
            <w:lang w:val="en-AU"/>
          </w:rPr>
          <w:fldChar w:fldCharType="end"/>
        </w:r>
      </w:hyperlink>
      <w:r w:rsidR="00B563A1" w:rsidRPr="00370E70">
        <w:rPr>
          <w:i/>
          <w:lang w:val="en-AU"/>
        </w:rPr>
        <w:t>)</w:t>
      </w:r>
      <w:r w:rsidRPr="00370E70">
        <w:rPr>
          <w:i/>
          <w:lang w:val="en-AU"/>
        </w:rPr>
        <w:t>,</w:t>
      </w:r>
      <w:r w:rsidR="00B563A1" w:rsidRPr="00370E70">
        <w:rPr>
          <w:i/>
          <w:lang w:val="en-AU"/>
        </w:rPr>
        <w:t xml:space="preserve"> McKenzie and Campbell</w:t>
      </w:r>
      <w:r w:rsidRPr="00370E70">
        <w:rPr>
          <w:i/>
          <w:lang w:val="en-AU"/>
        </w:rPr>
        <w:t xml:space="preserve"> </w:t>
      </w:r>
      <w:r w:rsidR="00B563A1" w:rsidRPr="00370E70">
        <w:rPr>
          <w:i/>
          <w:lang w:val="en-AU"/>
        </w:rPr>
        <w:t>(</w:t>
      </w:r>
      <w:hyperlink w:anchor="_ENREF_133" w:tooltip="McKenzie, 2003 #8489" w:history="1">
        <w:r w:rsidR="00964A70" w:rsidRPr="00370E70">
          <w:rPr>
            <w:i/>
            <w:lang w:val="en-AU"/>
          </w:rPr>
          <w:fldChar w:fldCharType="begin"/>
        </w:r>
        <w:r w:rsidR="00964A70" w:rsidRPr="00370E70">
          <w:rPr>
            <w:i/>
            <w:lang w:val="en-AU"/>
          </w:rPr>
          <w:instrText xml:space="preserve"> ADDIN EN.CITE &lt;EndNote&gt;&lt;Cite ExcludeAuth="1"&gt;&lt;Author&gt;McKenzie&lt;/Author&gt;&lt;Year&gt;2003&lt;/Year&gt;&lt;RecNum&gt;8489&lt;/RecNum&gt;&lt;DisplayText&gt;2003&lt;/DisplayText&gt;&lt;record&gt;&lt;rec-number&gt;8489&lt;/rec-number&gt;&lt;foreign-keys&gt;&lt;key app="EN" db-id="0eve55x9y5vfd6e9dacxtew4eatve2dzds9a"&gt;8489&lt;/key&gt;&lt;/foreign-keys&gt;&lt;ref-type name="Report"&gt;27&lt;/ref-type&gt;&lt;contributors&gt;&lt;authors&gt;&lt;author&gt;McKenzie, Len J&lt;/author&gt;&lt;author&gt;Campbell, S.&lt;/author&gt;&lt;/authors&gt;&lt;/contributors&gt;&lt;titles&gt;&lt;title&gt;Seagrass resources of the Booral Wetlands and the Great Sandy Straits&lt;/title&gt;&lt;/titles&gt;&lt;pages&gt;28&lt;/pages&gt;&lt;dates&gt;&lt;year&gt;2003&lt;/year&gt;&lt;pub-dates&gt;&lt;date&gt;February 2003&lt;/date&gt;&lt;/pub-dates&gt;&lt;/dates&gt;&lt;pub-location&gt;Cairns&lt;/pub-location&gt;&lt;publisher&gt;Department of Primary Industries&lt;/publisher&gt;&lt;urls&gt;&lt;/urls&gt;&lt;/record&gt;&lt;/Cite&gt;&lt;/EndNote&gt;</w:instrText>
        </w:r>
        <w:r w:rsidR="00964A70" w:rsidRPr="00370E70">
          <w:rPr>
            <w:i/>
            <w:lang w:val="en-AU"/>
          </w:rPr>
          <w:fldChar w:fldCharType="separate"/>
        </w:r>
        <w:r w:rsidR="00964A70" w:rsidRPr="00370E70">
          <w:rPr>
            <w:i/>
            <w:noProof/>
            <w:lang w:val="en-AU"/>
          </w:rPr>
          <w:t>2003</w:t>
        </w:r>
        <w:r w:rsidR="00964A70" w:rsidRPr="00370E70">
          <w:rPr>
            <w:i/>
            <w:lang w:val="en-AU"/>
          </w:rPr>
          <w:fldChar w:fldCharType="end"/>
        </w:r>
      </w:hyperlink>
      <w:r w:rsidR="00B563A1" w:rsidRPr="00370E70">
        <w:rPr>
          <w:i/>
          <w:lang w:val="en-AU"/>
        </w:rPr>
        <w:t>)</w:t>
      </w:r>
      <w:r w:rsidRPr="00370E70">
        <w:rPr>
          <w:i/>
          <w:lang w:val="en-AU"/>
        </w:rPr>
        <w:t>,</w:t>
      </w:r>
      <w:r w:rsidR="00B563A1" w:rsidRPr="00370E70">
        <w:rPr>
          <w:i/>
          <w:lang w:val="en-AU"/>
        </w:rPr>
        <w:t xml:space="preserve"> Preen et al.</w:t>
      </w:r>
      <w:r w:rsidRPr="00370E70">
        <w:rPr>
          <w:i/>
          <w:lang w:val="en-AU"/>
        </w:rPr>
        <w:t xml:space="preserve"> </w:t>
      </w:r>
      <w:r w:rsidR="00B563A1" w:rsidRPr="00370E70">
        <w:rPr>
          <w:i/>
          <w:lang w:val="en-AU"/>
        </w:rPr>
        <w:t>(</w:t>
      </w:r>
      <w:hyperlink w:anchor="_ENREF_157" w:tooltip="Preen, 1995 #950" w:history="1">
        <w:r w:rsidR="00964A70" w:rsidRPr="00370E70">
          <w:rPr>
            <w:i/>
            <w:lang w:val="en-AU"/>
          </w:rPr>
          <w:fldChar w:fldCharType="begin"/>
        </w:r>
        <w:r w:rsidR="00964A70" w:rsidRPr="00370E70">
          <w:rPr>
            <w:i/>
            <w:lang w:val="en-AU"/>
          </w:rPr>
          <w:instrText xml:space="preserve"> ADDIN EN.CITE &lt;EndNote&gt;&lt;Cite ExcludeAuth="1"&gt;&lt;Author&gt;Preen&lt;/Author&gt;&lt;Year&gt;1995&lt;/Year&gt;&lt;RecNum&gt;950&lt;/RecNum&gt;&lt;DisplayText&gt;1995&lt;/DisplayText&gt;&lt;record&gt;&lt;rec-number&gt;950&lt;/rec-number&gt;&lt;foreign-keys&gt;&lt;key app="EN" db-id="0eve55x9y5vfd6e9dacxtew4eatve2dzds9a"&gt;950&lt;/key&gt;&lt;/foreign-keys&gt;&lt;ref-type name="Journal Article"&gt;17&lt;/ref-type&gt;&lt;contributors&gt;&lt;authors&gt;&lt;author&gt;Preen, Anthony R.&lt;/author&gt;&lt;author&gt;Lee Long, Warren J.&lt;/author&gt;&lt;author&gt;Coles, Robert G.&lt;/author&gt;&lt;/authors&gt;&lt;/contributors&gt;&lt;titles&gt;&lt;title&gt;&lt;style face="normal" font="default" size="100%"&gt;Flood and cyclone related loss, and partial recovery, of more than 1,000 km&lt;/style&gt;&lt;style face="superscript" font="default" size="100%"&gt;2&lt;/style&gt;&lt;style face="normal" font="default" size="100%"&gt; of seagrass in Hervey Bay, Queensland,Australia&lt;/style&gt;&lt;/title&gt;&lt;secondary-title&gt;Aquatic Botany&lt;/secondary-title&gt;&lt;alt-title&gt;Aquat. Bot.&lt;/alt-title&gt;&lt;/titles&gt;&lt;periodical&gt;&lt;full-title&gt;Aquatic Botany&lt;/full-title&gt;&lt;/periodical&gt;&lt;pages&gt;3-17&lt;/pages&gt;&lt;volume&gt;52&lt;/volume&gt;&lt;keywords&gt;&lt;keyword&gt;Seagrass, Die off, CycloneRecovery&lt;/keyword&gt;&lt;/keywords&gt;&lt;dates&gt;&lt;year&gt;1995&lt;/year&gt;&lt;/dates&gt;&lt;urls&gt;&lt;/urls&gt;&lt;custom1&gt;Annex. Len McKenzie Collection&lt;/custom1&gt;&lt;/record&gt;&lt;/Cite&gt;&lt;/EndNote&gt;</w:instrText>
        </w:r>
        <w:r w:rsidR="00964A70" w:rsidRPr="00370E70">
          <w:rPr>
            <w:i/>
            <w:lang w:val="en-AU"/>
          </w:rPr>
          <w:fldChar w:fldCharType="separate"/>
        </w:r>
        <w:r w:rsidR="00964A70" w:rsidRPr="00370E70">
          <w:rPr>
            <w:i/>
            <w:noProof/>
            <w:lang w:val="en-AU"/>
          </w:rPr>
          <w:t>1995</w:t>
        </w:r>
        <w:r w:rsidR="00964A70" w:rsidRPr="00370E70">
          <w:rPr>
            <w:i/>
            <w:lang w:val="en-AU"/>
          </w:rPr>
          <w:fldChar w:fldCharType="end"/>
        </w:r>
      </w:hyperlink>
      <w:r w:rsidR="00B563A1" w:rsidRPr="00370E70">
        <w:rPr>
          <w:i/>
          <w:lang w:val="en-AU"/>
        </w:rPr>
        <w:t>)</w:t>
      </w:r>
      <w:r w:rsidRPr="00370E70">
        <w:rPr>
          <w:i/>
          <w:lang w:val="en-AU"/>
        </w:rPr>
        <w:t>,</w:t>
      </w:r>
      <w:r w:rsidR="00B563A1" w:rsidRPr="00370E70">
        <w:rPr>
          <w:i/>
          <w:lang w:val="en-AU"/>
        </w:rPr>
        <w:t xml:space="preserve"> Rasheed et al.</w:t>
      </w:r>
      <w:r w:rsidRPr="00370E70">
        <w:rPr>
          <w:i/>
          <w:lang w:val="en-AU"/>
        </w:rPr>
        <w:t xml:space="preserve"> </w:t>
      </w:r>
      <w:r w:rsidR="00B563A1" w:rsidRPr="00370E70">
        <w:rPr>
          <w:i/>
          <w:lang w:val="en-AU"/>
        </w:rPr>
        <w:t>(</w:t>
      </w:r>
      <w:hyperlink w:anchor="_ENREF_162" w:tooltip="Rasheed, 2014 #9785" w:history="1">
        <w:r w:rsidR="00964A70" w:rsidRPr="00370E70">
          <w:rPr>
            <w:i/>
            <w:lang w:val="en-AU"/>
          </w:rPr>
          <w:fldChar w:fldCharType="begin"/>
        </w:r>
        <w:r w:rsidR="00964A70" w:rsidRPr="00370E70">
          <w:rPr>
            <w:i/>
            <w:lang w:val="en-AU"/>
          </w:rPr>
          <w:instrText xml:space="preserve"> ADDIN EN.CITE &lt;EndNote&gt;&lt;Cite ExcludeAuth="1"&gt;&lt;Author&gt;Rasheed&lt;/Author&gt;&lt;RecNum&gt;9785&lt;/RecNum&gt;&lt;DisplayText&gt;2014&lt;/DisplayText&gt;&lt;record&gt;&lt;rec-number&gt;9785&lt;/rec-number&gt;&lt;foreign-keys&gt;&lt;key app="EN" db-id="0eve55x9y5vfd6e9dacxtew4eatve2dzds9a"&gt;9785&lt;/key&gt;&lt;/foreign-keys&gt;&lt;ref-type name="Journal Article"&gt;17&lt;/ref-type&gt;&lt;contributors&gt;&lt;authors&gt;&lt;author&gt;Rasheed, Michael A.&lt;/author&gt;&lt;author&gt;McKenna, Skye A.&lt;/author&gt;&lt;author&gt;Carter, Alexandra B.&lt;/author&gt;&lt;author&gt;Coles, Robert G.&lt;/author&gt;&lt;/authors&gt;&lt;/contributors&gt;&lt;titles&gt;&lt;title&gt;Contrasting recovery of shallow and deep water seagrass communities following climate associated losses in tropical north Queensland, Australia&lt;/title&gt;&lt;secondary-title&gt;Marine Pollution Bulletin&lt;/secondary-title&gt;&lt;/titles&gt;&lt;periodical&gt;&lt;full-title&gt;Marine Pollution Bulletin&lt;/full-title&gt;&lt;/periodical&gt;&lt;number&gt;0&lt;/number&gt;&lt;keywords&gt;&lt;keyword&gt;Seagrass&lt;/keyword&gt;&lt;keyword&gt;Loss&lt;/keyword&gt;&lt;keyword&gt;Recovery&lt;/keyword&gt;&lt;keyword&gt;Climate&lt;/keyword&gt;&lt;keyword&gt;Seed&lt;/keyword&gt;&lt;keyword&gt;Reproduction&lt;/keyword&gt;&lt;/keywords&gt;&lt;dates&gt;&lt;year&gt;2014&lt;/year&gt;&lt;/dates&gt;&lt;isbn&gt;0025-326X&lt;/isbn&gt;&lt;urls&gt;&lt;related-urls&gt;&lt;url&gt;http://www.sciencedirect.com/science/article/pii/S0025326X1400109X&lt;/url&gt;&lt;/related-urls&gt;&lt;/urls&gt;&lt;electronic-resource-num&gt;http://dx.doi.org/10.1016/j.marpolbul.2014.02.013&lt;/electronic-resource-num&gt;&lt;/record&gt;&lt;/Cite&gt;&lt;/EndNote&gt;</w:instrText>
        </w:r>
        <w:r w:rsidR="00964A70" w:rsidRPr="00370E70">
          <w:rPr>
            <w:i/>
            <w:lang w:val="en-AU"/>
          </w:rPr>
          <w:fldChar w:fldCharType="separate"/>
        </w:r>
        <w:r w:rsidR="00964A70" w:rsidRPr="00370E70">
          <w:rPr>
            <w:i/>
            <w:noProof/>
            <w:lang w:val="en-AU"/>
          </w:rPr>
          <w:t>2014</w:t>
        </w:r>
        <w:r w:rsidR="00964A70" w:rsidRPr="00370E70">
          <w:rPr>
            <w:i/>
            <w:lang w:val="en-AU"/>
          </w:rPr>
          <w:fldChar w:fldCharType="end"/>
        </w:r>
      </w:hyperlink>
      <w:r w:rsidR="00B563A1" w:rsidRPr="00370E70">
        <w:rPr>
          <w:i/>
          <w:lang w:val="en-AU"/>
        </w:rPr>
        <w:t>)</w:t>
      </w:r>
      <w:r w:rsidRPr="00370E70">
        <w:rPr>
          <w:i/>
          <w:lang w:val="en-AU"/>
        </w:rPr>
        <w:t>.</w:t>
      </w:r>
    </w:p>
    <w:p w:rsidR="00E454F0" w:rsidRPr="00370E70" w:rsidRDefault="00E454F0" w:rsidP="00E454F0">
      <w:pPr>
        <w:spacing w:before="240"/>
        <w:rPr>
          <w:color w:val="000000"/>
          <w:szCs w:val="22"/>
        </w:rPr>
      </w:pPr>
      <w:bookmarkStart w:id="39" w:name="_Toc175991042"/>
      <w:bookmarkStart w:id="40" w:name="_Toc232845892"/>
      <w:bookmarkStart w:id="41" w:name="_Toc184101945"/>
      <w:r w:rsidRPr="00370E70">
        <w:rPr>
          <w:color w:val="000000"/>
          <w:szCs w:val="22"/>
        </w:rPr>
        <w:t xml:space="preserve">The timing of the monitoring within the MMP was decided by the GBRMPA, using advice from expert working groups. As the major period of runoff from catchments and agricultural lands was the tropical wet season/monsoon (December to April), monitoring was focussed on the late dry </w:t>
      </w:r>
      <w:r w:rsidR="00B563A1" w:rsidRPr="00370E70">
        <w:rPr>
          <w:color w:val="000000"/>
          <w:szCs w:val="22"/>
        </w:rPr>
        <w:t xml:space="preserve">season </w:t>
      </w:r>
      <w:r w:rsidRPr="00370E70">
        <w:rPr>
          <w:color w:val="000000"/>
          <w:szCs w:val="22"/>
        </w:rPr>
        <w:t>(</w:t>
      </w:r>
      <w:r w:rsidR="00B563A1" w:rsidRPr="00370E70">
        <w:rPr>
          <w:color w:val="000000"/>
          <w:szCs w:val="22"/>
        </w:rPr>
        <w:t xml:space="preserve">seagrass </w:t>
      </w:r>
      <w:r w:rsidRPr="00370E70">
        <w:rPr>
          <w:color w:val="000000"/>
          <w:szCs w:val="22"/>
        </w:rPr>
        <w:t>growing</w:t>
      </w:r>
      <w:r w:rsidR="00B563A1" w:rsidRPr="00370E70">
        <w:rPr>
          <w:color w:val="000000"/>
          <w:szCs w:val="22"/>
        </w:rPr>
        <w:t xml:space="preserve"> season</w:t>
      </w:r>
      <w:r w:rsidRPr="00370E70">
        <w:rPr>
          <w:color w:val="000000"/>
          <w:szCs w:val="22"/>
        </w:rPr>
        <w:t>) and late wet season to capture the status of seagrass prior and post wet.</w:t>
      </w:r>
    </w:p>
    <w:p w:rsidR="00E454F0" w:rsidRPr="00370E70" w:rsidRDefault="00E454F0" w:rsidP="00E454F0">
      <w:pPr>
        <w:spacing w:before="240"/>
        <w:rPr>
          <w:color w:val="000000"/>
          <w:szCs w:val="22"/>
        </w:rPr>
      </w:pPr>
      <w:r w:rsidRPr="00370E70">
        <w:rPr>
          <w:color w:val="000000"/>
          <w:szCs w:val="22"/>
        </w:rPr>
        <w:t xml:space="preserve">Seagrass monitoring methods were conducted as per McKenzie </w:t>
      </w:r>
      <w:r w:rsidRPr="00370E70">
        <w:rPr>
          <w:i/>
          <w:color w:val="000000"/>
          <w:szCs w:val="22"/>
        </w:rPr>
        <w:t xml:space="preserve">et al. </w:t>
      </w:r>
      <w:r w:rsidRPr="00370E70">
        <w:rPr>
          <w:color w:val="000000"/>
          <w:szCs w:val="22"/>
        </w:rPr>
        <w:t xml:space="preserve">(2010). In early 2012, additional monitoring sites were established in the Cape York region north of Cooktown and within </w:t>
      </w:r>
      <w:smartTag w:uri="urn:schemas-microsoft-com:office:smarttags" w:element="place">
        <w:smartTag w:uri="urn:schemas-microsoft-com:office:smarttags" w:element="PlaceName">
          <w:r w:rsidRPr="00370E70">
            <w:rPr>
              <w:color w:val="000000"/>
              <w:szCs w:val="22"/>
            </w:rPr>
            <w:t>Bowling Green</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(Burdekin region), with financial support from Reef Plan operations (Regional Services, DAFF).  Forty five sites were monitored during the 2011/12 monitoring period (</w:t>
      </w:r>
      <w:r w:rsidRPr="00370E70">
        <w:rPr>
          <w:color w:val="000000"/>
        </w:rPr>
        <w:fldChar w:fldCharType="begin"/>
      </w:r>
      <w:r w:rsidRPr="00370E70">
        <w:rPr>
          <w:color w:val="000000"/>
        </w:rPr>
        <w:instrText xml:space="preserve"> REF _Ref236539751 \h  \* MERGEFORMAT </w:instrText>
      </w:r>
      <w:r w:rsidRPr="00370E70">
        <w:rPr>
          <w:color w:val="000000"/>
        </w:rPr>
      </w:r>
      <w:r w:rsidRPr="00370E70">
        <w:rPr>
          <w:color w:val="000000"/>
        </w:rPr>
        <w:fldChar w:fldCharType="separate"/>
      </w:r>
      <w:r w:rsidR="005B5FD6" w:rsidRPr="005B5FD6">
        <w:rPr>
          <w:szCs w:val="22"/>
        </w:rPr>
        <w:t xml:space="preserve">Table </w:t>
      </w:r>
      <w:r w:rsidR="005B5FD6" w:rsidRPr="005B5FD6">
        <w:rPr>
          <w:noProof/>
          <w:color w:val="000000"/>
          <w:szCs w:val="22"/>
        </w:rPr>
        <w:t>3</w:t>
      </w:r>
      <w:r w:rsidRPr="00370E70">
        <w:rPr>
          <w:color w:val="000000"/>
        </w:rPr>
        <w:fldChar w:fldCharType="end"/>
      </w:r>
      <w:r w:rsidRPr="00370E70">
        <w:rPr>
          <w:color w:val="000000"/>
          <w:szCs w:val="22"/>
        </w:rPr>
        <w:t>). This included seven coastal, five estuarine and nine reef locations (i.e. two-three sites at each location). At the reef locations in the Burdekin and Wet Tropics, intertidal sites were paired with a subtidal site (</w:t>
      </w:r>
      <w:r w:rsidRPr="00370E70">
        <w:fldChar w:fldCharType="begin"/>
      </w:r>
      <w:r w:rsidRPr="00370E70">
        <w:instrText xml:space="preserve"> REF _Ref236539751 \h  \* MERGEFORMAT </w:instrText>
      </w:r>
      <w:r w:rsidRPr="00370E70">
        <w:fldChar w:fldCharType="separate"/>
      </w:r>
      <w:r w:rsidR="005B5FD6" w:rsidRPr="005B5FD6">
        <w:rPr>
          <w:szCs w:val="22"/>
        </w:rPr>
        <w:t xml:space="preserve">Table </w:t>
      </w:r>
      <w:r w:rsidR="005B5FD6" w:rsidRPr="005B5FD6">
        <w:rPr>
          <w:noProof/>
          <w:color w:val="000000"/>
          <w:szCs w:val="22"/>
        </w:rPr>
        <w:t>3</w:t>
      </w:r>
      <w:r w:rsidRPr="00370E70">
        <w:fldChar w:fldCharType="end"/>
      </w:r>
      <w:r w:rsidRPr="00370E70">
        <w:rPr>
          <w:color w:val="000000"/>
          <w:szCs w:val="22"/>
        </w:rPr>
        <w:t xml:space="preserve">). A description of all data collected during the sampling period under the monitoring contract has been collated by Natural Resource Management (NRM) region, site, parameter, and the number of samples collected per sampling period is listed in </w:t>
      </w:r>
      <w:r w:rsidRPr="00370E70">
        <w:rPr>
          <w:color w:val="000000"/>
          <w:szCs w:val="22"/>
        </w:rPr>
        <w:fldChar w:fldCharType="begin"/>
      </w:r>
      <w:r w:rsidRPr="00370E70">
        <w:rPr>
          <w:color w:val="000000"/>
          <w:szCs w:val="22"/>
        </w:rPr>
        <w:instrText xml:space="preserve"> REF _Ref316450977 \h </w:instrText>
      </w:r>
      <w:r w:rsidRPr="00370E70">
        <w:rPr>
          <w:color w:val="000000"/>
          <w:szCs w:val="22"/>
        </w:rPr>
      </w:r>
      <w:r w:rsidRPr="00370E70">
        <w:rPr>
          <w:color w:val="000000"/>
          <w:szCs w:val="22"/>
        </w:rPr>
        <w:fldChar w:fldCharType="separate"/>
      </w:r>
      <w:r w:rsidR="005B5FD6" w:rsidRPr="00370E70">
        <w:t xml:space="preserve">Table </w:t>
      </w:r>
      <w:r w:rsidR="005B5FD6">
        <w:rPr>
          <w:noProof/>
        </w:rPr>
        <w:t>4</w:t>
      </w:r>
      <w:r w:rsidRPr="00370E70">
        <w:rPr>
          <w:color w:val="000000"/>
          <w:szCs w:val="22"/>
        </w:rPr>
        <w:fldChar w:fldCharType="end"/>
      </w:r>
      <w:r w:rsidRPr="00370E70">
        <w:rPr>
          <w:color w:val="000000"/>
          <w:szCs w:val="22"/>
        </w:rPr>
        <w:t xml:space="preserve">. The seagrass species present at each monitoring site (including foundation seagrass species) is listed in </w:t>
      </w:r>
      <w:r w:rsidRPr="00370E70">
        <w:rPr>
          <w:color w:val="000000"/>
          <w:szCs w:val="22"/>
        </w:rPr>
        <w:fldChar w:fldCharType="begin"/>
      </w:r>
      <w:r w:rsidRPr="00370E70">
        <w:rPr>
          <w:color w:val="000000"/>
          <w:szCs w:val="22"/>
        </w:rPr>
        <w:instrText xml:space="preserve"> REF _Ref316450977 \h </w:instrText>
      </w:r>
      <w:r w:rsidRPr="00370E70">
        <w:rPr>
          <w:color w:val="000000"/>
          <w:szCs w:val="22"/>
        </w:rPr>
      </w:r>
      <w:r w:rsidRPr="00370E70">
        <w:rPr>
          <w:color w:val="000000"/>
          <w:szCs w:val="22"/>
        </w:rPr>
        <w:fldChar w:fldCharType="separate"/>
      </w:r>
      <w:r w:rsidR="005B5FD6" w:rsidRPr="00370E70">
        <w:t xml:space="preserve">Table </w:t>
      </w:r>
      <w:r w:rsidR="005B5FD6">
        <w:rPr>
          <w:noProof/>
        </w:rPr>
        <w:t>4</w:t>
      </w:r>
      <w:r w:rsidRPr="00370E70">
        <w:rPr>
          <w:color w:val="000000"/>
          <w:szCs w:val="22"/>
        </w:rPr>
        <w:fldChar w:fldCharType="end"/>
      </w:r>
      <w:r w:rsidRPr="00370E70">
        <w:rPr>
          <w:color w:val="000000"/>
          <w:szCs w:val="22"/>
        </w:rPr>
        <w:t>.</w:t>
      </w:r>
    </w:p>
    <w:p w:rsidR="005132EF" w:rsidRPr="00370E70" w:rsidRDefault="005132EF" w:rsidP="00034AD4">
      <w:pPr>
        <w:pStyle w:val="Heading2"/>
        <w:rPr>
          <w:rFonts w:ascii="Century Gothic" w:hAnsi="Century Gothic"/>
          <w:color w:val="000000"/>
        </w:rPr>
      </w:pPr>
      <w:bookmarkStart w:id="42" w:name="_Toc384196108"/>
      <w:r w:rsidRPr="00370E70">
        <w:rPr>
          <w:rFonts w:ascii="Century Gothic" w:hAnsi="Century Gothic"/>
          <w:color w:val="000000"/>
        </w:rPr>
        <w:lastRenderedPageBreak/>
        <w:t xml:space="preserve">Seagrass </w:t>
      </w:r>
      <w:bookmarkEnd w:id="39"/>
      <w:bookmarkEnd w:id="40"/>
      <w:r w:rsidRPr="00370E70">
        <w:rPr>
          <w:rFonts w:ascii="Century Gothic" w:hAnsi="Century Gothic"/>
          <w:color w:val="000000"/>
        </w:rPr>
        <w:t>abundance, composition and distribution</w:t>
      </w:r>
      <w:bookmarkEnd w:id="41"/>
      <w:bookmarkEnd w:id="42"/>
    </w:p>
    <w:p w:rsidR="00E454F0" w:rsidRPr="00370E70" w:rsidRDefault="00E454F0" w:rsidP="00E454F0">
      <w:pPr>
        <w:spacing w:before="240"/>
        <w:rPr>
          <w:color w:val="000000"/>
          <w:szCs w:val="22"/>
        </w:rPr>
      </w:pPr>
      <w:r w:rsidRPr="00370E70">
        <w:rPr>
          <w:color w:val="000000"/>
          <w:szCs w:val="22"/>
        </w:rPr>
        <w:t xml:space="preserve">Field survey methodology followed standardised protocols (McKenzie </w:t>
      </w:r>
      <w:r w:rsidRPr="00370E70">
        <w:rPr>
          <w:i/>
          <w:color w:val="000000"/>
          <w:szCs w:val="22"/>
        </w:rPr>
        <w:t>et al.</w:t>
      </w:r>
      <w:r w:rsidRPr="00370E70">
        <w:rPr>
          <w:color w:val="000000"/>
          <w:szCs w:val="22"/>
        </w:rPr>
        <w:t xml:space="preserve">, 2003). At each location, with the exception of subtidal sites, sampling included two sites nested in a location. Subtidal sites were not replicated within locations. Intertidal sites were defined as a 50m x 50m area within a relatively homogenous section of a representative seagrass community/meadow (McKenzie </w:t>
      </w:r>
      <w:r w:rsidRPr="00370E70">
        <w:rPr>
          <w:i/>
          <w:color w:val="000000"/>
          <w:szCs w:val="22"/>
        </w:rPr>
        <w:t>et al.,</w:t>
      </w:r>
      <w:r w:rsidRPr="00370E70">
        <w:rPr>
          <w:color w:val="000000"/>
          <w:szCs w:val="22"/>
        </w:rPr>
        <w:t xml:space="preserve"> 2000). The sampling strategy for subtidal sites was modified to sample along 50m transects 2-3 m apart (aligned along the depth contour) due to logistics of SCUBA diving in waters of poor visibility. Monitoring at sites in the late dry (September/October 2011) and late monsoon (March/April 2012) of each year was conducted by a qualified and trained scientist. Monitoring conducted outside these periods was conducted by a trained scientist assisted by volunteers. At each site, during each survey, observers recorded the percent seagrass cover within a 50 cm × 50 cm quadrat every 5 m along three 50m transects, placed 25m apart. A total of 33 quadrats were sampled per site. Seagrass abundance was visually estimated as the fraction of the seabed (substrate) obscured by the seagrass species when submerged and viewed from above. This method was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w:t>
      </w:r>
      <w:hyperlink w:anchor="_ENREF_101" w:tooltip="Heidelbaugh, 1996 #1343" w:history="1">
        <w:r w:rsidR="00964A70" w:rsidRPr="00370E70">
          <w:rPr>
            <w:color w:val="000000"/>
            <w:szCs w:val="22"/>
          </w:rPr>
          <w:fldChar w:fldCharType="begin"/>
        </w:r>
        <w:r w:rsidR="00964A70" w:rsidRPr="00370E70">
          <w:rPr>
            <w:color w:val="000000"/>
            <w:szCs w:val="22"/>
          </w:rPr>
          <w:instrText xml:space="preserve"> ADDIN EN.CITE &lt;EndNote&gt;&lt;Cite&gt;&lt;Author&gt;Heidelbaugh&lt;/Author&gt;&lt;Year&gt;1996&lt;/Year&gt;&lt;RecNum&gt;1343&lt;/RecNum&gt;&lt;DisplayText&gt;Heidelbaugh and Nelson 1996&lt;/DisplayText&gt;&lt;record&gt;&lt;rec-number&gt;1343&lt;/rec-number&gt;&lt;foreign-keys&gt;&lt;key app="EN" db-id="0eve55x9y5vfd6e9dacxtew4eatve2dzds9a"&gt;1343&lt;/key&gt;&lt;/foreign-keys&gt;&lt;ref-type name="Journal Article"&gt;17&lt;/ref-type&gt;&lt;contributors&gt;&lt;authors&gt;&lt;author&gt;Heidelbaugh, W. S.&lt;/author&gt;&lt;author&gt;Nelson, W. G.&lt;/author&gt;&lt;/authors&gt;&lt;/contributors&gt;&lt;titles&gt;&lt;title&gt;A power analysis of methods for assessment of change in seagrass cover&lt;/title&gt;&lt;secondary-title&gt;Aquatic Botany&lt;/secondary-title&gt;&lt;alt-title&gt;Aquat. Bot.&lt;/alt-title&gt;&lt;/titles&gt;&lt;periodical&gt;&lt;full-title&gt;Aquatic Botany&lt;/full-title&gt;&lt;/periodical&gt;&lt;pages&gt;227-243&lt;/pages&gt;&lt;volume&gt;53&lt;/volume&gt;&lt;number&gt;3-4&lt;/number&gt;&lt;keywords&gt;&lt;keyword&gt;Seagrass, Halodule wrightii, Sampling design, Biomass, Percent Cover&lt;/keyword&gt;&lt;/keywords&gt;&lt;dates&gt;&lt;year&gt;1996&lt;/year&gt;&lt;/dates&gt;&lt;urls&gt;&lt;/urls&gt;&lt;custom1&gt;Annex. Len McKenzie Collection&lt;/custom1&gt;&lt;/record&gt;&lt;/Cite&gt;&lt;/EndNote&gt;</w:instrText>
        </w:r>
        <w:r w:rsidR="00964A70" w:rsidRPr="00370E70">
          <w:rPr>
            <w:color w:val="000000"/>
            <w:szCs w:val="22"/>
          </w:rPr>
          <w:fldChar w:fldCharType="separate"/>
        </w:r>
        <w:r w:rsidR="00964A70" w:rsidRPr="00370E70">
          <w:rPr>
            <w:noProof/>
            <w:color w:val="000000"/>
            <w:szCs w:val="22"/>
          </w:rPr>
          <w:t>Heidelbaugh and Nelson 1996</w:t>
        </w:r>
        <w:r w:rsidR="00964A70" w:rsidRPr="00370E70">
          <w:rPr>
            <w:color w:val="000000"/>
            <w:szCs w:val="22"/>
          </w:rPr>
          <w:fldChar w:fldCharType="end"/>
        </w:r>
      </w:hyperlink>
      <w:r w:rsidRPr="00370E70">
        <w:rPr>
          <w:color w:val="000000"/>
          <w:szCs w:val="22"/>
        </w:rPr>
        <w:t xml:space="preserve">). To improve resolution and allow greater differentiation at very low percentage covers (e.g. &lt;3%), shoot counts </w:t>
      </w:r>
      <w:r w:rsidR="00B563A1" w:rsidRPr="00370E70">
        <w:rPr>
          <w:color w:val="000000"/>
          <w:szCs w:val="22"/>
        </w:rPr>
        <w:t xml:space="preserve">(higher accurate at low densities) </w:t>
      </w:r>
      <w:r w:rsidRPr="00370E70">
        <w:rPr>
          <w:color w:val="000000"/>
          <w:szCs w:val="22"/>
        </w:rPr>
        <w:t xml:space="preserve">based on global species density maxima were used. For example: 1 pair of </w:t>
      </w:r>
      <w:r w:rsidRPr="00370E70">
        <w:rPr>
          <w:i/>
          <w:color w:val="000000"/>
          <w:szCs w:val="22"/>
        </w:rPr>
        <w:t>Halophila ovalis</w:t>
      </w:r>
      <w:r w:rsidRPr="00370E70">
        <w:rPr>
          <w:color w:val="000000"/>
          <w:szCs w:val="22"/>
        </w:rPr>
        <w:t xml:space="preserve"> leaves in a quadrat = 0.1%; 1 shoot/ramet of </w:t>
      </w:r>
      <w:r w:rsidRPr="00370E70">
        <w:rPr>
          <w:i/>
          <w:color w:val="000000"/>
          <w:szCs w:val="22"/>
        </w:rPr>
        <w:t>Zostera</w:t>
      </w:r>
      <w:r w:rsidRPr="00370E70">
        <w:rPr>
          <w:color w:val="000000"/>
          <w:szCs w:val="22"/>
        </w:rPr>
        <w:t xml:space="preserve"> in a quadrat = 0.2%. Seagrass species were identified as per Waycott </w:t>
      </w:r>
      <w:r w:rsidRPr="00370E70">
        <w:rPr>
          <w:i/>
          <w:color w:val="000000"/>
          <w:szCs w:val="22"/>
        </w:rPr>
        <w:t>et al.</w:t>
      </w:r>
      <w:r w:rsidRPr="00370E70">
        <w:rPr>
          <w:color w:val="000000"/>
          <w:szCs w:val="22"/>
        </w:rPr>
        <w:t xml:space="preserve"> (</w:t>
      </w:r>
      <w:hyperlink w:anchor="_ENREF_197" w:tooltip="Waycott, 2004 #8887" w:history="1">
        <w:r w:rsidR="00964A70" w:rsidRPr="00370E70">
          <w:rPr>
            <w:color w:val="000000"/>
            <w:szCs w:val="22"/>
          </w:rPr>
          <w:fldChar w:fldCharType="begin"/>
        </w:r>
        <w:r w:rsidR="00964A70" w:rsidRPr="00370E70">
          <w:rPr>
            <w:color w:val="000000"/>
            <w:szCs w:val="22"/>
          </w:rPr>
          <w:instrText xml:space="preserve"> ADDIN EN.CITE &lt;EndNote&gt;&lt;Cite ExcludeAuth="1"&gt;&lt;Author&gt;Waycott&lt;/Author&gt;&lt;Year&gt;2004&lt;/Year&gt;&lt;RecNum&gt;8887&lt;/RecNum&gt;&lt;DisplayText&gt;2004&lt;/DisplayText&gt;&lt;record&gt;&lt;rec-number&gt;8887&lt;/rec-number&gt;&lt;foreign-keys&gt;&lt;key app="EN" db-id="0eve55x9y5vfd6e9dacxtew4eatve2dzds9a"&gt;8887&lt;/key&gt;&lt;/foreign-keys&gt;&lt;ref-type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964A70" w:rsidRPr="00370E70">
          <w:rPr>
            <w:color w:val="000000"/>
            <w:szCs w:val="22"/>
          </w:rPr>
          <w:fldChar w:fldCharType="separate"/>
        </w:r>
        <w:r w:rsidR="00964A70" w:rsidRPr="00370E70">
          <w:rPr>
            <w:noProof/>
            <w:color w:val="000000"/>
            <w:szCs w:val="22"/>
          </w:rPr>
          <w:t>2004</w:t>
        </w:r>
        <w:r w:rsidR="00964A70" w:rsidRPr="00370E70">
          <w:rPr>
            <w:color w:val="000000"/>
            <w:szCs w:val="22"/>
          </w:rPr>
          <w:fldChar w:fldCharType="end"/>
        </w:r>
      </w:hyperlink>
      <w:r w:rsidRPr="00370E70">
        <w:rPr>
          <w:color w:val="000000"/>
          <w:szCs w:val="22"/>
        </w:rPr>
        <w:t>). Additional information was collected at the quadrat level, although only included as narrative in this report, including: seagrass canopy height of the dominant strap leaved species; macrofaunal abundance; abundance of burrows</w:t>
      </w:r>
      <w:r w:rsidR="00B563A1" w:rsidRPr="00370E70">
        <w:rPr>
          <w:color w:val="000000"/>
          <w:szCs w:val="22"/>
        </w:rPr>
        <w:t xml:space="preserve"> (</w:t>
      </w:r>
      <w:r w:rsidRPr="00370E70">
        <w:rPr>
          <w:color w:val="000000"/>
          <w:szCs w:val="22"/>
        </w:rPr>
        <w:t>as an measure of bioturbation</w:t>
      </w:r>
      <w:r w:rsidR="00B563A1" w:rsidRPr="00370E70">
        <w:rPr>
          <w:color w:val="000000"/>
          <w:szCs w:val="22"/>
        </w:rPr>
        <w:t>)</w:t>
      </w:r>
      <w:r w:rsidRPr="00370E70">
        <w:rPr>
          <w:color w:val="000000"/>
          <w:szCs w:val="22"/>
        </w:rPr>
        <w:t xml:space="preserve">; presence of herbivory (e.g. dugong and sea turtle); a visual/tactile assessment of sediment composition (see </w:t>
      </w:r>
      <w:hyperlink w:anchor="_ENREF_130" w:tooltip="McKenzie, 2007 #9456"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 &lt;/title&gt;&lt;/titles&gt;&lt;pages&gt;25&lt;/pages&gt;&lt;dates&gt;&lt;year&gt;2007&lt;/year&gt;&lt;/dates&gt;&lt;pub-location&gt;Cairns &lt;/pub-location&gt;&lt;publisher&gt;Reef and Rainforest Research Centre Ltd&lt;/publisher&gt;&lt;urls&gt;&lt;/urls&gt;&lt;/record&gt;&lt;/Cite&gt;&lt;/EndNote&gt;</w:instrText>
        </w:r>
        <w:r w:rsidR="00964A70" w:rsidRPr="00370E70">
          <w:rPr>
            <w:color w:val="000000"/>
            <w:szCs w:val="22"/>
          </w:rPr>
          <w:fldChar w:fldCharType="separate"/>
        </w:r>
        <w:r w:rsidR="00964A70" w:rsidRPr="00370E70">
          <w:rPr>
            <w:noProof/>
            <w:color w:val="000000"/>
            <w:szCs w:val="22"/>
          </w:rPr>
          <w:t>McKenzie 2007</w:t>
        </w:r>
        <w:r w:rsidR="00964A70" w:rsidRPr="00370E70">
          <w:rPr>
            <w:color w:val="000000"/>
            <w:szCs w:val="22"/>
          </w:rPr>
          <w:fldChar w:fldCharType="end"/>
        </w:r>
      </w:hyperlink>
      <w:r w:rsidRPr="00370E70">
        <w:rPr>
          <w:color w:val="000000"/>
          <w:szCs w:val="22"/>
        </w:rPr>
        <w:t xml:space="preserve">); and observations on the presence of superficial sediment structures such as ripples and sand waves to provide evidence of physical processes in the area (see </w:t>
      </w:r>
      <w:hyperlink w:anchor="_ENREF_111" w:tooltip="Koch, 2001 #9773" w:history="1">
        <w:r w:rsidR="00964A70" w:rsidRPr="00370E70">
          <w:rPr>
            <w:color w:val="000000"/>
            <w:szCs w:val="22"/>
          </w:rPr>
          <w:fldChar w:fldCharType="begin"/>
        </w:r>
        <w:r w:rsidR="00964A70" w:rsidRPr="00370E70">
          <w:rPr>
            <w:color w:val="000000"/>
            <w:szCs w:val="22"/>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00964A70" w:rsidRPr="00370E70">
          <w:rPr>
            <w:color w:val="000000"/>
            <w:szCs w:val="22"/>
          </w:rPr>
          <w:fldChar w:fldCharType="separate"/>
        </w:r>
        <w:r w:rsidR="00964A70" w:rsidRPr="00370E70">
          <w:rPr>
            <w:noProof/>
            <w:color w:val="000000"/>
            <w:szCs w:val="22"/>
          </w:rPr>
          <w:t>Koch 2001</w:t>
        </w:r>
        <w:r w:rsidR="00964A70" w:rsidRPr="00370E70">
          <w:rPr>
            <w:color w:val="000000"/>
            <w:szCs w:val="22"/>
          </w:rPr>
          <w:fldChar w:fldCharType="end"/>
        </w:r>
      </w:hyperlink>
      <w:r w:rsidRPr="00370E70">
        <w:rPr>
          <w:color w:val="000000"/>
          <w:szCs w:val="22"/>
        </w:rPr>
        <w:t>).</w:t>
      </w:r>
    </w:p>
    <w:p w:rsidR="00E454F0" w:rsidRPr="00370E70" w:rsidRDefault="00E454F0" w:rsidP="00E454F0">
      <w:pPr>
        <w:spacing w:before="240"/>
        <w:rPr>
          <w:color w:val="000000"/>
          <w:szCs w:val="22"/>
        </w:rPr>
      </w:pPr>
      <w:r w:rsidRPr="00370E70">
        <w:rPr>
          <w:color w:val="000000"/>
          <w:szCs w:val="22"/>
        </w:rPr>
        <w:t>Mapping the edge of the seagrass meadow within 100m of each intertidal monitoring site was conducted in the late dry and late monsoon monitoring periods. Edge mapping was used to determine if changes in seagrass abundance were the result of the meadow shrinking/increasing in distribution or the plant increasing/decreasing in density, or both. Extent of seagrass within the mapping area was compared against each site's baseline (first measure).</w:t>
      </w:r>
    </w:p>
    <w:p w:rsidR="005132EF" w:rsidRPr="00370E70" w:rsidRDefault="005132EF" w:rsidP="00034AD4">
      <w:pPr>
        <w:rPr>
          <w:color w:val="000000"/>
        </w:rPr>
      </w:pPr>
    </w:p>
    <w:p w:rsidR="005132EF" w:rsidRPr="00370E70" w:rsidRDefault="005132EF" w:rsidP="00034AD4">
      <w:pPr>
        <w:rPr>
          <w:rFonts w:ascii="Arial" w:hAnsi="Arial" w:cs="Arial"/>
          <w:color w:val="000000"/>
        </w:rPr>
        <w:sectPr w:rsidR="005132EF" w:rsidRPr="00370E70" w:rsidSect="00034AD4">
          <w:headerReference w:type="default" r:id="rId19"/>
          <w:footerReference w:type="default" r:id="rId20"/>
          <w:footerReference w:type="first" r:id="rId21"/>
          <w:pgSz w:w="11906" w:h="16838" w:code="9"/>
          <w:pgMar w:top="1418" w:right="1418" w:bottom="1418" w:left="1418" w:header="709" w:footer="709" w:gutter="0"/>
          <w:pgNumType w:start="1"/>
          <w:cols w:space="708"/>
          <w:docGrid w:linePitch="360"/>
        </w:sectPr>
      </w:pPr>
    </w:p>
    <w:p w:rsidR="0033652B" w:rsidRPr="00370E70" w:rsidRDefault="005132EF" w:rsidP="0033652B">
      <w:pPr>
        <w:pStyle w:val="Caption"/>
        <w:spacing w:before="0" w:after="0" w:line="240" w:lineRule="auto"/>
        <w:jc w:val="center"/>
        <w:rPr>
          <w:i/>
          <w:vanish/>
          <w:color w:val="000000"/>
          <w:szCs w:val="22"/>
          <w:lang w:val="en-AU"/>
          <w:specVanish/>
        </w:rPr>
      </w:pPr>
      <w:bookmarkStart w:id="43" w:name="_Ref236539751"/>
      <w:bookmarkStart w:id="44" w:name="_Toc176158939"/>
      <w:bookmarkStart w:id="45" w:name="_Toc384196539"/>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3</w:t>
      </w:r>
      <w:r w:rsidRPr="00370E70">
        <w:rPr>
          <w:lang w:val="en-AU"/>
        </w:rPr>
        <w:fldChar w:fldCharType="end"/>
      </w:r>
      <w:bookmarkEnd w:id="43"/>
      <w:r w:rsidRPr="00370E70">
        <w:rPr>
          <w:lang w:val="en-AU"/>
        </w:rPr>
        <w:t xml:space="preserve">. </w:t>
      </w:r>
      <w:r w:rsidRPr="00370E70">
        <w:rPr>
          <w:i/>
          <w:lang w:val="en-AU"/>
        </w:rPr>
        <w:t>Reef Rescue MMP inshore seagrass long-term monitoring</w:t>
      </w:r>
      <w:bookmarkEnd w:id="44"/>
      <w:r w:rsidRPr="00370E70">
        <w:rPr>
          <w:i/>
          <w:lang w:val="en-AU"/>
        </w:rPr>
        <w:t xml:space="preserve"> sites</w:t>
      </w:r>
      <w:bookmarkEnd w:id="45"/>
    </w:p>
    <w:p w:rsidR="0033652B" w:rsidRPr="00370E70" w:rsidRDefault="005132EF" w:rsidP="0033652B">
      <w:pPr>
        <w:pStyle w:val="Caption"/>
        <w:spacing w:before="0" w:after="0" w:line="240" w:lineRule="auto"/>
        <w:jc w:val="center"/>
        <w:rPr>
          <w:i/>
          <w:lang w:val="en-AU"/>
        </w:rPr>
      </w:pPr>
      <w:r w:rsidRPr="00370E70">
        <w:rPr>
          <w:i/>
          <w:lang w:val="en-AU"/>
        </w:rPr>
        <w:t xml:space="preserve">. NRM region from www.nrm.gov.au. </w:t>
      </w:r>
      <w:bookmarkStart w:id="46" w:name="OLE_LINK5"/>
      <w:bookmarkStart w:id="47" w:name="OLE_LINK6"/>
      <w:r w:rsidRPr="00370E70">
        <w:rPr>
          <w:i/>
          <w:lang w:val="en-AU"/>
        </w:rPr>
        <w:t>* = intertidal, ^=subtidal.</w:t>
      </w:r>
      <w:bookmarkEnd w:id="46"/>
      <w:bookmarkEnd w:id="47"/>
    </w:p>
    <w:tbl>
      <w:tblPr>
        <w:tblW w:w="15084" w:type="dxa"/>
        <w:tblInd w:w="-318" w:type="dxa"/>
        <w:tblLook w:val="0000" w:firstRow="0" w:lastRow="0" w:firstColumn="0" w:lastColumn="0" w:noHBand="0" w:noVBand="0"/>
      </w:tblPr>
      <w:tblGrid>
        <w:gridCol w:w="961"/>
        <w:gridCol w:w="1559"/>
        <w:gridCol w:w="1434"/>
        <w:gridCol w:w="1701"/>
        <w:gridCol w:w="674"/>
        <w:gridCol w:w="1579"/>
        <w:gridCol w:w="486"/>
        <w:gridCol w:w="809"/>
        <w:gridCol w:w="576"/>
        <w:gridCol w:w="809"/>
        <w:gridCol w:w="4496"/>
      </w:tblGrid>
      <w:tr w:rsidR="005132EF" w:rsidRPr="00370E70" w:rsidTr="00160B27">
        <w:trPr>
          <w:trHeight w:val="454"/>
        </w:trPr>
        <w:tc>
          <w:tcPr>
            <w:tcW w:w="961" w:type="dxa"/>
            <w:tcBorders>
              <w:top w:val="single" w:sz="4" w:space="0" w:color="auto"/>
              <w:bottom w:val="single" w:sz="4" w:space="0" w:color="auto"/>
            </w:tcBorders>
            <w:shd w:val="clear" w:color="auto" w:fill="E6E6E6"/>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GBR region</w:t>
            </w:r>
          </w:p>
        </w:tc>
        <w:tc>
          <w:tcPr>
            <w:tcW w:w="1559" w:type="dxa"/>
            <w:tcBorders>
              <w:top w:val="single" w:sz="4" w:space="0" w:color="auto"/>
              <w:bottom w:val="single" w:sz="4" w:space="0" w:color="auto"/>
            </w:tcBorders>
            <w:shd w:val="clear" w:color="auto" w:fill="E6E6E6"/>
            <w:noWrap/>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NRM region</w:t>
            </w:r>
          </w:p>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w:t>
            </w:r>
            <w:r w:rsidRPr="00370E70">
              <w:rPr>
                <w:rFonts w:cs="Arial"/>
                <w:b/>
                <w:bCs/>
                <w:i/>
                <w:color w:val="000000"/>
                <w:sz w:val="18"/>
                <w:szCs w:val="18"/>
              </w:rPr>
              <w:t>Board</w:t>
            </w:r>
            <w:r w:rsidRPr="00370E70">
              <w:rPr>
                <w:rFonts w:cs="Arial"/>
                <w:b/>
                <w:bCs/>
                <w:color w:val="000000"/>
                <w:sz w:val="18"/>
                <w:szCs w:val="18"/>
              </w:rPr>
              <w:t>)</w:t>
            </w:r>
          </w:p>
        </w:tc>
        <w:tc>
          <w:tcPr>
            <w:tcW w:w="1434" w:type="dxa"/>
            <w:tcBorders>
              <w:top w:val="single" w:sz="4" w:space="0" w:color="auto"/>
              <w:bottom w:val="single" w:sz="4" w:space="0" w:color="auto"/>
            </w:tcBorders>
            <w:shd w:val="clear" w:color="auto" w:fill="E6E6E6"/>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Catchment</w:t>
            </w:r>
          </w:p>
        </w:tc>
        <w:tc>
          <w:tcPr>
            <w:tcW w:w="1701" w:type="dxa"/>
            <w:tcBorders>
              <w:top w:val="single" w:sz="4" w:space="0" w:color="auto"/>
              <w:bottom w:val="single" w:sz="4" w:space="0" w:color="auto"/>
            </w:tcBorders>
            <w:shd w:val="clear" w:color="auto" w:fill="E6E6E6"/>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Monitoring location</w:t>
            </w:r>
          </w:p>
        </w:tc>
        <w:tc>
          <w:tcPr>
            <w:tcW w:w="2253" w:type="dxa"/>
            <w:gridSpan w:val="2"/>
            <w:tcBorders>
              <w:top w:val="single" w:sz="4" w:space="0" w:color="auto"/>
              <w:bottom w:val="single" w:sz="4" w:space="0" w:color="auto"/>
            </w:tcBorders>
            <w:shd w:val="clear" w:color="auto" w:fill="E6E6E6"/>
            <w:noWrap/>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Site</w:t>
            </w:r>
          </w:p>
        </w:tc>
        <w:tc>
          <w:tcPr>
            <w:tcW w:w="1295" w:type="dxa"/>
            <w:gridSpan w:val="2"/>
            <w:tcBorders>
              <w:top w:val="single" w:sz="4" w:space="0" w:color="auto"/>
              <w:bottom w:val="single" w:sz="4" w:space="0" w:color="auto"/>
            </w:tcBorders>
            <w:shd w:val="clear" w:color="auto" w:fill="E6E6E6"/>
            <w:noWrap/>
            <w:vAlign w:val="center"/>
          </w:tcPr>
          <w:p w:rsidR="005132EF" w:rsidRPr="00370E70" w:rsidRDefault="005132EF" w:rsidP="00034AD4">
            <w:pPr>
              <w:spacing w:before="0" w:after="0"/>
              <w:jc w:val="center"/>
              <w:rPr>
                <w:rFonts w:cs="Arial"/>
                <w:b/>
                <w:bCs/>
                <w:color w:val="000000"/>
                <w:sz w:val="18"/>
                <w:szCs w:val="18"/>
              </w:rPr>
            </w:pPr>
            <w:r w:rsidRPr="00370E70">
              <w:rPr>
                <w:rFonts w:cs="Arial"/>
                <w:b/>
                <w:bCs/>
                <w:color w:val="000000"/>
                <w:sz w:val="18"/>
                <w:szCs w:val="18"/>
              </w:rPr>
              <w:t>Latitude</w:t>
            </w:r>
          </w:p>
        </w:tc>
        <w:tc>
          <w:tcPr>
            <w:tcW w:w="1385" w:type="dxa"/>
            <w:gridSpan w:val="2"/>
            <w:tcBorders>
              <w:top w:val="single" w:sz="4" w:space="0" w:color="auto"/>
              <w:bottom w:val="single" w:sz="4" w:space="0" w:color="auto"/>
            </w:tcBorders>
            <w:shd w:val="clear" w:color="auto" w:fill="E6E6E6"/>
            <w:noWrap/>
            <w:vAlign w:val="center"/>
          </w:tcPr>
          <w:p w:rsidR="005132EF" w:rsidRPr="00370E70" w:rsidRDefault="005132EF" w:rsidP="00034AD4">
            <w:pPr>
              <w:spacing w:before="0" w:after="0"/>
              <w:jc w:val="center"/>
              <w:rPr>
                <w:rFonts w:cs="Arial"/>
                <w:b/>
                <w:color w:val="000000"/>
                <w:sz w:val="18"/>
                <w:szCs w:val="18"/>
              </w:rPr>
            </w:pPr>
            <w:r w:rsidRPr="00370E70">
              <w:rPr>
                <w:rFonts w:cs="Arial"/>
                <w:b/>
                <w:bCs/>
                <w:color w:val="000000"/>
                <w:sz w:val="18"/>
                <w:szCs w:val="18"/>
              </w:rPr>
              <w:t>Longitude</w:t>
            </w:r>
          </w:p>
        </w:tc>
        <w:tc>
          <w:tcPr>
            <w:tcW w:w="4496" w:type="dxa"/>
            <w:tcBorders>
              <w:top w:val="single" w:sz="4" w:space="0" w:color="auto"/>
              <w:bottom w:val="single" w:sz="4" w:space="0" w:color="auto"/>
            </w:tcBorders>
            <w:shd w:val="clear" w:color="auto" w:fill="E6E6E6"/>
            <w:noWrap/>
            <w:vAlign w:val="center"/>
          </w:tcPr>
          <w:p w:rsidR="005132EF" w:rsidRPr="00370E70" w:rsidRDefault="005132EF" w:rsidP="00034AD4">
            <w:pPr>
              <w:spacing w:before="0" w:after="0"/>
              <w:jc w:val="center"/>
              <w:rPr>
                <w:rFonts w:cs="Arial"/>
                <w:b/>
                <w:color w:val="000000"/>
                <w:sz w:val="18"/>
                <w:szCs w:val="18"/>
              </w:rPr>
            </w:pPr>
            <w:r w:rsidRPr="00370E70">
              <w:rPr>
                <w:rFonts w:cs="Arial"/>
                <w:b/>
                <w:color w:val="000000"/>
                <w:sz w:val="18"/>
                <w:szCs w:val="18"/>
              </w:rPr>
              <w:t>Seagrass community type</w:t>
            </w:r>
          </w:p>
        </w:tc>
      </w:tr>
      <w:tr w:rsidR="005132EF" w:rsidRPr="00370E70" w:rsidTr="00160B27">
        <w:trPr>
          <w:trHeight w:val="181"/>
        </w:trPr>
        <w:tc>
          <w:tcPr>
            <w:tcW w:w="961" w:type="dxa"/>
            <w:vMerge w:val="restart"/>
            <w:tcBorders>
              <w:top w:val="single" w:sz="4" w:space="0" w:color="auto"/>
            </w:tcBorders>
            <w:noWrap/>
            <w:vAlign w:val="center"/>
          </w:tcPr>
          <w:p w:rsidR="005132EF" w:rsidRPr="00370E70" w:rsidRDefault="005132EF" w:rsidP="00D26202">
            <w:pPr>
              <w:jc w:val="center"/>
              <w:rPr>
                <w:color w:val="000000"/>
                <w:sz w:val="16"/>
                <w:szCs w:val="16"/>
              </w:rPr>
            </w:pPr>
            <w:r w:rsidRPr="00370E70">
              <w:rPr>
                <w:color w:val="000000"/>
                <w:sz w:val="16"/>
                <w:szCs w:val="16"/>
              </w:rPr>
              <w:t>Far Northern</w:t>
            </w:r>
          </w:p>
        </w:tc>
        <w:tc>
          <w:tcPr>
            <w:tcW w:w="1559" w:type="dxa"/>
            <w:vMerge w:val="restart"/>
            <w:tcBorders>
              <w:top w:val="single" w:sz="4" w:space="0" w:color="auto"/>
            </w:tcBorders>
            <w:noWrap/>
            <w:vAlign w:val="center"/>
          </w:tcPr>
          <w:p w:rsidR="005132EF" w:rsidRPr="00370E70" w:rsidRDefault="005132EF" w:rsidP="00D26202">
            <w:pPr>
              <w:jc w:val="center"/>
              <w:rPr>
                <w:color w:val="000000"/>
                <w:sz w:val="16"/>
                <w:szCs w:val="16"/>
              </w:rPr>
            </w:pPr>
            <w:smartTag w:uri="urn:schemas-microsoft-com:office:smarttags" w:element="place">
              <w:r w:rsidRPr="00370E70">
                <w:rPr>
                  <w:color w:val="000000"/>
                  <w:sz w:val="16"/>
                  <w:szCs w:val="16"/>
                </w:rPr>
                <w:t>Cape York</w:t>
              </w:r>
            </w:smartTag>
          </w:p>
        </w:tc>
        <w:tc>
          <w:tcPr>
            <w:tcW w:w="1434" w:type="dxa"/>
            <w:vMerge w:val="restart"/>
            <w:tcBorders>
              <w:top w:val="single" w:sz="4" w:space="0" w:color="auto"/>
            </w:tcBorders>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4" w:space="0" w:color="auto"/>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Shelburne</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5132EF" w:rsidP="0039494C">
            <w:pPr>
              <w:spacing w:before="0" w:after="0"/>
              <w:jc w:val="center"/>
              <w:rPr>
                <w:i/>
                <w:color w:val="000000"/>
                <w:sz w:val="16"/>
                <w:szCs w:val="16"/>
              </w:rPr>
            </w:pPr>
            <w:r w:rsidRPr="00370E70">
              <w:rPr>
                <w:i/>
                <w:color w:val="000000"/>
                <w:sz w:val="16"/>
                <w:szCs w:val="16"/>
              </w:rPr>
              <w:t>coastal</w:t>
            </w:r>
          </w:p>
        </w:tc>
        <w:tc>
          <w:tcPr>
            <w:tcW w:w="674" w:type="dxa"/>
            <w:tcBorders>
              <w:top w:val="single" w:sz="4" w:space="0" w:color="auto"/>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SR1*</w:t>
            </w:r>
          </w:p>
        </w:tc>
        <w:tc>
          <w:tcPr>
            <w:tcW w:w="1579" w:type="dxa"/>
            <w:tcBorders>
              <w:top w:val="single" w:sz="4" w:space="0" w:color="auto"/>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Shelburne</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4" w:space="0" w:color="auto"/>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11°</w:t>
            </w:r>
          </w:p>
        </w:tc>
        <w:tc>
          <w:tcPr>
            <w:tcW w:w="809" w:type="dxa"/>
            <w:tcBorders>
              <w:top w:val="single" w:sz="4" w:space="0" w:color="auto"/>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53.233</w:t>
            </w:r>
          </w:p>
        </w:tc>
        <w:tc>
          <w:tcPr>
            <w:tcW w:w="576" w:type="dxa"/>
            <w:tcBorders>
              <w:top w:val="single" w:sz="4" w:space="0" w:color="auto"/>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142°</w:t>
            </w:r>
          </w:p>
        </w:tc>
        <w:tc>
          <w:tcPr>
            <w:tcW w:w="809" w:type="dxa"/>
            <w:tcBorders>
              <w:top w:val="single" w:sz="4" w:space="0" w:color="auto"/>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54.851</w:t>
            </w:r>
          </w:p>
        </w:tc>
        <w:tc>
          <w:tcPr>
            <w:tcW w:w="4496" w:type="dxa"/>
            <w:tcBorders>
              <w:top w:val="single" w:sz="4" w:space="0" w:color="auto"/>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ovalis with H. uninervis/T. hemprichii</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SR2*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Shelburne</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11°</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53.251</w:t>
            </w:r>
          </w:p>
        </w:tc>
        <w:tc>
          <w:tcPr>
            <w:tcW w:w="57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142°</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54.938</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ovalis with H. uninervis/T. hemprichii</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Piper Reef</w:t>
            </w:r>
          </w:p>
          <w:p w:rsidR="005132EF" w:rsidRPr="00370E70" w:rsidRDefault="005132EF" w:rsidP="0039494C">
            <w:pPr>
              <w:spacing w:before="0" w:after="0"/>
              <w:jc w:val="center"/>
              <w:rPr>
                <w:i/>
                <w:color w:val="000000"/>
                <w:sz w:val="16"/>
                <w:szCs w:val="16"/>
              </w:rPr>
            </w:pPr>
            <w:r w:rsidRPr="00370E70">
              <w:rPr>
                <w:i/>
                <w:color w:val="000000"/>
                <w:sz w:val="16"/>
                <w:szCs w:val="16"/>
              </w:rPr>
              <w:t>reef</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FR1*</w:t>
            </w:r>
          </w:p>
        </w:tc>
        <w:tc>
          <w:tcPr>
            <w:tcW w:w="157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Farmer Is.</w:t>
            </w:r>
          </w:p>
        </w:tc>
        <w:tc>
          <w:tcPr>
            <w:tcW w:w="48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12°</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15.352</w:t>
            </w:r>
          </w:p>
        </w:tc>
        <w:tc>
          <w:tcPr>
            <w:tcW w:w="57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143°</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14.020</w:t>
            </w:r>
          </w:p>
        </w:tc>
        <w:tc>
          <w:tcPr>
            <w:tcW w:w="4496" w:type="dxa"/>
            <w:tcBorders>
              <w:top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T. hemprichii with C. rotundata/H. ovalis</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FR2*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Farmer Is.</w:t>
            </w:r>
          </w:p>
        </w:tc>
        <w:tc>
          <w:tcPr>
            <w:tcW w:w="48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12°</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15.448</w:t>
            </w:r>
          </w:p>
        </w:tc>
        <w:tc>
          <w:tcPr>
            <w:tcW w:w="57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143°</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14.185</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T. hemprichii with C. rotundata/H. ovalis</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restart"/>
            <w:vAlign w:val="center"/>
          </w:tcPr>
          <w:p w:rsidR="005132EF" w:rsidRPr="00370E70" w:rsidRDefault="00BC26AE" w:rsidP="00D26202">
            <w:pPr>
              <w:spacing w:before="0" w:after="0"/>
              <w:jc w:val="center"/>
              <w:rPr>
                <w:color w:val="000000"/>
                <w:sz w:val="16"/>
                <w:szCs w:val="16"/>
              </w:rPr>
            </w:pPr>
            <w:r w:rsidRPr="00BC26AE">
              <w:rPr>
                <w:color w:val="000000"/>
                <w:sz w:val="16"/>
                <w:szCs w:val="16"/>
              </w:rPr>
              <w:t>Normanby</w:t>
            </w: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Stanley</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p w:rsidR="005132EF" w:rsidRPr="00370E70" w:rsidRDefault="005132EF" w:rsidP="0039494C">
            <w:pPr>
              <w:spacing w:before="0" w:after="0"/>
              <w:jc w:val="center"/>
              <w:rPr>
                <w:i/>
                <w:color w:val="000000"/>
                <w:sz w:val="16"/>
                <w:szCs w:val="16"/>
              </w:rPr>
            </w:pPr>
            <w:r w:rsidRPr="00370E70">
              <w:rPr>
                <w:i/>
                <w:color w:val="000000"/>
                <w:sz w:val="16"/>
                <w:szCs w:val="16"/>
              </w:rPr>
              <w:t>reef</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ST1*</w:t>
            </w:r>
          </w:p>
        </w:tc>
        <w:tc>
          <w:tcPr>
            <w:tcW w:w="157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Stanley</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8.576</w:t>
            </w:r>
          </w:p>
        </w:tc>
        <w:tc>
          <w:tcPr>
            <w:tcW w:w="57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144°</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14.680</w:t>
            </w:r>
          </w:p>
        </w:tc>
        <w:tc>
          <w:tcPr>
            <w:tcW w:w="4496" w:type="dxa"/>
            <w:tcBorders>
              <w:top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ovalis/H. uninervis with T. hemprichii/C. rotundata</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ST2*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Stanley</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8.547</w:t>
            </w:r>
          </w:p>
        </w:tc>
        <w:tc>
          <w:tcPr>
            <w:tcW w:w="57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144°</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14.588</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ovalis/H. uninervis with T. hemprichii/C. rotundata</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Bathurst</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5132EF" w:rsidP="0039494C">
            <w:pPr>
              <w:spacing w:before="0" w:after="0"/>
              <w:jc w:val="center"/>
              <w:rPr>
                <w:i/>
                <w:color w:val="000000"/>
                <w:sz w:val="16"/>
                <w:szCs w:val="16"/>
              </w:rPr>
            </w:pPr>
            <w:r w:rsidRPr="00370E70">
              <w:rPr>
                <w:i/>
                <w:color w:val="000000"/>
                <w:sz w:val="16"/>
                <w:szCs w:val="16"/>
              </w:rPr>
              <w:t>coastal</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BY1*</w:t>
            </w:r>
          </w:p>
        </w:tc>
        <w:tc>
          <w:tcPr>
            <w:tcW w:w="157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Bathurst</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16.082</w:t>
            </w:r>
          </w:p>
        </w:tc>
        <w:tc>
          <w:tcPr>
            <w:tcW w:w="576"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144°</w:t>
            </w:r>
          </w:p>
        </w:tc>
        <w:tc>
          <w:tcPr>
            <w:tcW w:w="809" w:type="dxa"/>
            <w:tcBorders>
              <w:top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13.961</w:t>
            </w:r>
          </w:p>
        </w:tc>
        <w:tc>
          <w:tcPr>
            <w:tcW w:w="4496" w:type="dxa"/>
            <w:tcBorders>
              <w:top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uninervis with H. ovalis/T. hemprichii/C. rotundata</w:t>
            </w:r>
          </w:p>
        </w:tc>
      </w:tr>
      <w:tr w:rsidR="005132EF" w:rsidRPr="00370E70" w:rsidTr="00B22122">
        <w:trPr>
          <w:trHeight w:val="181"/>
        </w:trPr>
        <w:tc>
          <w:tcPr>
            <w:tcW w:w="961" w:type="dxa"/>
            <w:vMerge/>
            <w:noWrap/>
            <w:vAlign w:val="center"/>
          </w:tcPr>
          <w:p w:rsidR="005132EF" w:rsidRPr="00370E70" w:rsidRDefault="005132EF" w:rsidP="00D26202">
            <w:pPr>
              <w:jc w:val="center"/>
              <w:rPr>
                <w:color w:val="000000"/>
                <w:sz w:val="16"/>
                <w:szCs w:val="16"/>
              </w:rPr>
            </w:pPr>
          </w:p>
        </w:tc>
        <w:tc>
          <w:tcPr>
            <w:tcW w:w="1559" w:type="dxa"/>
            <w:vMerge/>
            <w:noWrap/>
            <w:vAlign w:val="center"/>
          </w:tcPr>
          <w:p w:rsidR="005132EF" w:rsidRPr="00370E70" w:rsidRDefault="005132EF" w:rsidP="00D26202">
            <w:pPr>
              <w:jc w:val="center"/>
              <w:rPr>
                <w:color w:val="000000"/>
                <w:sz w:val="16"/>
                <w:szCs w:val="16"/>
              </w:rPr>
            </w:pPr>
          </w:p>
        </w:tc>
        <w:tc>
          <w:tcPr>
            <w:tcW w:w="1434" w:type="dxa"/>
            <w:vMerge/>
            <w:tcBorders>
              <w:bottom w:val="single" w:sz="2" w:space="0" w:color="808080"/>
            </w:tcBorders>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BY2*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Bathurst</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16.062</w:t>
            </w:r>
          </w:p>
        </w:tc>
        <w:tc>
          <w:tcPr>
            <w:tcW w:w="576"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144°</w:t>
            </w:r>
          </w:p>
        </w:tc>
        <w:tc>
          <w:tcPr>
            <w:tcW w:w="809" w:type="dxa"/>
            <w:tcBorders>
              <w:bottom w:val="single" w:sz="2" w:space="0" w:color="808080"/>
            </w:tcBorders>
            <w:noWrap/>
            <w:vAlign w:val="bottom"/>
          </w:tcPr>
          <w:p w:rsidR="005132EF" w:rsidRPr="00370E70" w:rsidRDefault="005132EF" w:rsidP="00EF0F65">
            <w:pPr>
              <w:spacing w:before="0" w:after="0"/>
              <w:jc w:val="center"/>
              <w:rPr>
                <w:color w:val="000000"/>
                <w:sz w:val="16"/>
                <w:szCs w:val="16"/>
              </w:rPr>
            </w:pPr>
            <w:r w:rsidRPr="00370E70">
              <w:rPr>
                <w:color w:val="000000"/>
                <w:sz w:val="16"/>
                <w:szCs w:val="16"/>
              </w:rPr>
              <w:t>13.896</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uninervis with H. ovalis/T. hemprichii/C. rotundata</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vAlign w:val="center"/>
          </w:tcPr>
          <w:p w:rsidR="005132EF" w:rsidRPr="00370E70" w:rsidRDefault="005132EF" w:rsidP="00D26202">
            <w:pPr>
              <w:spacing w:before="0" w:after="0"/>
              <w:jc w:val="center"/>
              <w:rPr>
                <w:color w:val="000000"/>
                <w:sz w:val="16"/>
                <w:szCs w:val="16"/>
              </w:rPr>
            </w:pPr>
            <w:r w:rsidRPr="00370E70">
              <w:rPr>
                <w:color w:val="000000"/>
                <w:sz w:val="16"/>
                <w:szCs w:val="16"/>
              </w:rPr>
              <w:t>Endeavour</w:t>
            </w: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Cooktown</w:t>
            </w:r>
          </w:p>
          <w:p w:rsidR="005132EF" w:rsidRPr="00370E70" w:rsidRDefault="005132EF" w:rsidP="00930DB3">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AP1*</w:t>
            </w:r>
          </w:p>
        </w:tc>
        <w:tc>
          <w:tcPr>
            <w:tcW w:w="157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Archer</w:t>
                </w:r>
              </w:smartTag>
              <w:r w:rsidRPr="00370E70">
                <w:rPr>
                  <w:color w:val="000000"/>
                  <w:sz w:val="16"/>
                  <w:szCs w:val="16"/>
                </w:rPr>
                <w:t xml:space="preserve"> </w:t>
              </w:r>
              <w:smartTag w:uri="urn:schemas-microsoft-com:office:smarttags" w:element="PlaceName">
                <w:r w:rsidRPr="00370E70">
                  <w:rPr>
                    <w:color w:val="000000"/>
                    <w:sz w:val="16"/>
                    <w:szCs w:val="16"/>
                  </w:rPr>
                  <w:t>Point</w:t>
                </w:r>
              </w:smartTag>
            </w:smartTag>
          </w:p>
        </w:tc>
        <w:tc>
          <w:tcPr>
            <w:tcW w:w="48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w:t>
            </w:r>
          </w:p>
        </w:tc>
        <w:tc>
          <w:tcPr>
            <w:tcW w:w="80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36.500</w:t>
            </w:r>
          </w:p>
        </w:tc>
        <w:tc>
          <w:tcPr>
            <w:tcW w:w="57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145°</w:t>
            </w:r>
          </w:p>
        </w:tc>
        <w:tc>
          <w:tcPr>
            <w:tcW w:w="80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19.143</w:t>
            </w:r>
          </w:p>
        </w:tc>
        <w:tc>
          <w:tcPr>
            <w:tcW w:w="449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H. univervis/ H. ovalis</w:t>
            </w:r>
            <w:r w:rsidRPr="00370E70">
              <w:rPr>
                <w:color w:val="000000"/>
                <w:sz w:val="16"/>
                <w:szCs w:val="16"/>
              </w:rPr>
              <w:t xml:space="preserve"> with </w:t>
            </w:r>
            <w:r w:rsidRPr="00370E70">
              <w:rPr>
                <w:i/>
                <w:color w:val="000000"/>
                <w:sz w:val="16"/>
                <w:szCs w:val="16"/>
              </w:rPr>
              <w:t>Cymodocea/T. hemprichii</w:t>
            </w:r>
          </w:p>
        </w:tc>
      </w:tr>
      <w:tr w:rsidR="005132EF" w:rsidRPr="00370E70" w:rsidTr="00B22122">
        <w:trPr>
          <w:trHeight w:val="181"/>
        </w:trPr>
        <w:tc>
          <w:tcPr>
            <w:tcW w:w="961"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559"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AP2*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Archer</w:t>
                </w:r>
              </w:smartTag>
              <w:r w:rsidRPr="00370E70">
                <w:rPr>
                  <w:color w:val="000000"/>
                  <w:sz w:val="16"/>
                  <w:szCs w:val="16"/>
                </w:rPr>
                <w:t xml:space="preserve"> </w:t>
              </w:r>
              <w:smartTag w:uri="urn:schemas-microsoft-com:office:smarttags" w:element="PlaceName">
                <w:r w:rsidRPr="00370E70">
                  <w:rPr>
                    <w:color w:val="000000"/>
                    <w:sz w:val="16"/>
                    <w:szCs w:val="16"/>
                  </w:rPr>
                  <w:t>Point</w:t>
                </w:r>
              </w:smartTag>
            </w:smartTag>
          </w:p>
        </w:tc>
        <w:tc>
          <w:tcPr>
            <w:tcW w:w="486" w:type="dxa"/>
            <w:tcBorders>
              <w:bottom w:val="single" w:sz="2" w:space="0" w:color="808080"/>
            </w:tcBorders>
            <w:vAlign w:val="center"/>
          </w:tcPr>
          <w:p w:rsidR="005132EF" w:rsidRPr="00370E70" w:rsidRDefault="005132EF" w:rsidP="00034AD4">
            <w:pPr>
              <w:spacing w:before="0" w:after="0"/>
              <w:jc w:val="center"/>
              <w:rPr>
                <w:color w:val="000000"/>
                <w:sz w:val="16"/>
                <w:szCs w:val="16"/>
              </w:rPr>
            </w:pPr>
            <w:r w:rsidRPr="00370E70">
              <w:rPr>
                <w:color w:val="000000"/>
                <w:sz w:val="16"/>
                <w:szCs w:val="16"/>
              </w:rPr>
              <w:t>15°</w:t>
            </w:r>
          </w:p>
        </w:tc>
        <w:tc>
          <w:tcPr>
            <w:tcW w:w="809" w:type="dxa"/>
            <w:tcBorders>
              <w:bottom w:val="single" w:sz="2" w:space="0" w:color="808080"/>
            </w:tcBorders>
            <w:vAlign w:val="center"/>
          </w:tcPr>
          <w:p w:rsidR="005132EF" w:rsidRPr="00370E70" w:rsidRDefault="005132EF" w:rsidP="00034AD4">
            <w:pPr>
              <w:spacing w:before="0" w:after="0"/>
              <w:jc w:val="center"/>
              <w:rPr>
                <w:color w:val="000000"/>
                <w:sz w:val="16"/>
                <w:szCs w:val="16"/>
              </w:rPr>
            </w:pPr>
            <w:r w:rsidRPr="00370E70">
              <w:rPr>
                <w:color w:val="000000"/>
                <w:sz w:val="16"/>
                <w:szCs w:val="16"/>
              </w:rPr>
              <w:t>36.525</w:t>
            </w:r>
          </w:p>
        </w:tc>
        <w:tc>
          <w:tcPr>
            <w:tcW w:w="576" w:type="dxa"/>
            <w:tcBorders>
              <w:bottom w:val="single" w:sz="2" w:space="0" w:color="808080"/>
            </w:tcBorders>
            <w:vAlign w:val="center"/>
          </w:tcPr>
          <w:p w:rsidR="005132EF" w:rsidRPr="00370E70" w:rsidRDefault="005132EF" w:rsidP="00034AD4">
            <w:pPr>
              <w:spacing w:before="0" w:after="0"/>
              <w:jc w:val="center"/>
              <w:rPr>
                <w:color w:val="000000"/>
                <w:sz w:val="16"/>
                <w:szCs w:val="16"/>
              </w:rPr>
            </w:pPr>
            <w:r w:rsidRPr="00370E70">
              <w:rPr>
                <w:color w:val="000000"/>
                <w:sz w:val="16"/>
                <w:szCs w:val="16"/>
              </w:rPr>
              <w:t>145°</w:t>
            </w:r>
          </w:p>
        </w:tc>
        <w:tc>
          <w:tcPr>
            <w:tcW w:w="809" w:type="dxa"/>
            <w:tcBorders>
              <w:bottom w:val="single" w:sz="2" w:space="0" w:color="808080"/>
            </w:tcBorders>
            <w:vAlign w:val="center"/>
          </w:tcPr>
          <w:p w:rsidR="005132EF" w:rsidRPr="00370E70" w:rsidRDefault="005132EF" w:rsidP="00034AD4">
            <w:pPr>
              <w:spacing w:before="0" w:after="0"/>
              <w:jc w:val="center"/>
              <w:rPr>
                <w:color w:val="000000"/>
                <w:sz w:val="16"/>
                <w:szCs w:val="16"/>
              </w:rPr>
            </w:pPr>
            <w:r w:rsidRPr="00370E70">
              <w:rPr>
                <w:color w:val="000000"/>
                <w:sz w:val="16"/>
                <w:szCs w:val="16"/>
              </w:rPr>
              <w:t>19.108</w:t>
            </w:r>
          </w:p>
        </w:tc>
        <w:tc>
          <w:tcPr>
            <w:tcW w:w="449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H. univervis/H. ovalis</w:t>
            </w:r>
            <w:r w:rsidRPr="00370E70">
              <w:rPr>
                <w:color w:val="000000"/>
                <w:sz w:val="16"/>
                <w:szCs w:val="16"/>
              </w:rPr>
              <w:t xml:space="preserve"> with </w:t>
            </w:r>
            <w:r w:rsidRPr="00370E70">
              <w:rPr>
                <w:i/>
                <w:color w:val="000000"/>
                <w:sz w:val="16"/>
                <w:szCs w:val="16"/>
              </w:rPr>
              <w:t>C. rotundata</w:t>
            </w:r>
          </w:p>
        </w:tc>
      </w:tr>
      <w:tr w:rsidR="005132EF" w:rsidRPr="00370E70" w:rsidTr="00B22122">
        <w:trPr>
          <w:trHeight w:val="181"/>
        </w:trPr>
        <w:tc>
          <w:tcPr>
            <w:tcW w:w="961" w:type="dxa"/>
            <w:vMerge w:val="restart"/>
            <w:tcBorders>
              <w:top w:val="single" w:sz="2" w:space="0" w:color="808080"/>
            </w:tcBorders>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Northern</w:t>
            </w:r>
          </w:p>
        </w:tc>
        <w:tc>
          <w:tcPr>
            <w:tcW w:w="1559"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Wet Tropics</w:t>
            </w:r>
          </w:p>
          <w:p w:rsidR="005132EF" w:rsidRPr="00370E70" w:rsidRDefault="005132EF" w:rsidP="0036306F">
            <w:pPr>
              <w:spacing w:before="0" w:after="0"/>
              <w:jc w:val="center"/>
              <w:rPr>
                <w:color w:val="000000"/>
                <w:sz w:val="16"/>
                <w:szCs w:val="16"/>
              </w:rPr>
            </w:pPr>
            <w:r w:rsidRPr="00370E70">
              <w:rPr>
                <w:color w:val="000000"/>
                <w:sz w:val="16"/>
                <w:szCs w:val="16"/>
              </w:rPr>
              <w:t>(</w:t>
            </w:r>
            <w:r w:rsidRPr="00370E70">
              <w:rPr>
                <w:i/>
                <w:color w:val="000000"/>
                <w:sz w:val="16"/>
                <w:szCs w:val="16"/>
              </w:rPr>
              <w:t>Terrain NRM</w:t>
            </w:r>
            <w:r w:rsidRPr="00370E70">
              <w:rPr>
                <w:color w:val="000000"/>
                <w:sz w:val="16"/>
                <w:szCs w:val="16"/>
              </w:rPr>
              <w:t>)</w:t>
            </w:r>
          </w:p>
        </w:tc>
        <w:tc>
          <w:tcPr>
            <w:tcW w:w="1434" w:type="dxa"/>
            <w:vMerge w:val="restart"/>
            <w:tcBorders>
              <w:top w:val="single" w:sz="2" w:space="0" w:color="808080"/>
            </w:tcBorders>
            <w:shd w:val="clear" w:color="auto" w:fill="F3F3F3"/>
            <w:vAlign w:val="center"/>
          </w:tcPr>
          <w:p w:rsidR="005132EF" w:rsidRPr="00370E70" w:rsidRDefault="005132EF" w:rsidP="0036306F">
            <w:pPr>
              <w:spacing w:before="0" w:after="0"/>
              <w:jc w:val="center"/>
              <w:rPr>
                <w:color w:val="000000"/>
                <w:sz w:val="16"/>
                <w:szCs w:val="16"/>
              </w:rPr>
            </w:pPr>
            <w:r w:rsidRPr="00370E70">
              <w:rPr>
                <w:color w:val="000000"/>
                <w:sz w:val="16"/>
                <w:szCs w:val="16"/>
              </w:rPr>
              <w:t>Mossman</w:t>
            </w:r>
          </w:p>
        </w:tc>
        <w:tc>
          <w:tcPr>
            <w:tcW w:w="1701"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Low Isles</w:t>
            </w:r>
          </w:p>
          <w:p w:rsidR="005132EF" w:rsidRPr="00370E70" w:rsidRDefault="005132EF" w:rsidP="0036306F">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LI1*</w:t>
            </w:r>
          </w:p>
        </w:tc>
        <w:tc>
          <w:tcPr>
            <w:tcW w:w="157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Low Isles</w:t>
            </w:r>
          </w:p>
        </w:tc>
        <w:tc>
          <w:tcPr>
            <w:tcW w:w="48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23.11</w:t>
            </w:r>
          </w:p>
        </w:tc>
        <w:tc>
          <w:tcPr>
            <w:tcW w:w="57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33.88</w:t>
            </w:r>
          </w:p>
        </w:tc>
        <w:tc>
          <w:tcPr>
            <w:tcW w:w="4496" w:type="dxa"/>
            <w:tcBorders>
              <w:top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H.ovalis/H.uninervis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LI2^</w:t>
            </w:r>
          </w:p>
        </w:tc>
        <w:tc>
          <w:tcPr>
            <w:tcW w:w="157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Low Isles</w:t>
            </w:r>
          </w:p>
        </w:tc>
        <w:tc>
          <w:tcPr>
            <w:tcW w:w="48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22.97</w:t>
            </w:r>
          </w:p>
        </w:tc>
        <w:tc>
          <w:tcPr>
            <w:tcW w:w="57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33.85</w:t>
            </w:r>
          </w:p>
        </w:tc>
        <w:tc>
          <w:tcPr>
            <w:tcW w:w="4496" w:type="dxa"/>
            <w:tcBorders>
              <w:bottom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H.ovalis/H.uninervis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shd w:val="clear" w:color="auto" w:fill="F3F3F3"/>
            <w:vAlign w:val="center"/>
          </w:tcPr>
          <w:p w:rsidR="005132EF" w:rsidRPr="00370E70" w:rsidRDefault="005132EF" w:rsidP="0036306F">
            <w:pPr>
              <w:spacing w:before="0" w:after="0"/>
              <w:jc w:val="center"/>
              <w:rPr>
                <w:color w:val="000000"/>
                <w:sz w:val="16"/>
                <w:szCs w:val="16"/>
              </w:rPr>
            </w:pPr>
            <w:r w:rsidRPr="00370E70">
              <w:rPr>
                <w:color w:val="000000"/>
                <w:sz w:val="16"/>
                <w:szCs w:val="16"/>
              </w:rPr>
              <w:t>Barron</w:t>
            </w:r>
          </w:p>
          <w:p w:rsidR="005132EF" w:rsidRPr="00370E70" w:rsidRDefault="005132EF" w:rsidP="0036306F">
            <w:pPr>
              <w:spacing w:before="0" w:after="0"/>
              <w:jc w:val="center"/>
              <w:rPr>
                <w:color w:val="000000"/>
                <w:sz w:val="16"/>
                <w:szCs w:val="16"/>
              </w:rPr>
            </w:pPr>
            <w:r w:rsidRPr="00370E70">
              <w:rPr>
                <w:color w:val="000000"/>
                <w:sz w:val="16"/>
                <w:szCs w:val="16"/>
              </w:rPr>
              <w:t>Russell -Mulgrave</w:t>
            </w:r>
          </w:p>
          <w:p w:rsidR="005132EF" w:rsidRPr="00370E70" w:rsidRDefault="005132EF" w:rsidP="0036306F">
            <w:pPr>
              <w:spacing w:before="0" w:after="0"/>
              <w:jc w:val="center"/>
              <w:rPr>
                <w:color w:val="000000"/>
                <w:sz w:val="16"/>
                <w:szCs w:val="16"/>
              </w:rPr>
            </w:pPr>
            <w:r w:rsidRPr="00370E70">
              <w:rPr>
                <w:color w:val="000000"/>
                <w:sz w:val="16"/>
                <w:szCs w:val="16"/>
              </w:rPr>
              <w:t>Johnstone</w:t>
            </w:r>
          </w:p>
        </w:tc>
        <w:tc>
          <w:tcPr>
            <w:tcW w:w="1701"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City">
                <w:r w:rsidRPr="00370E70">
                  <w:rPr>
                    <w:color w:val="000000"/>
                    <w:sz w:val="16"/>
                    <w:szCs w:val="16"/>
                  </w:rPr>
                  <w:t>Cairns</w:t>
                </w:r>
              </w:smartTag>
            </w:smartTag>
          </w:p>
          <w:p w:rsidR="005132EF" w:rsidRPr="00370E70" w:rsidRDefault="005132EF" w:rsidP="0036306F">
            <w:pPr>
              <w:spacing w:before="0" w:after="0"/>
              <w:jc w:val="center"/>
              <w:rPr>
                <w:color w:val="000000"/>
                <w:sz w:val="16"/>
                <w:szCs w:val="16"/>
              </w:rPr>
            </w:pPr>
            <w:r w:rsidRPr="00370E70">
              <w:rPr>
                <w:i/>
                <w:color w:val="000000"/>
                <w:sz w:val="16"/>
                <w:szCs w:val="16"/>
              </w:rPr>
              <w:t>coastal</w:t>
            </w:r>
          </w:p>
        </w:tc>
        <w:tc>
          <w:tcPr>
            <w:tcW w:w="674"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YP1*</w:t>
            </w:r>
          </w:p>
        </w:tc>
        <w:tc>
          <w:tcPr>
            <w:tcW w:w="157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Yule Point</w:t>
            </w:r>
          </w:p>
        </w:tc>
        <w:tc>
          <w:tcPr>
            <w:tcW w:w="48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34.159</w:t>
            </w:r>
          </w:p>
        </w:tc>
        <w:tc>
          <w:tcPr>
            <w:tcW w:w="57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30.744</w:t>
            </w:r>
          </w:p>
        </w:tc>
        <w:tc>
          <w:tcPr>
            <w:tcW w:w="449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YP2*</w:t>
            </w:r>
          </w:p>
        </w:tc>
        <w:tc>
          <w:tcPr>
            <w:tcW w:w="157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Yule Point</w:t>
            </w:r>
          </w:p>
        </w:tc>
        <w:tc>
          <w:tcPr>
            <w:tcW w:w="48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33.832</w:t>
            </w:r>
          </w:p>
        </w:tc>
        <w:tc>
          <w:tcPr>
            <w:tcW w:w="57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30.555</w:t>
            </w:r>
          </w:p>
        </w:tc>
        <w:tc>
          <w:tcPr>
            <w:tcW w:w="449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Green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p w:rsidR="005132EF" w:rsidRPr="00370E70" w:rsidRDefault="005132EF" w:rsidP="0036306F">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GI1*</w:t>
            </w:r>
          </w:p>
        </w:tc>
        <w:tc>
          <w:tcPr>
            <w:tcW w:w="157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Green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45.789</w:t>
            </w:r>
          </w:p>
        </w:tc>
        <w:tc>
          <w:tcPr>
            <w:tcW w:w="57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58.31</w:t>
            </w:r>
          </w:p>
        </w:tc>
        <w:tc>
          <w:tcPr>
            <w:tcW w:w="449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i/>
                <w:color w:val="000000"/>
                <w:sz w:val="16"/>
                <w:szCs w:val="16"/>
              </w:rPr>
              <w:t>C. rotundata/T. hemprichii</w:t>
            </w:r>
            <w:r w:rsidRPr="00370E70">
              <w:rPr>
                <w:color w:val="000000"/>
                <w:sz w:val="16"/>
                <w:szCs w:val="16"/>
              </w:rPr>
              <w:t xml:space="preserve"> with </w:t>
            </w:r>
            <w:r w:rsidRPr="00370E70">
              <w:rPr>
                <w:i/>
                <w:color w:val="000000"/>
                <w:sz w:val="16"/>
                <w:szCs w:val="16"/>
              </w:rPr>
              <w:t>H. uninervis/H. ovalis</w:t>
            </w:r>
          </w:p>
        </w:tc>
      </w:tr>
      <w:tr w:rsidR="005132EF" w:rsidRPr="00370E70" w:rsidTr="00146C33">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GI2*</w:t>
            </w:r>
          </w:p>
        </w:tc>
        <w:tc>
          <w:tcPr>
            <w:tcW w:w="1579" w:type="dxa"/>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Green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45.776</w:t>
            </w:r>
          </w:p>
        </w:tc>
        <w:tc>
          <w:tcPr>
            <w:tcW w:w="576"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58.501</w:t>
            </w:r>
          </w:p>
        </w:tc>
        <w:tc>
          <w:tcPr>
            <w:tcW w:w="4496"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i/>
                <w:color w:val="000000"/>
                <w:sz w:val="16"/>
                <w:szCs w:val="16"/>
              </w:rPr>
              <w:t xml:space="preserve">C. rotundata/T. hemprichii </w:t>
            </w:r>
            <w:r w:rsidRPr="00370E70">
              <w:rPr>
                <w:color w:val="000000"/>
                <w:sz w:val="16"/>
                <w:szCs w:val="16"/>
              </w:rPr>
              <w:t xml:space="preserve">with </w:t>
            </w:r>
            <w:r w:rsidRPr="00370E70">
              <w:rPr>
                <w:i/>
                <w:color w:val="000000"/>
                <w:sz w:val="16"/>
                <w:szCs w:val="16"/>
              </w:rPr>
              <w:t>H. uninervis/H.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GI3^</w:t>
            </w:r>
          </w:p>
        </w:tc>
        <w:tc>
          <w:tcPr>
            <w:tcW w:w="157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Green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16°</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45.29</w:t>
            </w:r>
          </w:p>
        </w:tc>
        <w:tc>
          <w:tcPr>
            <w:tcW w:w="57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145°</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58.38</w:t>
            </w:r>
          </w:p>
        </w:tc>
        <w:tc>
          <w:tcPr>
            <w:tcW w:w="449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i/>
                <w:color w:val="000000"/>
                <w:sz w:val="16"/>
                <w:szCs w:val="16"/>
              </w:rPr>
              <w:t>C. rotundata/</w:t>
            </w:r>
            <w:r w:rsidRPr="00370E70">
              <w:rPr>
                <w:color w:val="000000"/>
                <w:sz w:val="16"/>
                <w:szCs w:val="16"/>
              </w:rPr>
              <w:t xml:space="preserve"> </w:t>
            </w:r>
            <w:r w:rsidRPr="00370E70">
              <w:rPr>
                <w:i/>
                <w:color w:val="000000"/>
                <w:sz w:val="16"/>
                <w:szCs w:val="16"/>
              </w:rPr>
              <w:t>H. uninervis/C.serrulata/S.isoetifolium</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shd w:val="clear" w:color="auto" w:fill="F3F3F3"/>
            <w:vAlign w:val="center"/>
          </w:tcPr>
          <w:p w:rsidR="005132EF" w:rsidRPr="00370E70" w:rsidRDefault="005132EF" w:rsidP="0036306F">
            <w:pPr>
              <w:spacing w:before="0" w:after="0"/>
              <w:jc w:val="center"/>
              <w:rPr>
                <w:color w:val="000000"/>
                <w:sz w:val="16"/>
                <w:szCs w:val="16"/>
              </w:rPr>
            </w:pPr>
            <w:r w:rsidRPr="00370E70">
              <w:rPr>
                <w:color w:val="000000"/>
                <w:sz w:val="16"/>
                <w:szCs w:val="16"/>
              </w:rPr>
              <w:t>Tully</w:t>
            </w:r>
          </w:p>
        </w:tc>
        <w:tc>
          <w:tcPr>
            <w:tcW w:w="1701"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Mission</w:t>
                </w:r>
              </w:smartTag>
              <w:r w:rsidRPr="00370E70">
                <w:rPr>
                  <w:color w:val="000000"/>
                  <w:sz w:val="16"/>
                  <w:szCs w:val="16"/>
                </w:rPr>
                <w:t xml:space="preserve"> </w:t>
              </w:r>
              <w:smartTag w:uri="urn:schemas-microsoft-com:office:smarttags" w:element="PlaceType">
                <w:r w:rsidRPr="00370E70">
                  <w:rPr>
                    <w:color w:val="000000"/>
                    <w:sz w:val="16"/>
                    <w:szCs w:val="16"/>
                  </w:rPr>
                  <w:t>Beach</w:t>
                </w:r>
              </w:smartTag>
            </w:smartTag>
          </w:p>
          <w:p w:rsidR="005132EF" w:rsidRPr="00370E70" w:rsidRDefault="002444B3" w:rsidP="0036306F">
            <w:pPr>
              <w:spacing w:before="0" w:after="0"/>
              <w:jc w:val="center"/>
              <w:rPr>
                <w:i/>
                <w:color w:val="000000"/>
                <w:sz w:val="16"/>
                <w:szCs w:val="16"/>
              </w:rPr>
            </w:pPr>
            <w:r>
              <w:rPr>
                <w:i/>
                <w:color w:val="000000"/>
                <w:sz w:val="16"/>
                <w:szCs w:val="16"/>
              </w:rPr>
              <w:t>coastal</w:t>
            </w:r>
          </w:p>
        </w:tc>
        <w:tc>
          <w:tcPr>
            <w:tcW w:w="674"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LB1*</w:t>
            </w:r>
          </w:p>
        </w:tc>
        <w:tc>
          <w:tcPr>
            <w:tcW w:w="157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Lugger</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17°</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57.645</w:t>
            </w:r>
          </w:p>
        </w:tc>
        <w:tc>
          <w:tcPr>
            <w:tcW w:w="57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146°</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5.61</w:t>
            </w:r>
          </w:p>
        </w:tc>
        <w:tc>
          <w:tcPr>
            <w:tcW w:w="4496" w:type="dxa"/>
            <w:tcBorders>
              <w:top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 uninervis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36306F">
            <w:pPr>
              <w:spacing w:before="0" w:after="0"/>
              <w:jc w:val="center"/>
              <w:rPr>
                <w:iCs/>
                <w:color w:val="000000"/>
                <w:sz w:val="16"/>
                <w:szCs w:val="16"/>
              </w:rPr>
            </w:pPr>
            <w:r w:rsidRPr="00370E70">
              <w:rPr>
                <w:iCs/>
                <w:color w:val="000000"/>
                <w:sz w:val="16"/>
                <w:szCs w:val="16"/>
              </w:rPr>
              <w:t>LB2*</w:t>
            </w:r>
          </w:p>
        </w:tc>
        <w:tc>
          <w:tcPr>
            <w:tcW w:w="157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Lugger</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17°</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highlight w:val="yellow"/>
              </w:rPr>
            </w:pPr>
            <w:r w:rsidRPr="00370E70">
              <w:rPr>
                <w:color w:val="000000"/>
                <w:sz w:val="16"/>
                <w:szCs w:val="16"/>
              </w:rPr>
              <w:t>57.674</w:t>
            </w:r>
          </w:p>
        </w:tc>
        <w:tc>
          <w:tcPr>
            <w:tcW w:w="57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146°</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highlight w:val="yellow"/>
              </w:rPr>
            </w:pPr>
            <w:r w:rsidRPr="00370E70">
              <w:rPr>
                <w:color w:val="000000"/>
                <w:sz w:val="16"/>
                <w:szCs w:val="16"/>
              </w:rPr>
              <w:t>5.612</w:t>
            </w:r>
          </w:p>
        </w:tc>
        <w:tc>
          <w:tcPr>
            <w:tcW w:w="4496" w:type="dxa"/>
            <w:tcBorders>
              <w:bottom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 uninervis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36306F">
            <w:pPr>
              <w:spacing w:before="0" w:after="0"/>
              <w:jc w:val="center"/>
              <w:rPr>
                <w:color w:val="000000"/>
                <w:sz w:val="16"/>
                <w:szCs w:val="16"/>
              </w:rPr>
            </w:pPr>
          </w:p>
        </w:tc>
        <w:tc>
          <w:tcPr>
            <w:tcW w:w="1701" w:type="dxa"/>
            <w:vMerge w:val="restart"/>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Dunk</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p w:rsidR="005132EF" w:rsidRPr="00370E70" w:rsidRDefault="005132EF" w:rsidP="0036306F">
            <w:pPr>
              <w:spacing w:before="0" w:after="0"/>
              <w:jc w:val="center"/>
              <w:rPr>
                <w:i/>
                <w:color w:val="000000"/>
                <w:sz w:val="16"/>
                <w:szCs w:val="16"/>
              </w:rPr>
            </w:pPr>
            <w:r w:rsidRPr="00370E70">
              <w:rPr>
                <w:i/>
                <w:color w:val="000000"/>
                <w:sz w:val="16"/>
                <w:szCs w:val="16"/>
              </w:rPr>
              <w:t>reef</w:t>
            </w:r>
          </w:p>
        </w:tc>
        <w:tc>
          <w:tcPr>
            <w:tcW w:w="674" w:type="dxa"/>
            <w:tcBorders>
              <w:top w:val="single" w:sz="2" w:space="0" w:color="808080"/>
            </w:tcBorders>
            <w:shd w:val="clear" w:color="auto" w:fill="F3F3F3"/>
            <w:noWrap/>
            <w:vAlign w:val="center"/>
          </w:tcPr>
          <w:p w:rsidR="005132EF" w:rsidRPr="00370E70" w:rsidRDefault="005132EF" w:rsidP="0036306F">
            <w:pPr>
              <w:spacing w:before="0" w:after="0"/>
              <w:jc w:val="center"/>
              <w:rPr>
                <w:iCs/>
                <w:color w:val="000000"/>
                <w:sz w:val="16"/>
                <w:szCs w:val="16"/>
              </w:rPr>
            </w:pPr>
            <w:r w:rsidRPr="00370E70">
              <w:rPr>
                <w:iCs/>
                <w:color w:val="000000"/>
                <w:sz w:val="16"/>
                <w:szCs w:val="16"/>
              </w:rPr>
              <w:t>DI1*</w:t>
            </w:r>
          </w:p>
        </w:tc>
        <w:tc>
          <w:tcPr>
            <w:tcW w:w="157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Dunk</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17°</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56.6496</w:t>
            </w:r>
          </w:p>
        </w:tc>
        <w:tc>
          <w:tcPr>
            <w:tcW w:w="576"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146°</w:t>
            </w:r>
          </w:p>
        </w:tc>
        <w:tc>
          <w:tcPr>
            <w:tcW w:w="809" w:type="dxa"/>
            <w:tcBorders>
              <w:top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8.4654</w:t>
            </w:r>
          </w:p>
        </w:tc>
        <w:tc>
          <w:tcPr>
            <w:tcW w:w="4496" w:type="dxa"/>
            <w:tcBorders>
              <w:top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T. hemprichii/ C. rotundata</w:t>
            </w:r>
          </w:p>
        </w:tc>
      </w:tr>
      <w:tr w:rsidR="005132EF" w:rsidRPr="00370E70" w:rsidTr="00146C33">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shd w:val="clear" w:color="auto" w:fill="F3F3F3"/>
            <w:noWrap/>
            <w:vAlign w:val="center"/>
          </w:tcPr>
          <w:p w:rsidR="005132EF" w:rsidRPr="00370E70" w:rsidRDefault="005132EF" w:rsidP="0036306F">
            <w:pPr>
              <w:spacing w:before="0" w:after="0"/>
              <w:jc w:val="center"/>
              <w:rPr>
                <w:iCs/>
                <w:color w:val="000000"/>
                <w:sz w:val="16"/>
                <w:szCs w:val="16"/>
              </w:rPr>
            </w:pPr>
            <w:r w:rsidRPr="00370E70">
              <w:rPr>
                <w:iCs/>
                <w:color w:val="000000"/>
                <w:sz w:val="16"/>
                <w:szCs w:val="16"/>
              </w:rPr>
              <w:t>DI2*</w:t>
            </w:r>
          </w:p>
        </w:tc>
        <w:tc>
          <w:tcPr>
            <w:tcW w:w="1579" w:type="dxa"/>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Dunk</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17°</w:t>
            </w:r>
          </w:p>
        </w:tc>
        <w:tc>
          <w:tcPr>
            <w:tcW w:w="809"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56.7396</w:t>
            </w:r>
          </w:p>
        </w:tc>
        <w:tc>
          <w:tcPr>
            <w:tcW w:w="576"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146°</w:t>
            </w:r>
          </w:p>
        </w:tc>
        <w:tc>
          <w:tcPr>
            <w:tcW w:w="809" w:type="dxa"/>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8.4624</w:t>
            </w:r>
          </w:p>
        </w:tc>
        <w:tc>
          <w:tcPr>
            <w:tcW w:w="4496" w:type="dxa"/>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T. hemprichii/ C. rotundata</w:t>
            </w:r>
          </w:p>
        </w:tc>
      </w:tr>
      <w:tr w:rsidR="005132EF" w:rsidRPr="00370E70" w:rsidTr="00B22122">
        <w:trPr>
          <w:trHeight w:val="181"/>
        </w:trPr>
        <w:tc>
          <w:tcPr>
            <w:tcW w:w="961"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559" w:type="dxa"/>
            <w:vMerge/>
            <w:tcBorders>
              <w:bottom w:val="single" w:sz="2" w:space="0" w:color="808080"/>
            </w:tcBorders>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930DB3">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36306F">
            <w:pPr>
              <w:spacing w:before="0" w:after="0"/>
              <w:jc w:val="center"/>
              <w:rPr>
                <w:iCs/>
                <w:color w:val="000000"/>
                <w:sz w:val="16"/>
                <w:szCs w:val="16"/>
              </w:rPr>
            </w:pPr>
            <w:r w:rsidRPr="00370E70">
              <w:rPr>
                <w:iCs/>
                <w:color w:val="000000"/>
                <w:sz w:val="16"/>
                <w:szCs w:val="16"/>
              </w:rPr>
              <w:t>DI3^</w:t>
            </w:r>
          </w:p>
        </w:tc>
        <w:tc>
          <w:tcPr>
            <w:tcW w:w="157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Dunk</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17°</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55.91</w:t>
            </w:r>
          </w:p>
        </w:tc>
        <w:tc>
          <w:tcPr>
            <w:tcW w:w="576"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146°</w:t>
            </w:r>
          </w:p>
        </w:tc>
        <w:tc>
          <w:tcPr>
            <w:tcW w:w="809" w:type="dxa"/>
            <w:tcBorders>
              <w:bottom w:val="single" w:sz="2" w:space="0" w:color="808080"/>
            </w:tcBorders>
            <w:shd w:val="clear" w:color="auto" w:fill="F3F3F3"/>
            <w:noWrap/>
            <w:vAlign w:val="center"/>
          </w:tcPr>
          <w:p w:rsidR="005132EF" w:rsidRPr="00370E70" w:rsidRDefault="005132EF" w:rsidP="0036306F">
            <w:pPr>
              <w:spacing w:before="0" w:after="0"/>
              <w:jc w:val="center"/>
              <w:rPr>
                <w:color w:val="000000"/>
                <w:sz w:val="16"/>
                <w:szCs w:val="16"/>
              </w:rPr>
            </w:pPr>
            <w:r w:rsidRPr="00370E70">
              <w:rPr>
                <w:color w:val="000000"/>
                <w:sz w:val="16"/>
                <w:szCs w:val="16"/>
              </w:rPr>
              <w:t>08.42</w:t>
            </w:r>
          </w:p>
        </w:tc>
        <w:tc>
          <w:tcPr>
            <w:tcW w:w="4496" w:type="dxa"/>
            <w:tcBorders>
              <w:bottom w:val="single" w:sz="2" w:space="0" w:color="808080"/>
            </w:tcBorders>
            <w:shd w:val="clear" w:color="auto" w:fill="F3F3F3"/>
            <w:noWrap/>
            <w:vAlign w:val="center"/>
          </w:tcPr>
          <w:p w:rsidR="005132EF" w:rsidRPr="00370E70" w:rsidRDefault="005132EF" w:rsidP="0036306F">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t>
            </w:r>
            <w:r w:rsidRPr="00370E70">
              <w:rPr>
                <w:i/>
                <w:color w:val="000000"/>
                <w:sz w:val="16"/>
                <w:szCs w:val="16"/>
              </w:rPr>
              <w:t xml:space="preserve"> H. ovalis/</w:t>
            </w:r>
            <w:r w:rsidR="00B22122" w:rsidRPr="00370E70">
              <w:rPr>
                <w:i/>
                <w:color w:val="000000"/>
                <w:sz w:val="16"/>
                <w:szCs w:val="16"/>
              </w:rPr>
              <w:t xml:space="preserve"> </w:t>
            </w:r>
            <w:r w:rsidRPr="00370E70">
              <w:rPr>
                <w:i/>
                <w:color w:val="000000"/>
                <w:sz w:val="16"/>
                <w:szCs w:val="16"/>
              </w:rPr>
              <w:t>H.decipiens/C. serrulata</w:t>
            </w:r>
          </w:p>
        </w:tc>
      </w:tr>
      <w:tr w:rsidR="005132EF" w:rsidRPr="00370E70" w:rsidTr="00B22122">
        <w:trPr>
          <w:trHeight w:val="181"/>
        </w:trPr>
        <w:tc>
          <w:tcPr>
            <w:tcW w:w="961" w:type="dxa"/>
            <w:vMerge w:val="restart"/>
            <w:tcBorders>
              <w:top w:val="single" w:sz="2" w:space="0" w:color="808080"/>
            </w:tcBorders>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Central</w:t>
            </w:r>
          </w:p>
        </w:tc>
        <w:tc>
          <w:tcPr>
            <w:tcW w:w="1559" w:type="dxa"/>
            <w:vMerge w:val="restart"/>
            <w:tcBorders>
              <w:top w:val="single" w:sz="2" w:space="0" w:color="808080"/>
            </w:tcBorders>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Burdekin</w:t>
            </w:r>
          </w:p>
          <w:p w:rsidR="005132EF" w:rsidRPr="00370E70" w:rsidRDefault="005132EF" w:rsidP="00D26202">
            <w:pPr>
              <w:spacing w:before="0" w:after="0"/>
              <w:jc w:val="center"/>
              <w:rPr>
                <w:color w:val="000000"/>
                <w:sz w:val="16"/>
                <w:szCs w:val="16"/>
              </w:rPr>
            </w:pPr>
            <w:r w:rsidRPr="00370E70">
              <w:rPr>
                <w:color w:val="000000"/>
                <w:sz w:val="16"/>
                <w:szCs w:val="16"/>
              </w:rPr>
              <w:t>(</w:t>
            </w:r>
            <w:r w:rsidRPr="00370E70">
              <w:rPr>
                <w:i/>
                <w:color w:val="000000"/>
                <w:sz w:val="16"/>
                <w:szCs w:val="16"/>
              </w:rPr>
              <w:t>NQ Dry Tropics</w:t>
            </w:r>
            <w:r w:rsidRPr="00370E70">
              <w:rPr>
                <w:color w:val="000000"/>
                <w:sz w:val="16"/>
                <w:szCs w:val="16"/>
              </w:rPr>
              <w:t>)</w:t>
            </w:r>
          </w:p>
        </w:tc>
        <w:tc>
          <w:tcPr>
            <w:tcW w:w="1434" w:type="dxa"/>
            <w:vMerge w:val="restart"/>
            <w:tcBorders>
              <w:top w:val="single" w:sz="2" w:space="0" w:color="808080"/>
            </w:tcBorders>
            <w:vAlign w:val="center"/>
          </w:tcPr>
          <w:p w:rsidR="005132EF" w:rsidRPr="00370E70" w:rsidRDefault="005132EF" w:rsidP="00D26202">
            <w:pPr>
              <w:spacing w:before="0" w:after="0"/>
              <w:jc w:val="center"/>
              <w:rPr>
                <w:color w:val="000000"/>
                <w:sz w:val="16"/>
                <w:szCs w:val="16"/>
              </w:rPr>
            </w:pPr>
            <w:r w:rsidRPr="00370E70">
              <w:rPr>
                <w:color w:val="000000"/>
                <w:sz w:val="16"/>
                <w:szCs w:val="16"/>
              </w:rPr>
              <w:t>Burdekin</w:t>
            </w:r>
          </w:p>
        </w:tc>
        <w:tc>
          <w:tcPr>
            <w:tcW w:w="1701" w:type="dxa"/>
            <w:vMerge w:val="restart"/>
            <w:tcBorders>
              <w:top w:val="single" w:sz="2" w:space="0" w:color="808080"/>
            </w:tcBorders>
            <w:noWrap/>
            <w:vAlign w:val="center"/>
          </w:tcPr>
          <w:p w:rsidR="005132EF" w:rsidRPr="00370E70" w:rsidRDefault="005132EF" w:rsidP="00930DB3">
            <w:pPr>
              <w:spacing w:before="0" w:after="0"/>
              <w:jc w:val="center"/>
              <w:rPr>
                <w:color w:val="000000"/>
                <w:sz w:val="16"/>
                <w:szCs w:val="16"/>
              </w:rPr>
            </w:pPr>
            <w:r w:rsidRPr="00370E70">
              <w:rPr>
                <w:color w:val="000000"/>
                <w:sz w:val="16"/>
                <w:szCs w:val="16"/>
              </w:rPr>
              <w:t>Magnetic island</w:t>
            </w:r>
          </w:p>
          <w:p w:rsidR="005132EF" w:rsidRPr="00370E70" w:rsidRDefault="005132EF" w:rsidP="00930DB3">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MI1*</w:t>
            </w:r>
          </w:p>
        </w:tc>
        <w:tc>
          <w:tcPr>
            <w:tcW w:w="157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Picnic</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19°</w:t>
            </w:r>
          </w:p>
        </w:tc>
        <w:tc>
          <w:tcPr>
            <w:tcW w:w="80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10.734</w:t>
            </w:r>
          </w:p>
        </w:tc>
        <w:tc>
          <w:tcPr>
            <w:tcW w:w="57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146°</w:t>
            </w:r>
          </w:p>
        </w:tc>
        <w:tc>
          <w:tcPr>
            <w:tcW w:w="80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50.468</w:t>
            </w:r>
          </w:p>
        </w:tc>
        <w:tc>
          <w:tcPr>
            <w:tcW w:w="449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 &amp; Zostera/T. hemprichii</w:t>
            </w:r>
          </w:p>
        </w:tc>
      </w:tr>
      <w:tr w:rsidR="005132EF" w:rsidRPr="00370E70" w:rsidTr="00146C33">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noWrap/>
            <w:vAlign w:val="center"/>
          </w:tcPr>
          <w:p w:rsidR="005132EF" w:rsidRPr="00370E70" w:rsidRDefault="005132EF" w:rsidP="0039494C">
            <w:pPr>
              <w:spacing w:before="0" w:after="0"/>
              <w:jc w:val="center"/>
              <w:rPr>
                <w:color w:val="000000"/>
                <w:sz w:val="16"/>
                <w:szCs w:val="16"/>
              </w:rPr>
            </w:pPr>
          </w:p>
        </w:tc>
        <w:tc>
          <w:tcPr>
            <w:tcW w:w="674" w:type="dxa"/>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MI2*</w:t>
            </w:r>
          </w:p>
        </w:tc>
        <w:tc>
          <w:tcPr>
            <w:tcW w:w="1579" w:type="dxa"/>
            <w:noWrap/>
            <w:vAlign w:val="center"/>
          </w:tcPr>
          <w:p w:rsidR="005132EF" w:rsidRPr="00370E70" w:rsidRDefault="005132EF" w:rsidP="00267E40">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Cockle</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19°</w:t>
            </w:r>
          </w:p>
        </w:tc>
        <w:tc>
          <w:tcPr>
            <w:tcW w:w="809" w:type="dxa"/>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10.612</w:t>
            </w:r>
          </w:p>
        </w:tc>
        <w:tc>
          <w:tcPr>
            <w:tcW w:w="576" w:type="dxa"/>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146°</w:t>
            </w:r>
          </w:p>
        </w:tc>
        <w:tc>
          <w:tcPr>
            <w:tcW w:w="809" w:type="dxa"/>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49.737</w:t>
            </w:r>
          </w:p>
        </w:tc>
        <w:tc>
          <w:tcPr>
            <w:tcW w:w="4496" w:type="dxa"/>
            <w:noWrap/>
            <w:vAlign w:val="center"/>
          </w:tcPr>
          <w:p w:rsidR="005132EF" w:rsidRPr="00370E70" w:rsidRDefault="005132EF" w:rsidP="00267E40">
            <w:pPr>
              <w:spacing w:before="0" w:after="0"/>
              <w:jc w:val="center"/>
              <w:rPr>
                <w:color w:val="000000"/>
                <w:sz w:val="16"/>
                <w:szCs w:val="16"/>
              </w:rPr>
            </w:pPr>
            <w:r w:rsidRPr="00370E70">
              <w:rPr>
                <w:i/>
                <w:color w:val="000000"/>
                <w:sz w:val="16"/>
                <w:szCs w:val="16"/>
              </w:rPr>
              <w:t>C. serrulata/ H. uninervis</w:t>
            </w:r>
            <w:r w:rsidRPr="00370E70">
              <w:rPr>
                <w:color w:val="000000"/>
                <w:sz w:val="16"/>
                <w:szCs w:val="16"/>
              </w:rPr>
              <w:t xml:space="preserve"> with </w:t>
            </w:r>
            <w:r w:rsidRPr="00370E70">
              <w:rPr>
                <w:i/>
                <w:color w:val="000000"/>
                <w:sz w:val="16"/>
                <w:szCs w:val="16"/>
              </w:rPr>
              <w:t>T. hemprichii/H.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MI3^</w:t>
            </w:r>
          </w:p>
        </w:tc>
        <w:tc>
          <w:tcPr>
            <w:tcW w:w="1579"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Picnic</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19°</w:t>
            </w:r>
          </w:p>
        </w:tc>
        <w:tc>
          <w:tcPr>
            <w:tcW w:w="809"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10.734</w:t>
            </w:r>
          </w:p>
        </w:tc>
        <w:tc>
          <w:tcPr>
            <w:tcW w:w="576"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146°</w:t>
            </w:r>
          </w:p>
        </w:tc>
        <w:tc>
          <w:tcPr>
            <w:tcW w:w="809"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50.468</w:t>
            </w:r>
          </w:p>
        </w:tc>
        <w:tc>
          <w:tcPr>
            <w:tcW w:w="4496" w:type="dxa"/>
            <w:tcBorders>
              <w:bottom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 &amp; Zostera/T. hemprichii</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Townsville</w:t>
            </w:r>
          </w:p>
          <w:p w:rsidR="005132EF" w:rsidRPr="00370E70" w:rsidRDefault="005132EF" w:rsidP="0039494C">
            <w:pPr>
              <w:spacing w:before="0" w:after="0"/>
              <w:jc w:val="center"/>
              <w:rPr>
                <w:color w:val="000000"/>
                <w:sz w:val="16"/>
                <w:szCs w:val="16"/>
              </w:rPr>
            </w:pPr>
            <w:r w:rsidRPr="00370E70">
              <w:rPr>
                <w:i/>
                <w:color w:val="000000"/>
                <w:sz w:val="16"/>
                <w:szCs w:val="16"/>
              </w:rPr>
              <w:t>coastal</w:t>
            </w:r>
          </w:p>
        </w:tc>
        <w:tc>
          <w:tcPr>
            <w:tcW w:w="674"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SB1*</w:t>
            </w:r>
          </w:p>
        </w:tc>
        <w:tc>
          <w:tcPr>
            <w:tcW w:w="157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Shelley Beach</w:t>
            </w:r>
          </w:p>
        </w:tc>
        <w:tc>
          <w:tcPr>
            <w:tcW w:w="48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19°</w:t>
            </w:r>
          </w:p>
        </w:tc>
        <w:tc>
          <w:tcPr>
            <w:tcW w:w="80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11.046</w:t>
            </w:r>
          </w:p>
        </w:tc>
        <w:tc>
          <w:tcPr>
            <w:tcW w:w="57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146°</w:t>
            </w:r>
          </w:p>
        </w:tc>
        <w:tc>
          <w:tcPr>
            <w:tcW w:w="809"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color w:val="000000"/>
                <w:sz w:val="16"/>
                <w:szCs w:val="16"/>
              </w:rPr>
              <w:t>45.697</w:t>
            </w:r>
          </w:p>
        </w:tc>
        <w:tc>
          <w:tcPr>
            <w:tcW w:w="4496" w:type="dxa"/>
            <w:tcBorders>
              <w:top w:val="single" w:sz="2" w:space="0" w:color="808080"/>
            </w:tcBorders>
            <w:noWrap/>
            <w:vAlign w:val="center"/>
          </w:tcPr>
          <w:p w:rsidR="005132EF" w:rsidRPr="00370E70" w:rsidRDefault="005132EF" w:rsidP="00267E40">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BB1*</w:t>
            </w:r>
          </w:p>
        </w:tc>
        <w:tc>
          <w:tcPr>
            <w:tcW w:w="1579"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Bushland</w:t>
                </w:r>
              </w:smartTag>
              <w:r w:rsidRPr="00370E70">
                <w:rPr>
                  <w:color w:val="000000"/>
                  <w:sz w:val="16"/>
                  <w:szCs w:val="16"/>
                </w:rPr>
                <w:t xml:space="preserve"> </w:t>
              </w:r>
              <w:smartTag w:uri="urn:schemas-microsoft-com:office:smarttags" w:element="PlaceType">
                <w:r w:rsidRPr="00370E70">
                  <w:rPr>
                    <w:color w:val="000000"/>
                    <w:sz w:val="16"/>
                    <w:szCs w:val="16"/>
                  </w:rPr>
                  <w:t>Beach</w:t>
                </w:r>
              </w:smartTag>
            </w:smartTag>
          </w:p>
        </w:tc>
        <w:tc>
          <w:tcPr>
            <w:tcW w:w="486"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19°</w:t>
            </w:r>
          </w:p>
        </w:tc>
        <w:tc>
          <w:tcPr>
            <w:tcW w:w="809"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11.028</w:t>
            </w:r>
          </w:p>
        </w:tc>
        <w:tc>
          <w:tcPr>
            <w:tcW w:w="576"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146°</w:t>
            </w:r>
          </w:p>
        </w:tc>
        <w:tc>
          <w:tcPr>
            <w:tcW w:w="809"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40.951</w:t>
            </w:r>
          </w:p>
        </w:tc>
        <w:tc>
          <w:tcPr>
            <w:tcW w:w="4496"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Bowling Green</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2444B3" w:rsidP="0039494C">
            <w:pPr>
              <w:spacing w:before="0" w:after="0"/>
              <w:jc w:val="center"/>
              <w:rPr>
                <w:i/>
                <w:color w:val="000000"/>
                <w:sz w:val="16"/>
                <w:szCs w:val="16"/>
              </w:rPr>
            </w:pPr>
            <w:r w:rsidRPr="00370E70">
              <w:rPr>
                <w:i/>
                <w:color w:val="000000"/>
                <w:sz w:val="16"/>
                <w:szCs w:val="16"/>
              </w:rPr>
              <w:t>coastal</w:t>
            </w:r>
          </w:p>
        </w:tc>
        <w:tc>
          <w:tcPr>
            <w:tcW w:w="674" w:type="dxa"/>
            <w:tcBorders>
              <w:top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JR1*</w:t>
            </w:r>
          </w:p>
        </w:tc>
        <w:tc>
          <w:tcPr>
            <w:tcW w:w="1579" w:type="dxa"/>
            <w:tcBorders>
              <w:top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Jerona</w:t>
            </w:r>
            <w:r w:rsidR="00964A70">
              <w:rPr>
                <w:color w:val="000000"/>
                <w:sz w:val="16"/>
                <w:szCs w:val="16"/>
              </w:rPr>
              <w:t xml:space="preserve"> (Barratta Ck)</w:t>
            </w:r>
          </w:p>
        </w:tc>
        <w:tc>
          <w:tcPr>
            <w:tcW w:w="486" w:type="dxa"/>
            <w:tcBorders>
              <w:top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19°</w:t>
            </w:r>
          </w:p>
        </w:tc>
        <w:tc>
          <w:tcPr>
            <w:tcW w:w="809" w:type="dxa"/>
            <w:tcBorders>
              <w:top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25.380</w:t>
            </w:r>
          </w:p>
        </w:tc>
        <w:tc>
          <w:tcPr>
            <w:tcW w:w="576" w:type="dxa"/>
            <w:tcBorders>
              <w:top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147°</w:t>
            </w:r>
          </w:p>
        </w:tc>
        <w:tc>
          <w:tcPr>
            <w:tcW w:w="809" w:type="dxa"/>
            <w:tcBorders>
              <w:top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14.480</w:t>
            </w:r>
          </w:p>
        </w:tc>
        <w:tc>
          <w:tcPr>
            <w:tcW w:w="4496" w:type="dxa"/>
            <w:tcBorders>
              <w:top w:val="single" w:sz="2" w:space="0" w:color="808080"/>
            </w:tcBorders>
            <w:noWrap/>
            <w:vAlign w:val="center"/>
          </w:tcPr>
          <w:p w:rsidR="005132EF" w:rsidRPr="00370E70" w:rsidRDefault="005132EF" w:rsidP="00C716D1">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Zostera/H.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JR2*</w:t>
            </w:r>
          </w:p>
        </w:tc>
        <w:tc>
          <w:tcPr>
            <w:tcW w:w="1579" w:type="dxa"/>
            <w:tcBorders>
              <w:bottom w:val="single" w:sz="2" w:space="0" w:color="808080"/>
            </w:tcBorders>
            <w:noWrap/>
            <w:vAlign w:val="center"/>
          </w:tcPr>
          <w:p w:rsidR="005132EF" w:rsidRPr="00370E70" w:rsidRDefault="00964A70" w:rsidP="00C716D1">
            <w:pPr>
              <w:spacing w:before="0" w:after="0"/>
              <w:jc w:val="center"/>
              <w:rPr>
                <w:color w:val="000000"/>
                <w:sz w:val="16"/>
                <w:szCs w:val="16"/>
              </w:rPr>
            </w:pPr>
            <w:r w:rsidRPr="00370E70">
              <w:rPr>
                <w:color w:val="000000"/>
                <w:sz w:val="16"/>
                <w:szCs w:val="16"/>
              </w:rPr>
              <w:t>Jerona</w:t>
            </w:r>
            <w:r>
              <w:rPr>
                <w:color w:val="000000"/>
                <w:sz w:val="16"/>
                <w:szCs w:val="16"/>
              </w:rPr>
              <w:t xml:space="preserve"> (Barratta Ck)</w:t>
            </w:r>
          </w:p>
        </w:tc>
        <w:tc>
          <w:tcPr>
            <w:tcW w:w="486" w:type="dxa"/>
            <w:tcBorders>
              <w:bottom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19°</w:t>
            </w:r>
          </w:p>
        </w:tc>
        <w:tc>
          <w:tcPr>
            <w:tcW w:w="809" w:type="dxa"/>
            <w:tcBorders>
              <w:bottom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25.281</w:t>
            </w:r>
          </w:p>
        </w:tc>
        <w:tc>
          <w:tcPr>
            <w:tcW w:w="576" w:type="dxa"/>
            <w:tcBorders>
              <w:bottom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147°</w:t>
            </w:r>
          </w:p>
        </w:tc>
        <w:tc>
          <w:tcPr>
            <w:tcW w:w="809" w:type="dxa"/>
            <w:tcBorders>
              <w:bottom w:val="single" w:sz="2" w:space="0" w:color="808080"/>
            </w:tcBorders>
            <w:noWrap/>
          </w:tcPr>
          <w:p w:rsidR="005132EF" w:rsidRPr="00370E70" w:rsidRDefault="005132EF" w:rsidP="00EF0F65">
            <w:pPr>
              <w:spacing w:before="0" w:after="0"/>
              <w:jc w:val="center"/>
              <w:rPr>
                <w:color w:val="000000"/>
                <w:sz w:val="16"/>
                <w:szCs w:val="16"/>
              </w:rPr>
            </w:pPr>
            <w:r w:rsidRPr="00370E70">
              <w:rPr>
                <w:color w:val="000000"/>
                <w:sz w:val="16"/>
                <w:szCs w:val="16"/>
              </w:rPr>
              <w:t>14.425</w:t>
            </w:r>
          </w:p>
        </w:tc>
        <w:tc>
          <w:tcPr>
            <w:tcW w:w="4496" w:type="dxa"/>
            <w:tcBorders>
              <w:bottom w:val="single" w:sz="2" w:space="0" w:color="808080"/>
            </w:tcBorders>
            <w:noWrap/>
            <w:vAlign w:val="center"/>
          </w:tcPr>
          <w:p w:rsidR="005132EF" w:rsidRPr="00370E70" w:rsidRDefault="005132EF" w:rsidP="00C716D1">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Zostera/H.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val="restart"/>
            <w:tcBorders>
              <w:top w:val="single" w:sz="2" w:space="0" w:color="808080"/>
            </w:tcBorders>
            <w:shd w:val="clear" w:color="auto" w:fill="F3F3F3"/>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Mackay Whitsunday</w:t>
            </w:r>
          </w:p>
          <w:p w:rsidR="005132EF" w:rsidRPr="00370E70" w:rsidRDefault="005132EF" w:rsidP="00D26202">
            <w:pPr>
              <w:spacing w:before="0" w:after="0"/>
              <w:jc w:val="center"/>
              <w:rPr>
                <w:color w:val="000000"/>
                <w:sz w:val="16"/>
                <w:szCs w:val="16"/>
              </w:rPr>
            </w:pPr>
            <w:r w:rsidRPr="00370E70">
              <w:rPr>
                <w:color w:val="000000"/>
                <w:sz w:val="16"/>
                <w:szCs w:val="16"/>
              </w:rPr>
              <w:t>(</w:t>
            </w:r>
            <w:r w:rsidRPr="00370E70">
              <w:rPr>
                <w:i/>
                <w:color w:val="000000"/>
                <w:sz w:val="16"/>
                <w:szCs w:val="16"/>
              </w:rPr>
              <w:t>Reef Catchments</w:t>
            </w:r>
            <w:r w:rsidRPr="00370E70">
              <w:rPr>
                <w:color w:val="000000"/>
                <w:sz w:val="16"/>
                <w:szCs w:val="16"/>
              </w:rPr>
              <w:t>)</w:t>
            </w:r>
          </w:p>
        </w:tc>
        <w:tc>
          <w:tcPr>
            <w:tcW w:w="1434" w:type="dxa"/>
            <w:vMerge w:val="restart"/>
            <w:tcBorders>
              <w:top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r w:rsidRPr="00370E70">
              <w:rPr>
                <w:color w:val="000000"/>
                <w:sz w:val="16"/>
                <w:szCs w:val="16"/>
              </w:rPr>
              <w:t>Proserpine</w:t>
            </w:r>
          </w:p>
        </w:tc>
        <w:tc>
          <w:tcPr>
            <w:tcW w:w="1701" w:type="dxa"/>
            <w:vMerge w:val="restart"/>
            <w:tcBorders>
              <w:top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Whitsundays</w:t>
            </w:r>
          </w:p>
          <w:p w:rsidR="005132EF" w:rsidRPr="00370E70" w:rsidRDefault="005132EF" w:rsidP="0039494C">
            <w:pPr>
              <w:spacing w:before="0" w:after="0"/>
              <w:jc w:val="center"/>
              <w:rPr>
                <w:color w:val="000000"/>
                <w:sz w:val="16"/>
                <w:szCs w:val="16"/>
              </w:rPr>
            </w:pPr>
            <w:r w:rsidRPr="00370E70">
              <w:rPr>
                <w:i/>
                <w:color w:val="000000"/>
                <w:sz w:val="16"/>
                <w:szCs w:val="16"/>
              </w:rPr>
              <w:t>coastal</w:t>
            </w:r>
          </w:p>
        </w:tc>
        <w:tc>
          <w:tcPr>
            <w:tcW w:w="674"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PI2*</w:t>
            </w:r>
          </w:p>
        </w:tc>
        <w:tc>
          <w:tcPr>
            <w:tcW w:w="157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Pioneer</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20°</w:t>
            </w:r>
          </w:p>
        </w:tc>
        <w:tc>
          <w:tcPr>
            <w:tcW w:w="80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16.176</w:t>
            </w:r>
          </w:p>
        </w:tc>
        <w:tc>
          <w:tcPr>
            <w:tcW w:w="57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148°</w:t>
            </w:r>
          </w:p>
        </w:tc>
        <w:tc>
          <w:tcPr>
            <w:tcW w:w="80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41.586</w:t>
            </w:r>
          </w:p>
        </w:tc>
        <w:tc>
          <w:tcPr>
            <w:tcW w:w="449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i/>
                <w:color w:val="000000"/>
                <w:sz w:val="16"/>
                <w:szCs w:val="16"/>
              </w:rPr>
              <w:t xml:space="preserve">H. uninervis/ Zostera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PI3*</w:t>
            </w:r>
          </w:p>
        </w:tc>
        <w:tc>
          <w:tcPr>
            <w:tcW w:w="1579"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Pioneer</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20°</w:t>
            </w:r>
          </w:p>
        </w:tc>
        <w:tc>
          <w:tcPr>
            <w:tcW w:w="809"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16.248</w:t>
            </w:r>
          </w:p>
        </w:tc>
        <w:tc>
          <w:tcPr>
            <w:tcW w:w="576"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148°</w:t>
            </w:r>
          </w:p>
        </w:tc>
        <w:tc>
          <w:tcPr>
            <w:tcW w:w="809"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41.844</w:t>
            </w:r>
          </w:p>
        </w:tc>
        <w:tc>
          <w:tcPr>
            <w:tcW w:w="4496"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i/>
                <w:color w:val="000000"/>
                <w:sz w:val="16"/>
                <w:szCs w:val="16"/>
              </w:rPr>
              <w:t xml:space="preserve">H. uninervis </w:t>
            </w:r>
            <w:r w:rsidRPr="00370E70">
              <w:rPr>
                <w:color w:val="000000"/>
                <w:sz w:val="16"/>
                <w:szCs w:val="16"/>
              </w:rPr>
              <w:t xml:space="preserve">with </w:t>
            </w:r>
            <w:r w:rsidRPr="00370E70">
              <w:rPr>
                <w:i/>
                <w:color w:val="000000"/>
                <w:sz w:val="16"/>
                <w:szCs w:val="16"/>
              </w:rPr>
              <w:t>Zostera/H.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Whitsundays</w:t>
            </w:r>
          </w:p>
          <w:p w:rsidR="005132EF" w:rsidRPr="00370E70" w:rsidRDefault="005132EF" w:rsidP="0039494C">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HM1*</w:t>
            </w:r>
          </w:p>
        </w:tc>
        <w:tc>
          <w:tcPr>
            <w:tcW w:w="157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Hamilton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top w:val="single" w:sz="2" w:space="0" w:color="808080"/>
            </w:tcBorders>
            <w:shd w:val="clear" w:color="auto" w:fill="F3F3F3"/>
            <w:noWrap/>
            <w:vAlign w:val="bottom"/>
          </w:tcPr>
          <w:p w:rsidR="005132EF" w:rsidRPr="00370E70" w:rsidRDefault="005132EF" w:rsidP="00C716D1">
            <w:pPr>
              <w:spacing w:before="0" w:after="0"/>
              <w:jc w:val="center"/>
              <w:rPr>
                <w:color w:val="000000"/>
                <w:sz w:val="16"/>
                <w:szCs w:val="16"/>
              </w:rPr>
            </w:pPr>
            <w:r w:rsidRPr="00370E70">
              <w:rPr>
                <w:color w:val="000000"/>
                <w:sz w:val="16"/>
                <w:szCs w:val="16"/>
              </w:rPr>
              <w:t>20°</w:t>
            </w:r>
          </w:p>
        </w:tc>
        <w:tc>
          <w:tcPr>
            <w:tcW w:w="809" w:type="dxa"/>
            <w:tcBorders>
              <w:top w:val="single" w:sz="2" w:space="0" w:color="808080"/>
            </w:tcBorders>
            <w:shd w:val="clear" w:color="auto" w:fill="F3F3F3"/>
            <w:noWrap/>
            <w:vAlign w:val="bottom"/>
          </w:tcPr>
          <w:p w:rsidR="005132EF" w:rsidRPr="00370E70" w:rsidRDefault="005132EF" w:rsidP="00C716D1">
            <w:pPr>
              <w:spacing w:before="0" w:after="0"/>
              <w:jc w:val="center"/>
              <w:rPr>
                <w:color w:val="000000"/>
                <w:sz w:val="16"/>
                <w:szCs w:val="16"/>
              </w:rPr>
            </w:pPr>
            <w:r w:rsidRPr="00370E70">
              <w:rPr>
                <w:color w:val="000000"/>
                <w:sz w:val="16"/>
                <w:szCs w:val="16"/>
              </w:rPr>
              <w:t>20.7396</w:t>
            </w:r>
          </w:p>
        </w:tc>
        <w:tc>
          <w:tcPr>
            <w:tcW w:w="576" w:type="dxa"/>
            <w:tcBorders>
              <w:top w:val="single" w:sz="2" w:space="0" w:color="808080"/>
            </w:tcBorders>
            <w:shd w:val="clear" w:color="auto" w:fill="F3F3F3"/>
            <w:noWrap/>
            <w:vAlign w:val="bottom"/>
          </w:tcPr>
          <w:p w:rsidR="005132EF" w:rsidRPr="00370E70" w:rsidRDefault="005132EF" w:rsidP="00C716D1">
            <w:pPr>
              <w:spacing w:before="0" w:after="0"/>
              <w:jc w:val="center"/>
              <w:rPr>
                <w:color w:val="000000"/>
                <w:sz w:val="16"/>
                <w:szCs w:val="16"/>
              </w:rPr>
            </w:pPr>
            <w:r w:rsidRPr="00370E70">
              <w:rPr>
                <w:color w:val="000000"/>
                <w:sz w:val="16"/>
                <w:szCs w:val="16"/>
              </w:rPr>
              <w:t>148°</w:t>
            </w:r>
          </w:p>
        </w:tc>
        <w:tc>
          <w:tcPr>
            <w:tcW w:w="809" w:type="dxa"/>
            <w:tcBorders>
              <w:top w:val="single" w:sz="2" w:space="0" w:color="808080"/>
            </w:tcBorders>
            <w:shd w:val="clear" w:color="auto" w:fill="F3F3F3"/>
            <w:noWrap/>
            <w:vAlign w:val="bottom"/>
          </w:tcPr>
          <w:p w:rsidR="005132EF" w:rsidRPr="00370E70" w:rsidRDefault="005132EF" w:rsidP="00C716D1">
            <w:pPr>
              <w:spacing w:before="0" w:after="0"/>
              <w:jc w:val="center"/>
              <w:rPr>
                <w:color w:val="000000"/>
                <w:sz w:val="16"/>
                <w:szCs w:val="16"/>
              </w:rPr>
            </w:pPr>
            <w:r w:rsidRPr="00370E70">
              <w:rPr>
                <w:color w:val="000000"/>
                <w:sz w:val="16"/>
                <w:szCs w:val="16"/>
              </w:rPr>
              <w:t>57.5658</w:t>
            </w:r>
          </w:p>
        </w:tc>
        <w:tc>
          <w:tcPr>
            <w:tcW w:w="4496" w:type="dxa"/>
            <w:tcBorders>
              <w:top w:val="single" w:sz="2" w:space="0" w:color="808080"/>
            </w:tcBorders>
            <w:shd w:val="clear" w:color="auto" w:fill="F3F3F3"/>
            <w:noWrap/>
            <w:vAlign w:val="center"/>
          </w:tcPr>
          <w:p w:rsidR="005132EF" w:rsidRPr="00370E70" w:rsidRDefault="005132EF" w:rsidP="00C716D1">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HM2*</w:t>
            </w:r>
          </w:p>
        </w:tc>
        <w:tc>
          <w:tcPr>
            <w:tcW w:w="1579" w:type="dxa"/>
            <w:tcBorders>
              <w:bottom w:val="single" w:sz="2" w:space="0" w:color="808080"/>
            </w:tcBorders>
            <w:shd w:val="clear" w:color="auto" w:fill="F3F3F3"/>
            <w:noWrap/>
            <w:vAlign w:val="center"/>
          </w:tcPr>
          <w:p w:rsidR="005132EF" w:rsidRPr="00370E70" w:rsidRDefault="005132EF" w:rsidP="00C716D1">
            <w:pPr>
              <w:spacing w:before="0" w:after="0"/>
              <w:jc w:val="center"/>
              <w:rPr>
                <w:i/>
                <w:color w:val="000000"/>
                <w:sz w:val="16"/>
                <w:szCs w:val="16"/>
              </w:rPr>
            </w:pPr>
            <w:smartTag w:uri="urn:schemas-microsoft-com:office:smarttags" w:element="place">
              <w:smartTag w:uri="urn:schemas-microsoft-com:office:smarttags" w:element="PlaceName">
                <w:r w:rsidRPr="00370E70">
                  <w:rPr>
                    <w:color w:val="000000"/>
                    <w:sz w:val="16"/>
                    <w:szCs w:val="16"/>
                  </w:rPr>
                  <w:t>Hamilton</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486"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20°</w:t>
            </w:r>
          </w:p>
        </w:tc>
        <w:tc>
          <w:tcPr>
            <w:tcW w:w="809"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20.802</w:t>
            </w:r>
          </w:p>
        </w:tc>
        <w:tc>
          <w:tcPr>
            <w:tcW w:w="576"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148°</w:t>
            </w:r>
          </w:p>
        </w:tc>
        <w:tc>
          <w:tcPr>
            <w:tcW w:w="809" w:type="dxa"/>
            <w:tcBorders>
              <w:bottom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58.246</w:t>
            </w:r>
          </w:p>
        </w:tc>
        <w:tc>
          <w:tcPr>
            <w:tcW w:w="4496" w:type="dxa"/>
            <w:tcBorders>
              <w:bottom w:val="single" w:sz="2" w:space="0" w:color="808080"/>
            </w:tcBorders>
            <w:shd w:val="clear" w:color="auto" w:fill="F3F3F3"/>
            <w:noWrap/>
            <w:vAlign w:val="center"/>
          </w:tcPr>
          <w:p w:rsidR="005132EF" w:rsidRPr="00370E70" w:rsidRDefault="005132EF" w:rsidP="00C716D1">
            <w:pPr>
              <w:spacing w:before="0" w:after="0"/>
              <w:jc w:val="center"/>
              <w:rPr>
                <w:i/>
                <w:color w:val="000000"/>
                <w:sz w:val="16"/>
                <w:szCs w:val="16"/>
              </w:rPr>
            </w:pPr>
            <w:r w:rsidRPr="00370E70">
              <w:rPr>
                <w:i/>
                <w:color w:val="000000"/>
                <w:sz w:val="16"/>
                <w:szCs w:val="16"/>
              </w:rPr>
              <w:t xml:space="preserve">Z.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ovalis/H. uninervis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r w:rsidRPr="00370E70">
              <w:rPr>
                <w:color w:val="000000"/>
                <w:sz w:val="16"/>
                <w:szCs w:val="16"/>
              </w:rPr>
              <w:t>Pioneer</w:t>
            </w:r>
          </w:p>
        </w:tc>
        <w:tc>
          <w:tcPr>
            <w:tcW w:w="1701" w:type="dxa"/>
            <w:vMerge w:val="restart"/>
            <w:tcBorders>
              <w:top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r w:rsidRPr="00370E70">
              <w:rPr>
                <w:color w:val="000000"/>
                <w:sz w:val="16"/>
                <w:szCs w:val="16"/>
              </w:rPr>
              <w:t>Mackay</w:t>
            </w:r>
          </w:p>
          <w:p w:rsidR="005132EF" w:rsidRPr="00370E70" w:rsidRDefault="005132EF" w:rsidP="0039494C">
            <w:pPr>
              <w:spacing w:before="0" w:after="0"/>
              <w:jc w:val="center"/>
              <w:rPr>
                <w:color w:val="000000"/>
                <w:sz w:val="16"/>
                <w:szCs w:val="16"/>
              </w:rPr>
            </w:pPr>
            <w:r w:rsidRPr="00370E70">
              <w:rPr>
                <w:i/>
                <w:color w:val="000000"/>
                <w:sz w:val="16"/>
                <w:szCs w:val="16"/>
              </w:rPr>
              <w:t xml:space="preserve">estuarine </w:t>
            </w:r>
          </w:p>
        </w:tc>
        <w:tc>
          <w:tcPr>
            <w:tcW w:w="674"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SI1*</w:t>
            </w:r>
          </w:p>
        </w:tc>
        <w:tc>
          <w:tcPr>
            <w:tcW w:w="157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Sarina Inlet</w:t>
            </w:r>
          </w:p>
        </w:tc>
        <w:tc>
          <w:tcPr>
            <w:tcW w:w="48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21°</w:t>
            </w:r>
          </w:p>
        </w:tc>
        <w:tc>
          <w:tcPr>
            <w:tcW w:w="80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23.76</w:t>
            </w:r>
          </w:p>
        </w:tc>
        <w:tc>
          <w:tcPr>
            <w:tcW w:w="57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149°</w:t>
            </w:r>
          </w:p>
        </w:tc>
        <w:tc>
          <w:tcPr>
            <w:tcW w:w="809"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18.2</w:t>
            </w:r>
          </w:p>
        </w:tc>
        <w:tc>
          <w:tcPr>
            <w:tcW w:w="4496" w:type="dxa"/>
            <w:tcBorders>
              <w:top w:val="single" w:sz="2" w:space="0" w:color="808080"/>
            </w:tcBorders>
            <w:shd w:val="clear" w:color="auto" w:fill="F3F3F3"/>
            <w:noWrap/>
            <w:vAlign w:val="center"/>
          </w:tcPr>
          <w:p w:rsidR="005132EF" w:rsidRPr="00370E70" w:rsidRDefault="005132EF" w:rsidP="00C716D1">
            <w:pPr>
              <w:spacing w:before="0" w:after="0"/>
              <w:jc w:val="center"/>
              <w:rPr>
                <w:color w:val="000000"/>
                <w:sz w:val="16"/>
                <w:szCs w:val="16"/>
              </w:rPr>
            </w:pPr>
            <w:r w:rsidRPr="00370E70">
              <w:rPr>
                <w:i/>
                <w:color w:val="000000"/>
                <w:sz w:val="16"/>
                <w:szCs w:val="16"/>
              </w:rPr>
              <w:t xml:space="preserve">Z.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 (H. uninervis)</w:t>
            </w:r>
          </w:p>
        </w:tc>
      </w:tr>
      <w:tr w:rsidR="005132EF" w:rsidRPr="00370E70" w:rsidTr="00B22122">
        <w:trPr>
          <w:trHeight w:val="181"/>
        </w:trPr>
        <w:tc>
          <w:tcPr>
            <w:tcW w:w="961"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shd w:val="clear" w:color="auto" w:fill="F3F3F3"/>
            <w:noWrap/>
            <w:vAlign w:val="center"/>
          </w:tcPr>
          <w:p w:rsidR="005132EF" w:rsidRPr="00370E70" w:rsidRDefault="005132EF" w:rsidP="0039494C">
            <w:pPr>
              <w:spacing w:before="0" w:after="0"/>
              <w:jc w:val="center"/>
              <w:rPr>
                <w:color w:val="000000"/>
                <w:sz w:val="16"/>
                <w:szCs w:val="16"/>
              </w:rPr>
            </w:pPr>
          </w:p>
        </w:tc>
        <w:tc>
          <w:tcPr>
            <w:tcW w:w="674" w:type="dxa"/>
            <w:shd w:val="clear" w:color="auto" w:fill="F3F3F3"/>
            <w:noWrap/>
            <w:vAlign w:val="center"/>
          </w:tcPr>
          <w:p w:rsidR="005132EF" w:rsidRPr="00370E70" w:rsidRDefault="005132EF" w:rsidP="00C716D1">
            <w:pPr>
              <w:spacing w:before="0" w:after="0"/>
              <w:jc w:val="center"/>
              <w:rPr>
                <w:iCs/>
                <w:color w:val="000000"/>
                <w:sz w:val="16"/>
                <w:szCs w:val="16"/>
              </w:rPr>
            </w:pPr>
            <w:r w:rsidRPr="00370E70">
              <w:rPr>
                <w:iCs/>
                <w:color w:val="000000"/>
                <w:sz w:val="16"/>
                <w:szCs w:val="16"/>
              </w:rPr>
              <w:t>SI2*</w:t>
            </w:r>
          </w:p>
        </w:tc>
        <w:tc>
          <w:tcPr>
            <w:tcW w:w="1579" w:type="dxa"/>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Sarina Inlet</w:t>
            </w:r>
          </w:p>
        </w:tc>
        <w:tc>
          <w:tcPr>
            <w:tcW w:w="486" w:type="dxa"/>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21°</w:t>
            </w:r>
          </w:p>
        </w:tc>
        <w:tc>
          <w:tcPr>
            <w:tcW w:w="809" w:type="dxa"/>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23.712</w:t>
            </w:r>
          </w:p>
        </w:tc>
        <w:tc>
          <w:tcPr>
            <w:tcW w:w="576" w:type="dxa"/>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149°</w:t>
            </w:r>
          </w:p>
        </w:tc>
        <w:tc>
          <w:tcPr>
            <w:tcW w:w="809" w:type="dxa"/>
            <w:shd w:val="clear" w:color="auto" w:fill="F3F3F3"/>
            <w:noWrap/>
            <w:vAlign w:val="center"/>
          </w:tcPr>
          <w:p w:rsidR="005132EF" w:rsidRPr="00370E70" w:rsidRDefault="005132EF" w:rsidP="00C716D1">
            <w:pPr>
              <w:spacing w:before="0" w:after="0"/>
              <w:jc w:val="center"/>
              <w:rPr>
                <w:color w:val="000000"/>
                <w:sz w:val="16"/>
                <w:szCs w:val="16"/>
              </w:rPr>
            </w:pPr>
            <w:r w:rsidRPr="00370E70">
              <w:rPr>
                <w:color w:val="000000"/>
                <w:sz w:val="16"/>
                <w:szCs w:val="16"/>
              </w:rPr>
              <w:t>18.276</w:t>
            </w:r>
          </w:p>
        </w:tc>
        <w:tc>
          <w:tcPr>
            <w:tcW w:w="4496" w:type="dxa"/>
            <w:shd w:val="clear" w:color="auto" w:fill="F3F3F3"/>
            <w:noWrap/>
            <w:vAlign w:val="center"/>
          </w:tcPr>
          <w:p w:rsidR="005132EF" w:rsidRPr="00370E70" w:rsidRDefault="005132EF" w:rsidP="00C716D1">
            <w:pPr>
              <w:spacing w:before="0" w:after="0"/>
              <w:jc w:val="center"/>
              <w:rPr>
                <w:i/>
                <w:color w:val="000000"/>
                <w:sz w:val="16"/>
                <w:szCs w:val="16"/>
              </w:rPr>
            </w:pPr>
            <w:r w:rsidRPr="00370E70">
              <w:rPr>
                <w:i/>
                <w:color w:val="000000"/>
                <w:sz w:val="16"/>
                <w:szCs w:val="16"/>
              </w:rPr>
              <w:t xml:space="preserve">Z.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 (H. uninervis)</w:t>
            </w:r>
          </w:p>
        </w:tc>
      </w:tr>
      <w:tr w:rsidR="005132EF" w:rsidRPr="00370E70" w:rsidTr="00B22122">
        <w:trPr>
          <w:trHeight w:val="181"/>
        </w:trPr>
        <w:tc>
          <w:tcPr>
            <w:tcW w:w="961" w:type="dxa"/>
            <w:vMerge w:val="restart"/>
            <w:tcBorders>
              <w:top w:val="single" w:sz="2" w:space="0" w:color="808080"/>
            </w:tcBorders>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Southern</w:t>
            </w:r>
          </w:p>
        </w:tc>
        <w:tc>
          <w:tcPr>
            <w:tcW w:w="1559" w:type="dxa"/>
            <w:vMerge w:val="restart"/>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Fitzroy</w:t>
            </w:r>
          </w:p>
          <w:p w:rsidR="005132EF" w:rsidRPr="00370E70" w:rsidRDefault="005132EF" w:rsidP="00D26202">
            <w:pPr>
              <w:spacing w:before="0" w:after="0"/>
              <w:jc w:val="center"/>
              <w:rPr>
                <w:color w:val="000000"/>
                <w:sz w:val="16"/>
                <w:szCs w:val="16"/>
              </w:rPr>
            </w:pPr>
            <w:r w:rsidRPr="00370E70">
              <w:rPr>
                <w:color w:val="000000"/>
                <w:sz w:val="16"/>
                <w:szCs w:val="16"/>
              </w:rPr>
              <w:t>(</w:t>
            </w:r>
            <w:smartTag w:uri="urn:schemas-microsoft-com:office:smarttags" w:element="place">
              <w:smartTag w:uri="urn:schemas-microsoft-com:office:smarttags" w:element="PlaceName">
                <w:r w:rsidRPr="00370E70">
                  <w:rPr>
                    <w:i/>
                    <w:color w:val="000000"/>
                    <w:sz w:val="16"/>
                    <w:szCs w:val="16"/>
                  </w:rPr>
                  <w:t>Fitzroy</w:t>
                </w:r>
              </w:smartTag>
              <w:r w:rsidRPr="00370E70">
                <w:rPr>
                  <w:i/>
                  <w:color w:val="000000"/>
                  <w:sz w:val="16"/>
                  <w:szCs w:val="16"/>
                </w:rPr>
                <w:t xml:space="preserve"> </w:t>
              </w:r>
              <w:smartTag w:uri="urn:schemas-microsoft-com:office:smarttags" w:element="PlaceType">
                <w:r w:rsidRPr="00370E70">
                  <w:rPr>
                    <w:i/>
                    <w:color w:val="000000"/>
                    <w:sz w:val="16"/>
                    <w:szCs w:val="16"/>
                  </w:rPr>
                  <w:t>Basin</w:t>
                </w:r>
              </w:smartTag>
            </w:smartTag>
            <w:r w:rsidRPr="00370E70">
              <w:rPr>
                <w:i/>
                <w:color w:val="000000"/>
                <w:sz w:val="16"/>
                <w:szCs w:val="16"/>
              </w:rPr>
              <w:t xml:space="preserve"> Association</w:t>
            </w:r>
            <w:r w:rsidRPr="00370E70">
              <w:rPr>
                <w:color w:val="000000"/>
                <w:sz w:val="16"/>
                <w:szCs w:val="16"/>
              </w:rPr>
              <w:t>)</w:t>
            </w:r>
          </w:p>
        </w:tc>
        <w:tc>
          <w:tcPr>
            <w:tcW w:w="1434" w:type="dxa"/>
            <w:vMerge w:val="restart"/>
            <w:vAlign w:val="center"/>
          </w:tcPr>
          <w:p w:rsidR="005132EF" w:rsidRPr="00370E70" w:rsidRDefault="005132EF" w:rsidP="00D26202">
            <w:pPr>
              <w:spacing w:before="0" w:after="0"/>
              <w:jc w:val="center"/>
              <w:rPr>
                <w:color w:val="000000"/>
                <w:sz w:val="16"/>
                <w:szCs w:val="16"/>
              </w:rPr>
            </w:pPr>
            <w:r w:rsidRPr="00370E70">
              <w:rPr>
                <w:color w:val="000000"/>
                <w:sz w:val="16"/>
                <w:szCs w:val="16"/>
              </w:rPr>
              <w:t>Fitzroy</w:t>
            </w:r>
          </w:p>
        </w:tc>
        <w:tc>
          <w:tcPr>
            <w:tcW w:w="1701" w:type="dxa"/>
            <w:vMerge w:val="restart"/>
            <w:noWrap/>
            <w:vAlign w:val="center"/>
          </w:tcPr>
          <w:p w:rsidR="005132EF" w:rsidRPr="00370E70" w:rsidRDefault="005132EF" w:rsidP="00930DB3">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Shoalwater</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5132EF" w:rsidP="00930DB3">
            <w:pPr>
              <w:spacing w:before="0" w:after="0"/>
              <w:jc w:val="center"/>
              <w:rPr>
                <w:color w:val="000000"/>
                <w:sz w:val="16"/>
                <w:szCs w:val="16"/>
              </w:rPr>
            </w:pPr>
            <w:r w:rsidRPr="00370E70">
              <w:rPr>
                <w:i/>
                <w:color w:val="000000"/>
                <w:sz w:val="16"/>
                <w:szCs w:val="16"/>
              </w:rPr>
              <w:t>coastal</w:t>
            </w:r>
          </w:p>
        </w:tc>
        <w:tc>
          <w:tcPr>
            <w:tcW w:w="674" w:type="dxa"/>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RC1*</w:t>
            </w:r>
          </w:p>
        </w:tc>
        <w:tc>
          <w:tcPr>
            <w:tcW w:w="1579" w:type="dxa"/>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Ross</w:t>
                </w:r>
              </w:smartTag>
              <w:r w:rsidRPr="00370E70">
                <w:rPr>
                  <w:color w:val="000000"/>
                  <w:sz w:val="16"/>
                  <w:szCs w:val="16"/>
                </w:rPr>
                <w:t xml:space="preserve"> </w:t>
              </w:r>
              <w:smartTag w:uri="urn:schemas-microsoft-com:office:smarttags" w:element="PlaceName">
                <w:r w:rsidRPr="00370E70">
                  <w:rPr>
                    <w:color w:val="000000"/>
                    <w:sz w:val="16"/>
                    <w:szCs w:val="16"/>
                  </w:rPr>
                  <w:t>Creek</w:t>
                </w:r>
              </w:smartTag>
            </w:smartTag>
          </w:p>
        </w:tc>
        <w:tc>
          <w:tcPr>
            <w:tcW w:w="486" w:type="dxa"/>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22°</w:t>
            </w:r>
          </w:p>
        </w:tc>
        <w:tc>
          <w:tcPr>
            <w:tcW w:w="809" w:type="dxa"/>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22.953</w:t>
            </w:r>
          </w:p>
        </w:tc>
        <w:tc>
          <w:tcPr>
            <w:tcW w:w="576" w:type="dxa"/>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150°</w:t>
            </w:r>
          </w:p>
        </w:tc>
        <w:tc>
          <w:tcPr>
            <w:tcW w:w="809" w:type="dxa"/>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12.685</w:t>
            </w:r>
          </w:p>
        </w:tc>
        <w:tc>
          <w:tcPr>
            <w:tcW w:w="4496" w:type="dxa"/>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WH1*</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Wheelans Hut</w:t>
            </w:r>
          </w:p>
        </w:tc>
        <w:tc>
          <w:tcPr>
            <w:tcW w:w="48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22°</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23.926</w:t>
            </w:r>
          </w:p>
        </w:tc>
        <w:tc>
          <w:tcPr>
            <w:tcW w:w="57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150°</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16.366</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ign w:val="center"/>
          </w:tcPr>
          <w:p w:rsidR="005132EF" w:rsidRPr="00370E70" w:rsidRDefault="005132EF" w:rsidP="00D26202">
            <w:pPr>
              <w:spacing w:before="0" w:after="0"/>
              <w:jc w:val="center"/>
              <w:rPr>
                <w:color w:val="000000"/>
                <w:sz w:val="16"/>
                <w:szCs w:val="16"/>
              </w:rPr>
            </w:pPr>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Keppel</w:t>
                </w:r>
              </w:smartTag>
              <w:r w:rsidRPr="00370E70">
                <w:rPr>
                  <w:color w:val="000000"/>
                  <w:sz w:val="16"/>
                  <w:szCs w:val="16"/>
                </w:rPr>
                <w:t xml:space="preserve"> </w:t>
              </w:r>
              <w:smartTag w:uri="urn:schemas-microsoft-com:office:smarttags" w:element="PlaceType">
                <w:r w:rsidRPr="00370E70">
                  <w:rPr>
                    <w:color w:val="000000"/>
                    <w:sz w:val="16"/>
                    <w:szCs w:val="16"/>
                  </w:rPr>
                  <w:t>Islands</w:t>
                </w:r>
              </w:smartTag>
            </w:smartTag>
          </w:p>
          <w:p w:rsidR="005132EF" w:rsidRPr="00370E70" w:rsidRDefault="005132EF" w:rsidP="0039494C">
            <w:pPr>
              <w:spacing w:before="0" w:after="0"/>
              <w:jc w:val="center"/>
              <w:rPr>
                <w:color w:val="000000"/>
                <w:sz w:val="16"/>
                <w:szCs w:val="16"/>
              </w:rPr>
            </w:pPr>
            <w:r w:rsidRPr="00370E70">
              <w:rPr>
                <w:i/>
                <w:color w:val="000000"/>
                <w:sz w:val="16"/>
                <w:szCs w:val="16"/>
              </w:rPr>
              <w:t>reef</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GK1*</w:t>
            </w:r>
          </w:p>
        </w:tc>
        <w:tc>
          <w:tcPr>
            <w:tcW w:w="1579" w:type="dxa"/>
            <w:tcBorders>
              <w:top w:val="single" w:sz="2" w:space="0" w:color="808080"/>
            </w:tcBorders>
            <w:noWrap/>
            <w:vAlign w:val="bottom"/>
          </w:tcPr>
          <w:p w:rsidR="005132EF" w:rsidRPr="00370E70" w:rsidRDefault="005132EF" w:rsidP="00034AD4">
            <w:pPr>
              <w:spacing w:before="0" w:after="0"/>
              <w:jc w:val="center"/>
              <w:rPr>
                <w:color w:val="000000"/>
                <w:sz w:val="16"/>
                <w:szCs w:val="16"/>
              </w:rPr>
            </w:pPr>
            <w:r w:rsidRPr="00370E70">
              <w:rPr>
                <w:color w:val="000000"/>
                <w:sz w:val="16"/>
                <w:szCs w:val="16"/>
              </w:rPr>
              <w:t>Great Keppel Is.</w:t>
            </w:r>
          </w:p>
        </w:tc>
        <w:tc>
          <w:tcPr>
            <w:tcW w:w="486" w:type="dxa"/>
            <w:tcBorders>
              <w:top w:val="single" w:sz="2" w:space="0" w:color="808080"/>
            </w:tcBorders>
            <w:noWrap/>
            <w:vAlign w:val="bottom"/>
          </w:tcPr>
          <w:p w:rsidR="005132EF" w:rsidRPr="00370E70" w:rsidRDefault="005132EF" w:rsidP="00034AD4">
            <w:pPr>
              <w:spacing w:before="0" w:after="0"/>
              <w:jc w:val="center"/>
              <w:rPr>
                <w:color w:val="000000"/>
                <w:sz w:val="16"/>
                <w:szCs w:val="16"/>
              </w:rPr>
            </w:pPr>
            <w:bookmarkStart w:id="48" w:name="OLE_LINK20"/>
            <w:bookmarkStart w:id="49" w:name="OLE_LINK21"/>
            <w:r w:rsidRPr="00370E70">
              <w:rPr>
                <w:color w:val="000000"/>
                <w:sz w:val="16"/>
                <w:szCs w:val="16"/>
              </w:rPr>
              <w:t>23°</w:t>
            </w:r>
            <w:bookmarkEnd w:id="48"/>
            <w:bookmarkEnd w:id="49"/>
          </w:p>
        </w:tc>
        <w:tc>
          <w:tcPr>
            <w:tcW w:w="809" w:type="dxa"/>
            <w:tcBorders>
              <w:top w:val="single" w:sz="2" w:space="0" w:color="808080"/>
            </w:tcBorders>
            <w:noWrap/>
            <w:vAlign w:val="bottom"/>
          </w:tcPr>
          <w:p w:rsidR="005132EF" w:rsidRPr="00370E70" w:rsidRDefault="005132EF" w:rsidP="00034AD4">
            <w:pPr>
              <w:spacing w:before="0" w:after="0"/>
              <w:jc w:val="center"/>
              <w:rPr>
                <w:color w:val="000000"/>
                <w:sz w:val="16"/>
                <w:szCs w:val="16"/>
              </w:rPr>
            </w:pPr>
            <w:r w:rsidRPr="00370E70">
              <w:rPr>
                <w:color w:val="000000"/>
                <w:sz w:val="16"/>
                <w:szCs w:val="16"/>
              </w:rPr>
              <w:t>11.7834</w:t>
            </w:r>
          </w:p>
        </w:tc>
        <w:tc>
          <w:tcPr>
            <w:tcW w:w="576" w:type="dxa"/>
            <w:tcBorders>
              <w:top w:val="single" w:sz="2" w:space="0" w:color="808080"/>
            </w:tcBorders>
            <w:noWrap/>
            <w:vAlign w:val="bottom"/>
          </w:tcPr>
          <w:p w:rsidR="005132EF" w:rsidRPr="00370E70" w:rsidRDefault="005132EF" w:rsidP="00034AD4">
            <w:pPr>
              <w:spacing w:before="0" w:after="0"/>
              <w:jc w:val="center"/>
              <w:rPr>
                <w:color w:val="000000"/>
                <w:sz w:val="16"/>
                <w:szCs w:val="16"/>
              </w:rPr>
            </w:pPr>
            <w:r w:rsidRPr="00370E70">
              <w:rPr>
                <w:color w:val="000000"/>
                <w:sz w:val="16"/>
                <w:szCs w:val="16"/>
              </w:rPr>
              <w:t>150°</w:t>
            </w:r>
          </w:p>
        </w:tc>
        <w:tc>
          <w:tcPr>
            <w:tcW w:w="809" w:type="dxa"/>
            <w:tcBorders>
              <w:top w:val="single" w:sz="2" w:space="0" w:color="808080"/>
            </w:tcBorders>
            <w:noWrap/>
            <w:vAlign w:val="bottom"/>
          </w:tcPr>
          <w:p w:rsidR="005132EF" w:rsidRPr="00370E70" w:rsidRDefault="005132EF" w:rsidP="00034AD4">
            <w:pPr>
              <w:spacing w:before="0" w:after="0"/>
              <w:jc w:val="center"/>
              <w:rPr>
                <w:color w:val="000000"/>
                <w:sz w:val="16"/>
                <w:szCs w:val="16"/>
              </w:rPr>
            </w:pPr>
            <w:r w:rsidRPr="00370E70">
              <w:rPr>
                <w:color w:val="000000"/>
                <w:sz w:val="16"/>
                <w:szCs w:val="16"/>
              </w:rPr>
              <w:t>56.3682</w:t>
            </w:r>
          </w:p>
        </w:tc>
        <w:tc>
          <w:tcPr>
            <w:tcW w:w="4496" w:type="dxa"/>
            <w:tcBorders>
              <w:top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GK2*</w:t>
            </w:r>
          </w:p>
        </w:tc>
        <w:tc>
          <w:tcPr>
            <w:tcW w:w="157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Great Keppel Is.</w:t>
            </w:r>
          </w:p>
        </w:tc>
        <w:tc>
          <w:tcPr>
            <w:tcW w:w="48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23°</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11.637</w:t>
            </w:r>
          </w:p>
        </w:tc>
        <w:tc>
          <w:tcPr>
            <w:tcW w:w="57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150°</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56.3778</w:t>
            </w:r>
          </w:p>
        </w:tc>
        <w:tc>
          <w:tcPr>
            <w:tcW w:w="4496"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r w:rsidRPr="00370E70">
              <w:rPr>
                <w:i/>
                <w:color w:val="000000"/>
                <w:sz w:val="16"/>
                <w:szCs w:val="16"/>
              </w:rPr>
              <w:t>H. uninervis</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vAlign w:val="center"/>
          </w:tcPr>
          <w:p w:rsidR="005132EF" w:rsidRPr="00370E70" w:rsidRDefault="005132EF" w:rsidP="00D26202">
            <w:pPr>
              <w:spacing w:before="0" w:after="0"/>
              <w:jc w:val="center"/>
              <w:rPr>
                <w:color w:val="000000"/>
                <w:sz w:val="16"/>
                <w:szCs w:val="16"/>
              </w:rPr>
            </w:pPr>
            <w:smartTag w:uri="urn:schemas-microsoft-com:office:smarttags" w:element="place">
              <w:r w:rsidRPr="00370E70">
                <w:rPr>
                  <w:color w:val="000000"/>
                  <w:sz w:val="16"/>
                  <w:szCs w:val="16"/>
                </w:rPr>
                <w:t>Boyne</w:t>
              </w:r>
            </w:smartTag>
          </w:p>
        </w:tc>
        <w:tc>
          <w:tcPr>
            <w:tcW w:w="1701" w:type="dxa"/>
            <w:vMerge w:val="restart"/>
            <w:tcBorders>
              <w:top w:val="single" w:sz="2" w:space="0" w:color="808080"/>
            </w:tcBorders>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Gladstone</w:t>
                </w:r>
              </w:smartTag>
              <w:r w:rsidRPr="00370E70">
                <w:rPr>
                  <w:color w:val="000000"/>
                  <w:sz w:val="16"/>
                  <w:szCs w:val="16"/>
                </w:rPr>
                <w:t xml:space="preserve"> </w:t>
              </w:r>
              <w:smartTag w:uri="urn:schemas-microsoft-com:office:smarttags" w:element="PlaceType">
                <w:r w:rsidRPr="00370E70">
                  <w:rPr>
                    <w:color w:val="000000"/>
                    <w:sz w:val="16"/>
                    <w:szCs w:val="16"/>
                  </w:rPr>
                  <w:t>Harbour</w:t>
                </w:r>
              </w:smartTag>
            </w:smartTag>
          </w:p>
          <w:p w:rsidR="005132EF" w:rsidRPr="00370E70" w:rsidRDefault="005132EF" w:rsidP="0039494C">
            <w:pPr>
              <w:spacing w:before="0" w:after="0"/>
              <w:jc w:val="center"/>
              <w:rPr>
                <w:color w:val="000000"/>
                <w:sz w:val="16"/>
                <w:szCs w:val="16"/>
              </w:rPr>
            </w:pPr>
            <w:r w:rsidRPr="00370E70">
              <w:rPr>
                <w:i/>
                <w:color w:val="000000"/>
                <w:sz w:val="16"/>
                <w:szCs w:val="16"/>
              </w:rPr>
              <w:t>estuarine</w:t>
            </w:r>
          </w:p>
        </w:tc>
        <w:tc>
          <w:tcPr>
            <w:tcW w:w="674"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GH1*</w:t>
            </w:r>
          </w:p>
        </w:tc>
        <w:tc>
          <w:tcPr>
            <w:tcW w:w="157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City">
                <w:r w:rsidRPr="00370E70">
                  <w:rPr>
                    <w:color w:val="000000"/>
                    <w:sz w:val="16"/>
                    <w:szCs w:val="16"/>
                  </w:rPr>
                  <w:t>Gladstone</w:t>
                </w:r>
              </w:smartTag>
            </w:smartTag>
            <w:r w:rsidRPr="00370E70">
              <w:rPr>
                <w:color w:val="000000"/>
                <w:sz w:val="16"/>
                <w:szCs w:val="16"/>
              </w:rPr>
              <w:t xml:space="preserve"> Hbr</w:t>
            </w:r>
          </w:p>
        </w:tc>
        <w:tc>
          <w:tcPr>
            <w:tcW w:w="48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23°</w:t>
            </w:r>
          </w:p>
        </w:tc>
        <w:tc>
          <w:tcPr>
            <w:tcW w:w="80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46.005</w:t>
            </w:r>
          </w:p>
        </w:tc>
        <w:tc>
          <w:tcPr>
            <w:tcW w:w="57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151°</w:t>
            </w:r>
          </w:p>
        </w:tc>
        <w:tc>
          <w:tcPr>
            <w:tcW w:w="809"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18.052</w:t>
            </w:r>
          </w:p>
        </w:tc>
        <w:tc>
          <w:tcPr>
            <w:tcW w:w="4496" w:type="dxa"/>
            <w:tcBorders>
              <w:top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Pr="00370E70">
              <w:rPr>
                <w:color w:val="000000"/>
                <w:sz w:val="16"/>
                <w:szCs w:val="16"/>
              </w:rPr>
              <w:t xml:space="preserve"> 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tcBorders>
              <w:bottom w:val="single" w:sz="2" w:space="0" w:color="808080"/>
            </w:tcBorders>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GH2*</w:t>
            </w:r>
          </w:p>
        </w:tc>
        <w:tc>
          <w:tcPr>
            <w:tcW w:w="1579" w:type="dxa"/>
            <w:tcBorders>
              <w:bottom w:val="single" w:sz="2" w:space="0" w:color="808080"/>
            </w:tcBorders>
            <w:noWrap/>
            <w:vAlign w:val="center"/>
          </w:tcPr>
          <w:p w:rsidR="005132EF" w:rsidRPr="00370E70" w:rsidRDefault="005132EF" w:rsidP="00034AD4">
            <w:pPr>
              <w:spacing w:before="0" w:after="0"/>
              <w:jc w:val="center"/>
              <w:rPr>
                <w:i/>
                <w:color w:val="000000"/>
                <w:sz w:val="16"/>
                <w:szCs w:val="16"/>
              </w:rPr>
            </w:pPr>
            <w:smartTag w:uri="urn:schemas-microsoft-com:office:smarttags" w:element="place">
              <w:smartTag w:uri="urn:schemas-microsoft-com:office:smarttags" w:element="City">
                <w:r w:rsidRPr="00370E70">
                  <w:rPr>
                    <w:color w:val="000000"/>
                    <w:sz w:val="16"/>
                    <w:szCs w:val="16"/>
                  </w:rPr>
                  <w:t>Gladstone</w:t>
                </w:r>
              </w:smartTag>
            </w:smartTag>
            <w:r w:rsidRPr="00370E70">
              <w:rPr>
                <w:color w:val="000000"/>
                <w:sz w:val="16"/>
                <w:szCs w:val="16"/>
              </w:rPr>
              <w:t xml:space="preserve"> Hbr</w:t>
            </w:r>
          </w:p>
        </w:tc>
        <w:tc>
          <w:tcPr>
            <w:tcW w:w="48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23°</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45.874</w:t>
            </w:r>
          </w:p>
        </w:tc>
        <w:tc>
          <w:tcPr>
            <w:tcW w:w="57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151°</w:t>
            </w:r>
          </w:p>
        </w:tc>
        <w:tc>
          <w:tcPr>
            <w:tcW w:w="809"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18.224</w:t>
            </w:r>
          </w:p>
        </w:tc>
        <w:tc>
          <w:tcPr>
            <w:tcW w:w="4496" w:type="dxa"/>
            <w:tcBorders>
              <w:bottom w:val="single" w:sz="2" w:space="0" w:color="808080"/>
            </w:tcBorders>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val="restart"/>
            <w:tcBorders>
              <w:top w:val="single" w:sz="2" w:space="0" w:color="808080"/>
            </w:tcBorders>
            <w:shd w:val="clear" w:color="auto" w:fill="F3F3F3"/>
            <w:noWrap/>
            <w:vAlign w:val="center"/>
          </w:tcPr>
          <w:p w:rsidR="005132EF" w:rsidRPr="00370E70" w:rsidRDefault="005132EF" w:rsidP="00D26202">
            <w:pPr>
              <w:spacing w:before="0" w:after="0"/>
              <w:jc w:val="center"/>
              <w:rPr>
                <w:color w:val="000000"/>
                <w:sz w:val="16"/>
                <w:szCs w:val="16"/>
              </w:rPr>
            </w:pPr>
            <w:r w:rsidRPr="00370E70">
              <w:rPr>
                <w:color w:val="000000"/>
                <w:sz w:val="16"/>
                <w:szCs w:val="16"/>
              </w:rPr>
              <w:t>Burnett Mary</w:t>
            </w:r>
          </w:p>
          <w:p w:rsidR="005132EF" w:rsidRPr="00370E70" w:rsidRDefault="005132EF" w:rsidP="00D26202">
            <w:pPr>
              <w:spacing w:before="0" w:after="0"/>
              <w:jc w:val="center"/>
              <w:rPr>
                <w:color w:val="000000"/>
                <w:sz w:val="16"/>
                <w:szCs w:val="16"/>
              </w:rPr>
            </w:pPr>
            <w:r w:rsidRPr="00370E70">
              <w:rPr>
                <w:color w:val="000000"/>
                <w:sz w:val="16"/>
                <w:szCs w:val="16"/>
              </w:rPr>
              <w:t>(</w:t>
            </w:r>
            <w:r w:rsidRPr="00370E70">
              <w:rPr>
                <w:i/>
                <w:color w:val="000000"/>
                <w:sz w:val="16"/>
                <w:szCs w:val="16"/>
              </w:rPr>
              <w:t>Burnett Mary Regional Group</w:t>
            </w:r>
            <w:r w:rsidRPr="00370E70">
              <w:rPr>
                <w:color w:val="000000"/>
                <w:sz w:val="16"/>
                <w:szCs w:val="16"/>
              </w:rPr>
              <w:t>)</w:t>
            </w:r>
          </w:p>
        </w:tc>
        <w:tc>
          <w:tcPr>
            <w:tcW w:w="1434" w:type="dxa"/>
            <w:vMerge w:val="restart"/>
            <w:tcBorders>
              <w:top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bookmarkStart w:id="50" w:name="OLE_LINK22"/>
            <w:bookmarkStart w:id="51" w:name="OLE_LINK23"/>
            <w:r w:rsidRPr="00370E70">
              <w:rPr>
                <w:color w:val="000000"/>
                <w:sz w:val="16"/>
                <w:szCs w:val="16"/>
              </w:rPr>
              <w:t>Burnett</w:t>
            </w:r>
            <w:bookmarkEnd w:id="50"/>
            <w:bookmarkEnd w:id="51"/>
          </w:p>
        </w:tc>
        <w:tc>
          <w:tcPr>
            <w:tcW w:w="1701" w:type="dxa"/>
            <w:vMerge w:val="restart"/>
            <w:tcBorders>
              <w:top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Rodds</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5132EF" w:rsidP="0039494C">
            <w:pPr>
              <w:spacing w:before="0" w:after="0"/>
              <w:jc w:val="center"/>
              <w:rPr>
                <w:color w:val="000000"/>
                <w:sz w:val="16"/>
                <w:szCs w:val="16"/>
              </w:rPr>
            </w:pPr>
            <w:r w:rsidRPr="00370E70">
              <w:rPr>
                <w:i/>
                <w:color w:val="000000"/>
                <w:sz w:val="16"/>
                <w:szCs w:val="16"/>
              </w:rPr>
              <w:t>estuarine</w:t>
            </w:r>
          </w:p>
        </w:tc>
        <w:tc>
          <w:tcPr>
            <w:tcW w:w="674" w:type="dxa"/>
            <w:tcBorders>
              <w:top w:val="single" w:sz="2" w:space="0" w:color="808080"/>
            </w:tcBorders>
            <w:shd w:val="clear" w:color="auto" w:fill="F3F3F3"/>
            <w:noWrap/>
            <w:vAlign w:val="center"/>
          </w:tcPr>
          <w:p w:rsidR="005132EF" w:rsidRPr="00370E70" w:rsidRDefault="005132EF" w:rsidP="00034AD4">
            <w:pPr>
              <w:spacing w:before="0" w:after="0"/>
              <w:jc w:val="center"/>
              <w:rPr>
                <w:iCs/>
                <w:color w:val="000000"/>
                <w:sz w:val="16"/>
                <w:szCs w:val="16"/>
              </w:rPr>
            </w:pPr>
            <w:r w:rsidRPr="00370E70">
              <w:rPr>
                <w:iCs/>
                <w:color w:val="000000"/>
                <w:sz w:val="16"/>
                <w:szCs w:val="16"/>
              </w:rPr>
              <w:t>RD1*</w:t>
            </w:r>
          </w:p>
        </w:tc>
        <w:tc>
          <w:tcPr>
            <w:tcW w:w="157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Rodds</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24°</w:t>
            </w:r>
          </w:p>
        </w:tc>
        <w:tc>
          <w:tcPr>
            <w:tcW w:w="80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3.4812</w:t>
            </w:r>
          </w:p>
        </w:tc>
        <w:tc>
          <w:tcPr>
            <w:tcW w:w="57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151°</w:t>
            </w:r>
          </w:p>
        </w:tc>
        <w:tc>
          <w:tcPr>
            <w:tcW w:w="80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39.3288</w:t>
            </w:r>
          </w:p>
        </w:tc>
        <w:tc>
          <w:tcPr>
            <w:tcW w:w="449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tcBorders>
              <w:bottom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034AD4">
            <w:pPr>
              <w:spacing w:before="0" w:after="0"/>
              <w:jc w:val="center"/>
              <w:rPr>
                <w:iCs/>
                <w:color w:val="000000"/>
                <w:sz w:val="16"/>
                <w:szCs w:val="16"/>
              </w:rPr>
            </w:pPr>
            <w:r w:rsidRPr="00370E70">
              <w:rPr>
                <w:iCs/>
                <w:color w:val="000000"/>
                <w:sz w:val="16"/>
                <w:szCs w:val="16"/>
              </w:rPr>
              <w:t>RD2*</w:t>
            </w:r>
          </w:p>
        </w:tc>
        <w:tc>
          <w:tcPr>
            <w:tcW w:w="157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Rodds</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48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highlight w:val="yellow"/>
              </w:rPr>
            </w:pPr>
            <w:r w:rsidRPr="00370E70">
              <w:rPr>
                <w:color w:val="000000"/>
                <w:sz w:val="16"/>
                <w:szCs w:val="16"/>
              </w:rPr>
              <w:t>24°</w:t>
            </w:r>
          </w:p>
        </w:tc>
        <w:tc>
          <w:tcPr>
            <w:tcW w:w="80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4.866</w:t>
            </w:r>
          </w:p>
        </w:tc>
        <w:tc>
          <w:tcPr>
            <w:tcW w:w="57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151°</w:t>
            </w:r>
          </w:p>
        </w:tc>
        <w:tc>
          <w:tcPr>
            <w:tcW w:w="80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39.7584</w:t>
            </w:r>
          </w:p>
        </w:tc>
        <w:tc>
          <w:tcPr>
            <w:tcW w:w="449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noWrap/>
            <w:vAlign w:val="center"/>
          </w:tcPr>
          <w:p w:rsidR="005132EF" w:rsidRPr="00370E70" w:rsidRDefault="005132EF" w:rsidP="00D26202">
            <w:pPr>
              <w:spacing w:before="0" w:after="0"/>
              <w:jc w:val="center"/>
              <w:rPr>
                <w:color w:val="000000"/>
                <w:sz w:val="16"/>
                <w:szCs w:val="16"/>
              </w:rPr>
            </w:pPr>
          </w:p>
        </w:tc>
        <w:tc>
          <w:tcPr>
            <w:tcW w:w="1559" w:type="dxa"/>
            <w:vMerge/>
            <w:shd w:val="clear" w:color="auto" w:fill="F3F3F3"/>
            <w:noWrap/>
            <w:vAlign w:val="center"/>
          </w:tcPr>
          <w:p w:rsidR="005132EF" w:rsidRPr="00370E70" w:rsidRDefault="005132EF" w:rsidP="00D26202">
            <w:pPr>
              <w:spacing w:before="0" w:after="0"/>
              <w:jc w:val="center"/>
              <w:rPr>
                <w:color w:val="000000"/>
                <w:sz w:val="16"/>
                <w:szCs w:val="16"/>
              </w:rPr>
            </w:pPr>
          </w:p>
        </w:tc>
        <w:tc>
          <w:tcPr>
            <w:tcW w:w="1434" w:type="dxa"/>
            <w:vMerge w:val="restart"/>
            <w:tcBorders>
              <w:top w:val="single" w:sz="2" w:space="0" w:color="808080"/>
            </w:tcBorders>
            <w:shd w:val="clear" w:color="auto" w:fill="F3F3F3"/>
            <w:vAlign w:val="center"/>
          </w:tcPr>
          <w:p w:rsidR="005132EF" w:rsidRPr="00370E70" w:rsidRDefault="005132EF" w:rsidP="00D26202">
            <w:pPr>
              <w:spacing w:before="0" w:after="0"/>
              <w:jc w:val="center"/>
              <w:rPr>
                <w:color w:val="000000"/>
                <w:sz w:val="16"/>
                <w:szCs w:val="16"/>
              </w:rPr>
            </w:pPr>
            <w:r w:rsidRPr="00370E70">
              <w:rPr>
                <w:color w:val="000000"/>
                <w:sz w:val="16"/>
                <w:szCs w:val="16"/>
              </w:rPr>
              <w:t>Mary</w:t>
            </w:r>
          </w:p>
        </w:tc>
        <w:tc>
          <w:tcPr>
            <w:tcW w:w="1701" w:type="dxa"/>
            <w:vMerge w:val="restart"/>
            <w:tcBorders>
              <w:top w:val="single" w:sz="2" w:space="0" w:color="808080"/>
            </w:tcBorders>
            <w:shd w:val="clear" w:color="auto" w:fill="F3F3F3"/>
            <w:noWrap/>
            <w:vAlign w:val="center"/>
          </w:tcPr>
          <w:p w:rsidR="005132EF" w:rsidRPr="00370E70" w:rsidRDefault="005132EF" w:rsidP="0039494C">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Hervey</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p w:rsidR="005132EF" w:rsidRPr="00370E70" w:rsidRDefault="005132EF" w:rsidP="0039494C">
            <w:pPr>
              <w:spacing w:before="0" w:after="0"/>
              <w:jc w:val="center"/>
              <w:rPr>
                <w:color w:val="000000"/>
                <w:sz w:val="16"/>
                <w:szCs w:val="16"/>
              </w:rPr>
            </w:pPr>
            <w:r w:rsidRPr="00370E70">
              <w:rPr>
                <w:i/>
                <w:color w:val="000000"/>
                <w:sz w:val="16"/>
                <w:szCs w:val="16"/>
              </w:rPr>
              <w:t>estuarine</w:t>
            </w:r>
          </w:p>
        </w:tc>
        <w:tc>
          <w:tcPr>
            <w:tcW w:w="674"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UG1*</w:t>
            </w:r>
          </w:p>
        </w:tc>
        <w:tc>
          <w:tcPr>
            <w:tcW w:w="157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Urangan</w:t>
            </w:r>
          </w:p>
        </w:tc>
        <w:tc>
          <w:tcPr>
            <w:tcW w:w="48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25°</w:t>
            </w:r>
          </w:p>
        </w:tc>
        <w:tc>
          <w:tcPr>
            <w:tcW w:w="80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18.053</w:t>
            </w:r>
          </w:p>
        </w:tc>
        <w:tc>
          <w:tcPr>
            <w:tcW w:w="57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152°</w:t>
            </w:r>
          </w:p>
        </w:tc>
        <w:tc>
          <w:tcPr>
            <w:tcW w:w="809"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54.409</w:t>
            </w:r>
          </w:p>
        </w:tc>
        <w:tc>
          <w:tcPr>
            <w:tcW w:w="4496" w:type="dxa"/>
            <w:tcBorders>
              <w:top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r w:rsidR="005132EF" w:rsidRPr="00370E70" w:rsidTr="00B22122">
        <w:trPr>
          <w:trHeight w:val="181"/>
        </w:trPr>
        <w:tc>
          <w:tcPr>
            <w:tcW w:w="961" w:type="dxa"/>
            <w:vMerge/>
            <w:tcBorders>
              <w:bottom w:val="single" w:sz="2" w:space="0" w:color="808080"/>
            </w:tcBorders>
            <w:noWrap/>
            <w:vAlign w:val="center"/>
          </w:tcPr>
          <w:p w:rsidR="005132EF" w:rsidRPr="00370E70" w:rsidRDefault="005132EF" w:rsidP="00034AD4">
            <w:pPr>
              <w:spacing w:before="0" w:after="0"/>
              <w:ind w:firstLine="560"/>
              <w:jc w:val="center"/>
              <w:rPr>
                <w:color w:val="000000"/>
                <w:sz w:val="16"/>
                <w:szCs w:val="16"/>
              </w:rPr>
            </w:pPr>
          </w:p>
        </w:tc>
        <w:tc>
          <w:tcPr>
            <w:tcW w:w="1559" w:type="dxa"/>
            <w:vMerge/>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p>
        </w:tc>
        <w:tc>
          <w:tcPr>
            <w:tcW w:w="1434" w:type="dxa"/>
            <w:vMerge/>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p>
        </w:tc>
        <w:tc>
          <w:tcPr>
            <w:tcW w:w="1701" w:type="dxa"/>
            <w:vMerge/>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p>
        </w:tc>
        <w:tc>
          <w:tcPr>
            <w:tcW w:w="674"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UG2*</w:t>
            </w:r>
          </w:p>
        </w:tc>
        <w:tc>
          <w:tcPr>
            <w:tcW w:w="157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Urangan</w:t>
            </w:r>
          </w:p>
        </w:tc>
        <w:tc>
          <w:tcPr>
            <w:tcW w:w="48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25°</w:t>
            </w:r>
          </w:p>
        </w:tc>
        <w:tc>
          <w:tcPr>
            <w:tcW w:w="80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18.197</w:t>
            </w:r>
          </w:p>
        </w:tc>
        <w:tc>
          <w:tcPr>
            <w:tcW w:w="57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152°</w:t>
            </w:r>
          </w:p>
        </w:tc>
        <w:tc>
          <w:tcPr>
            <w:tcW w:w="809"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color w:val="000000"/>
                <w:sz w:val="16"/>
                <w:szCs w:val="16"/>
              </w:rPr>
              <w:t>54.364</w:t>
            </w:r>
          </w:p>
        </w:tc>
        <w:tc>
          <w:tcPr>
            <w:tcW w:w="4496" w:type="dxa"/>
            <w:tcBorders>
              <w:bottom w:val="single" w:sz="2" w:space="0" w:color="808080"/>
            </w:tcBorders>
            <w:shd w:val="clear" w:color="auto" w:fill="F3F3F3"/>
            <w:noWrap/>
            <w:vAlign w:val="center"/>
          </w:tcPr>
          <w:p w:rsidR="005132EF" w:rsidRPr="00370E70" w:rsidRDefault="005132EF" w:rsidP="00034AD4">
            <w:pPr>
              <w:spacing w:before="0" w:after="0"/>
              <w:jc w:val="center"/>
              <w:rPr>
                <w:color w:val="000000"/>
                <w:sz w:val="16"/>
                <w:szCs w:val="16"/>
              </w:rPr>
            </w:pPr>
            <w:r w:rsidRPr="00370E70">
              <w:rPr>
                <w:i/>
                <w:color w:val="000000"/>
                <w:sz w:val="16"/>
                <w:szCs w:val="16"/>
              </w:rPr>
              <w:t xml:space="preserve">Zostera </w:t>
            </w:r>
            <w:r w:rsidR="00B22122" w:rsidRPr="00370E70">
              <w:rPr>
                <w:i/>
                <w:color w:val="000000"/>
                <w:sz w:val="16"/>
                <w:szCs w:val="16"/>
              </w:rPr>
              <w:t>muelleri</w:t>
            </w:r>
            <w:r w:rsidR="00B22122" w:rsidRPr="00370E70">
              <w:rPr>
                <w:color w:val="000000"/>
                <w:sz w:val="16"/>
                <w:szCs w:val="16"/>
              </w:rPr>
              <w:t xml:space="preserve"> </w:t>
            </w:r>
            <w:r w:rsidRPr="00370E70">
              <w:rPr>
                <w:color w:val="000000"/>
                <w:sz w:val="16"/>
                <w:szCs w:val="16"/>
              </w:rPr>
              <w:t xml:space="preserve">with </w:t>
            </w:r>
            <w:r w:rsidRPr="00370E70">
              <w:rPr>
                <w:i/>
                <w:color w:val="000000"/>
                <w:sz w:val="16"/>
                <w:szCs w:val="16"/>
              </w:rPr>
              <w:t>H. ovalis</w:t>
            </w:r>
          </w:p>
        </w:tc>
      </w:tr>
    </w:tbl>
    <w:p w:rsidR="0033652B" w:rsidRPr="00370E70" w:rsidRDefault="005132EF" w:rsidP="0033652B">
      <w:pPr>
        <w:pStyle w:val="Caption"/>
        <w:spacing w:before="0" w:after="0" w:line="240" w:lineRule="auto"/>
        <w:jc w:val="center"/>
        <w:rPr>
          <w:i/>
          <w:vanish/>
          <w:szCs w:val="22"/>
          <w:lang w:val="en-AU"/>
          <w:specVanish/>
        </w:rPr>
      </w:pPr>
      <w:bookmarkStart w:id="52" w:name="_Ref200444400"/>
      <w:bookmarkStart w:id="53" w:name="_Ref316450977"/>
      <w:bookmarkStart w:id="54" w:name="_Ref316452715"/>
      <w:bookmarkStart w:id="55" w:name="_Toc384196540"/>
      <w:bookmarkStart w:id="56" w:name="_Toc176158940"/>
      <w:r w:rsidRPr="00370E70">
        <w:rP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4</w:t>
      </w:r>
      <w:r w:rsidRPr="00370E70">
        <w:rPr>
          <w:lang w:val="en-AU"/>
        </w:rPr>
        <w:fldChar w:fldCharType="end"/>
      </w:r>
      <w:bookmarkEnd w:id="52"/>
      <w:bookmarkEnd w:id="53"/>
      <w:bookmarkEnd w:id="54"/>
      <w:r w:rsidRPr="00370E70">
        <w:rPr>
          <w:lang w:val="en-AU"/>
        </w:rPr>
        <w:t xml:space="preserve">. </w:t>
      </w:r>
      <w:r w:rsidRPr="00370E70">
        <w:rPr>
          <w:i/>
          <w:lang w:val="en-AU"/>
        </w:rPr>
        <w:t>Samples collected at each monitoring site for each season</w:t>
      </w:r>
      <w:bookmarkEnd w:id="55"/>
    </w:p>
    <w:p w:rsidR="0033652B" w:rsidRPr="00370E70" w:rsidRDefault="005132EF" w:rsidP="0033652B">
      <w:pPr>
        <w:pStyle w:val="Caption"/>
        <w:spacing w:before="0" w:after="0" w:line="240" w:lineRule="auto"/>
        <w:jc w:val="center"/>
        <w:rPr>
          <w:i/>
          <w:lang w:val="en-AU"/>
        </w:rPr>
      </w:pPr>
      <w:r w:rsidRPr="00370E70">
        <w:rPr>
          <w:i/>
          <w:lang w:val="en-AU"/>
        </w:rPr>
        <w:t xml:space="preserve">. </w:t>
      </w:r>
      <w:r w:rsidRPr="005C6CCE">
        <w:rPr>
          <w:i/>
          <w:sz w:val="20"/>
          <w:lang w:val="en-AU"/>
        </w:rPr>
        <w:t>Activities include: SG = seagrass cover &amp; composition, SM=</w:t>
      </w:r>
      <w:r w:rsidR="00436926" w:rsidRPr="005C6CCE">
        <w:rPr>
          <w:i/>
          <w:sz w:val="20"/>
          <w:lang w:val="en-AU"/>
        </w:rPr>
        <w:t xml:space="preserve"> </w:t>
      </w:r>
      <w:r w:rsidRPr="005C6CCE">
        <w:rPr>
          <w:i/>
          <w:sz w:val="20"/>
          <w:lang w:val="en-AU"/>
        </w:rPr>
        <w:t xml:space="preserve">seed monitoring, TN=tissue nutrients, EM=edge mapping, RH=reproductive health, </w:t>
      </w:r>
      <w:r w:rsidR="00436926" w:rsidRPr="005C6CCE">
        <w:rPr>
          <w:i/>
          <w:sz w:val="20"/>
          <w:lang w:val="en-AU"/>
        </w:rPr>
        <w:t xml:space="preserve">SH=sediment herbicides, </w:t>
      </w:r>
      <w:r w:rsidRPr="005C6CCE">
        <w:rPr>
          <w:i/>
          <w:sz w:val="20"/>
          <w:lang w:val="en-AU"/>
        </w:rPr>
        <w:t>TL=temperature loggers, LL=light loggers. ^=subtidal.</w:t>
      </w:r>
    </w:p>
    <w:tbl>
      <w:tblPr>
        <w:tblW w:w="13060" w:type="dxa"/>
        <w:jc w:val="center"/>
        <w:tblLayout w:type="fixed"/>
        <w:tblLook w:val="0000" w:firstRow="0" w:lastRow="0" w:firstColumn="0" w:lastColumn="0" w:noHBand="0" w:noVBand="0"/>
      </w:tblPr>
      <w:tblGrid>
        <w:gridCol w:w="1418"/>
        <w:gridCol w:w="1551"/>
        <w:gridCol w:w="1549"/>
        <w:gridCol w:w="840"/>
        <w:gridCol w:w="555"/>
        <w:gridCol w:w="543"/>
        <w:gridCol w:w="540"/>
        <w:gridCol w:w="536"/>
        <w:gridCol w:w="540"/>
        <w:gridCol w:w="529"/>
        <w:gridCol w:w="559"/>
        <w:gridCol w:w="559"/>
        <w:gridCol w:w="559"/>
        <w:gridCol w:w="559"/>
        <w:gridCol w:w="559"/>
        <w:gridCol w:w="559"/>
        <w:gridCol w:w="559"/>
        <w:gridCol w:w="546"/>
      </w:tblGrid>
      <w:tr w:rsidR="005C6CCE" w:rsidRPr="00370E70" w:rsidTr="005C6CCE">
        <w:trPr>
          <w:cantSplit/>
          <w:trHeight w:val="198"/>
          <w:jc w:val="center"/>
        </w:trPr>
        <w:tc>
          <w:tcPr>
            <w:tcW w:w="1418" w:type="dxa"/>
            <w:vMerge w:val="restart"/>
            <w:tcBorders>
              <w:top w:val="single" w:sz="4" w:space="0" w:color="auto"/>
            </w:tcBorders>
            <w:noWrap/>
            <w:vAlign w:val="center"/>
          </w:tcPr>
          <w:p w:rsidR="005C6CCE" w:rsidRPr="00370E70" w:rsidRDefault="005C6CCE" w:rsidP="004E5C3B">
            <w:pPr>
              <w:spacing w:before="0" w:after="0"/>
              <w:jc w:val="center"/>
              <w:rPr>
                <w:b/>
                <w:bCs/>
                <w:color w:val="000000"/>
                <w:sz w:val="18"/>
                <w:szCs w:val="18"/>
              </w:rPr>
            </w:pPr>
            <w:r w:rsidRPr="00370E70">
              <w:rPr>
                <w:b/>
                <w:bCs/>
                <w:color w:val="000000"/>
                <w:sz w:val="18"/>
                <w:szCs w:val="18"/>
              </w:rPr>
              <w:t>Region</w:t>
            </w:r>
          </w:p>
        </w:tc>
        <w:tc>
          <w:tcPr>
            <w:tcW w:w="1551" w:type="dxa"/>
            <w:vMerge w:val="restart"/>
            <w:tcBorders>
              <w:top w:val="single" w:sz="4" w:space="0" w:color="auto"/>
            </w:tcBorders>
            <w:vAlign w:val="center"/>
          </w:tcPr>
          <w:p w:rsidR="005C6CCE" w:rsidRPr="00370E70" w:rsidRDefault="005C6CCE" w:rsidP="004E5C3B">
            <w:pPr>
              <w:spacing w:before="0" w:after="0"/>
              <w:jc w:val="center"/>
              <w:rPr>
                <w:b/>
                <w:bCs/>
                <w:color w:val="000000"/>
                <w:sz w:val="18"/>
                <w:szCs w:val="18"/>
              </w:rPr>
            </w:pPr>
            <w:r w:rsidRPr="00370E70">
              <w:rPr>
                <w:b/>
                <w:bCs/>
                <w:color w:val="000000"/>
                <w:sz w:val="18"/>
                <w:szCs w:val="18"/>
              </w:rPr>
              <w:t>Catchment</w:t>
            </w:r>
          </w:p>
        </w:tc>
        <w:tc>
          <w:tcPr>
            <w:tcW w:w="2389" w:type="dxa"/>
            <w:gridSpan w:val="2"/>
            <w:vMerge w:val="restart"/>
            <w:tcBorders>
              <w:top w:val="single" w:sz="4" w:space="0" w:color="auto"/>
            </w:tcBorders>
            <w:noWrap/>
            <w:vAlign w:val="center"/>
          </w:tcPr>
          <w:p w:rsidR="005C6CCE" w:rsidRPr="00370E70" w:rsidRDefault="005C6CCE" w:rsidP="004E5C3B">
            <w:pPr>
              <w:spacing w:before="0" w:after="0"/>
              <w:jc w:val="center"/>
              <w:rPr>
                <w:b/>
                <w:bCs/>
                <w:color w:val="000000"/>
                <w:sz w:val="18"/>
                <w:szCs w:val="18"/>
              </w:rPr>
            </w:pPr>
            <w:r w:rsidRPr="00370E70">
              <w:rPr>
                <w:b/>
                <w:bCs/>
                <w:color w:val="000000"/>
                <w:sz w:val="18"/>
                <w:szCs w:val="18"/>
              </w:rPr>
              <w:t>Monitoring location</w:t>
            </w:r>
          </w:p>
        </w:tc>
        <w:tc>
          <w:tcPr>
            <w:tcW w:w="3802" w:type="dxa"/>
            <w:gridSpan w:val="7"/>
            <w:tcBorders>
              <w:top w:val="single" w:sz="4" w:space="0" w:color="auto"/>
            </w:tcBorders>
            <w:vAlign w:val="center"/>
          </w:tcPr>
          <w:p w:rsidR="005C6CCE" w:rsidRPr="00370E70" w:rsidRDefault="005C6CCE" w:rsidP="00034AD4">
            <w:pPr>
              <w:spacing w:before="0" w:after="0"/>
              <w:jc w:val="center"/>
              <w:rPr>
                <w:b/>
                <w:bCs/>
                <w:color w:val="000000"/>
                <w:sz w:val="18"/>
                <w:szCs w:val="18"/>
              </w:rPr>
            </w:pPr>
            <w:r w:rsidRPr="00370E70">
              <w:rPr>
                <w:b/>
                <w:bCs/>
                <w:color w:val="000000"/>
                <w:sz w:val="18"/>
                <w:szCs w:val="18"/>
              </w:rPr>
              <w:t>late dry Season (2011)</w:t>
            </w:r>
          </w:p>
        </w:tc>
        <w:tc>
          <w:tcPr>
            <w:tcW w:w="3900" w:type="dxa"/>
            <w:gridSpan w:val="7"/>
            <w:tcBorders>
              <w:top w:val="single" w:sz="4" w:space="0" w:color="auto"/>
            </w:tcBorders>
            <w:vAlign w:val="center"/>
          </w:tcPr>
          <w:p w:rsidR="005C6CCE" w:rsidRPr="00370E70" w:rsidRDefault="005C6CCE" w:rsidP="003427E4">
            <w:pPr>
              <w:spacing w:before="0" w:after="0"/>
              <w:jc w:val="center"/>
              <w:rPr>
                <w:b/>
                <w:bCs/>
                <w:color w:val="000000"/>
                <w:sz w:val="18"/>
                <w:szCs w:val="18"/>
              </w:rPr>
            </w:pPr>
            <w:r w:rsidRPr="00370E70">
              <w:rPr>
                <w:b/>
                <w:bCs/>
                <w:color w:val="000000"/>
                <w:sz w:val="18"/>
                <w:szCs w:val="18"/>
              </w:rPr>
              <w:t>late monsoon Season (2012)</w:t>
            </w:r>
          </w:p>
        </w:tc>
      </w:tr>
      <w:tr w:rsidR="005C6CCE" w:rsidRPr="00370E70" w:rsidTr="005C6CCE">
        <w:trPr>
          <w:cantSplit/>
          <w:trHeight w:val="136"/>
          <w:jc w:val="center"/>
        </w:trPr>
        <w:tc>
          <w:tcPr>
            <w:tcW w:w="1418" w:type="dxa"/>
            <w:vMerge/>
            <w:tcBorders>
              <w:bottom w:val="single" w:sz="4" w:space="0" w:color="auto"/>
            </w:tcBorders>
            <w:noWrap/>
            <w:vAlign w:val="center"/>
          </w:tcPr>
          <w:p w:rsidR="005C6CCE" w:rsidRPr="00370E70" w:rsidRDefault="005C6CCE" w:rsidP="00D12642">
            <w:pPr>
              <w:spacing w:before="0" w:after="0"/>
              <w:jc w:val="center"/>
              <w:rPr>
                <w:b/>
                <w:bCs/>
                <w:color w:val="000000"/>
                <w:sz w:val="18"/>
                <w:szCs w:val="18"/>
              </w:rPr>
            </w:pPr>
          </w:p>
        </w:tc>
        <w:tc>
          <w:tcPr>
            <w:tcW w:w="1551" w:type="dxa"/>
            <w:vMerge/>
            <w:tcBorders>
              <w:bottom w:val="single" w:sz="4" w:space="0" w:color="auto"/>
            </w:tcBorders>
            <w:vAlign w:val="center"/>
          </w:tcPr>
          <w:p w:rsidR="005C6CCE" w:rsidRPr="00370E70" w:rsidRDefault="005C6CCE" w:rsidP="00D26202">
            <w:pPr>
              <w:spacing w:before="0" w:after="0"/>
              <w:jc w:val="center"/>
              <w:rPr>
                <w:b/>
                <w:bCs/>
                <w:color w:val="000000"/>
                <w:sz w:val="18"/>
                <w:szCs w:val="18"/>
              </w:rPr>
            </w:pPr>
          </w:p>
        </w:tc>
        <w:tc>
          <w:tcPr>
            <w:tcW w:w="2389" w:type="dxa"/>
            <w:gridSpan w:val="2"/>
            <w:vMerge/>
            <w:tcBorders>
              <w:bottom w:val="single" w:sz="4" w:space="0" w:color="auto"/>
            </w:tcBorders>
            <w:noWrap/>
            <w:vAlign w:val="center"/>
          </w:tcPr>
          <w:p w:rsidR="005C6CCE" w:rsidRPr="00370E70" w:rsidRDefault="005C6CCE" w:rsidP="003427E4">
            <w:pPr>
              <w:spacing w:before="0" w:after="0"/>
              <w:jc w:val="center"/>
              <w:rPr>
                <w:b/>
                <w:bCs/>
                <w:color w:val="000000"/>
                <w:sz w:val="18"/>
                <w:szCs w:val="18"/>
              </w:rPr>
            </w:pPr>
          </w:p>
        </w:tc>
        <w:tc>
          <w:tcPr>
            <w:tcW w:w="555"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SG</w:t>
            </w:r>
          </w:p>
        </w:tc>
        <w:tc>
          <w:tcPr>
            <w:tcW w:w="543" w:type="dxa"/>
            <w:tcBorders>
              <w:bottom w:val="single" w:sz="4" w:space="0" w:color="auto"/>
            </w:tcBorders>
            <w:noWrap/>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SM</w:t>
            </w:r>
          </w:p>
        </w:tc>
        <w:tc>
          <w:tcPr>
            <w:tcW w:w="540" w:type="dxa"/>
            <w:tcBorders>
              <w:bottom w:val="single" w:sz="4" w:space="0" w:color="auto"/>
            </w:tcBorders>
            <w:noWrap/>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TN</w:t>
            </w:r>
          </w:p>
        </w:tc>
        <w:tc>
          <w:tcPr>
            <w:tcW w:w="536"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EM</w:t>
            </w:r>
          </w:p>
        </w:tc>
        <w:tc>
          <w:tcPr>
            <w:tcW w:w="540"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RH</w:t>
            </w:r>
          </w:p>
        </w:tc>
        <w:tc>
          <w:tcPr>
            <w:tcW w:w="52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TL</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LL</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SG</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SM</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EM</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RH</w:t>
            </w:r>
          </w:p>
        </w:tc>
        <w:tc>
          <w:tcPr>
            <w:tcW w:w="559" w:type="dxa"/>
            <w:tcBorders>
              <w:bottom w:val="single" w:sz="4" w:space="0" w:color="auto"/>
            </w:tcBorders>
            <w:vAlign w:val="center"/>
          </w:tcPr>
          <w:p w:rsidR="005C6CCE" w:rsidRPr="00370E70" w:rsidRDefault="005C6CCE" w:rsidP="00DA6EC4">
            <w:pPr>
              <w:spacing w:before="0" w:after="0"/>
              <w:jc w:val="center"/>
              <w:rPr>
                <w:b/>
                <w:color w:val="000000"/>
                <w:sz w:val="16"/>
                <w:szCs w:val="16"/>
              </w:rPr>
            </w:pPr>
            <w:r w:rsidRPr="00370E70">
              <w:rPr>
                <w:b/>
                <w:color w:val="000000"/>
                <w:sz w:val="16"/>
                <w:szCs w:val="16"/>
              </w:rPr>
              <w:t>SH</w:t>
            </w:r>
          </w:p>
        </w:tc>
        <w:tc>
          <w:tcPr>
            <w:tcW w:w="559"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TL</w:t>
            </w:r>
          </w:p>
        </w:tc>
        <w:tc>
          <w:tcPr>
            <w:tcW w:w="546" w:type="dxa"/>
            <w:tcBorders>
              <w:bottom w:val="single" w:sz="4" w:space="0" w:color="auto"/>
            </w:tcBorders>
            <w:vAlign w:val="center"/>
          </w:tcPr>
          <w:p w:rsidR="005C6CCE" w:rsidRPr="00370E70" w:rsidRDefault="005C6CCE" w:rsidP="00DA6EC4">
            <w:pPr>
              <w:spacing w:before="0" w:after="0"/>
              <w:jc w:val="center"/>
              <w:rPr>
                <w:b/>
                <w:bCs/>
                <w:color w:val="000000"/>
                <w:sz w:val="18"/>
                <w:szCs w:val="18"/>
              </w:rPr>
            </w:pPr>
            <w:r w:rsidRPr="00370E70">
              <w:rPr>
                <w:b/>
                <w:color w:val="000000"/>
                <w:sz w:val="16"/>
                <w:szCs w:val="16"/>
              </w:rPr>
              <w:t>LL</w:t>
            </w:r>
          </w:p>
        </w:tc>
      </w:tr>
      <w:tr w:rsidR="005C6CCE" w:rsidRPr="00370E70" w:rsidTr="005C6CCE">
        <w:trPr>
          <w:cantSplit/>
          <w:trHeight w:val="170"/>
          <w:jc w:val="center"/>
        </w:trPr>
        <w:tc>
          <w:tcPr>
            <w:tcW w:w="1418" w:type="dxa"/>
            <w:vMerge w:val="restart"/>
            <w:tcBorders>
              <w:top w:val="single" w:sz="4" w:space="0" w:color="auto"/>
            </w:tcBorders>
            <w:noWrap/>
            <w:vAlign w:val="center"/>
          </w:tcPr>
          <w:p w:rsidR="005C6CCE" w:rsidRPr="00370E70" w:rsidRDefault="005C6CCE" w:rsidP="005C6CCE">
            <w:pPr>
              <w:spacing w:before="0" w:after="0"/>
              <w:jc w:val="center"/>
              <w:rPr>
                <w:color w:val="000000"/>
                <w:sz w:val="16"/>
                <w:szCs w:val="16"/>
              </w:rPr>
            </w:pPr>
            <w:smartTag w:uri="urn:schemas-microsoft-com:office:smarttags" w:element="place">
              <w:r w:rsidRPr="00370E70">
                <w:rPr>
                  <w:color w:val="000000"/>
                  <w:sz w:val="16"/>
                  <w:szCs w:val="16"/>
                </w:rPr>
                <w:t>Cape York</w:t>
              </w:r>
            </w:smartTag>
          </w:p>
        </w:tc>
        <w:tc>
          <w:tcPr>
            <w:tcW w:w="1551" w:type="dxa"/>
            <w:vMerge w:val="restart"/>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1549" w:type="dxa"/>
            <w:vMerge w:val="restart"/>
            <w:tcBorders>
              <w:top w:val="single" w:sz="4" w:space="0" w:color="auto"/>
            </w:tcBorders>
            <w:noWrap/>
            <w:vAlign w:val="center"/>
          </w:tcPr>
          <w:p w:rsidR="005C6CCE" w:rsidRPr="00370E70" w:rsidRDefault="005C6CCE" w:rsidP="005C6CCE">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Shelburne</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840" w:type="dxa"/>
            <w:tcBorders>
              <w:top w:val="single" w:sz="4" w:space="0" w:color="auto"/>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SR1</w:t>
            </w:r>
          </w:p>
        </w:tc>
        <w:tc>
          <w:tcPr>
            <w:tcW w:w="555" w:type="dxa"/>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543" w:type="dxa"/>
            <w:tcBorders>
              <w:top w:val="single" w:sz="4" w:space="0" w:color="auto"/>
            </w:tcBorders>
            <w:noWrap/>
            <w:vAlign w:val="center"/>
          </w:tcPr>
          <w:p w:rsidR="005C6CCE" w:rsidRPr="00370E70" w:rsidRDefault="005C6CCE" w:rsidP="005C6CCE">
            <w:pPr>
              <w:spacing w:before="0" w:after="0"/>
              <w:jc w:val="center"/>
              <w:rPr>
                <w:color w:val="000000"/>
                <w:sz w:val="16"/>
                <w:szCs w:val="16"/>
              </w:rPr>
            </w:pPr>
          </w:p>
        </w:tc>
        <w:tc>
          <w:tcPr>
            <w:tcW w:w="540" w:type="dxa"/>
            <w:tcBorders>
              <w:top w:val="single" w:sz="4" w:space="0" w:color="auto"/>
            </w:tcBorders>
            <w:noWrap/>
            <w:vAlign w:val="center"/>
          </w:tcPr>
          <w:p w:rsidR="005C6CCE" w:rsidRPr="00370E70" w:rsidRDefault="005C6CCE" w:rsidP="005C6CCE">
            <w:pPr>
              <w:spacing w:before="0" w:after="0"/>
              <w:jc w:val="center"/>
              <w:rPr>
                <w:color w:val="000000"/>
                <w:sz w:val="16"/>
                <w:szCs w:val="16"/>
              </w:rPr>
            </w:pPr>
          </w:p>
        </w:tc>
        <w:tc>
          <w:tcPr>
            <w:tcW w:w="536" w:type="dxa"/>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540" w:type="dxa"/>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529" w:type="dxa"/>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559" w:type="dxa"/>
            <w:tcBorders>
              <w:top w:val="single" w:sz="4" w:space="0" w:color="auto"/>
            </w:tcBorders>
            <w:vAlign w:val="center"/>
          </w:tcPr>
          <w:p w:rsidR="005C6CCE" w:rsidRPr="00370E70" w:rsidRDefault="005C6CCE" w:rsidP="005C6CCE">
            <w:pPr>
              <w:spacing w:before="0" w:after="0"/>
              <w:jc w:val="center"/>
              <w:rPr>
                <w:color w:val="000000"/>
                <w:sz w:val="16"/>
                <w:szCs w:val="16"/>
              </w:rPr>
            </w:pP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4" w:space="0" w:color="auto"/>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4" w:space="0" w:color="auto"/>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ign w:val="center"/>
          </w:tcPr>
          <w:p w:rsidR="005C6CCE" w:rsidRPr="00370E70" w:rsidRDefault="005C6CCE" w:rsidP="005C6CCE">
            <w:pPr>
              <w:spacing w:before="0" w:after="0"/>
              <w:jc w:val="center"/>
              <w:rPr>
                <w:color w:val="000000"/>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SR2</w:t>
            </w:r>
          </w:p>
        </w:tc>
        <w:tc>
          <w:tcPr>
            <w:tcW w:w="555"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ign w:val="center"/>
          </w:tcPr>
          <w:p w:rsidR="005C6CCE" w:rsidRPr="00370E70" w:rsidRDefault="005C6CCE" w:rsidP="005C6CCE">
            <w:pPr>
              <w:spacing w:before="0" w:after="0"/>
              <w:jc w:val="center"/>
              <w:rPr>
                <w:color w:val="000000"/>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Piper Reef</w:t>
            </w:r>
          </w:p>
        </w:tc>
        <w:tc>
          <w:tcPr>
            <w:tcW w:w="840" w:type="dxa"/>
            <w:tcBorders>
              <w:top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FR1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FR2</w:t>
            </w:r>
          </w:p>
        </w:tc>
        <w:tc>
          <w:tcPr>
            <w:tcW w:w="555"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restart"/>
            <w:tcBorders>
              <w:top w:val="single" w:sz="2" w:space="0" w:color="808080"/>
            </w:tcBorders>
            <w:vAlign w:val="center"/>
          </w:tcPr>
          <w:p w:rsidR="005C6CCE" w:rsidRPr="00370E70" w:rsidRDefault="00BC26AE" w:rsidP="005C6CCE">
            <w:pPr>
              <w:spacing w:before="0" w:after="0"/>
              <w:jc w:val="center"/>
              <w:rPr>
                <w:color w:val="000000"/>
                <w:sz w:val="16"/>
                <w:szCs w:val="16"/>
              </w:rPr>
            </w:pPr>
            <w:r w:rsidRPr="00BC26AE">
              <w:rPr>
                <w:color w:val="000000"/>
                <w:sz w:val="16"/>
                <w:szCs w:val="16"/>
              </w:rPr>
              <w:t>Normanby</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Stanley</w:t>
                </w:r>
              </w:smartTag>
              <w:r w:rsidRPr="00370E70">
                <w:rPr>
                  <w:color w:val="000000"/>
                  <w:sz w:val="16"/>
                  <w:szCs w:val="16"/>
                </w:rPr>
                <w:t xml:space="preserve"> </w:t>
              </w:r>
              <w:smartTag w:uri="urn:schemas-microsoft-com:office:smarttags" w:element="PlaceType">
                <w:r w:rsidRPr="00370E70">
                  <w:rPr>
                    <w:color w:val="000000"/>
                    <w:sz w:val="16"/>
                    <w:szCs w:val="16"/>
                  </w:rPr>
                  <w:t>Island</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ST1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ign w:val="center"/>
          </w:tcPr>
          <w:p w:rsidR="005C6CCE" w:rsidRPr="00370E70" w:rsidRDefault="005C6CCE" w:rsidP="005C6CCE">
            <w:pPr>
              <w:spacing w:before="0" w:after="0"/>
              <w:jc w:val="center"/>
              <w:rPr>
                <w:color w:val="000000"/>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ST2</w:t>
            </w:r>
          </w:p>
        </w:tc>
        <w:tc>
          <w:tcPr>
            <w:tcW w:w="555"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ign w:val="center"/>
          </w:tcPr>
          <w:p w:rsidR="005C6CCE" w:rsidRPr="00370E70" w:rsidRDefault="005C6CCE" w:rsidP="005C6CCE">
            <w:pPr>
              <w:spacing w:before="0" w:after="0"/>
              <w:jc w:val="center"/>
              <w:rPr>
                <w:color w:val="000000"/>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color w:val="000000"/>
                <w:sz w:val="16"/>
                <w:szCs w:val="16"/>
              </w:rPr>
            </w:pPr>
            <w:smartTag w:uri="urn:schemas-microsoft-com:office:smarttags" w:element="place">
              <w:smartTag w:uri="urn:schemas-microsoft-com:office:smarttags" w:element="PlaceName">
                <w:r w:rsidRPr="00370E70">
                  <w:rPr>
                    <w:color w:val="000000"/>
                    <w:sz w:val="16"/>
                    <w:szCs w:val="16"/>
                  </w:rPr>
                  <w:t>Bathurst</w:t>
                </w:r>
              </w:smartTag>
              <w:r w:rsidRPr="00370E70">
                <w:rPr>
                  <w:color w:val="000000"/>
                  <w:sz w:val="16"/>
                  <w:szCs w:val="16"/>
                </w:rPr>
                <w:t xml:space="preserve"> </w:t>
              </w:r>
              <w:smartTag w:uri="urn:schemas-microsoft-com:office:smarttags" w:element="PlaceType">
                <w:r w:rsidRPr="00370E70">
                  <w:rPr>
                    <w:color w:val="000000"/>
                    <w:sz w:val="16"/>
                    <w:szCs w:val="16"/>
                  </w:rPr>
                  <w:t>Bay</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BY1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BY2</w:t>
            </w:r>
          </w:p>
        </w:tc>
        <w:tc>
          <w:tcPr>
            <w:tcW w:w="555"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3"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40"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color w:val="000000"/>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Endeavour</w:t>
            </w:r>
          </w:p>
        </w:tc>
        <w:tc>
          <w:tcPr>
            <w:tcW w:w="1549" w:type="dxa"/>
            <w:vMerge w:val="restart"/>
            <w:tcBorders>
              <w:top w:val="single" w:sz="2" w:space="0" w:color="808080"/>
            </w:tcBorders>
            <w:noWrap/>
            <w:vAlign w:val="center"/>
          </w:tcPr>
          <w:p w:rsidR="005C6CCE" w:rsidRPr="00370E70" w:rsidRDefault="002E1AA7" w:rsidP="005C6CCE">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Archer</w:t>
                </w:r>
              </w:smartTag>
              <w:r>
                <w:rPr>
                  <w:color w:val="000000"/>
                  <w:sz w:val="16"/>
                  <w:szCs w:val="16"/>
                </w:rPr>
                <w:t xml:space="preserve"> </w:t>
              </w:r>
              <w:smartTag w:uri="urn:schemas-microsoft-com:office:smarttags" w:element="PlaceName">
                <w:r>
                  <w:rPr>
                    <w:color w:val="000000"/>
                    <w:sz w:val="16"/>
                    <w:szCs w:val="16"/>
                  </w:rPr>
                  <w:t>Point</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color w:val="000000"/>
                <w:sz w:val="16"/>
                <w:szCs w:val="16"/>
              </w:rPr>
            </w:pPr>
            <w:r w:rsidRPr="005C6CCE">
              <w:rPr>
                <w:color w:val="000000"/>
                <w:sz w:val="16"/>
                <w:szCs w:val="16"/>
              </w:rPr>
              <w:t>AP1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color w:val="000000"/>
                <w:sz w:val="16"/>
                <w:szCs w:val="16"/>
                <w:highlight w:val="yellow"/>
              </w:rPr>
            </w:pPr>
          </w:p>
        </w:tc>
      </w:tr>
      <w:tr w:rsidR="005C6CCE" w:rsidRPr="00370E70" w:rsidTr="005C6CCE">
        <w:trPr>
          <w:cantSplit/>
          <w:trHeight w:val="170"/>
          <w:jc w:val="center"/>
        </w:trPr>
        <w:tc>
          <w:tcPr>
            <w:tcW w:w="1418"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AP2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color w:val="000000"/>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highlight w:val="yellow"/>
              </w:rPr>
            </w:pPr>
          </w:p>
        </w:tc>
      </w:tr>
      <w:tr w:rsidR="005C6CCE" w:rsidRPr="00370E70" w:rsidTr="005C6CCE">
        <w:trPr>
          <w:cantSplit/>
          <w:trHeight w:val="170"/>
          <w:jc w:val="center"/>
        </w:trPr>
        <w:tc>
          <w:tcPr>
            <w:tcW w:w="1418"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Wet Tropics</w:t>
            </w:r>
          </w:p>
        </w:tc>
        <w:tc>
          <w:tcPr>
            <w:tcW w:w="1551" w:type="dxa"/>
            <w:vMerge w:val="restart"/>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Mossman</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Low Isles</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LI1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r w:rsidRPr="00370E70">
              <w:rPr>
                <w:color w:val="000000"/>
                <w:sz w:val="16"/>
                <w:szCs w:val="16"/>
                <w:vertAlign w:val="superscript"/>
              </w:rPr>
              <w:sym w:font="Wingdings 2" w:char="F085"/>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color w:val="000000"/>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LI2^</w:t>
            </w:r>
          </w:p>
        </w:tc>
        <w:tc>
          <w:tcPr>
            <w:tcW w:w="555"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r w:rsidRPr="00370E70">
              <w:rPr>
                <w:color w:val="000000"/>
                <w:sz w:val="16"/>
                <w:szCs w:val="16"/>
                <w:vertAlign w:val="superscript"/>
              </w:rPr>
              <w:sym w:font="Wingdings 2" w:char="F085"/>
            </w: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Barron</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City">
                <w:r w:rsidRPr="00370E70">
                  <w:rPr>
                    <w:sz w:val="16"/>
                    <w:szCs w:val="16"/>
                  </w:rPr>
                  <w:t>Cairns</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YP1</w:t>
            </w:r>
          </w:p>
        </w:tc>
        <w:tc>
          <w:tcPr>
            <w:tcW w:w="555"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color w:val="000000"/>
                <w:sz w:val="16"/>
                <w:szCs w:val="16"/>
              </w:rPr>
            </w:pPr>
            <w:r w:rsidRPr="00370E70">
              <w:rPr>
                <w:color w:val="000000"/>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color w:val="000000"/>
                <w:sz w:val="16"/>
                <w:szCs w:val="16"/>
              </w:rPr>
            </w:pPr>
            <w:r w:rsidRPr="00370E70">
              <w:rPr>
                <w:color w:val="000000"/>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color w:val="000000"/>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YP2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Russell - Mulgrave, Johnstone</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i/>
                <w:iCs/>
                <w:sz w:val="16"/>
                <w:szCs w:val="16"/>
              </w:rPr>
            </w:pPr>
            <w:smartTag w:uri="urn:schemas-microsoft-com:office:smarttags" w:element="place">
              <w:smartTag w:uri="urn:schemas-microsoft-com:office:smarttags" w:element="PlaceName">
                <w:r w:rsidRPr="00370E70">
                  <w:rPr>
                    <w:sz w:val="16"/>
                    <w:szCs w:val="16"/>
                  </w:rPr>
                  <w:t>Green</w:t>
                </w:r>
              </w:smartTag>
              <w:r w:rsidRPr="00370E70">
                <w:rPr>
                  <w:sz w:val="16"/>
                  <w:szCs w:val="16"/>
                </w:rPr>
                <w:t xml:space="preserve"> </w:t>
              </w:r>
              <w:smartTag w:uri="urn:schemas-microsoft-com:office:smarttags" w:element="PlaceType">
                <w:r w:rsidRPr="00370E70">
                  <w:rPr>
                    <w:sz w:val="16"/>
                    <w:szCs w:val="16"/>
                  </w:rPr>
                  <w:t>Island</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GI1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noWrap/>
            <w:vAlign w:val="center"/>
          </w:tcPr>
          <w:p w:rsidR="005C6CCE" w:rsidRPr="00370E70" w:rsidRDefault="005C6CCE" w:rsidP="005C6CCE">
            <w:pPr>
              <w:spacing w:before="0" w:after="0"/>
              <w:jc w:val="center"/>
              <w:rPr>
                <w:sz w:val="16"/>
                <w:szCs w:val="16"/>
              </w:rPr>
            </w:pPr>
          </w:p>
        </w:tc>
        <w:tc>
          <w:tcPr>
            <w:tcW w:w="840" w:type="dxa"/>
            <w:noWrap/>
            <w:vAlign w:val="center"/>
          </w:tcPr>
          <w:p w:rsidR="005C6CCE" w:rsidRPr="005C6CCE" w:rsidRDefault="005C6CCE" w:rsidP="005C6CCE">
            <w:pPr>
              <w:spacing w:before="0" w:after="0"/>
              <w:jc w:val="center"/>
              <w:rPr>
                <w:sz w:val="16"/>
                <w:szCs w:val="16"/>
              </w:rPr>
            </w:pPr>
            <w:r w:rsidRPr="005C6CCE">
              <w:rPr>
                <w:sz w:val="16"/>
                <w:szCs w:val="16"/>
              </w:rPr>
              <w:t>GI2</w:t>
            </w:r>
          </w:p>
        </w:tc>
        <w:tc>
          <w:tcPr>
            <w:tcW w:w="555"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p>
        </w:tc>
        <w:tc>
          <w:tcPr>
            <w:tcW w:w="559"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vAlign w:val="center"/>
          </w:tcPr>
          <w:p w:rsidR="005C6CCE" w:rsidRPr="00370E70" w:rsidRDefault="005C6CCE" w:rsidP="005C6CCE">
            <w:pPr>
              <w:spacing w:before="0" w:after="0"/>
              <w:jc w:val="center"/>
              <w:rPr>
                <w:sz w:val="16"/>
                <w:szCs w:val="16"/>
              </w:rPr>
            </w:pP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GI3^</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r w:rsidRPr="00370E70">
              <w:rPr>
                <w:sz w:val="16"/>
                <w:szCs w:val="16"/>
                <w:vertAlign w:val="superscript"/>
              </w:rPr>
              <w:sym w:font="Wingdings 2" w:char="F085"/>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Tully</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Mission</w:t>
                </w:r>
              </w:smartTag>
              <w:r w:rsidRPr="00370E70">
                <w:rPr>
                  <w:sz w:val="16"/>
                  <w:szCs w:val="16"/>
                </w:rPr>
                <w:t xml:space="preserve"> </w:t>
              </w:r>
              <w:smartTag w:uri="urn:schemas-microsoft-com:office:smarttags" w:element="PlaceType">
                <w:r w:rsidRPr="00370E70">
                  <w:rPr>
                    <w:sz w:val="16"/>
                    <w:szCs w:val="16"/>
                  </w:rPr>
                  <w:t>Beach</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LB1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LB2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Dunk</w:t>
                </w:r>
              </w:smartTag>
              <w:r w:rsidRPr="00370E70">
                <w:rPr>
                  <w:sz w:val="16"/>
                  <w:szCs w:val="16"/>
                </w:rPr>
                <w:t xml:space="preserve"> </w:t>
              </w:r>
              <w:smartTag w:uri="urn:schemas-microsoft-com:office:smarttags" w:element="PlaceType">
                <w:r w:rsidRPr="00370E70">
                  <w:rPr>
                    <w:sz w:val="16"/>
                    <w:szCs w:val="16"/>
                  </w:rPr>
                  <w:t>Island</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DI1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noWrap/>
            <w:vAlign w:val="center"/>
          </w:tcPr>
          <w:p w:rsidR="005C6CCE" w:rsidRPr="00370E70" w:rsidRDefault="005C6CCE" w:rsidP="005C6CCE">
            <w:pPr>
              <w:spacing w:before="0" w:after="0"/>
              <w:jc w:val="center"/>
              <w:rPr>
                <w:sz w:val="16"/>
                <w:szCs w:val="16"/>
              </w:rPr>
            </w:pPr>
          </w:p>
        </w:tc>
        <w:tc>
          <w:tcPr>
            <w:tcW w:w="840" w:type="dxa"/>
            <w:noWrap/>
            <w:vAlign w:val="center"/>
          </w:tcPr>
          <w:p w:rsidR="005C6CCE" w:rsidRPr="005C6CCE" w:rsidRDefault="005C6CCE" w:rsidP="005C6CCE">
            <w:pPr>
              <w:spacing w:before="0" w:after="0"/>
              <w:jc w:val="center"/>
              <w:rPr>
                <w:sz w:val="16"/>
                <w:szCs w:val="16"/>
              </w:rPr>
            </w:pPr>
            <w:r w:rsidRPr="005C6CCE">
              <w:rPr>
                <w:sz w:val="16"/>
                <w:szCs w:val="16"/>
              </w:rPr>
              <w:t>DI2</w:t>
            </w:r>
          </w:p>
        </w:tc>
        <w:tc>
          <w:tcPr>
            <w:tcW w:w="555"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vAlign w:val="center"/>
          </w:tcPr>
          <w:p w:rsidR="005C6CCE" w:rsidRPr="00370E70" w:rsidRDefault="005C6CCE" w:rsidP="005C6CCE">
            <w:pPr>
              <w:spacing w:before="0" w:after="0"/>
              <w:jc w:val="center"/>
              <w:rPr>
                <w:sz w:val="16"/>
                <w:szCs w:val="16"/>
              </w:rPr>
            </w:pP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DI3^</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r w:rsidRPr="00370E70">
              <w:rPr>
                <w:sz w:val="16"/>
                <w:szCs w:val="16"/>
                <w:vertAlign w:val="superscript"/>
              </w:rPr>
              <w:sym w:font="Wingdings 2" w:char="F085"/>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Burdekin</w:t>
            </w: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Burdekin</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i/>
                <w:iCs/>
                <w:sz w:val="16"/>
                <w:szCs w:val="16"/>
              </w:rPr>
            </w:pPr>
            <w:r w:rsidRPr="00370E70">
              <w:rPr>
                <w:sz w:val="16"/>
                <w:szCs w:val="16"/>
              </w:rPr>
              <w:t xml:space="preserve">Magnetic </w:t>
            </w:r>
            <w:smartTag w:uri="urn:schemas-microsoft-com:office:smarttags" w:element="place">
              <w:r w:rsidRPr="00370E70">
                <w:rPr>
                  <w:sz w:val="16"/>
                  <w:szCs w:val="16"/>
                </w:rPr>
                <w:t>Island</w:t>
              </w:r>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MI1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noWrap/>
            <w:vAlign w:val="center"/>
          </w:tcPr>
          <w:p w:rsidR="005C6CCE" w:rsidRPr="00370E70" w:rsidRDefault="005C6CCE" w:rsidP="005C6CCE">
            <w:pPr>
              <w:spacing w:before="0" w:after="0"/>
              <w:jc w:val="center"/>
              <w:rPr>
                <w:sz w:val="16"/>
                <w:szCs w:val="16"/>
              </w:rPr>
            </w:pPr>
          </w:p>
        </w:tc>
        <w:tc>
          <w:tcPr>
            <w:tcW w:w="840" w:type="dxa"/>
            <w:noWrap/>
            <w:vAlign w:val="center"/>
          </w:tcPr>
          <w:p w:rsidR="005C6CCE" w:rsidRPr="005C6CCE" w:rsidRDefault="005C6CCE" w:rsidP="005C6CCE">
            <w:pPr>
              <w:spacing w:before="0" w:after="0"/>
              <w:jc w:val="center"/>
              <w:rPr>
                <w:sz w:val="16"/>
                <w:szCs w:val="16"/>
              </w:rPr>
            </w:pPr>
            <w:r w:rsidRPr="005C6CCE">
              <w:rPr>
                <w:sz w:val="16"/>
                <w:szCs w:val="16"/>
              </w:rPr>
              <w:t>MI2</w:t>
            </w:r>
          </w:p>
        </w:tc>
        <w:tc>
          <w:tcPr>
            <w:tcW w:w="555"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vAlign w:val="center"/>
          </w:tcPr>
          <w:p w:rsidR="005C6CCE" w:rsidRPr="00370E70" w:rsidRDefault="005C6CCE" w:rsidP="005C6CCE">
            <w:pPr>
              <w:spacing w:before="0" w:after="0"/>
              <w:jc w:val="center"/>
              <w:rPr>
                <w:sz w:val="16"/>
                <w:szCs w:val="16"/>
              </w:rPr>
            </w:pPr>
          </w:p>
        </w:tc>
        <w:tc>
          <w:tcPr>
            <w:tcW w:w="559"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MI3^</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Townsville</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SB1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BB1</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Bowling Green</w:t>
                </w:r>
              </w:smartTag>
              <w:r w:rsidRPr="00370E70">
                <w:rPr>
                  <w:sz w:val="16"/>
                  <w:szCs w:val="16"/>
                </w:rPr>
                <w:t xml:space="preserve"> </w:t>
              </w:r>
              <w:smartTag w:uri="urn:schemas-microsoft-com:office:smarttags" w:element="PlaceType">
                <w:r w:rsidRPr="00370E70">
                  <w:rPr>
                    <w:sz w:val="16"/>
                    <w:szCs w:val="16"/>
                  </w:rPr>
                  <w:t>Bay</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JR1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JR2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Mackay</w:t>
            </w:r>
          </w:p>
          <w:p w:rsidR="005C6CCE" w:rsidRPr="00370E70" w:rsidRDefault="005C6CCE" w:rsidP="005C6CCE">
            <w:pPr>
              <w:spacing w:before="0" w:after="0"/>
              <w:jc w:val="center"/>
              <w:rPr>
                <w:sz w:val="16"/>
                <w:szCs w:val="16"/>
              </w:rPr>
            </w:pPr>
            <w:r w:rsidRPr="00370E70">
              <w:rPr>
                <w:sz w:val="16"/>
                <w:szCs w:val="16"/>
              </w:rPr>
              <w:t>Whitsunday</w:t>
            </w: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Proserpine</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Whitsundays</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PI2</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PI3</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City">
                <w:r w:rsidRPr="00370E70">
                  <w:rPr>
                    <w:sz w:val="16"/>
                    <w:szCs w:val="16"/>
                  </w:rPr>
                  <w:t>Hamilton</w:t>
                </w:r>
              </w:smartTag>
            </w:smartTag>
            <w:r w:rsidRPr="00370E70">
              <w:rPr>
                <w:sz w:val="16"/>
                <w:szCs w:val="16"/>
              </w:rPr>
              <w:t xml:space="preserve"> Is.</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HM1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HM2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vAlign w:val="center"/>
          </w:tcPr>
          <w:p w:rsidR="005C6CCE" w:rsidRPr="00370E70" w:rsidRDefault="005C6CCE" w:rsidP="005C6CCE">
            <w:pPr>
              <w:spacing w:before="0" w:after="0"/>
              <w:jc w:val="center"/>
              <w:rPr>
                <w:sz w:val="16"/>
                <w:szCs w:val="16"/>
              </w:rPr>
            </w:pPr>
            <w:r w:rsidRPr="00370E70">
              <w:rPr>
                <w:sz w:val="16"/>
                <w:szCs w:val="16"/>
              </w:rPr>
              <w:t>Pioneer</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Mackay</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SI1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SI2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Fitzroy</w:t>
            </w: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Fitzroy</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Shoalwater</w:t>
                </w:r>
              </w:smartTag>
              <w:r w:rsidRPr="00370E70">
                <w:rPr>
                  <w:sz w:val="16"/>
                  <w:szCs w:val="16"/>
                </w:rPr>
                <w:t xml:space="preserve"> </w:t>
              </w:r>
              <w:smartTag w:uri="urn:schemas-microsoft-com:office:smarttags" w:element="PlaceType">
                <w:r w:rsidRPr="00370E70">
                  <w:rPr>
                    <w:sz w:val="16"/>
                    <w:szCs w:val="16"/>
                  </w:rPr>
                  <w:t>Bay</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RC1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WH1</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ign w:val="center"/>
          </w:tcPr>
          <w:p w:rsidR="005C6CCE" w:rsidRPr="00370E70" w:rsidRDefault="005C6CCE" w:rsidP="005C6CCE">
            <w:pPr>
              <w:spacing w:before="0" w:after="0"/>
              <w:jc w:val="center"/>
              <w:rPr>
                <w:sz w:val="16"/>
                <w:szCs w:val="16"/>
              </w:rPr>
            </w:pP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Great Keppel .</w:t>
            </w:r>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GK1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GK2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smartTag w:uri="urn:schemas-microsoft-com:office:smarttags" w:element="place">
              <w:r w:rsidRPr="00370E70">
                <w:rPr>
                  <w:sz w:val="16"/>
                  <w:szCs w:val="16"/>
                </w:rPr>
                <w:t>Boyne</w:t>
              </w:r>
            </w:smartTag>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City">
                <w:r w:rsidRPr="00370E70">
                  <w:rPr>
                    <w:sz w:val="16"/>
                    <w:szCs w:val="16"/>
                  </w:rPr>
                  <w:t>Gladstone</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GH1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r w:rsidRPr="00370E70">
              <w:rPr>
                <w:sz w:val="16"/>
                <w:szCs w:val="16"/>
              </w:rPr>
              <w:t>*</w:t>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GH2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r w:rsidRPr="00370E70">
              <w:rPr>
                <w:sz w:val="16"/>
                <w:szCs w:val="16"/>
              </w:rPr>
              <w:t>*</w:t>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Burnett Mary</w:t>
            </w: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Burnett</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Rodds</w:t>
                </w:r>
              </w:smartTag>
              <w:r w:rsidRPr="00370E70">
                <w:rPr>
                  <w:sz w:val="16"/>
                  <w:szCs w:val="16"/>
                </w:rPr>
                <w:t xml:space="preserve"> </w:t>
              </w:r>
              <w:smartTag w:uri="urn:schemas-microsoft-com:office:smarttags" w:element="PlaceType">
                <w:r w:rsidRPr="00370E70">
                  <w:rPr>
                    <w:sz w:val="16"/>
                    <w:szCs w:val="16"/>
                  </w:rPr>
                  <w:t>Bay</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RD1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tcBorders>
              <w:bottom w:val="single" w:sz="2" w:space="0" w:color="808080"/>
            </w:tcBorders>
            <w:vAlign w:val="center"/>
          </w:tcPr>
          <w:p w:rsidR="005C6CCE" w:rsidRPr="00370E70" w:rsidRDefault="005C6CCE" w:rsidP="005C6CCE">
            <w:pPr>
              <w:spacing w:before="0" w:after="0"/>
              <w:jc w:val="center"/>
              <w:rPr>
                <w:sz w:val="16"/>
                <w:szCs w:val="16"/>
              </w:rPr>
            </w:pPr>
          </w:p>
        </w:tc>
        <w:tc>
          <w:tcPr>
            <w:tcW w:w="1549" w:type="dxa"/>
            <w:vMerge/>
            <w:tcBorders>
              <w:bottom w:val="single" w:sz="2" w:space="0" w:color="808080"/>
            </w:tcBorders>
            <w:noWrap/>
            <w:vAlign w:val="center"/>
          </w:tcPr>
          <w:p w:rsidR="005C6CCE" w:rsidRPr="00370E70" w:rsidRDefault="005C6CCE" w:rsidP="005C6CCE">
            <w:pPr>
              <w:spacing w:before="0" w:after="0"/>
              <w:jc w:val="center"/>
              <w:rPr>
                <w:sz w:val="16"/>
                <w:szCs w:val="16"/>
              </w:rPr>
            </w:pPr>
          </w:p>
        </w:tc>
        <w:tc>
          <w:tcPr>
            <w:tcW w:w="840" w:type="dxa"/>
            <w:tcBorders>
              <w:bottom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RD2</w:t>
            </w:r>
          </w:p>
        </w:tc>
        <w:tc>
          <w:tcPr>
            <w:tcW w:w="555"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2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bottom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noWrap/>
            <w:vAlign w:val="center"/>
          </w:tcPr>
          <w:p w:rsidR="005C6CCE" w:rsidRPr="00370E70" w:rsidRDefault="005C6CCE" w:rsidP="005C6CCE">
            <w:pPr>
              <w:spacing w:before="0" w:after="0"/>
              <w:jc w:val="center"/>
              <w:rPr>
                <w:sz w:val="16"/>
                <w:szCs w:val="16"/>
              </w:rPr>
            </w:pPr>
          </w:p>
        </w:tc>
        <w:tc>
          <w:tcPr>
            <w:tcW w:w="1551" w:type="dxa"/>
            <w:vMerge w:val="restart"/>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Mary</w:t>
            </w:r>
          </w:p>
        </w:tc>
        <w:tc>
          <w:tcPr>
            <w:tcW w:w="1549" w:type="dxa"/>
            <w:vMerge w:val="restart"/>
            <w:tcBorders>
              <w:top w:val="single" w:sz="2" w:space="0" w:color="808080"/>
            </w:tcBorders>
            <w:noWrap/>
            <w:vAlign w:val="center"/>
          </w:tcPr>
          <w:p w:rsidR="005C6CCE" w:rsidRPr="00370E70" w:rsidRDefault="005C6CCE" w:rsidP="005C6CCE">
            <w:pPr>
              <w:spacing w:before="0" w:after="0"/>
              <w:jc w:val="center"/>
              <w:rPr>
                <w:sz w:val="16"/>
                <w:szCs w:val="16"/>
              </w:rPr>
            </w:pPr>
            <w:smartTag w:uri="urn:schemas-microsoft-com:office:smarttags" w:element="place">
              <w:smartTag w:uri="urn:schemas-microsoft-com:office:smarttags" w:element="PlaceName">
                <w:r w:rsidRPr="00370E70">
                  <w:rPr>
                    <w:sz w:val="16"/>
                    <w:szCs w:val="16"/>
                  </w:rPr>
                  <w:t>Hervey</w:t>
                </w:r>
              </w:smartTag>
              <w:r w:rsidRPr="00370E70">
                <w:rPr>
                  <w:sz w:val="16"/>
                  <w:szCs w:val="16"/>
                </w:rPr>
                <w:t xml:space="preserve"> </w:t>
              </w:r>
              <w:smartTag w:uri="urn:schemas-microsoft-com:office:smarttags" w:element="PlaceType">
                <w:r w:rsidRPr="00370E70">
                  <w:rPr>
                    <w:sz w:val="16"/>
                    <w:szCs w:val="16"/>
                  </w:rPr>
                  <w:t>Bay</w:t>
                </w:r>
              </w:smartTag>
            </w:smartTag>
          </w:p>
        </w:tc>
        <w:tc>
          <w:tcPr>
            <w:tcW w:w="840" w:type="dxa"/>
            <w:tcBorders>
              <w:top w:val="single" w:sz="2" w:space="0" w:color="808080"/>
            </w:tcBorders>
            <w:noWrap/>
            <w:vAlign w:val="center"/>
          </w:tcPr>
          <w:p w:rsidR="005C6CCE" w:rsidRPr="005C6CCE" w:rsidRDefault="005C6CCE" w:rsidP="005C6CCE">
            <w:pPr>
              <w:spacing w:before="0" w:after="0"/>
              <w:jc w:val="center"/>
              <w:rPr>
                <w:sz w:val="16"/>
                <w:szCs w:val="16"/>
              </w:rPr>
            </w:pPr>
            <w:r w:rsidRPr="005C6CCE">
              <w:rPr>
                <w:sz w:val="16"/>
                <w:szCs w:val="16"/>
              </w:rPr>
              <w:t>UG1</w:t>
            </w:r>
          </w:p>
        </w:tc>
        <w:tc>
          <w:tcPr>
            <w:tcW w:w="555"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top w:val="single" w:sz="2" w:space="0" w:color="80808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p>
        </w:tc>
        <w:tc>
          <w:tcPr>
            <w:tcW w:w="559" w:type="dxa"/>
            <w:tcBorders>
              <w:top w:val="single" w:sz="2" w:space="0" w:color="80808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top w:val="single" w:sz="2" w:space="0" w:color="808080"/>
            </w:tcBorders>
            <w:vAlign w:val="center"/>
          </w:tcPr>
          <w:p w:rsidR="005C6CCE" w:rsidRPr="00370E70" w:rsidRDefault="005C6CCE" w:rsidP="005C6CCE">
            <w:pPr>
              <w:spacing w:before="0" w:after="0"/>
              <w:jc w:val="center"/>
              <w:rPr>
                <w:sz w:val="16"/>
                <w:szCs w:val="16"/>
              </w:rPr>
            </w:pPr>
          </w:p>
        </w:tc>
      </w:tr>
      <w:tr w:rsidR="005C6CCE" w:rsidRPr="00370E70" w:rsidTr="005C6CCE">
        <w:trPr>
          <w:cantSplit/>
          <w:trHeight w:val="170"/>
          <w:jc w:val="center"/>
        </w:trPr>
        <w:tc>
          <w:tcPr>
            <w:tcW w:w="1418" w:type="dxa"/>
            <w:vMerge/>
            <w:tcBorders>
              <w:bottom w:val="single" w:sz="4" w:space="0" w:color="000000"/>
            </w:tcBorders>
            <w:noWrap/>
            <w:vAlign w:val="center"/>
          </w:tcPr>
          <w:p w:rsidR="005C6CCE" w:rsidRPr="00370E70" w:rsidRDefault="005C6CCE" w:rsidP="005C6CCE">
            <w:pPr>
              <w:spacing w:before="0" w:after="0"/>
              <w:jc w:val="center"/>
              <w:rPr>
                <w:sz w:val="16"/>
                <w:szCs w:val="16"/>
              </w:rPr>
            </w:pPr>
          </w:p>
        </w:tc>
        <w:tc>
          <w:tcPr>
            <w:tcW w:w="1551" w:type="dxa"/>
            <w:vMerge/>
            <w:tcBorders>
              <w:bottom w:val="single" w:sz="4" w:space="0" w:color="000000"/>
            </w:tcBorders>
            <w:noWrap/>
            <w:vAlign w:val="center"/>
          </w:tcPr>
          <w:p w:rsidR="005C6CCE" w:rsidRPr="00370E70" w:rsidRDefault="005C6CCE" w:rsidP="005C6CCE">
            <w:pPr>
              <w:spacing w:before="0" w:after="0"/>
              <w:jc w:val="center"/>
              <w:rPr>
                <w:sz w:val="16"/>
                <w:szCs w:val="16"/>
              </w:rPr>
            </w:pPr>
          </w:p>
        </w:tc>
        <w:tc>
          <w:tcPr>
            <w:tcW w:w="1549" w:type="dxa"/>
            <w:vMerge/>
            <w:tcBorders>
              <w:bottom w:val="single" w:sz="4" w:space="0" w:color="000000"/>
            </w:tcBorders>
            <w:noWrap/>
            <w:vAlign w:val="center"/>
          </w:tcPr>
          <w:p w:rsidR="005C6CCE" w:rsidRPr="00370E70" w:rsidRDefault="005C6CCE" w:rsidP="005C6CCE">
            <w:pPr>
              <w:spacing w:before="0" w:after="0"/>
              <w:jc w:val="center"/>
              <w:rPr>
                <w:sz w:val="16"/>
                <w:szCs w:val="16"/>
              </w:rPr>
            </w:pPr>
          </w:p>
        </w:tc>
        <w:tc>
          <w:tcPr>
            <w:tcW w:w="840" w:type="dxa"/>
            <w:tcBorders>
              <w:bottom w:val="single" w:sz="4" w:space="0" w:color="000000"/>
            </w:tcBorders>
            <w:noWrap/>
            <w:vAlign w:val="center"/>
          </w:tcPr>
          <w:p w:rsidR="005C6CCE" w:rsidRPr="005C6CCE" w:rsidRDefault="005C6CCE" w:rsidP="005C6CCE">
            <w:pPr>
              <w:spacing w:before="0" w:after="0"/>
              <w:jc w:val="center"/>
              <w:rPr>
                <w:sz w:val="16"/>
                <w:szCs w:val="16"/>
              </w:rPr>
            </w:pPr>
            <w:r w:rsidRPr="005C6CCE">
              <w:rPr>
                <w:sz w:val="16"/>
                <w:szCs w:val="16"/>
              </w:rPr>
              <w:t>UG2</w:t>
            </w:r>
          </w:p>
        </w:tc>
        <w:tc>
          <w:tcPr>
            <w:tcW w:w="555"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43" w:type="dxa"/>
            <w:tcBorders>
              <w:bottom w:val="single" w:sz="4" w:space="0" w:color="000000"/>
            </w:tcBorders>
            <w:noWrap/>
            <w:vAlign w:val="center"/>
          </w:tcPr>
          <w:p w:rsidR="005C6CCE" w:rsidRPr="00370E70" w:rsidRDefault="005C6CCE" w:rsidP="005C6CCE">
            <w:pPr>
              <w:spacing w:before="0" w:after="0"/>
              <w:jc w:val="center"/>
              <w:rPr>
                <w:sz w:val="16"/>
                <w:szCs w:val="16"/>
              </w:rPr>
            </w:pPr>
            <w:r w:rsidRPr="00370E70">
              <w:rPr>
                <w:sz w:val="16"/>
                <w:szCs w:val="16"/>
              </w:rPr>
              <w:t>30</w:t>
            </w:r>
          </w:p>
        </w:tc>
        <w:tc>
          <w:tcPr>
            <w:tcW w:w="540" w:type="dxa"/>
            <w:tcBorders>
              <w:bottom w:val="single" w:sz="4" w:space="0" w:color="000000"/>
            </w:tcBorders>
            <w:noWrap/>
            <w:vAlign w:val="center"/>
          </w:tcPr>
          <w:p w:rsidR="005C6CCE" w:rsidRPr="00370E70" w:rsidRDefault="005C6CCE" w:rsidP="005C6CCE">
            <w:pPr>
              <w:spacing w:before="0" w:after="0"/>
              <w:jc w:val="center"/>
              <w:rPr>
                <w:sz w:val="16"/>
                <w:szCs w:val="16"/>
              </w:rPr>
            </w:pPr>
            <w:r w:rsidRPr="00370E70">
              <w:rPr>
                <w:sz w:val="16"/>
                <w:szCs w:val="16"/>
              </w:rPr>
              <w:t>3</w:t>
            </w:r>
          </w:p>
        </w:tc>
        <w:tc>
          <w:tcPr>
            <w:tcW w:w="536"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0"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2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t>33</w:t>
            </w: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t>30</w:t>
            </w: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t>15*</w:t>
            </w: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p>
        </w:tc>
        <w:tc>
          <w:tcPr>
            <w:tcW w:w="559"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c>
          <w:tcPr>
            <w:tcW w:w="546" w:type="dxa"/>
            <w:tcBorders>
              <w:bottom w:val="single" w:sz="4" w:space="0" w:color="000000"/>
            </w:tcBorders>
            <w:vAlign w:val="center"/>
          </w:tcPr>
          <w:p w:rsidR="005C6CCE" w:rsidRPr="00370E70" w:rsidRDefault="005C6CCE" w:rsidP="005C6CCE">
            <w:pPr>
              <w:spacing w:before="0" w:after="0"/>
              <w:jc w:val="center"/>
              <w:rPr>
                <w:sz w:val="16"/>
                <w:szCs w:val="16"/>
              </w:rPr>
            </w:pPr>
            <w:r w:rsidRPr="00370E70">
              <w:rPr>
                <w:sz w:val="16"/>
                <w:szCs w:val="16"/>
              </w:rPr>
              <w:sym w:font="Wingdings" w:char="F0FC"/>
            </w:r>
          </w:p>
        </w:tc>
      </w:tr>
      <w:bookmarkEnd w:id="56"/>
    </w:tbl>
    <w:p w:rsidR="005132EF" w:rsidRPr="00370E70" w:rsidRDefault="005132EF" w:rsidP="00034AD4">
      <w:pPr>
        <w:rPr>
          <w:color w:val="000000"/>
          <w:sz w:val="20"/>
          <w:szCs w:val="20"/>
        </w:rPr>
        <w:sectPr w:rsidR="005132EF" w:rsidRPr="00370E70" w:rsidSect="005C6CCE">
          <w:headerReference w:type="default" r:id="rId22"/>
          <w:pgSz w:w="16838" w:h="11906" w:orient="landscape"/>
          <w:pgMar w:top="719" w:right="1440" w:bottom="993" w:left="1440" w:header="567" w:footer="709" w:gutter="0"/>
          <w:cols w:space="708"/>
          <w:docGrid w:linePitch="360"/>
        </w:sectPr>
      </w:pPr>
    </w:p>
    <w:p w:rsidR="0033652B" w:rsidRPr="00370E70" w:rsidRDefault="005132EF" w:rsidP="0033652B">
      <w:pPr>
        <w:pStyle w:val="Caption"/>
        <w:keepNext/>
        <w:jc w:val="center"/>
        <w:rPr>
          <w:i/>
          <w:vanish/>
          <w:szCs w:val="22"/>
          <w:lang w:val="en-AU"/>
          <w:specVanish/>
        </w:rPr>
      </w:pPr>
      <w:bookmarkStart w:id="57" w:name="_Ref318377132"/>
      <w:bookmarkStart w:id="58" w:name="_Toc384196541"/>
      <w:bookmarkStart w:id="59" w:name="_Toc176158941"/>
      <w:bookmarkStart w:id="60" w:name="_Toc175991044"/>
      <w:r w:rsidRPr="00370E70">
        <w:rP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5</w:t>
      </w:r>
      <w:r w:rsidRPr="00370E70">
        <w:rPr>
          <w:lang w:val="en-AU"/>
        </w:rPr>
        <w:fldChar w:fldCharType="end"/>
      </w:r>
      <w:bookmarkEnd w:id="57"/>
      <w:r w:rsidRPr="00370E70">
        <w:rPr>
          <w:lang w:val="en-AU"/>
        </w:rPr>
        <w:t>.</w:t>
      </w:r>
      <w:r w:rsidR="0033652B" w:rsidRPr="00370E70">
        <w:rPr>
          <w:lang w:val="en-AU"/>
        </w:rPr>
        <w:t xml:space="preserve"> </w:t>
      </w:r>
      <w:r w:rsidR="0033652B" w:rsidRPr="00370E70">
        <w:rPr>
          <w:i/>
          <w:lang w:val="en-AU"/>
        </w:rPr>
        <w:t>Presence of foundation (</w:t>
      </w:r>
      <w:r w:rsidR="0033652B" w:rsidRPr="00370E70">
        <w:rPr>
          <w:lang w:val="en-AU"/>
        </w:rPr>
        <w:sym w:font="Wingdings" w:char="F06E"/>
      </w:r>
      <w:r w:rsidRPr="00370E70">
        <w:rPr>
          <w:i/>
          <w:lang w:val="en-AU"/>
        </w:rPr>
        <w:t>) and other (□) seagrass species in monitoring locations sampled in Reef Rescue MMP for plant tissue and reproductive health</w:t>
      </w:r>
      <w:bookmarkEnd w:id="58"/>
    </w:p>
    <w:p w:rsidR="0033652B" w:rsidRPr="00370E70" w:rsidRDefault="005132EF" w:rsidP="0033652B">
      <w:pPr>
        <w:pStyle w:val="Caption"/>
        <w:keepNext/>
        <w:jc w:val="center"/>
        <w:rPr>
          <w:i/>
          <w:lang w:val="en-AU"/>
        </w:rPr>
      </w:pPr>
      <w:r w:rsidRPr="00370E70">
        <w:rPr>
          <w:i/>
          <w:lang w:val="en-AU"/>
        </w:rPr>
        <w:t>.</w:t>
      </w:r>
      <w:bookmarkEnd w:id="59"/>
      <w:r w:rsidRPr="00370E70">
        <w:rPr>
          <w:i/>
          <w:lang w:val="en-AU"/>
        </w:rPr>
        <w:t xml:space="preserve"> Habitat type is classified as Reef, Coast, and Estuary following the classification of Carruthers et al. (2002).</w:t>
      </w:r>
    </w:p>
    <w:tbl>
      <w:tblPr>
        <w:tblW w:w="998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559"/>
        <w:gridCol w:w="1121"/>
        <w:gridCol w:w="1637"/>
        <w:gridCol w:w="883"/>
        <w:gridCol w:w="893"/>
        <w:gridCol w:w="487"/>
        <w:gridCol w:w="487"/>
        <w:gridCol w:w="487"/>
        <w:gridCol w:w="487"/>
        <w:gridCol w:w="487"/>
        <w:gridCol w:w="487"/>
        <w:gridCol w:w="487"/>
        <w:gridCol w:w="487"/>
      </w:tblGrid>
      <w:tr w:rsidR="005132EF" w:rsidRPr="00370E70" w:rsidTr="00BC26AE">
        <w:trPr>
          <w:cantSplit/>
          <w:trHeight w:val="1518"/>
          <w:jc w:val="center"/>
        </w:trPr>
        <w:tc>
          <w:tcPr>
            <w:tcW w:w="1559" w:type="dxa"/>
            <w:shd w:val="clear" w:color="auto" w:fill="E6E6E6"/>
            <w:noWrap/>
            <w:vAlign w:val="center"/>
          </w:tcPr>
          <w:p w:rsidR="005132EF" w:rsidRPr="00370E70" w:rsidRDefault="005132EF" w:rsidP="00034AD4">
            <w:pPr>
              <w:spacing w:before="0" w:after="0"/>
              <w:jc w:val="center"/>
              <w:rPr>
                <w:rFonts w:cs="Arial"/>
                <w:b/>
                <w:bCs/>
                <w:sz w:val="20"/>
                <w:szCs w:val="20"/>
              </w:rPr>
            </w:pPr>
            <w:r w:rsidRPr="00370E70">
              <w:rPr>
                <w:rFonts w:cs="Arial"/>
                <w:b/>
                <w:bCs/>
                <w:sz w:val="20"/>
                <w:szCs w:val="20"/>
              </w:rPr>
              <w:t>NRM Region</w:t>
            </w:r>
          </w:p>
        </w:tc>
        <w:tc>
          <w:tcPr>
            <w:tcW w:w="1121" w:type="dxa"/>
            <w:shd w:val="clear" w:color="auto" w:fill="E6E6E6"/>
            <w:vAlign w:val="center"/>
          </w:tcPr>
          <w:p w:rsidR="005132EF" w:rsidRPr="00370E70" w:rsidRDefault="005132EF" w:rsidP="00034AD4">
            <w:pPr>
              <w:spacing w:before="0" w:after="0"/>
              <w:jc w:val="center"/>
              <w:rPr>
                <w:rFonts w:cs="Arial"/>
                <w:b/>
                <w:bCs/>
                <w:sz w:val="20"/>
                <w:szCs w:val="20"/>
              </w:rPr>
            </w:pPr>
            <w:r w:rsidRPr="00370E70">
              <w:rPr>
                <w:rFonts w:cs="Arial"/>
                <w:b/>
                <w:bCs/>
                <w:sz w:val="20"/>
                <w:szCs w:val="20"/>
              </w:rPr>
              <w:t>Catchment</w:t>
            </w:r>
          </w:p>
        </w:tc>
        <w:tc>
          <w:tcPr>
            <w:tcW w:w="1637" w:type="dxa"/>
            <w:shd w:val="clear" w:color="auto" w:fill="E6E6E6"/>
            <w:vAlign w:val="center"/>
          </w:tcPr>
          <w:p w:rsidR="005132EF" w:rsidRPr="00370E70" w:rsidRDefault="005132EF" w:rsidP="00034AD4">
            <w:pPr>
              <w:spacing w:before="0" w:after="0"/>
              <w:jc w:val="center"/>
              <w:rPr>
                <w:rFonts w:cs="Arial"/>
                <w:b/>
                <w:bCs/>
                <w:sz w:val="20"/>
                <w:szCs w:val="20"/>
              </w:rPr>
            </w:pPr>
            <w:r w:rsidRPr="00370E70">
              <w:rPr>
                <w:rFonts w:cs="Arial"/>
                <w:b/>
                <w:bCs/>
                <w:sz w:val="20"/>
                <w:szCs w:val="20"/>
              </w:rPr>
              <w:t>Seagrass</w:t>
            </w:r>
          </w:p>
          <w:p w:rsidR="005132EF" w:rsidRPr="00370E70" w:rsidRDefault="005132EF" w:rsidP="00034AD4">
            <w:pPr>
              <w:spacing w:before="0" w:after="0"/>
              <w:jc w:val="center"/>
              <w:rPr>
                <w:rFonts w:cs="Arial"/>
                <w:b/>
                <w:bCs/>
                <w:sz w:val="20"/>
                <w:szCs w:val="20"/>
              </w:rPr>
            </w:pPr>
            <w:r w:rsidRPr="00370E70">
              <w:rPr>
                <w:rFonts w:cs="Arial"/>
                <w:b/>
                <w:bCs/>
                <w:sz w:val="20"/>
                <w:szCs w:val="20"/>
              </w:rPr>
              <w:t>Monitoring</w:t>
            </w:r>
          </w:p>
          <w:p w:rsidR="005132EF" w:rsidRPr="00370E70" w:rsidRDefault="005132EF" w:rsidP="00034AD4">
            <w:pPr>
              <w:spacing w:before="0" w:after="0"/>
              <w:jc w:val="center"/>
              <w:rPr>
                <w:rFonts w:cs="Arial"/>
                <w:b/>
                <w:bCs/>
                <w:sz w:val="20"/>
                <w:szCs w:val="20"/>
              </w:rPr>
            </w:pPr>
            <w:r w:rsidRPr="00370E70">
              <w:rPr>
                <w:rFonts w:cs="Arial"/>
                <w:b/>
                <w:bCs/>
                <w:sz w:val="20"/>
                <w:szCs w:val="20"/>
              </w:rPr>
              <w:t>location</w:t>
            </w:r>
          </w:p>
        </w:tc>
        <w:tc>
          <w:tcPr>
            <w:tcW w:w="1776" w:type="dxa"/>
            <w:gridSpan w:val="2"/>
            <w:shd w:val="clear" w:color="auto" w:fill="E6E6E6"/>
            <w:vAlign w:val="center"/>
          </w:tcPr>
          <w:p w:rsidR="005132EF" w:rsidRPr="00370E70" w:rsidRDefault="005132EF" w:rsidP="00152601">
            <w:pPr>
              <w:spacing w:before="0" w:after="0"/>
              <w:jc w:val="center"/>
              <w:rPr>
                <w:rFonts w:cs="Arial"/>
                <w:b/>
                <w:i/>
                <w:sz w:val="20"/>
                <w:szCs w:val="20"/>
              </w:rPr>
            </w:pPr>
            <w:r w:rsidRPr="00370E70">
              <w:rPr>
                <w:rFonts w:cs="Arial"/>
                <w:b/>
                <w:sz w:val="20"/>
                <w:szCs w:val="20"/>
              </w:rPr>
              <w:t>Habitat type</w:t>
            </w:r>
          </w:p>
        </w:tc>
        <w:tc>
          <w:tcPr>
            <w:tcW w:w="487" w:type="dxa"/>
            <w:shd w:val="clear" w:color="auto" w:fill="E6E6E6"/>
            <w:textDirection w:val="btLr"/>
          </w:tcPr>
          <w:p w:rsidR="005132EF" w:rsidRPr="00370E70" w:rsidRDefault="005132EF" w:rsidP="00034AD4">
            <w:pPr>
              <w:spacing w:before="0" w:after="0"/>
              <w:ind w:left="113" w:right="113"/>
              <w:rPr>
                <w:rFonts w:cs="Arial"/>
                <w:b/>
                <w:i/>
                <w:sz w:val="20"/>
                <w:szCs w:val="20"/>
              </w:rPr>
            </w:pPr>
            <w:r w:rsidRPr="00370E70">
              <w:rPr>
                <w:rFonts w:cs="Arial"/>
                <w:b/>
                <w:i/>
                <w:sz w:val="20"/>
                <w:szCs w:val="20"/>
              </w:rPr>
              <w:t>C. rotundata</w:t>
            </w:r>
          </w:p>
        </w:tc>
        <w:tc>
          <w:tcPr>
            <w:tcW w:w="487" w:type="dxa"/>
            <w:shd w:val="clear" w:color="auto" w:fill="E6E6E6"/>
            <w:textDirection w:val="btLr"/>
          </w:tcPr>
          <w:p w:rsidR="005132EF" w:rsidRPr="00370E70" w:rsidRDefault="005132EF" w:rsidP="00034AD4">
            <w:pPr>
              <w:spacing w:before="0" w:after="0"/>
              <w:ind w:left="113" w:right="113"/>
              <w:rPr>
                <w:rFonts w:cs="Arial"/>
                <w:b/>
                <w:i/>
                <w:sz w:val="20"/>
                <w:szCs w:val="20"/>
              </w:rPr>
            </w:pPr>
            <w:r w:rsidRPr="00370E70">
              <w:rPr>
                <w:rFonts w:cs="Arial"/>
                <w:b/>
                <w:i/>
                <w:sz w:val="20"/>
                <w:szCs w:val="20"/>
              </w:rPr>
              <w:t>C. serrulata</w:t>
            </w:r>
          </w:p>
        </w:tc>
        <w:tc>
          <w:tcPr>
            <w:tcW w:w="487" w:type="dxa"/>
            <w:shd w:val="clear" w:color="auto" w:fill="E6E6E6"/>
            <w:textDirection w:val="btLr"/>
          </w:tcPr>
          <w:p w:rsidR="005132EF" w:rsidRPr="00370E70" w:rsidRDefault="005132EF" w:rsidP="00034AD4">
            <w:pPr>
              <w:spacing w:before="0" w:after="0"/>
              <w:ind w:left="113" w:right="113"/>
              <w:rPr>
                <w:rFonts w:cs="Arial"/>
                <w:b/>
                <w:i/>
                <w:sz w:val="20"/>
                <w:szCs w:val="20"/>
              </w:rPr>
            </w:pPr>
            <w:r w:rsidRPr="00370E70">
              <w:rPr>
                <w:rFonts w:cs="Arial"/>
                <w:b/>
                <w:i/>
                <w:sz w:val="20"/>
                <w:szCs w:val="20"/>
              </w:rPr>
              <w:t>H. decipiens</w:t>
            </w:r>
          </w:p>
        </w:tc>
        <w:tc>
          <w:tcPr>
            <w:tcW w:w="487" w:type="dxa"/>
            <w:shd w:val="clear" w:color="auto" w:fill="E6E6E6"/>
            <w:noWrap/>
            <w:textDirection w:val="btLr"/>
            <w:vAlign w:val="center"/>
          </w:tcPr>
          <w:p w:rsidR="005132EF" w:rsidRPr="00370E70" w:rsidRDefault="005132EF" w:rsidP="00034AD4">
            <w:pPr>
              <w:spacing w:before="0" w:after="0"/>
              <w:ind w:left="113" w:right="113"/>
              <w:rPr>
                <w:rFonts w:cs="Arial"/>
                <w:b/>
                <w:i/>
                <w:sz w:val="20"/>
                <w:szCs w:val="20"/>
              </w:rPr>
            </w:pPr>
            <w:r w:rsidRPr="00370E70">
              <w:rPr>
                <w:rFonts w:cs="Arial"/>
                <w:b/>
                <w:i/>
                <w:sz w:val="20"/>
                <w:szCs w:val="20"/>
              </w:rPr>
              <w:t>H. ovalis</w:t>
            </w:r>
          </w:p>
        </w:tc>
        <w:tc>
          <w:tcPr>
            <w:tcW w:w="487" w:type="dxa"/>
            <w:shd w:val="clear" w:color="auto" w:fill="E6E6E6"/>
            <w:textDirection w:val="btLr"/>
            <w:vAlign w:val="center"/>
          </w:tcPr>
          <w:p w:rsidR="005132EF" w:rsidRPr="00370E70" w:rsidRDefault="005132EF" w:rsidP="00034AD4">
            <w:pPr>
              <w:spacing w:before="0" w:after="0"/>
              <w:ind w:left="113" w:right="113"/>
              <w:rPr>
                <w:rFonts w:cs="Arial"/>
                <w:b/>
                <w:i/>
                <w:sz w:val="20"/>
                <w:szCs w:val="20"/>
              </w:rPr>
            </w:pPr>
            <w:r w:rsidRPr="00370E70">
              <w:rPr>
                <w:rFonts w:cs="Arial"/>
                <w:b/>
                <w:i/>
                <w:sz w:val="20"/>
                <w:szCs w:val="20"/>
              </w:rPr>
              <w:t>H. uninervis</w:t>
            </w:r>
          </w:p>
        </w:tc>
        <w:tc>
          <w:tcPr>
            <w:tcW w:w="487" w:type="dxa"/>
            <w:shd w:val="clear" w:color="auto" w:fill="E6E6E6"/>
            <w:textDirection w:val="btLr"/>
          </w:tcPr>
          <w:p w:rsidR="005132EF" w:rsidRPr="00370E70" w:rsidRDefault="005132EF" w:rsidP="00034AD4">
            <w:pPr>
              <w:spacing w:before="0" w:after="0"/>
              <w:ind w:left="113" w:right="113"/>
              <w:rPr>
                <w:rFonts w:cs="Arial"/>
                <w:b/>
                <w:i/>
                <w:sz w:val="20"/>
                <w:szCs w:val="20"/>
              </w:rPr>
            </w:pPr>
            <w:r w:rsidRPr="00370E70">
              <w:rPr>
                <w:rFonts w:cs="Arial"/>
                <w:b/>
                <w:i/>
                <w:sz w:val="20"/>
                <w:szCs w:val="20"/>
              </w:rPr>
              <w:t>S. isoetifoilium</w:t>
            </w:r>
          </w:p>
        </w:tc>
        <w:tc>
          <w:tcPr>
            <w:tcW w:w="487" w:type="dxa"/>
            <w:shd w:val="clear" w:color="auto" w:fill="E6E6E6"/>
            <w:textDirection w:val="btLr"/>
          </w:tcPr>
          <w:p w:rsidR="005132EF" w:rsidRPr="00370E70" w:rsidRDefault="005132EF" w:rsidP="00034AD4">
            <w:pPr>
              <w:spacing w:before="0" w:after="0"/>
              <w:ind w:left="113" w:right="113"/>
              <w:rPr>
                <w:rFonts w:cs="Arial"/>
                <w:b/>
                <w:i/>
                <w:sz w:val="20"/>
                <w:szCs w:val="20"/>
              </w:rPr>
            </w:pPr>
            <w:r w:rsidRPr="00370E70">
              <w:rPr>
                <w:rFonts w:cs="Arial"/>
                <w:b/>
                <w:i/>
                <w:sz w:val="20"/>
                <w:szCs w:val="20"/>
              </w:rPr>
              <w:t>T. hemprichii</w:t>
            </w:r>
          </w:p>
        </w:tc>
        <w:tc>
          <w:tcPr>
            <w:tcW w:w="487" w:type="dxa"/>
            <w:shd w:val="clear" w:color="auto" w:fill="E6E6E6"/>
            <w:textDirection w:val="btLr"/>
            <w:vAlign w:val="center"/>
          </w:tcPr>
          <w:p w:rsidR="005132EF" w:rsidRPr="00370E70" w:rsidRDefault="005132EF" w:rsidP="00034AD4">
            <w:pPr>
              <w:spacing w:before="0" w:after="0"/>
              <w:ind w:left="113" w:right="113"/>
              <w:rPr>
                <w:rFonts w:cs="Arial"/>
                <w:b/>
                <w:i/>
                <w:sz w:val="20"/>
                <w:szCs w:val="20"/>
              </w:rPr>
            </w:pPr>
            <w:r w:rsidRPr="00370E70">
              <w:rPr>
                <w:rFonts w:cs="Arial"/>
                <w:b/>
                <w:i/>
                <w:sz w:val="20"/>
                <w:szCs w:val="20"/>
              </w:rPr>
              <w:t xml:space="preserve">Z. </w:t>
            </w:r>
            <w:r w:rsidR="00FB024F" w:rsidRPr="00370E70">
              <w:rPr>
                <w:rFonts w:cs="Arial"/>
                <w:b/>
                <w:i/>
                <w:sz w:val="20"/>
                <w:szCs w:val="20"/>
              </w:rPr>
              <w:t>muelleri</w:t>
            </w:r>
          </w:p>
        </w:tc>
      </w:tr>
      <w:tr w:rsidR="005132EF" w:rsidRPr="00370E70" w:rsidTr="00BC26AE">
        <w:trPr>
          <w:trHeight w:val="385"/>
          <w:jc w:val="center"/>
        </w:trPr>
        <w:tc>
          <w:tcPr>
            <w:tcW w:w="1559" w:type="dxa"/>
            <w:vMerge w:val="restart"/>
            <w:noWrap/>
            <w:vAlign w:val="center"/>
          </w:tcPr>
          <w:p w:rsidR="005132EF" w:rsidRPr="00370E70" w:rsidRDefault="005132EF" w:rsidP="00034AD4">
            <w:pPr>
              <w:jc w:val="center"/>
              <w:rPr>
                <w:sz w:val="18"/>
                <w:szCs w:val="18"/>
              </w:rPr>
            </w:pPr>
            <w:smartTag w:uri="urn:schemas-microsoft-com:office:smarttags" w:element="place">
              <w:r w:rsidRPr="00370E70">
                <w:rPr>
                  <w:sz w:val="18"/>
                  <w:szCs w:val="18"/>
                </w:rPr>
                <w:t>Cape York</w:t>
              </w:r>
            </w:smartTag>
          </w:p>
        </w:tc>
        <w:tc>
          <w:tcPr>
            <w:tcW w:w="1121" w:type="dxa"/>
            <w:vMerge w:val="restart"/>
            <w:vAlign w:val="center"/>
          </w:tcPr>
          <w:p w:rsidR="005132EF" w:rsidRPr="00370E70" w:rsidRDefault="005132EF" w:rsidP="00034AD4">
            <w:pPr>
              <w:spacing w:before="0" w:after="0"/>
              <w:jc w:val="center"/>
              <w:rPr>
                <w:sz w:val="18"/>
                <w:szCs w:val="18"/>
              </w:rPr>
            </w:pPr>
          </w:p>
        </w:tc>
        <w:tc>
          <w:tcPr>
            <w:tcW w:w="1637" w:type="dxa"/>
            <w:vAlign w:val="center"/>
          </w:tcPr>
          <w:p w:rsidR="005132EF" w:rsidRPr="00370E70" w:rsidRDefault="005132EF"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Shelburne</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vAlign w:val="center"/>
          </w:tcPr>
          <w:p w:rsidR="005132EF" w:rsidRPr="00370E70" w:rsidRDefault="005132EF" w:rsidP="00034AD4">
            <w:pPr>
              <w:spacing w:before="0" w:after="0"/>
              <w:jc w:val="center"/>
              <w:rPr>
                <w:sz w:val="18"/>
                <w:szCs w:val="18"/>
              </w:rPr>
            </w:pPr>
            <w:r w:rsidRPr="00370E70">
              <w:rPr>
                <w:sz w:val="18"/>
                <w:szCs w:val="18"/>
              </w:rPr>
              <w:t>Coast</w:t>
            </w:r>
          </w:p>
        </w:tc>
        <w:tc>
          <w:tcPr>
            <w:tcW w:w="893" w:type="dxa"/>
            <w:vAlign w:val="center"/>
          </w:tcPr>
          <w:p w:rsidR="005132EF" w:rsidRPr="00370E70" w:rsidRDefault="005132EF" w:rsidP="00C716D1">
            <w:pPr>
              <w:spacing w:before="0" w:after="0"/>
              <w:jc w:val="center"/>
              <w:rPr>
                <w:sz w:val="18"/>
                <w:szCs w:val="18"/>
              </w:rPr>
            </w:pPr>
            <w:r w:rsidRPr="00370E70">
              <w:rPr>
                <w:sz w:val="18"/>
                <w:szCs w:val="18"/>
              </w:rPr>
              <w:t>intertidal</w:t>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9E3BAA" w:rsidP="002345EA">
            <w:pPr>
              <w:spacing w:before="0" w:after="0"/>
              <w:jc w:val="center"/>
              <w:rPr>
                <w:sz w:val="18"/>
                <w:szCs w:val="18"/>
              </w:rPr>
            </w:pPr>
            <w:r w:rsidRPr="00370E70">
              <w:rPr>
                <w:sz w:val="18"/>
                <w:szCs w:val="18"/>
              </w:rPr>
              <w:sym w:font="Wingdings" w:char="F0A8"/>
            </w: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930DB3">
            <w:pPr>
              <w:spacing w:before="0" w:after="0"/>
              <w:jc w:val="center"/>
            </w:pPr>
          </w:p>
        </w:tc>
        <w:tc>
          <w:tcPr>
            <w:tcW w:w="487" w:type="dxa"/>
            <w:noWrap/>
            <w:vAlign w:val="center"/>
          </w:tcPr>
          <w:p w:rsidR="005132EF" w:rsidRPr="00370E70" w:rsidRDefault="005132EF" w:rsidP="00930DB3">
            <w:pPr>
              <w:spacing w:before="0" w:after="0"/>
              <w:jc w:val="center"/>
            </w:pPr>
          </w:p>
        </w:tc>
      </w:tr>
      <w:tr w:rsidR="005132EF" w:rsidRPr="00370E70" w:rsidTr="00BC26AE">
        <w:trPr>
          <w:trHeight w:val="385"/>
          <w:jc w:val="center"/>
        </w:trPr>
        <w:tc>
          <w:tcPr>
            <w:tcW w:w="1559" w:type="dxa"/>
            <w:vMerge/>
            <w:noWrap/>
            <w:vAlign w:val="center"/>
          </w:tcPr>
          <w:p w:rsidR="005132EF" w:rsidRPr="00370E70" w:rsidRDefault="005132EF" w:rsidP="00034AD4">
            <w:pPr>
              <w:jc w:val="center"/>
              <w:rPr>
                <w:sz w:val="18"/>
                <w:szCs w:val="18"/>
              </w:rPr>
            </w:pPr>
          </w:p>
        </w:tc>
        <w:tc>
          <w:tcPr>
            <w:tcW w:w="1121" w:type="dxa"/>
            <w:vMerge/>
            <w:vAlign w:val="center"/>
          </w:tcPr>
          <w:p w:rsidR="005132EF" w:rsidRPr="00370E70" w:rsidRDefault="005132EF" w:rsidP="00034AD4">
            <w:pPr>
              <w:spacing w:before="0" w:after="0"/>
              <w:jc w:val="center"/>
              <w:rPr>
                <w:sz w:val="18"/>
                <w:szCs w:val="18"/>
              </w:rPr>
            </w:pPr>
          </w:p>
        </w:tc>
        <w:tc>
          <w:tcPr>
            <w:tcW w:w="1637" w:type="dxa"/>
            <w:vAlign w:val="center"/>
          </w:tcPr>
          <w:p w:rsidR="005132EF" w:rsidRPr="00370E70" w:rsidRDefault="005132EF" w:rsidP="00034AD4">
            <w:pPr>
              <w:spacing w:before="0" w:after="0"/>
              <w:jc w:val="center"/>
              <w:rPr>
                <w:sz w:val="18"/>
                <w:szCs w:val="18"/>
              </w:rPr>
            </w:pPr>
            <w:r w:rsidRPr="00370E70">
              <w:rPr>
                <w:sz w:val="18"/>
                <w:szCs w:val="18"/>
              </w:rPr>
              <w:t>Piper Reef</w:t>
            </w:r>
          </w:p>
        </w:tc>
        <w:tc>
          <w:tcPr>
            <w:tcW w:w="883" w:type="dxa"/>
            <w:vAlign w:val="center"/>
          </w:tcPr>
          <w:p w:rsidR="005132EF" w:rsidRPr="00370E70" w:rsidRDefault="005132EF" w:rsidP="00034AD4">
            <w:pPr>
              <w:spacing w:before="0" w:after="0"/>
              <w:jc w:val="center"/>
              <w:rPr>
                <w:sz w:val="18"/>
                <w:szCs w:val="18"/>
              </w:rPr>
            </w:pPr>
            <w:r w:rsidRPr="00370E70">
              <w:rPr>
                <w:sz w:val="18"/>
                <w:szCs w:val="18"/>
              </w:rPr>
              <w:t>Reef</w:t>
            </w:r>
          </w:p>
        </w:tc>
        <w:tc>
          <w:tcPr>
            <w:tcW w:w="893" w:type="dxa"/>
            <w:vAlign w:val="center"/>
          </w:tcPr>
          <w:p w:rsidR="005132EF" w:rsidRPr="00370E70" w:rsidRDefault="005132EF" w:rsidP="00C716D1">
            <w:pPr>
              <w:spacing w:before="0" w:after="0"/>
              <w:jc w:val="center"/>
              <w:rPr>
                <w:sz w:val="18"/>
                <w:szCs w:val="18"/>
              </w:rPr>
            </w:pPr>
            <w:r w:rsidRPr="00370E70">
              <w:rPr>
                <w:sz w:val="18"/>
                <w:szCs w:val="18"/>
              </w:rPr>
              <w:t>intertidal</w:t>
            </w: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noWrap/>
            <w:vAlign w:val="center"/>
          </w:tcPr>
          <w:p w:rsidR="005132EF" w:rsidRPr="00370E70" w:rsidRDefault="005132EF" w:rsidP="00930DB3">
            <w:pPr>
              <w:spacing w:before="0" w:after="0"/>
              <w:jc w:val="center"/>
            </w:pPr>
          </w:p>
        </w:tc>
      </w:tr>
      <w:tr w:rsidR="005132EF" w:rsidRPr="00370E70" w:rsidTr="00BC26AE">
        <w:trPr>
          <w:trHeight w:val="385"/>
          <w:jc w:val="center"/>
        </w:trPr>
        <w:tc>
          <w:tcPr>
            <w:tcW w:w="1559" w:type="dxa"/>
            <w:vMerge/>
            <w:noWrap/>
            <w:vAlign w:val="center"/>
          </w:tcPr>
          <w:p w:rsidR="005132EF" w:rsidRPr="00370E70" w:rsidRDefault="005132EF" w:rsidP="00034AD4">
            <w:pPr>
              <w:jc w:val="center"/>
              <w:rPr>
                <w:sz w:val="18"/>
                <w:szCs w:val="18"/>
              </w:rPr>
            </w:pPr>
          </w:p>
        </w:tc>
        <w:tc>
          <w:tcPr>
            <w:tcW w:w="1121" w:type="dxa"/>
            <w:vMerge w:val="restart"/>
            <w:vAlign w:val="center"/>
          </w:tcPr>
          <w:p w:rsidR="005132EF" w:rsidRPr="00370E70" w:rsidRDefault="00BC26AE" w:rsidP="00034AD4">
            <w:pPr>
              <w:spacing w:before="0" w:after="0"/>
              <w:jc w:val="center"/>
              <w:rPr>
                <w:sz w:val="18"/>
                <w:szCs w:val="18"/>
              </w:rPr>
            </w:pPr>
            <w:r>
              <w:rPr>
                <w:sz w:val="18"/>
                <w:szCs w:val="18"/>
              </w:rPr>
              <w:t>Normanby</w:t>
            </w:r>
          </w:p>
        </w:tc>
        <w:tc>
          <w:tcPr>
            <w:tcW w:w="1637" w:type="dxa"/>
            <w:vAlign w:val="center"/>
          </w:tcPr>
          <w:p w:rsidR="005132EF" w:rsidRPr="00370E70" w:rsidRDefault="005132EF" w:rsidP="00034AD4">
            <w:pPr>
              <w:spacing w:before="0" w:after="0"/>
              <w:jc w:val="center"/>
              <w:rPr>
                <w:sz w:val="18"/>
                <w:szCs w:val="18"/>
              </w:rPr>
            </w:pPr>
            <w:smartTag w:uri="urn:schemas-microsoft-com:office:smarttags" w:element="place">
              <w:smartTag w:uri="urn:schemas-microsoft-com:office:smarttags" w:element="City">
                <w:r w:rsidRPr="00370E70">
                  <w:rPr>
                    <w:sz w:val="18"/>
                    <w:szCs w:val="18"/>
                  </w:rPr>
                  <w:t>Stanley</w:t>
                </w:r>
              </w:smartTag>
            </w:smartTag>
            <w:r w:rsidRPr="00370E70">
              <w:rPr>
                <w:sz w:val="18"/>
                <w:szCs w:val="18"/>
              </w:rPr>
              <w:t xml:space="preserve"> Reef</w:t>
            </w:r>
          </w:p>
        </w:tc>
        <w:tc>
          <w:tcPr>
            <w:tcW w:w="883" w:type="dxa"/>
            <w:vAlign w:val="center"/>
          </w:tcPr>
          <w:p w:rsidR="005132EF" w:rsidRPr="00370E70" w:rsidRDefault="005132EF" w:rsidP="00034AD4">
            <w:pPr>
              <w:spacing w:before="0" w:after="0"/>
              <w:jc w:val="center"/>
              <w:rPr>
                <w:sz w:val="18"/>
                <w:szCs w:val="18"/>
              </w:rPr>
            </w:pPr>
            <w:r w:rsidRPr="00370E70">
              <w:rPr>
                <w:sz w:val="18"/>
                <w:szCs w:val="18"/>
              </w:rPr>
              <w:t>Reef</w:t>
            </w:r>
          </w:p>
        </w:tc>
        <w:tc>
          <w:tcPr>
            <w:tcW w:w="893" w:type="dxa"/>
            <w:vAlign w:val="center"/>
          </w:tcPr>
          <w:p w:rsidR="005132EF" w:rsidRPr="00370E70" w:rsidRDefault="005132EF" w:rsidP="00C716D1">
            <w:pPr>
              <w:spacing w:before="0" w:after="0"/>
              <w:jc w:val="center"/>
              <w:rPr>
                <w:sz w:val="18"/>
                <w:szCs w:val="18"/>
              </w:rPr>
            </w:pPr>
            <w:r w:rsidRPr="00370E70">
              <w:rPr>
                <w:sz w:val="18"/>
                <w:szCs w:val="18"/>
              </w:rPr>
              <w:t>intertidal</w:t>
            </w: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noWrap/>
            <w:vAlign w:val="center"/>
          </w:tcPr>
          <w:p w:rsidR="005132EF" w:rsidRPr="00370E70" w:rsidRDefault="005132EF" w:rsidP="00930DB3">
            <w:pPr>
              <w:spacing w:before="0" w:after="0"/>
              <w:jc w:val="center"/>
            </w:pPr>
          </w:p>
        </w:tc>
      </w:tr>
      <w:tr w:rsidR="005132EF" w:rsidRPr="00370E70" w:rsidTr="00BC26AE">
        <w:trPr>
          <w:trHeight w:val="385"/>
          <w:jc w:val="center"/>
        </w:trPr>
        <w:tc>
          <w:tcPr>
            <w:tcW w:w="1559" w:type="dxa"/>
            <w:vMerge/>
            <w:noWrap/>
            <w:vAlign w:val="center"/>
          </w:tcPr>
          <w:p w:rsidR="005132EF" w:rsidRPr="00370E70" w:rsidRDefault="005132EF" w:rsidP="00034AD4">
            <w:pPr>
              <w:jc w:val="center"/>
              <w:rPr>
                <w:sz w:val="18"/>
                <w:szCs w:val="18"/>
              </w:rPr>
            </w:pPr>
          </w:p>
        </w:tc>
        <w:tc>
          <w:tcPr>
            <w:tcW w:w="1121" w:type="dxa"/>
            <w:vMerge/>
            <w:vAlign w:val="center"/>
          </w:tcPr>
          <w:p w:rsidR="005132EF" w:rsidRPr="00370E70" w:rsidRDefault="005132EF" w:rsidP="00034AD4">
            <w:pPr>
              <w:spacing w:before="0" w:after="0"/>
              <w:jc w:val="center"/>
              <w:rPr>
                <w:sz w:val="18"/>
                <w:szCs w:val="18"/>
              </w:rPr>
            </w:pPr>
          </w:p>
        </w:tc>
        <w:tc>
          <w:tcPr>
            <w:tcW w:w="1637" w:type="dxa"/>
            <w:vAlign w:val="center"/>
          </w:tcPr>
          <w:p w:rsidR="005132EF" w:rsidRPr="00370E70" w:rsidRDefault="005132EF"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Bathurst</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vAlign w:val="center"/>
          </w:tcPr>
          <w:p w:rsidR="005132EF" w:rsidRPr="00370E70" w:rsidRDefault="005132EF" w:rsidP="00034AD4">
            <w:pPr>
              <w:spacing w:before="0" w:after="0"/>
              <w:jc w:val="center"/>
              <w:rPr>
                <w:sz w:val="18"/>
                <w:szCs w:val="18"/>
              </w:rPr>
            </w:pPr>
            <w:r w:rsidRPr="00370E70">
              <w:rPr>
                <w:sz w:val="18"/>
                <w:szCs w:val="18"/>
              </w:rPr>
              <w:t>Coast</w:t>
            </w:r>
          </w:p>
        </w:tc>
        <w:tc>
          <w:tcPr>
            <w:tcW w:w="893" w:type="dxa"/>
            <w:vAlign w:val="center"/>
          </w:tcPr>
          <w:p w:rsidR="005132EF" w:rsidRPr="00370E70" w:rsidRDefault="005132EF" w:rsidP="00C716D1">
            <w:pPr>
              <w:spacing w:before="0" w:after="0"/>
              <w:jc w:val="center"/>
              <w:rPr>
                <w:sz w:val="18"/>
                <w:szCs w:val="18"/>
              </w:rPr>
            </w:pPr>
            <w:r w:rsidRPr="00370E70">
              <w:rPr>
                <w:sz w:val="18"/>
                <w:szCs w:val="18"/>
              </w:rPr>
              <w:t>intertidal</w:t>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33652B" w:rsidP="002345EA">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930DB3">
            <w:pPr>
              <w:spacing w:before="0" w:after="0"/>
              <w:jc w:val="center"/>
            </w:pPr>
          </w:p>
        </w:tc>
        <w:tc>
          <w:tcPr>
            <w:tcW w:w="487" w:type="dxa"/>
            <w:noWrap/>
            <w:vAlign w:val="center"/>
          </w:tcPr>
          <w:p w:rsidR="005132EF" w:rsidRPr="00370E70" w:rsidRDefault="005132EF" w:rsidP="00930DB3">
            <w:pPr>
              <w:spacing w:before="0" w:after="0"/>
              <w:jc w:val="center"/>
            </w:pPr>
          </w:p>
        </w:tc>
      </w:tr>
      <w:tr w:rsidR="005132EF" w:rsidRPr="00370E70" w:rsidTr="00BC26AE">
        <w:trPr>
          <w:trHeight w:val="385"/>
          <w:jc w:val="center"/>
        </w:trPr>
        <w:tc>
          <w:tcPr>
            <w:tcW w:w="1559" w:type="dxa"/>
            <w:vMerge/>
            <w:noWrap/>
            <w:vAlign w:val="center"/>
          </w:tcPr>
          <w:p w:rsidR="005132EF" w:rsidRPr="00370E70" w:rsidRDefault="005132EF" w:rsidP="00034AD4">
            <w:pPr>
              <w:spacing w:before="0" w:after="0"/>
              <w:jc w:val="center"/>
              <w:rPr>
                <w:sz w:val="18"/>
                <w:szCs w:val="18"/>
              </w:rPr>
            </w:pPr>
            <w:bookmarkStart w:id="61" w:name="_Hlk335040181"/>
          </w:p>
        </w:tc>
        <w:tc>
          <w:tcPr>
            <w:tcW w:w="1121" w:type="dxa"/>
            <w:vAlign w:val="center"/>
          </w:tcPr>
          <w:p w:rsidR="005132EF" w:rsidRPr="00370E70" w:rsidRDefault="005132EF" w:rsidP="00034AD4">
            <w:pPr>
              <w:spacing w:before="0" w:after="0"/>
              <w:jc w:val="center"/>
              <w:rPr>
                <w:sz w:val="18"/>
                <w:szCs w:val="18"/>
              </w:rPr>
            </w:pPr>
            <w:r w:rsidRPr="00370E70">
              <w:rPr>
                <w:sz w:val="18"/>
                <w:szCs w:val="18"/>
              </w:rPr>
              <w:t>Endeavour</w:t>
            </w:r>
          </w:p>
        </w:tc>
        <w:tc>
          <w:tcPr>
            <w:tcW w:w="1637" w:type="dxa"/>
            <w:vAlign w:val="center"/>
          </w:tcPr>
          <w:p w:rsidR="005132EF" w:rsidRPr="00370E70" w:rsidRDefault="002444B3" w:rsidP="00034AD4">
            <w:pPr>
              <w:spacing w:before="0" w:after="0"/>
              <w:jc w:val="center"/>
              <w:rPr>
                <w:sz w:val="18"/>
                <w:szCs w:val="18"/>
              </w:rPr>
            </w:pPr>
            <w:smartTag w:uri="urn:schemas-microsoft-com:office:smarttags" w:element="place">
              <w:smartTag w:uri="urn:schemas-microsoft-com:office:smarttags" w:element="PlaceName">
                <w:r>
                  <w:rPr>
                    <w:sz w:val="18"/>
                    <w:szCs w:val="18"/>
                  </w:rPr>
                  <w:t>Archer</w:t>
                </w:r>
              </w:smartTag>
              <w:r>
                <w:rPr>
                  <w:sz w:val="18"/>
                  <w:szCs w:val="18"/>
                </w:rPr>
                <w:t xml:space="preserve"> </w:t>
              </w:r>
              <w:smartTag w:uri="urn:schemas-microsoft-com:office:smarttags" w:element="PlaceName">
                <w:r>
                  <w:rPr>
                    <w:sz w:val="18"/>
                    <w:szCs w:val="18"/>
                  </w:rPr>
                  <w:t>Point</w:t>
                </w:r>
              </w:smartTag>
            </w:smartTag>
          </w:p>
        </w:tc>
        <w:tc>
          <w:tcPr>
            <w:tcW w:w="883" w:type="dxa"/>
            <w:vAlign w:val="center"/>
          </w:tcPr>
          <w:p w:rsidR="005132EF" w:rsidRPr="00370E70" w:rsidRDefault="005132EF" w:rsidP="00034AD4">
            <w:pPr>
              <w:spacing w:before="0" w:after="0"/>
              <w:jc w:val="center"/>
              <w:rPr>
                <w:sz w:val="18"/>
                <w:szCs w:val="18"/>
              </w:rPr>
            </w:pPr>
            <w:r w:rsidRPr="00370E70">
              <w:rPr>
                <w:sz w:val="18"/>
                <w:szCs w:val="18"/>
              </w:rPr>
              <w:t>Reef</w:t>
            </w:r>
          </w:p>
        </w:tc>
        <w:tc>
          <w:tcPr>
            <w:tcW w:w="893" w:type="dxa"/>
            <w:vAlign w:val="center"/>
          </w:tcPr>
          <w:p w:rsidR="005132EF" w:rsidRPr="00370E70" w:rsidRDefault="005132EF" w:rsidP="00C716D1">
            <w:pPr>
              <w:spacing w:before="0" w:after="0"/>
              <w:jc w:val="center"/>
              <w:rPr>
                <w:sz w:val="18"/>
                <w:szCs w:val="18"/>
              </w:rPr>
            </w:pPr>
            <w:r w:rsidRPr="00370E70">
              <w:rPr>
                <w:sz w:val="18"/>
                <w:szCs w:val="18"/>
              </w:rPr>
              <w:t>intertidal</w:t>
            </w:r>
          </w:p>
        </w:tc>
        <w:tc>
          <w:tcPr>
            <w:tcW w:w="487" w:type="dxa"/>
            <w:vAlign w:val="center"/>
          </w:tcPr>
          <w:p w:rsidR="005132EF" w:rsidRPr="00370E70" w:rsidRDefault="0033652B" w:rsidP="00020F54">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9E3BAA" w:rsidP="00020F54">
            <w:pPr>
              <w:spacing w:before="0" w:after="0"/>
              <w:jc w:val="center"/>
              <w:rPr>
                <w:sz w:val="18"/>
                <w:szCs w:val="18"/>
              </w:rPr>
            </w:pPr>
            <w:r w:rsidRPr="00370E70">
              <w:rPr>
                <w:sz w:val="18"/>
                <w:szCs w:val="18"/>
              </w:rPr>
              <w:sym w:font="Wingdings" w:char="F0A8"/>
            </w:r>
          </w:p>
        </w:tc>
        <w:tc>
          <w:tcPr>
            <w:tcW w:w="487" w:type="dxa"/>
            <w:vAlign w:val="center"/>
          </w:tcPr>
          <w:p w:rsidR="005132EF" w:rsidRPr="00370E70" w:rsidRDefault="0033652B" w:rsidP="00020F54">
            <w:pPr>
              <w:spacing w:before="0" w:after="0"/>
              <w:jc w:val="center"/>
              <w:rPr>
                <w:sz w:val="18"/>
                <w:szCs w:val="18"/>
              </w:rPr>
            </w:pPr>
            <w:r w:rsidRPr="00370E70">
              <w:sym w:font="Wingdings" w:char="F06E"/>
            </w:r>
          </w:p>
        </w:tc>
        <w:tc>
          <w:tcPr>
            <w:tcW w:w="487" w:type="dxa"/>
            <w:vAlign w:val="center"/>
          </w:tcPr>
          <w:p w:rsidR="005132EF" w:rsidRPr="00370E70" w:rsidRDefault="005132EF" w:rsidP="00020F54">
            <w:pPr>
              <w:spacing w:before="0" w:after="0"/>
              <w:jc w:val="center"/>
            </w:pPr>
          </w:p>
        </w:tc>
        <w:tc>
          <w:tcPr>
            <w:tcW w:w="487" w:type="dxa"/>
            <w:vAlign w:val="center"/>
          </w:tcPr>
          <w:p w:rsidR="005132EF" w:rsidRPr="00370E70" w:rsidRDefault="005132EF" w:rsidP="00930DB3">
            <w:pPr>
              <w:spacing w:before="0" w:after="0"/>
              <w:jc w:val="center"/>
            </w:pPr>
          </w:p>
        </w:tc>
        <w:tc>
          <w:tcPr>
            <w:tcW w:w="487" w:type="dxa"/>
            <w:noWrap/>
            <w:vAlign w:val="center"/>
          </w:tcPr>
          <w:p w:rsidR="005132EF" w:rsidRPr="00370E70" w:rsidRDefault="009E3BAA" w:rsidP="00930DB3">
            <w:pPr>
              <w:spacing w:before="0" w:after="0"/>
              <w:jc w:val="center"/>
              <w:rPr>
                <w:sz w:val="18"/>
                <w:szCs w:val="18"/>
              </w:rPr>
            </w:pPr>
            <w:r w:rsidRPr="00370E70">
              <w:rPr>
                <w:sz w:val="18"/>
                <w:szCs w:val="18"/>
              </w:rPr>
              <w:sym w:font="Wingdings" w:char="F0A8"/>
            </w:r>
            <w:r w:rsidR="005132EF" w:rsidRPr="00370E70">
              <w:t>*</w:t>
            </w:r>
          </w:p>
        </w:tc>
      </w:tr>
      <w:bookmarkEnd w:id="61"/>
      <w:tr w:rsidR="00BC26AE" w:rsidRPr="00370E70" w:rsidTr="00BC26AE">
        <w:trPr>
          <w:trHeight w:val="284"/>
          <w:jc w:val="center"/>
        </w:trPr>
        <w:tc>
          <w:tcPr>
            <w:tcW w:w="1559" w:type="dxa"/>
            <w:vMerge w:val="restart"/>
            <w:shd w:val="clear" w:color="auto" w:fill="F3F3F3"/>
            <w:noWrap/>
            <w:vAlign w:val="center"/>
          </w:tcPr>
          <w:p w:rsidR="00BC26AE" w:rsidRPr="00370E70" w:rsidRDefault="00BC26AE" w:rsidP="00C716D1">
            <w:pPr>
              <w:jc w:val="center"/>
              <w:rPr>
                <w:sz w:val="18"/>
                <w:szCs w:val="18"/>
              </w:rPr>
            </w:pPr>
            <w:r w:rsidRPr="00370E70">
              <w:rPr>
                <w:sz w:val="18"/>
                <w:szCs w:val="18"/>
              </w:rPr>
              <w:t>Wet Tropics</w:t>
            </w:r>
          </w:p>
        </w:tc>
        <w:tc>
          <w:tcPr>
            <w:tcW w:w="1121" w:type="dxa"/>
            <w:vMerge w:val="restart"/>
            <w:shd w:val="clear" w:color="auto" w:fill="F3F3F3"/>
            <w:vAlign w:val="center"/>
          </w:tcPr>
          <w:p w:rsidR="00BC26AE" w:rsidRPr="00370E70" w:rsidRDefault="00BC26AE" w:rsidP="00C716D1">
            <w:pPr>
              <w:spacing w:before="0" w:after="0"/>
              <w:jc w:val="center"/>
              <w:rPr>
                <w:sz w:val="18"/>
                <w:szCs w:val="18"/>
              </w:rPr>
            </w:pPr>
            <w:r w:rsidRPr="00370E70">
              <w:rPr>
                <w:sz w:val="18"/>
                <w:szCs w:val="18"/>
              </w:rPr>
              <w:t>Daintree</w:t>
            </w:r>
          </w:p>
        </w:tc>
        <w:tc>
          <w:tcPr>
            <w:tcW w:w="1637" w:type="dxa"/>
            <w:vMerge w:val="restart"/>
            <w:shd w:val="clear" w:color="auto" w:fill="F3F3F3"/>
            <w:vAlign w:val="center"/>
          </w:tcPr>
          <w:p w:rsidR="00BC26AE" w:rsidRPr="00370E70" w:rsidRDefault="00BC26AE" w:rsidP="00C716D1">
            <w:pPr>
              <w:spacing w:before="0" w:after="0"/>
              <w:jc w:val="center"/>
              <w:rPr>
                <w:sz w:val="18"/>
                <w:szCs w:val="18"/>
              </w:rPr>
            </w:pPr>
            <w:r w:rsidRPr="00370E70">
              <w:rPr>
                <w:sz w:val="18"/>
                <w:szCs w:val="18"/>
              </w:rPr>
              <w:t>Low Isles</w:t>
            </w:r>
          </w:p>
        </w:tc>
        <w:tc>
          <w:tcPr>
            <w:tcW w:w="883" w:type="dxa"/>
            <w:vMerge w:val="restart"/>
            <w:shd w:val="clear" w:color="auto" w:fill="F3F3F3"/>
            <w:vAlign w:val="center"/>
          </w:tcPr>
          <w:p w:rsidR="00BC26AE" w:rsidRPr="00370E70" w:rsidRDefault="00BC26AE" w:rsidP="00C716D1">
            <w:pPr>
              <w:spacing w:before="0" w:after="0"/>
              <w:jc w:val="center"/>
              <w:rPr>
                <w:sz w:val="18"/>
                <w:szCs w:val="18"/>
              </w:rPr>
            </w:pPr>
            <w:r w:rsidRPr="00370E70">
              <w:rPr>
                <w:sz w:val="18"/>
                <w:szCs w:val="18"/>
              </w:rPr>
              <w:t>Reef</w:t>
            </w:r>
          </w:p>
        </w:tc>
        <w:tc>
          <w:tcPr>
            <w:tcW w:w="893" w:type="dxa"/>
            <w:shd w:val="clear" w:color="auto" w:fill="F3F3F3"/>
            <w:vAlign w:val="center"/>
          </w:tcPr>
          <w:p w:rsidR="00BC26AE" w:rsidRPr="00370E70" w:rsidRDefault="00BC26AE"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BC26AE" w:rsidRPr="00370E70" w:rsidRDefault="00BC26AE" w:rsidP="00020F54">
            <w:pPr>
              <w:spacing w:before="0" w:after="0"/>
              <w:jc w:val="center"/>
              <w:rPr>
                <w:sz w:val="18"/>
                <w:szCs w:val="18"/>
              </w:rPr>
            </w:pPr>
          </w:p>
        </w:tc>
        <w:tc>
          <w:tcPr>
            <w:tcW w:w="487" w:type="dxa"/>
            <w:shd w:val="clear" w:color="auto" w:fill="F3F3F3"/>
            <w:vAlign w:val="center"/>
          </w:tcPr>
          <w:p w:rsidR="00BC26AE" w:rsidRPr="00370E70" w:rsidRDefault="00BC26AE" w:rsidP="00020F54">
            <w:pPr>
              <w:spacing w:before="0" w:after="0"/>
              <w:jc w:val="center"/>
              <w:rPr>
                <w:sz w:val="18"/>
                <w:szCs w:val="18"/>
              </w:rPr>
            </w:pPr>
          </w:p>
        </w:tc>
        <w:tc>
          <w:tcPr>
            <w:tcW w:w="487" w:type="dxa"/>
            <w:shd w:val="clear" w:color="auto" w:fill="F3F3F3"/>
            <w:vAlign w:val="center"/>
          </w:tcPr>
          <w:p w:rsidR="00BC26AE" w:rsidRPr="00370E70" w:rsidRDefault="00BC26AE" w:rsidP="00020F54">
            <w:pPr>
              <w:spacing w:before="0" w:after="0"/>
              <w:jc w:val="center"/>
              <w:rPr>
                <w:sz w:val="18"/>
                <w:szCs w:val="18"/>
              </w:rPr>
            </w:pPr>
          </w:p>
        </w:tc>
        <w:tc>
          <w:tcPr>
            <w:tcW w:w="487" w:type="dxa"/>
            <w:shd w:val="clear" w:color="auto" w:fill="F3F3F3"/>
            <w:vAlign w:val="center"/>
          </w:tcPr>
          <w:p w:rsidR="00BC26AE" w:rsidRPr="00370E70" w:rsidRDefault="00BC26AE" w:rsidP="00A43D8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BC26AE" w:rsidRPr="00370E70" w:rsidRDefault="00BC26AE" w:rsidP="00A43D84">
            <w:pPr>
              <w:spacing w:before="0" w:after="0"/>
              <w:jc w:val="center"/>
              <w:rPr>
                <w:sz w:val="18"/>
                <w:szCs w:val="18"/>
              </w:rPr>
            </w:pPr>
            <w:r w:rsidRPr="00370E70">
              <w:sym w:font="Wingdings" w:char="F06E"/>
            </w:r>
          </w:p>
        </w:tc>
        <w:tc>
          <w:tcPr>
            <w:tcW w:w="487" w:type="dxa"/>
            <w:shd w:val="clear" w:color="auto" w:fill="F3F3F3"/>
            <w:vAlign w:val="center"/>
          </w:tcPr>
          <w:p w:rsidR="00BC26AE" w:rsidRPr="00370E70" w:rsidRDefault="00BC26AE" w:rsidP="00020F54">
            <w:pPr>
              <w:spacing w:before="0" w:after="0"/>
              <w:jc w:val="center"/>
              <w:rPr>
                <w:sz w:val="18"/>
                <w:szCs w:val="18"/>
              </w:rPr>
            </w:pPr>
          </w:p>
        </w:tc>
        <w:tc>
          <w:tcPr>
            <w:tcW w:w="487" w:type="dxa"/>
            <w:shd w:val="clear" w:color="auto" w:fill="F3F3F3"/>
            <w:vAlign w:val="center"/>
          </w:tcPr>
          <w:p w:rsidR="00BC26AE" w:rsidRPr="00370E70" w:rsidRDefault="00BC26AE" w:rsidP="00A43D84">
            <w:pPr>
              <w:spacing w:before="0" w:after="0"/>
              <w:jc w:val="center"/>
              <w:rPr>
                <w:sz w:val="18"/>
                <w:szCs w:val="18"/>
              </w:rPr>
            </w:pPr>
            <w:r w:rsidRPr="00370E70">
              <w:sym w:font="Wingdings" w:char="F06E"/>
            </w:r>
          </w:p>
        </w:tc>
        <w:tc>
          <w:tcPr>
            <w:tcW w:w="487" w:type="dxa"/>
            <w:shd w:val="clear" w:color="auto" w:fill="F3F3F3"/>
            <w:noWrap/>
            <w:vAlign w:val="center"/>
          </w:tcPr>
          <w:p w:rsidR="00BC26AE" w:rsidRPr="00370E70" w:rsidRDefault="00BC26AE"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shd w:val="clear" w:color="auto" w:fill="F3F3F3"/>
            <w:vAlign w:val="center"/>
          </w:tcPr>
          <w:p w:rsidR="002E1AA7" w:rsidRPr="00370E70" w:rsidRDefault="002E1AA7" w:rsidP="00C716D1">
            <w:pPr>
              <w:spacing w:before="0" w:after="0"/>
              <w:jc w:val="center"/>
              <w:rPr>
                <w:sz w:val="18"/>
                <w:szCs w:val="18"/>
              </w:rPr>
            </w:pPr>
          </w:p>
        </w:tc>
        <w:tc>
          <w:tcPr>
            <w:tcW w:w="1637" w:type="dxa"/>
            <w:vMerge/>
            <w:shd w:val="clear" w:color="auto" w:fill="F3F3F3"/>
            <w:vAlign w:val="center"/>
          </w:tcPr>
          <w:p w:rsidR="002E1AA7" w:rsidRPr="00370E70" w:rsidRDefault="002E1AA7" w:rsidP="00C716D1">
            <w:pPr>
              <w:spacing w:before="0" w:after="0"/>
              <w:jc w:val="center"/>
              <w:rPr>
                <w:sz w:val="18"/>
                <w:szCs w:val="18"/>
              </w:rPr>
            </w:pPr>
          </w:p>
        </w:tc>
        <w:tc>
          <w:tcPr>
            <w:tcW w:w="883" w:type="dxa"/>
            <w:vMerge/>
            <w:shd w:val="clear" w:color="auto" w:fill="F3F3F3"/>
            <w:vAlign w:val="center"/>
          </w:tcPr>
          <w:p w:rsidR="002E1AA7" w:rsidRPr="00370E70" w:rsidRDefault="002E1AA7" w:rsidP="00C716D1">
            <w:pPr>
              <w:spacing w:before="0" w:after="0"/>
              <w:jc w:val="center"/>
              <w:rPr>
                <w:sz w:val="18"/>
                <w:szCs w:val="18"/>
              </w:rPr>
            </w:pP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subtidal</w:t>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930DB3">
            <w:pPr>
              <w:spacing w:before="0" w:after="0"/>
              <w:jc w:val="center"/>
              <w:rPr>
                <w:sz w:val="18"/>
                <w:szCs w:val="18"/>
              </w:rPr>
            </w:pP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val="restart"/>
            <w:shd w:val="clear" w:color="auto" w:fill="F3F3F3"/>
            <w:vAlign w:val="center"/>
          </w:tcPr>
          <w:p w:rsidR="002E1AA7" w:rsidRPr="00370E70" w:rsidRDefault="002E1AA7" w:rsidP="00C716D1">
            <w:pPr>
              <w:spacing w:before="0" w:after="0"/>
              <w:jc w:val="center"/>
              <w:rPr>
                <w:sz w:val="18"/>
                <w:szCs w:val="18"/>
              </w:rPr>
            </w:pPr>
            <w:r w:rsidRPr="00370E70">
              <w:rPr>
                <w:sz w:val="18"/>
                <w:szCs w:val="18"/>
              </w:rPr>
              <w:t>Russell - Mulgrave, Johnstone</w:t>
            </w:r>
          </w:p>
        </w:tc>
        <w:tc>
          <w:tcPr>
            <w:tcW w:w="1637"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Yule Point</w:t>
            </w:r>
          </w:p>
        </w:tc>
        <w:tc>
          <w:tcPr>
            <w:tcW w:w="88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Coast</w:t>
            </w: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930DB3">
            <w:pPr>
              <w:spacing w:before="0" w:after="0"/>
              <w:jc w:val="center"/>
            </w:pPr>
          </w:p>
        </w:tc>
        <w:tc>
          <w:tcPr>
            <w:tcW w:w="487" w:type="dxa"/>
            <w:shd w:val="clear" w:color="auto" w:fill="F3F3F3"/>
            <w:noWrap/>
            <w:vAlign w:val="center"/>
          </w:tcPr>
          <w:p w:rsidR="002E1AA7" w:rsidRPr="00370E70" w:rsidRDefault="002E1AA7" w:rsidP="00930DB3">
            <w:pPr>
              <w:spacing w:before="0" w:after="0"/>
              <w:jc w:val="center"/>
              <w:rPr>
                <w:sz w:val="18"/>
                <w:szCs w:val="18"/>
              </w:rPr>
            </w:pPr>
            <w:bookmarkStart w:id="62" w:name="OLE_LINK19"/>
            <w:r w:rsidRPr="00370E70">
              <w:rPr>
                <w:sz w:val="18"/>
                <w:szCs w:val="18"/>
              </w:rPr>
              <w:sym w:font="Wingdings" w:char="F0A8"/>
            </w:r>
            <w:r w:rsidRPr="00370E70">
              <w:t>*</w:t>
            </w:r>
            <w:bookmarkEnd w:id="62"/>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shd w:val="clear" w:color="auto" w:fill="F3F3F3"/>
            <w:vAlign w:val="center"/>
          </w:tcPr>
          <w:p w:rsidR="002E1AA7" w:rsidRPr="00370E70" w:rsidRDefault="002E1AA7" w:rsidP="00C716D1">
            <w:pPr>
              <w:spacing w:before="0" w:after="0"/>
              <w:jc w:val="center"/>
              <w:rPr>
                <w:sz w:val="18"/>
                <w:szCs w:val="18"/>
              </w:rPr>
            </w:pPr>
          </w:p>
        </w:tc>
        <w:tc>
          <w:tcPr>
            <w:tcW w:w="1637" w:type="dxa"/>
            <w:vMerge w:val="restart"/>
            <w:shd w:val="clear" w:color="auto" w:fill="F3F3F3"/>
            <w:vAlign w:val="center"/>
          </w:tcPr>
          <w:p w:rsidR="002E1AA7" w:rsidRPr="00370E70" w:rsidRDefault="002E1AA7" w:rsidP="00C716D1">
            <w:pPr>
              <w:spacing w:before="0" w:after="0"/>
              <w:jc w:val="center"/>
              <w:rPr>
                <w:sz w:val="18"/>
                <w:szCs w:val="18"/>
              </w:rPr>
            </w:pPr>
            <w:smartTag w:uri="urn:schemas-microsoft-com:office:smarttags" w:element="place">
              <w:smartTag w:uri="urn:schemas-microsoft-com:office:smarttags" w:element="PlaceName">
                <w:r w:rsidRPr="00370E70">
                  <w:rPr>
                    <w:sz w:val="18"/>
                    <w:szCs w:val="18"/>
                  </w:rPr>
                  <w:t>Green</w:t>
                </w:r>
              </w:smartTag>
              <w:r w:rsidRPr="00370E70">
                <w:rPr>
                  <w:sz w:val="18"/>
                  <w:szCs w:val="18"/>
                </w:rPr>
                <w:t xml:space="preserve"> </w:t>
              </w:r>
              <w:smartTag w:uri="urn:schemas-microsoft-com:office:smarttags" w:element="PlaceType">
                <w:r w:rsidRPr="00370E70">
                  <w:rPr>
                    <w:sz w:val="18"/>
                    <w:szCs w:val="18"/>
                  </w:rPr>
                  <w:t>Island</w:t>
                </w:r>
              </w:smartTag>
            </w:smartTag>
          </w:p>
        </w:tc>
        <w:tc>
          <w:tcPr>
            <w:tcW w:w="883" w:type="dxa"/>
            <w:vMerge w:val="restart"/>
            <w:shd w:val="clear" w:color="auto" w:fill="F3F3F3"/>
            <w:vAlign w:val="center"/>
          </w:tcPr>
          <w:p w:rsidR="002E1AA7" w:rsidRPr="00370E70" w:rsidRDefault="002E1AA7" w:rsidP="00C716D1">
            <w:pPr>
              <w:spacing w:before="0" w:after="0"/>
              <w:jc w:val="center"/>
              <w:rPr>
                <w:sz w:val="18"/>
                <w:szCs w:val="18"/>
              </w:rPr>
            </w:pPr>
            <w:r w:rsidRPr="00370E70">
              <w:rPr>
                <w:sz w:val="18"/>
                <w:szCs w:val="18"/>
              </w:rPr>
              <w:t>Reef</w:t>
            </w: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930DB3">
            <w:pPr>
              <w:spacing w:before="0" w:after="0"/>
              <w:jc w:val="center"/>
              <w:rPr>
                <w:sz w:val="18"/>
                <w:szCs w:val="18"/>
              </w:rPr>
            </w:pPr>
            <w:r w:rsidRPr="00370E70">
              <w:sym w:font="Wingdings" w:char="F06E"/>
            </w: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shd w:val="clear" w:color="auto" w:fill="F3F3F3"/>
            <w:vAlign w:val="center"/>
          </w:tcPr>
          <w:p w:rsidR="002E1AA7" w:rsidRPr="00370E70" w:rsidRDefault="002E1AA7" w:rsidP="00C716D1">
            <w:pPr>
              <w:spacing w:before="0" w:after="0"/>
              <w:jc w:val="center"/>
              <w:rPr>
                <w:sz w:val="18"/>
                <w:szCs w:val="18"/>
              </w:rPr>
            </w:pPr>
          </w:p>
        </w:tc>
        <w:tc>
          <w:tcPr>
            <w:tcW w:w="1637" w:type="dxa"/>
            <w:vMerge/>
            <w:shd w:val="clear" w:color="auto" w:fill="F3F3F3"/>
            <w:vAlign w:val="center"/>
          </w:tcPr>
          <w:p w:rsidR="002E1AA7" w:rsidRPr="00370E70" w:rsidRDefault="002E1AA7" w:rsidP="00C716D1">
            <w:pPr>
              <w:spacing w:before="0" w:after="0"/>
              <w:jc w:val="center"/>
              <w:rPr>
                <w:sz w:val="18"/>
                <w:szCs w:val="18"/>
              </w:rPr>
            </w:pPr>
          </w:p>
        </w:tc>
        <w:tc>
          <w:tcPr>
            <w:tcW w:w="883" w:type="dxa"/>
            <w:vMerge/>
            <w:shd w:val="clear" w:color="auto" w:fill="F3F3F3"/>
            <w:vAlign w:val="center"/>
          </w:tcPr>
          <w:p w:rsidR="002E1AA7" w:rsidRPr="00370E70" w:rsidRDefault="002E1AA7" w:rsidP="00C716D1">
            <w:pPr>
              <w:spacing w:before="0" w:after="0"/>
              <w:jc w:val="center"/>
              <w:rPr>
                <w:sz w:val="18"/>
                <w:szCs w:val="18"/>
              </w:rPr>
            </w:pP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subtidal</w:t>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930DB3">
            <w:pPr>
              <w:spacing w:before="0" w:after="0"/>
              <w:jc w:val="center"/>
              <w:rPr>
                <w:sz w:val="18"/>
                <w:szCs w:val="18"/>
              </w:rPr>
            </w:pP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val="restart"/>
            <w:shd w:val="clear" w:color="auto" w:fill="F3F3F3"/>
            <w:vAlign w:val="center"/>
          </w:tcPr>
          <w:p w:rsidR="002E1AA7" w:rsidRPr="00370E70" w:rsidRDefault="002E1AA7" w:rsidP="00C716D1">
            <w:pPr>
              <w:spacing w:before="0" w:after="0"/>
              <w:jc w:val="center"/>
              <w:rPr>
                <w:sz w:val="18"/>
                <w:szCs w:val="18"/>
              </w:rPr>
            </w:pPr>
            <w:r w:rsidRPr="00370E70">
              <w:rPr>
                <w:sz w:val="18"/>
                <w:szCs w:val="18"/>
              </w:rPr>
              <w:t>Tully</w:t>
            </w:r>
          </w:p>
        </w:tc>
        <w:tc>
          <w:tcPr>
            <w:tcW w:w="1637" w:type="dxa"/>
            <w:shd w:val="clear" w:color="auto" w:fill="F3F3F3"/>
            <w:vAlign w:val="center"/>
          </w:tcPr>
          <w:p w:rsidR="002E1AA7" w:rsidRPr="00370E70" w:rsidRDefault="002E1AA7" w:rsidP="00C716D1">
            <w:pPr>
              <w:spacing w:before="0" w:after="0"/>
              <w:jc w:val="center"/>
              <w:rPr>
                <w:sz w:val="18"/>
                <w:szCs w:val="18"/>
              </w:rPr>
            </w:pPr>
            <w:smartTag w:uri="urn:schemas-microsoft-com:office:smarttags" w:element="place">
              <w:smartTag w:uri="urn:schemas-microsoft-com:office:smarttags" w:element="PlaceName">
                <w:r w:rsidRPr="00370E70">
                  <w:rPr>
                    <w:sz w:val="18"/>
                    <w:szCs w:val="18"/>
                  </w:rPr>
                  <w:t>Lugger</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Coast</w:t>
            </w: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r w:rsidRPr="00370E70">
              <w:t>*</w:t>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930DB3">
            <w:pPr>
              <w:spacing w:before="0" w:after="0"/>
              <w:jc w:val="center"/>
              <w:rPr>
                <w:sz w:val="18"/>
                <w:szCs w:val="18"/>
              </w:rPr>
            </w:pP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shd w:val="clear" w:color="auto" w:fill="F3F3F3"/>
            <w:vAlign w:val="center"/>
          </w:tcPr>
          <w:p w:rsidR="002E1AA7" w:rsidRPr="00370E70" w:rsidRDefault="002E1AA7" w:rsidP="00C716D1">
            <w:pPr>
              <w:spacing w:before="0" w:after="0"/>
              <w:jc w:val="center"/>
              <w:rPr>
                <w:sz w:val="18"/>
                <w:szCs w:val="18"/>
              </w:rPr>
            </w:pPr>
          </w:p>
        </w:tc>
        <w:tc>
          <w:tcPr>
            <w:tcW w:w="1637" w:type="dxa"/>
            <w:vMerge w:val="restart"/>
            <w:shd w:val="clear" w:color="auto" w:fill="F3F3F3"/>
            <w:vAlign w:val="center"/>
          </w:tcPr>
          <w:p w:rsidR="002E1AA7" w:rsidRPr="00370E70" w:rsidRDefault="002E1AA7" w:rsidP="00C716D1">
            <w:pPr>
              <w:spacing w:before="0" w:after="0"/>
              <w:jc w:val="center"/>
              <w:rPr>
                <w:sz w:val="18"/>
                <w:szCs w:val="18"/>
              </w:rPr>
            </w:pPr>
            <w:smartTag w:uri="urn:schemas-microsoft-com:office:smarttags" w:element="place">
              <w:smartTag w:uri="urn:schemas-microsoft-com:office:smarttags" w:element="PlaceName">
                <w:r w:rsidRPr="00370E70">
                  <w:rPr>
                    <w:sz w:val="18"/>
                    <w:szCs w:val="18"/>
                  </w:rPr>
                  <w:t>Dunk</w:t>
                </w:r>
              </w:smartTag>
              <w:r w:rsidRPr="00370E70">
                <w:rPr>
                  <w:sz w:val="18"/>
                  <w:szCs w:val="18"/>
                </w:rPr>
                <w:t xml:space="preserve"> </w:t>
              </w:r>
              <w:smartTag w:uri="urn:schemas-microsoft-com:office:smarttags" w:element="PlaceType">
                <w:r w:rsidRPr="00370E70">
                  <w:rPr>
                    <w:sz w:val="18"/>
                    <w:szCs w:val="18"/>
                  </w:rPr>
                  <w:t>Island</w:t>
                </w:r>
              </w:smartTag>
            </w:smartTag>
          </w:p>
        </w:tc>
        <w:tc>
          <w:tcPr>
            <w:tcW w:w="883" w:type="dxa"/>
            <w:vMerge w:val="restart"/>
            <w:shd w:val="clear" w:color="auto" w:fill="F3F3F3"/>
            <w:vAlign w:val="center"/>
          </w:tcPr>
          <w:p w:rsidR="002E1AA7" w:rsidRPr="00370E70" w:rsidRDefault="002E1AA7" w:rsidP="00C716D1">
            <w:pPr>
              <w:spacing w:before="0" w:after="0"/>
              <w:jc w:val="center"/>
              <w:rPr>
                <w:sz w:val="18"/>
                <w:szCs w:val="18"/>
              </w:rPr>
            </w:pPr>
            <w:r w:rsidRPr="00370E70">
              <w:rPr>
                <w:sz w:val="18"/>
                <w:szCs w:val="18"/>
              </w:rPr>
              <w:t>Reef</w:t>
            </w: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020F54">
            <w:pPr>
              <w:spacing w:before="0" w:after="0"/>
              <w:jc w:val="center"/>
            </w:pPr>
            <w:r w:rsidRPr="00370E70">
              <w:rPr>
                <w:sz w:val="18"/>
                <w:szCs w:val="18"/>
              </w:rPr>
              <w:sym w:font="Wingdings" w:char="F0A8"/>
            </w:r>
            <w:r w:rsidRPr="00370E70">
              <w:t>*</w:t>
            </w:r>
          </w:p>
        </w:tc>
        <w:tc>
          <w:tcPr>
            <w:tcW w:w="487" w:type="dxa"/>
            <w:shd w:val="clear" w:color="auto" w:fill="F3F3F3"/>
            <w:vAlign w:val="center"/>
          </w:tcPr>
          <w:p w:rsidR="002E1AA7" w:rsidRPr="00370E70" w:rsidRDefault="002E1AA7" w:rsidP="00020F54">
            <w:pPr>
              <w:spacing w:before="0" w:after="0"/>
              <w:jc w:val="center"/>
            </w:pPr>
            <w:r w:rsidRPr="00370E70">
              <w:sym w:font="Wingdings" w:char="F06E"/>
            </w:r>
          </w:p>
        </w:tc>
        <w:tc>
          <w:tcPr>
            <w:tcW w:w="487" w:type="dxa"/>
            <w:shd w:val="clear" w:color="auto" w:fill="F3F3F3"/>
            <w:vAlign w:val="center"/>
          </w:tcPr>
          <w:p w:rsidR="002E1AA7" w:rsidRPr="00370E70" w:rsidRDefault="002E1AA7" w:rsidP="00020F54">
            <w:pPr>
              <w:spacing w:before="0" w:after="0"/>
              <w:jc w:val="center"/>
            </w:pPr>
          </w:p>
        </w:tc>
        <w:tc>
          <w:tcPr>
            <w:tcW w:w="487" w:type="dxa"/>
            <w:shd w:val="clear" w:color="auto" w:fill="F3F3F3"/>
            <w:vAlign w:val="center"/>
          </w:tcPr>
          <w:p w:rsidR="002E1AA7" w:rsidRPr="00370E70" w:rsidRDefault="002E1AA7" w:rsidP="00930DB3">
            <w:pPr>
              <w:spacing w:before="0" w:after="0"/>
              <w:jc w:val="center"/>
              <w:rPr>
                <w:sz w:val="18"/>
                <w:szCs w:val="18"/>
              </w:rPr>
            </w:pPr>
            <w:r w:rsidRPr="00370E70">
              <w:sym w:font="Wingdings" w:char="F06E"/>
            </w: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E1AA7" w:rsidRPr="00370E70" w:rsidTr="00BC26AE">
        <w:trPr>
          <w:trHeight w:val="284"/>
          <w:jc w:val="center"/>
        </w:trPr>
        <w:tc>
          <w:tcPr>
            <w:tcW w:w="1559" w:type="dxa"/>
            <w:vMerge/>
            <w:shd w:val="clear" w:color="auto" w:fill="F3F3F3"/>
            <w:noWrap/>
            <w:vAlign w:val="center"/>
          </w:tcPr>
          <w:p w:rsidR="002E1AA7" w:rsidRPr="00370E70" w:rsidRDefault="002E1AA7" w:rsidP="00C716D1">
            <w:pPr>
              <w:spacing w:before="0" w:after="0"/>
              <w:jc w:val="center"/>
              <w:rPr>
                <w:sz w:val="18"/>
                <w:szCs w:val="18"/>
              </w:rPr>
            </w:pPr>
          </w:p>
        </w:tc>
        <w:tc>
          <w:tcPr>
            <w:tcW w:w="1121" w:type="dxa"/>
            <w:vMerge/>
            <w:shd w:val="clear" w:color="auto" w:fill="F3F3F3"/>
            <w:vAlign w:val="center"/>
          </w:tcPr>
          <w:p w:rsidR="002E1AA7" w:rsidRPr="00370E70" w:rsidRDefault="002E1AA7" w:rsidP="00C716D1">
            <w:pPr>
              <w:spacing w:before="0" w:after="0"/>
              <w:jc w:val="center"/>
              <w:rPr>
                <w:sz w:val="18"/>
                <w:szCs w:val="18"/>
              </w:rPr>
            </w:pPr>
          </w:p>
        </w:tc>
        <w:tc>
          <w:tcPr>
            <w:tcW w:w="1637" w:type="dxa"/>
            <w:vMerge/>
            <w:shd w:val="clear" w:color="auto" w:fill="F3F3F3"/>
            <w:vAlign w:val="center"/>
          </w:tcPr>
          <w:p w:rsidR="002E1AA7" w:rsidRPr="00370E70" w:rsidRDefault="002E1AA7" w:rsidP="00C716D1">
            <w:pPr>
              <w:spacing w:before="0" w:after="0"/>
              <w:jc w:val="center"/>
              <w:rPr>
                <w:sz w:val="18"/>
                <w:szCs w:val="18"/>
              </w:rPr>
            </w:pPr>
          </w:p>
        </w:tc>
        <w:tc>
          <w:tcPr>
            <w:tcW w:w="883" w:type="dxa"/>
            <w:vMerge/>
            <w:shd w:val="clear" w:color="auto" w:fill="F3F3F3"/>
            <w:vAlign w:val="center"/>
          </w:tcPr>
          <w:p w:rsidR="002E1AA7" w:rsidRPr="00370E70" w:rsidRDefault="002E1AA7" w:rsidP="00C716D1">
            <w:pPr>
              <w:spacing w:before="0" w:after="0"/>
              <w:jc w:val="center"/>
              <w:rPr>
                <w:sz w:val="18"/>
                <w:szCs w:val="18"/>
              </w:rPr>
            </w:pPr>
          </w:p>
        </w:tc>
        <w:tc>
          <w:tcPr>
            <w:tcW w:w="893" w:type="dxa"/>
            <w:shd w:val="clear" w:color="auto" w:fill="F3F3F3"/>
            <w:vAlign w:val="center"/>
          </w:tcPr>
          <w:p w:rsidR="002E1AA7" w:rsidRPr="00370E70" w:rsidRDefault="002E1AA7" w:rsidP="00C716D1">
            <w:pPr>
              <w:spacing w:before="0" w:after="0"/>
              <w:jc w:val="center"/>
              <w:rPr>
                <w:sz w:val="18"/>
                <w:szCs w:val="18"/>
              </w:rPr>
            </w:pPr>
            <w:r w:rsidRPr="00370E70">
              <w:rPr>
                <w:sz w:val="18"/>
                <w:szCs w:val="18"/>
              </w:rPr>
              <w:t>subtidal</w:t>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E1AA7" w:rsidRPr="00370E70" w:rsidRDefault="002E1AA7" w:rsidP="00020F54">
            <w:pPr>
              <w:spacing w:before="0" w:after="0"/>
              <w:jc w:val="center"/>
              <w:rPr>
                <w:sz w:val="18"/>
                <w:szCs w:val="18"/>
              </w:rPr>
            </w:pPr>
            <w:r w:rsidRPr="00370E70">
              <w:sym w:font="Wingdings" w:char="F06E"/>
            </w:r>
          </w:p>
        </w:tc>
        <w:tc>
          <w:tcPr>
            <w:tcW w:w="487" w:type="dxa"/>
            <w:shd w:val="clear" w:color="auto" w:fill="F3F3F3"/>
            <w:vAlign w:val="center"/>
          </w:tcPr>
          <w:p w:rsidR="002E1AA7" w:rsidRPr="00370E70" w:rsidRDefault="002E1AA7" w:rsidP="00020F54">
            <w:pPr>
              <w:spacing w:before="0" w:after="0"/>
              <w:jc w:val="center"/>
              <w:rPr>
                <w:sz w:val="18"/>
                <w:szCs w:val="18"/>
              </w:rPr>
            </w:pPr>
          </w:p>
        </w:tc>
        <w:tc>
          <w:tcPr>
            <w:tcW w:w="487" w:type="dxa"/>
            <w:shd w:val="clear" w:color="auto" w:fill="F3F3F3"/>
            <w:vAlign w:val="center"/>
          </w:tcPr>
          <w:p w:rsidR="002E1AA7" w:rsidRPr="00370E70" w:rsidRDefault="002E1AA7" w:rsidP="00930DB3">
            <w:pPr>
              <w:spacing w:before="0" w:after="0"/>
              <w:jc w:val="center"/>
              <w:rPr>
                <w:sz w:val="18"/>
                <w:szCs w:val="18"/>
              </w:rPr>
            </w:pPr>
          </w:p>
        </w:tc>
        <w:tc>
          <w:tcPr>
            <w:tcW w:w="487" w:type="dxa"/>
            <w:shd w:val="clear" w:color="auto" w:fill="F3F3F3"/>
            <w:noWrap/>
            <w:vAlign w:val="center"/>
          </w:tcPr>
          <w:p w:rsidR="002E1AA7" w:rsidRPr="00370E70" w:rsidRDefault="002E1AA7" w:rsidP="00053C3F">
            <w:pPr>
              <w:spacing w:before="0" w:after="0"/>
              <w:jc w:val="center"/>
              <w:rPr>
                <w:sz w:val="18"/>
                <w:szCs w:val="18"/>
              </w:rPr>
            </w:pPr>
          </w:p>
        </w:tc>
      </w:tr>
      <w:tr w:rsidR="002444B3" w:rsidRPr="00370E70" w:rsidTr="00BC26AE">
        <w:trPr>
          <w:trHeight w:val="284"/>
          <w:jc w:val="center"/>
        </w:trPr>
        <w:tc>
          <w:tcPr>
            <w:tcW w:w="1559" w:type="dxa"/>
            <w:vMerge w:val="restart"/>
            <w:noWrap/>
            <w:vAlign w:val="center"/>
          </w:tcPr>
          <w:p w:rsidR="002444B3" w:rsidRPr="00370E70" w:rsidRDefault="002444B3" w:rsidP="00034AD4">
            <w:pPr>
              <w:spacing w:before="0" w:after="0"/>
              <w:jc w:val="center"/>
              <w:rPr>
                <w:sz w:val="18"/>
                <w:szCs w:val="18"/>
              </w:rPr>
            </w:pPr>
            <w:r w:rsidRPr="00370E70">
              <w:rPr>
                <w:sz w:val="18"/>
                <w:szCs w:val="18"/>
              </w:rPr>
              <w:t>Burdekin</w:t>
            </w:r>
          </w:p>
        </w:tc>
        <w:tc>
          <w:tcPr>
            <w:tcW w:w="1121" w:type="dxa"/>
            <w:vMerge w:val="restart"/>
            <w:vAlign w:val="center"/>
          </w:tcPr>
          <w:p w:rsidR="002444B3" w:rsidRPr="00370E70" w:rsidRDefault="002444B3" w:rsidP="002444B3">
            <w:pPr>
              <w:spacing w:before="0" w:after="0"/>
              <w:jc w:val="center"/>
              <w:rPr>
                <w:sz w:val="18"/>
                <w:szCs w:val="18"/>
              </w:rPr>
            </w:pPr>
            <w:r w:rsidRPr="00370E70">
              <w:rPr>
                <w:sz w:val="18"/>
                <w:szCs w:val="18"/>
              </w:rPr>
              <w:t>Herbert,</w:t>
            </w:r>
          </w:p>
          <w:p w:rsidR="002444B3" w:rsidRPr="00370E70" w:rsidRDefault="002444B3" w:rsidP="002444B3">
            <w:pPr>
              <w:spacing w:before="0" w:after="0"/>
              <w:jc w:val="center"/>
              <w:rPr>
                <w:sz w:val="18"/>
                <w:szCs w:val="18"/>
              </w:rPr>
            </w:pPr>
            <w:r w:rsidRPr="00370E70">
              <w:rPr>
                <w:sz w:val="18"/>
                <w:szCs w:val="18"/>
              </w:rPr>
              <w:t>Burdekin</w:t>
            </w:r>
          </w:p>
        </w:tc>
        <w:tc>
          <w:tcPr>
            <w:tcW w:w="1637" w:type="dxa"/>
            <w:vMerge w:val="restart"/>
            <w:vAlign w:val="center"/>
          </w:tcPr>
          <w:p w:rsidR="002444B3" w:rsidRPr="00370E70" w:rsidRDefault="002444B3" w:rsidP="00AD358A">
            <w:pPr>
              <w:spacing w:before="0" w:after="0"/>
              <w:jc w:val="center"/>
              <w:rPr>
                <w:sz w:val="18"/>
                <w:szCs w:val="18"/>
              </w:rPr>
            </w:pPr>
            <w:r w:rsidRPr="00370E70">
              <w:rPr>
                <w:sz w:val="18"/>
                <w:szCs w:val="18"/>
              </w:rPr>
              <w:t xml:space="preserve">Magnetic </w:t>
            </w:r>
            <w:smartTag w:uri="urn:schemas-microsoft-com:office:smarttags" w:element="place">
              <w:r w:rsidRPr="00370E70">
                <w:rPr>
                  <w:sz w:val="18"/>
                  <w:szCs w:val="18"/>
                </w:rPr>
                <w:t>Island</w:t>
              </w:r>
            </w:smartTag>
          </w:p>
        </w:tc>
        <w:tc>
          <w:tcPr>
            <w:tcW w:w="883" w:type="dxa"/>
            <w:vMerge w:val="restart"/>
            <w:vAlign w:val="center"/>
          </w:tcPr>
          <w:p w:rsidR="002444B3" w:rsidRPr="00370E70" w:rsidRDefault="002444B3" w:rsidP="00AD358A">
            <w:pPr>
              <w:spacing w:before="0" w:after="0"/>
              <w:jc w:val="center"/>
              <w:rPr>
                <w:sz w:val="18"/>
                <w:szCs w:val="18"/>
              </w:rPr>
            </w:pPr>
            <w:r w:rsidRPr="00370E70">
              <w:rPr>
                <w:sz w:val="18"/>
                <w:szCs w:val="18"/>
              </w:rPr>
              <w:t>Reef</w:t>
            </w:r>
          </w:p>
        </w:tc>
        <w:tc>
          <w:tcPr>
            <w:tcW w:w="893" w:type="dxa"/>
            <w:vAlign w:val="center"/>
          </w:tcPr>
          <w:p w:rsidR="002444B3" w:rsidRPr="00370E70" w:rsidRDefault="002444B3" w:rsidP="00A43D84">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A43D84">
            <w:pPr>
              <w:spacing w:before="0" w:after="0"/>
              <w:jc w:val="center"/>
            </w:pPr>
            <w:r w:rsidRPr="00370E70">
              <w:rPr>
                <w:sz w:val="18"/>
                <w:szCs w:val="18"/>
              </w:rPr>
              <w:sym w:font="Wingdings" w:char="F0A8"/>
            </w:r>
          </w:p>
        </w:tc>
        <w:tc>
          <w:tcPr>
            <w:tcW w:w="487" w:type="dxa"/>
            <w:vAlign w:val="center"/>
          </w:tcPr>
          <w:p w:rsidR="002444B3" w:rsidRPr="00370E70" w:rsidRDefault="002444B3" w:rsidP="00A43D84">
            <w:pPr>
              <w:spacing w:before="0" w:after="0"/>
              <w:jc w:val="center"/>
            </w:pPr>
            <w:r w:rsidRPr="00370E70">
              <w:sym w:font="Wingdings" w:char="F06E"/>
            </w: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vAlign w:val="center"/>
          </w:tcPr>
          <w:p w:rsidR="002444B3" w:rsidRPr="00370E70" w:rsidRDefault="002444B3" w:rsidP="00A43D84">
            <w:pPr>
              <w:spacing w:before="0" w:after="0"/>
              <w:jc w:val="center"/>
              <w:rPr>
                <w:sz w:val="18"/>
                <w:szCs w:val="18"/>
              </w:rPr>
            </w:pPr>
            <w:r w:rsidRPr="00370E70">
              <w:sym w:font="Wingdings" w:char="F06E"/>
            </w: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noWrap/>
            <w:vAlign w:val="center"/>
          </w:tcPr>
          <w:p w:rsidR="002444B3" w:rsidRPr="00370E70" w:rsidRDefault="002444B3" w:rsidP="00A43D84">
            <w:pPr>
              <w:spacing w:before="0" w:after="0"/>
              <w:jc w:val="center"/>
              <w:rPr>
                <w:sz w:val="18"/>
                <w:szCs w:val="18"/>
              </w:rPr>
            </w:pPr>
            <w:r w:rsidRPr="00370E70">
              <w:rPr>
                <w:sz w:val="18"/>
                <w:szCs w:val="18"/>
              </w:rPr>
              <w:sym w:font="Wingdings" w:char="F0A8"/>
            </w:r>
            <w:r w:rsidRPr="00370E70">
              <w:t>*</w:t>
            </w:r>
          </w:p>
        </w:tc>
      </w:tr>
      <w:tr w:rsidR="002444B3" w:rsidRPr="00370E70" w:rsidTr="00BC26AE">
        <w:trPr>
          <w:trHeight w:val="284"/>
          <w:jc w:val="center"/>
        </w:trPr>
        <w:tc>
          <w:tcPr>
            <w:tcW w:w="1559" w:type="dxa"/>
            <w:vMerge/>
            <w:noWrap/>
            <w:vAlign w:val="center"/>
          </w:tcPr>
          <w:p w:rsidR="002444B3" w:rsidRPr="00370E70" w:rsidRDefault="002444B3" w:rsidP="00034AD4">
            <w:pPr>
              <w:spacing w:before="0" w:after="0"/>
              <w:jc w:val="center"/>
              <w:rPr>
                <w:sz w:val="18"/>
                <w:szCs w:val="18"/>
              </w:rPr>
            </w:pPr>
          </w:p>
        </w:tc>
        <w:tc>
          <w:tcPr>
            <w:tcW w:w="1121" w:type="dxa"/>
            <w:vMerge/>
            <w:vAlign w:val="center"/>
          </w:tcPr>
          <w:p w:rsidR="002444B3" w:rsidRPr="00370E70" w:rsidRDefault="002444B3" w:rsidP="00034AD4">
            <w:pPr>
              <w:spacing w:before="0" w:after="0"/>
              <w:jc w:val="center"/>
              <w:rPr>
                <w:sz w:val="18"/>
                <w:szCs w:val="18"/>
              </w:rPr>
            </w:pPr>
          </w:p>
        </w:tc>
        <w:tc>
          <w:tcPr>
            <w:tcW w:w="1637" w:type="dxa"/>
            <w:vMerge/>
            <w:vAlign w:val="center"/>
          </w:tcPr>
          <w:p w:rsidR="002444B3" w:rsidRPr="00370E70" w:rsidRDefault="002444B3" w:rsidP="00AD358A">
            <w:pPr>
              <w:spacing w:before="0" w:after="0"/>
              <w:jc w:val="center"/>
              <w:rPr>
                <w:sz w:val="18"/>
                <w:szCs w:val="18"/>
              </w:rPr>
            </w:pPr>
          </w:p>
        </w:tc>
        <w:tc>
          <w:tcPr>
            <w:tcW w:w="883" w:type="dxa"/>
            <w:vMerge/>
            <w:vAlign w:val="center"/>
          </w:tcPr>
          <w:p w:rsidR="002444B3" w:rsidRPr="00370E70" w:rsidRDefault="002444B3" w:rsidP="00AD358A">
            <w:pPr>
              <w:spacing w:before="0" w:after="0"/>
              <w:jc w:val="center"/>
              <w:rPr>
                <w:sz w:val="18"/>
                <w:szCs w:val="18"/>
              </w:rPr>
            </w:pPr>
          </w:p>
        </w:tc>
        <w:tc>
          <w:tcPr>
            <w:tcW w:w="893" w:type="dxa"/>
            <w:vAlign w:val="center"/>
          </w:tcPr>
          <w:p w:rsidR="002444B3" w:rsidRPr="00370E70" w:rsidRDefault="002444B3" w:rsidP="00A43D84">
            <w:pPr>
              <w:spacing w:before="0" w:after="0"/>
              <w:jc w:val="center"/>
              <w:rPr>
                <w:sz w:val="18"/>
                <w:szCs w:val="18"/>
              </w:rPr>
            </w:pPr>
            <w:r w:rsidRPr="00370E70">
              <w:rPr>
                <w:sz w:val="18"/>
                <w:szCs w:val="18"/>
              </w:rPr>
              <w:t>subtidal</w:t>
            </w: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rPr>
                <w:sz w:val="18"/>
                <w:szCs w:val="18"/>
              </w:rPr>
            </w:pPr>
            <w:r w:rsidRPr="00370E70">
              <w:sym w:font="Wingdings" w:char="F06E"/>
            </w: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vAlign w:val="center"/>
          </w:tcPr>
          <w:p w:rsidR="002444B3" w:rsidRPr="00370E70" w:rsidRDefault="002444B3" w:rsidP="00A43D84">
            <w:pPr>
              <w:spacing w:before="0" w:after="0"/>
              <w:jc w:val="center"/>
              <w:rPr>
                <w:sz w:val="18"/>
                <w:szCs w:val="18"/>
              </w:rPr>
            </w:pPr>
            <w:r w:rsidRPr="00370E70">
              <w:sym w:font="Wingdings" w:char="F06E"/>
            </w: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rPr>
                <w:sz w:val="18"/>
                <w:szCs w:val="18"/>
              </w:rPr>
            </w:pPr>
          </w:p>
        </w:tc>
        <w:tc>
          <w:tcPr>
            <w:tcW w:w="487" w:type="dxa"/>
            <w:noWrap/>
            <w:vAlign w:val="center"/>
          </w:tcPr>
          <w:p w:rsidR="002444B3" w:rsidRPr="00370E70" w:rsidRDefault="002444B3" w:rsidP="00A43D84">
            <w:pPr>
              <w:spacing w:before="0" w:after="0"/>
              <w:jc w:val="center"/>
              <w:rPr>
                <w:sz w:val="18"/>
                <w:szCs w:val="18"/>
              </w:rPr>
            </w:pPr>
          </w:p>
        </w:tc>
      </w:tr>
      <w:tr w:rsidR="002444B3" w:rsidRPr="00370E70" w:rsidTr="00BC26AE">
        <w:trPr>
          <w:trHeight w:val="284"/>
          <w:jc w:val="center"/>
        </w:trPr>
        <w:tc>
          <w:tcPr>
            <w:tcW w:w="1559" w:type="dxa"/>
            <w:vMerge/>
            <w:noWrap/>
            <w:vAlign w:val="center"/>
          </w:tcPr>
          <w:p w:rsidR="002444B3" w:rsidRPr="00370E70" w:rsidRDefault="002444B3" w:rsidP="00034AD4">
            <w:pPr>
              <w:spacing w:before="0" w:after="0"/>
              <w:jc w:val="center"/>
              <w:rPr>
                <w:sz w:val="18"/>
                <w:szCs w:val="18"/>
              </w:rPr>
            </w:pPr>
          </w:p>
        </w:tc>
        <w:tc>
          <w:tcPr>
            <w:tcW w:w="1121" w:type="dxa"/>
            <w:vMerge/>
            <w:vAlign w:val="center"/>
          </w:tcPr>
          <w:p w:rsidR="002444B3" w:rsidRPr="00370E70" w:rsidRDefault="002444B3" w:rsidP="00034AD4">
            <w:pPr>
              <w:spacing w:before="0" w:after="0"/>
              <w:jc w:val="center"/>
              <w:rPr>
                <w:sz w:val="18"/>
                <w:szCs w:val="18"/>
              </w:rPr>
            </w:pPr>
          </w:p>
        </w:tc>
        <w:tc>
          <w:tcPr>
            <w:tcW w:w="1637" w:type="dxa"/>
            <w:vAlign w:val="center"/>
          </w:tcPr>
          <w:p w:rsidR="002444B3" w:rsidRPr="00370E70" w:rsidRDefault="002444B3" w:rsidP="00AD358A">
            <w:pPr>
              <w:spacing w:before="0" w:after="0"/>
              <w:jc w:val="center"/>
              <w:rPr>
                <w:sz w:val="18"/>
                <w:szCs w:val="18"/>
              </w:rPr>
            </w:pPr>
            <w:r w:rsidRPr="00370E70">
              <w:rPr>
                <w:sz w:val="18"/>
                <w:szCs w:val="18"/>
              </w:rPr>
              <w:t>Townsville</w:t>
            </w:r>
          </w:p>
        </w:tc>
        <w:tc>
          <w:tcPr>
            <w:tcW w:w="883" w:type="dxa"/>
            <w:vAlign w:val="center"/>
          </w:tcPr>
          <w:p w:rsidR="002444B3" w:rsidRPr="00370E70" w:rsidRDefault="002444B3" w:rsidP="00AD358A">
            <w:pPr>
              <w:spacing w:before="0" w:after="0"/>
              <w:jc w:val="center"/>
              <w:rPr>
                <w:sz w:val="18"/>
                <w:szCs w:val="18"/>
              </w:rPr>
            </w:pPr>
            <w:r w:rsidRPr="00370E70">
              <w:rPr>
                <w:sz w:val="18"/>
                <w:szCs w:val="18"/>
              </w:rPr>
              <w:t>Coast</w:t>
            </w:r>
          </w:p>
        </w:tc>
        <w:tc>
          <w:tcPr>
            <w:tcW w:w="893" w:type="dxa"/>
            <w:vAlign w:val="center"/>
          </w:tcPr>
          <w:p w:rsidR="002444B3" w:rsidRPr="00370E70" w:rsidRDefault="002444B3" w:rsidP="00A43D84">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pP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vAlign w:val="center"/>
          </w:tcPr>
          <w:p w:rsidR="002444B3" w:rsidRPr="00370E70" w:rsidRDefault="002444B3" w:rsidP="00A43D84">
            <w:pPr>
              <w:spacing w:before="0" w:after="0"/>
              <w:jc w:val="center"/>
              <w:rPr>
                <w:sz w:val="18"/>
                <w:szCs w:val="18"/>
              </w:rPr>
            </w:pPr>
            <w:r w:rsidRPr="00370E70">
              <w:sym w:font="Wingdings" w:char="F06E"/>
            </w:r>
          </w:p>
        </w:tc>
        <w:tc>
          <w:tcPr>
            <w:tcW w:w="487" w:type="dxa"/>
            <w:vAlign w:val="center"/>
          </w:tcPr>
          <w:p w:rsidR="002444B3" w:rsidRPr="00370E70" w:rsidRDefault="002444B3" w:rsidP="00A43D84">
            <w:pPr>
              <w:spacing w:before="0" w:after="0"/>
              <w:jc w:val="center"/>
              <w:rPr>
                <w:sz w:val="18"/>
                <w:szCs w:val="18"/>
              </w:rPr>
            </w:pPr>
          </w:p>
        </w:tc>
        <w:tc>
          <w:tcPr>
            <w:tcW w:w="487" w:type="dxa"/>
            <w:vAlign w:val="center"/>
          </w:tcPr>
          <w:p w:rsidR="002444B3" w:rsidRPr="00370E70" w:rsidRDefault="002444B3" w:rsidP="00A43D84">
            <w:pPr>
              <w:spacing w:before="0" w:after="0"/>
              <w:jc w:val="center"/>
              <w:rPr>
                <w:sz w:val="18"/>
                <w:szCs w:val="18"/>
              </w:rPr>
            </w:pPr>
          </w:p>
        </w:tc>
        <w:tc>
          <w:tcPr>
            <w:tcW w:w="487" w:type="dxa"/>
            <w:noWrap/>
            <w:vAlign w:val="center"/>
          </w:tcPr>
          <w:p w:rsidR="002444B3" w:rsidRPr="00370E70" w:rsidRDefault="002444B3" w:rsidP="00A43D84">
            <w:pPr>
              <w:spacing w:before="0" w:after="0"/>
              <w:jc w:val="center"/>
              <w:rPr>
                <w:sz w:val="18"/>
                <w:szCs w:val="18"/>
              </w:rPr>
            </w:pPr>
          </w:p>
        </w:tc>
      </w:tr>
      <w:tr w:rsidR="002444B3" w:rsidRPr="00370E70" w:rsidTr="00BC26AE">
        <w:trPr>
          <w:trHeight w:val="284"/>
          <w:jc w:val="center"/>
        </w:trPr>
        <w:tc>
          <w:tcPr>
            <w:tcW w:w="1559" w:type="dxa"/>
            <w:vMerge/>
            <w:noWrap/>
            <w:vAlign w:val="center"/>
          </w:tcPr>
          <w:p w:rsidR="002444B3" w:rsidRPr="00370E70" w:rsidRDefault="002444B3" w:rsidP="00034AD4">
            <w:pPr>
              <w:spacing w:before="0" w:after="0"/>
              <w:jc w:val="center"/>
              <w:rPr>
                <w:sz w:val="18"/>
                <w:szCs w:val="18"/>
              </w:rPr>
            </w:pPr>
          </w:p>
        </w:tc>
        <w:tc>
          <w:tcPr>
            <w:tcW w:w="1121" w:type="dxa"/>
            <w:vMerge/>
            <w:vAlign w:val="center"/>
          </w:tcPr>
          <w:p w:rsidR="002444B3" w:rsidRPr="00370E70" w:rsidRDefault="002444B3" w:rsidP="00034AD4">
            <w:pPr>
              <w:spacing w:before="0" w:after="0"/>
              <w:jc w:val="center"/>
              <w:rPr>
                <w:sz w:val="18"/>
                <w:szCs w:val="18"/>
              </w:rPr>
            </w:pPr>
          </w:p>
        </w:tc>
        <w:tc>
          <w:tcPr>
            <w:tcW w:w="1637" w:type="dxa"/>
            <w:vAlign w:val="center"/>
          </w:tcPr>
          <w:p w:rsidR="002444B3" w:rsidRPr="00370E70" w:rsidRDefault="002444B3" w:rsidP="00AD358A">
            <w:pPr>
              <w:spacing w:before="0" w:after="0"/>
              <w:jc w:val="center"/>
              <w:rPr>
                <w:sz w:val="18"/>
                <w:szCs w:val="18"/>
              </w:rPr>
            </w:pPr>
            <w:smartTag w:uri="urn:schemas-microsoft-com:office:smarttags" w:element="place">
              <w:smartTag w:uri="urn:schemas-microsoft-com:office:smarttags" w:element="PlaceName">
                <w:r>
                  <w:rPr>
                    <w:sz w:val="18"/>
                    <w:szCs w:val="18"/>
                  </w:rPr>
                  <w:t>Bowling Green</w:t>
                </w:r>
              </w:smartTag>
              <w:r>
                <w:rPr>
                  <w:sz w:val="18"/>
                  <w:szCs w:val="18"/>
                </w:rPr>
                <w:t xml:space="preserve"> </w:t>
              </w:r>
              <w:smartTag w:uri="urn:schemas-microsoft-com:office:smarttags" w:element="PlaceType">
                <w:r>
                  <w:rPr>
                    <w:sz w:val="18"/>
                    <w:szCs w:val="18"/>
                  </w:rPr>
                  <w:t>Bay</w:t>
                </w:r>
              </w:smartTag>
            </w:smartTag>
          </w:p>
        </w:tc>
        <w:tc>
          <w:tcPr>
            <w:tcW w:w="883" w:type="dxa"/>
            <w:vAlign w:val="center"/>
          </w:tcPr>
          <w:p w:rsidR="002444B3" w:rsidRPr="00370E70" w:rsidRDefault="002444B3" w:rsidP="00AD358A">
            <w:pPr>
              <w:spacing w:before="0" w:after="0"/>
              <w:jc w:val="center"/>
              <w:rPr>
                <w:sz w:val="18"/>
                <w:szCs w:val="18"/>
              </w:rPr>
            </w:pPr>
            <w:r w:rsidRPr="00370E70">
              <w:rPr>
                <w:sz w:val="18"/>
                <w:szCs w:val="18"/>
              </w:rPr>
              <w:t>Coast</w:t>
            </w:r>
          </w:p>
        </w:tc>
        <w:tc>
          <w:tcPr>
            <w:tcW w:w="893" w:type="dxa"/>
            <w:vAlign w:val="center"/>
          </w:tcPr>
          <w:p w:rsidR="002444B3" w:rsidRPr="00370E70" w:rsidRDefault="002444B3" w:rsidP="00AD358A">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020F54">
            <w:pPr>
              <w:spacing w:before="0" w:after="0"/>
              <w:jc w:val="center"/>
              <w:rPr>
                <w:sz w:val="18"/>
                <w:szCs w:val="18"/>
              </w:rP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A43D84">
            <w:pPr>
              <w:spacing w:before="0" w:after="0"/>
              <w:jc w:val="center"/>
              <w:rPr>
                <w:sz w:val="18"/>
                <w:szCs w:val="18"/>
              </w:rPr>
            </w:pPr>
            <w:r w:rsidRPr="00370E70">
              <w:rPr>
                <w:sz w:val="18"/>
                <w:szCs w:val="18"/>
              </w:rPr>
              <w:sym w:font="Wingdings" w:char="F0A8"/>
            </w:r>
          </w:p>
        </w:tc>
        <w:tc>
          <w:tcPr>
            <w:tcW w:w="487" w:type="dxa"/>
            <w:vAlign w:val="center"/>
          </w:tcPr>
          <w:p w:rsidR="002444B3" w:rsidRPr="00370E70" w:rsidRDefault="002444B3" w:rsidP="00A43D84">
            <w:pPr>
              <w:spacing w:before="0" w:after="0"/>
              <w:jc w:val="center"/>
              <w:rPr>
                <w:sz w:val="18"/>
                <w:szCs w:val="18"/>
              </w:rPr>
            </w:pPr>
            <w:r w:rsidRPr="00370E70">
              <w:sym w:font="Wingdings" w:char="F06E"/>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930DB3">
            <w:pPr>
              <w:spacing w:before="0" w:after="0"/>
              <w:jc w:val="center"/>
              <w:rPr>
                <w:sz w:val="18"/>
                <w:szCs w:val="18"/>
              </w:rPr>
            </w:pPr>
          </w:p>
        </w:tc>
        <w:tc>
          <w:tcPr>
            <w:tcW w:w="487" w:type="dxa"/>
            <w:noWrap/>
            <w:vAlign w:val="center"/>
          </w:tcPr>
          <w:p w:rsidR="002444B3" w:rsidRPr="00370E70" w:rsidRDefault="002444B3" w:rsidP="00A43D84">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val="restart"/>
            <w:shd w:val="clear" w:color="auto" w:fill="F3F3F3"/>
            <w:noWrap/>
            <w:vAlign w:val="center"/>
          </w:tcPr>
          <w:p w:rsidR="002444B3" w:rsidRPr="00370E70" w:rsidRDefault="002444B3" w:rsidP="00034AD4">
            <w:pPr>
              <w:spacing w:before="0" w:after="0"/>
              <w:jc w:val="center"/>
              <w:rPr>
                <w:sz w:val="18"/>
                <w:szCs w:val="18"/>
              </w:rPr>
            </w:pPr>
            <w:r w:rsidRPr="00370E70">
              <w:rPr>
                <w:sz w:val="18"/>
                <w:szCs w:val="18"/>
              </w:rPr>
              <w:t>Mackay Whitsunday</w:t>
            </w:r>
          </w:p>
        </w:tc>
        <w:tc>
          <w:tcPr>
            <w:tcW w:w="1121" w:type="dxa"/>
            <w:vMerge w:val="restart"/>
            <w:shd w:val="clear" w:color="auto" w:fill="F3F3F3"/>
            <w:vAlign w:val="center"/>
          </w:tcPr>
          <w:p w:rsidR="002444B3" w:rsidRPr="00370E70" w:rsidRDefault="002444B3" w:rsidP="00034AD4">
            <w:pPr>
              <w:spacing w:before="0" w:after="0"/>
              <w:jc w:val="center"/>
              <w:rPr>
                <w:sz w:val="18"/>
                <w:szCs w:val="18"/>
              </w:rPr>
            </w:pPr>
            <w:r w:rsidRPr="00370E70">
              <w:rPr>
                <w:sz w:val="18"/>
                <w:szCs w:val="18"/>
              </w:rPr>
              <w:t>Proserpine</w:t>
            </w:r>
          </w:p>
        </w:tc>
        <w:tc>
          <w:tcPr>
            <w:tcW w:w="1637" w:type="dxa"/>
            <w:shd w:val="clear" w:color="auto" w:fill="F3F3F3"/>
            <w:vAlign w:val="center"/>
          </w:tcPr>
          <w:p w:rsidR="002444B3" w:rsidRPr="00370E70" w:rsidRDefault="002E1AA7" w:rsidP="00034AD4">
            <w:pPr>
              <w:spacing w:before="0" w:after="0"/>
              <w:jc w:val="center"/>
              <w:rPr>
                <w:sz w:val="18"/>
                <w:szCs w:val="18"/>
              </w:rPr>
            </w:pPr>
            <w:smartTag w:uri="urn:schemas-microsoft-com:office:smarttags" w:element="place">
              <w:smartTag w:uri="urn:schemas-microsoft-com:office:smarttags" w:element="PlaceName">
                <w:r>
                  <w:rPr>
                    <w:sz w:val="18"/>
                    <w:szCs w:val="18"/>
                  </w:rPr>
                  <w:t>Pioneer</w:t>
                </w:r>
              </w:smartTag>
              <w:r>
                <w:rPr>
                  <w:sz w:val="18"/>
                  <w:szCs w:val="18"/>
                </w:rPr>
                <w:t xml:space="preserve"> </w:t>
              </w:r>
              <w:smartTag w:uri="urn:schemas-microsoft-com:office:smarttags" w:element="PlaceType">
                <w:r>
                  <w:rPr>
                    <w:sz w:val="18"/>
                    <w:szCs w:val="18"/>
                  </w:rPr>
                  <w:t>Bay</w:t>
                </w:r>
              </w:smartTag>
            </w:smartTag>
          </w:p>
        </w:tc>
        <w:tc>
          <w:tcPr>
            <w:tcW w:w="883"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Coast</w:t>
            </w:r>
          </w:p>
        </w:tc>
        <w:tc>
          <w:tcPr>
            <w:tcW w:w="893" w:type="dxa"/>
            <w:shd w:val="clear" w:color="auto" w:fill="F3F3F3"/>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sym w:font="Wingdings" w:char="F06E"/>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930DB3">
            <w:pPr>
              <w:spacing w:before="0" w:after="0"/>
              <w:jc w:val="center"/>
            </w:pPr>
          </w:p>
        </w:tc>
        <w:tc>
          <w:tcPr>
            <w:tcW w:w="487" w:type="dxa"/>
            <w:shd w:val="clear" w:color="auto" w:fill="F3F3F3"/>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shd w:val="clear" w:color="auto" w:fill="F3F3F3"/>
            <w:noWrap/>
            <w:vAlign w:val="center"/>
          </w:tcPr>
          <w:p w:rsidR="002444B3" w:rsidRPr="00370E70" w:rsidRDefault="002444B3" w:rsidP="00034AD4">
            <w:pPr>
              <w:spacing w:before="0" w:after="0"/>
              <w:jc w:val="center"/>
              <w:rPr>
                <w:sz w:val="18"/>
                <w:szCs w:val="18"/>
              </w:rPr>
            </w:pPr>
          </w:p>
        </w:tc>
        <w:tc>
          <w:tcPr>
            <w:tcW w:w="1121" w:type="dxa"/>
            <w:vMerge/>
            <w:shd w:val="clear" w:color="auto" w:fill="F3F3F3"/>
            <w:vAlign w:val="center"/>
          </w:tcPr>
          <w:p w:rsidR="002444B3" w:rsidRPr="00370E70" w:rsidRDefault="002444B3" w:rsidP="00034AD4">
            <w:pPr>
              <w:spacing w:before="0" w:after="0"/>
              <w:jc w:val="center"/>
              <w:rPr>
                <w:sz w:val="18"/>
                <w:szCs w:val="18"/>
              </w:rPr>
            </w:pPr>
          </w:p>
        </w:tc>
        <w:tc>
          <w:tcPr>
            <w:tcW w:w="1637" w:type="dxa"/>
            <w:shd w:val="clear" w:color="auto" w:fill="F3F3F3"/>
            <w:vAlign w:val="center"/>
          </w:tcPr>
          <w:p w:rsidR="002444B3" w:rsidRPr="00370E70" w:rsidRDefault="002E1AA7" w:rsidP="00034AD4">
            <w:pPr>
              <w:spacing w:before="0" w:after="0"/>
              <w:jc w:val="center"/>
              <w:rPr>
                <w:sz w:val="18"/>
                <w:szCs w:val="18"/>
              </w:rPr>
            </w:pPr>
            <w:smartTag w:uri="urn:schemas-microsoft-com:office:smarttags" w:element="place">
              <w:smartTag w:uri="urn:schemas-microsoft-com:office:smarttags" w:element="PlaceName">
                <w:r>
                  <w:rPr>
                    <w:sz w:val="18"/>
                    <w:szCs w:val="18"/>
                  </w:rPr>
                  <w:t>Hamilton</w:t>
                </w:r>
              </w:smartTag>
              <w:r>
                <w:rPr>
                  <w:sz w:val="18"/>
                  <w:szCs w:val="18"/>
                </w:rPr>
                <w:t xml:space="preserve"> </w:t>
              </w:r>
              <w:smartTag w:uri="urn:schemas-microsoft-com:office:smarttags" w:element="PlaceType">
                <w:r>
                  <w:rPr>
                    <w:sz w:val="18"/>
                    <w:szCs w:val="18"/>
                  </w:rPr>
                  <w:t>Island</w:t>
                </w:r>
              </w:smartTag>
            </w:smartTag>
          </w:p>
        </w:tc>
        <w:tc>
          <w:tcPr>
            <w:tcW w:w="883"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Reef</w:t>
            </w:r>
          </w:p>
        </w:tc>
        <w:tc>
          <w:tcPr>
            <w:tcW w:w="893" w:type="dxa"/>
            <w:shd w:val="clear" w:color="auto" w:fill="F3F3F3"/>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sym w:font="Wingdings" w:char="F06E"/>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930DB3">
            <w:pPr>
              <w:spacing w:before="0" w:after="0"/>
              <w:jc w:val="center"/>
            </w:pPr>
          </w:p>
        </w:tc>
        <w:tc>
          <w:tcPr>
            <w:tcW w:w="487" w:type="dxa"/>
            <w:shd w:val="clear" w:color="auto" w:fill="F3F3F3"/>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shd w:val="clear" w:color="auto" w:fill="F3F3F3"/>
            <w:noWrap/>
            <w:vAlign w:val="center"/>
          </w:tcPr>
          <w:p w:rsidR="002444B3" w:rsidRPr="00370E70" w:rsidRDefault="002444B3" w:rsidP="00034AD4">
            <w:pPr>
              <w:spacing w:before="0" w:after="0"/>
              <w:jc w:val="center"/>
              <w:rPr>
                <w:sz w:val="18"/>
                <w:szCs w:val="18"/>
              </w:rPr>
            </w:pPr>
          </w:p>
        </w:tc>
        <w:tc>
          <w:tcPr>
            <w:tcW w:w="1121"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Pioneer</w:t>
            </w:r>
          </w:p>
        </w:tc>
        <w:tc>
          <w:tcPr>
            <w:tcW w:w="1637" w:type="dxa"/>
            <w:shd w:val="clear" w:color="auto" w:fill="F3F3F3"/>
            <w:vAlign w:val="center"/>
          </w:tcPr>
          <w:p w:rsidR="002444B3" w:rsidRPr="00370E70" w:rsidRDefault="002E1AA7" w:rsidP="00034AD4">
            <w:pPr>
              <w:spacing w:before="0" w:after="0"/>
              <w:jc w:val="center"/>
              <w:rPr>
                <w:sz w:val="18"/>
                <w:szCs w:val="18"/>
              </w:rPr>
            </w:pPr>
            <w:r>
              <w:rPr>
                <w:sz w:val="18"/>
                <w:szCs w:val="18"/>
              </w:rPr>
              <w:t>Sarina Inlet</w:t>
            </w:r>
          </w:p>
        </w:tc>
        <w:tc>
          <w:tcPr>
            <w:tcW w:w="883"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Estuary</w:t>
            </w:r>
          </w:p>
        </w:tc>
        <w:tc>
          <w:tcPr>
            <w:tcW w:w="893" w:type="dxa"/>
            <w:shd w:val="clear" w:color="auto" w:fill="F3F3F3"/>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rPr>
                <w:sz w:val="18"/>
                <w:szCs w:val="18"/>
              </w:rPr>
              <w:sym w:font="Wingdings" w:char="F0A8"/>
            </w: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sym w:font="Wingdings" w:char="F06E"/>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930DB3">
            <w:pPr>
              <w:spacing w:before="0" w:after="0"/>
              <w:jc w:val="center"/>
            </w:pPr>
          </w:p>
        </w:tc>
        <w:tc>
          <w:tcPr>
            <w:tcW w:w="487" w:type="dxa"/>
            <w:shd w:val="clear" w:color="auto" w:fill="F3F3F3"/>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val="restart"/>
            <w:noWrap/>
            <w:vAlign w:val="center"/>
          </w:tcPr>
          <w:p w:rsidR="002444B3" w:rsidRPr="00370E70" w:rsidRDefault="002444B3" w:rsidP="00034AD4">
            <w:pPr>
              <w:spacing w:before="0" w:after="0"/>
              <w:jc w:val="center"/>
              <w:rPr>
                <w:sz w:val="18"/>
                <w:szCs w:val="18"/>
              </w:rPr>
            </w:pPr>
            <w:r w:rsidRPr="00370E70">
              <w:rPr>
                <w:sz w:val="18"/>
                <w:szCs w:val="18"/>
              </w:rPr>
              <w:t xml:space="preserve">Fitzroy </w:t>
            </w:r>
          </w:p>
        </w:tc>
        <w:tc>
          <w:tcPr>
            <w:tcW w:w="1121" w:type="dxa"/>
            <w:vMerge w:val="restart"/>
            <w:vAlign w:val="center"/>
          </w:tcPr>
          <w:p w:rsidR="002444B3" w:rsidRPr="00370E70" w:rsidRDefault="002444B3" w:rsidP="00034AD4">
            <w:pPr>
              <w:spacing w:before="0" w:after="0"/>
              <w:jc w:val="center"/>
              <w:rPr>
                <w:sz w:val="18"/>
                <w:szCs w:val="18"/>
              </w:rPr>
            </w:pPr>
            <w:r w:rsidRPr="00370E70">
              <w:rPr>
                <w:sz w:val="18"/>
                <w:szCs w:val="18"/>
              </w:rPr>
              <w:t>Fitzroy</w:t>
            </w:r>
          </w:p>
        </w:tc>
        <w:tc>
          <w:tcPr>
            <w:tcW w:w="1637" w:type="dxa"/>
            <w:vAlign w:val="center"/>
          </w:tcPr>
          <w:p w:rsidR="002444B3" w:rsidRPr="00370E70" w:rsidRDefault="002444B3"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Shoalwater</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vAlign w:val="center"/>
          </w:tcPr>
          <w:p w:rsidR="002444B3" w:rsidRPr="00370E70" w:rsidRDefault="002444B3" w:rsidP="00034AD4">
            <w:pPr>
              <w:spacing w:before="0" w:after="0"/>
              <w:jc w:val="center"/>
              <w:rPr>
                <w:sz w:val="18"/>
                <w:szCs w:val="18"/>
              </w:rPr>
            </w:pPr>
            <w:r w:rsidRPr="00370E70">
              <w:rPr>
                <w:sz w:val="18"/>
                <w:szCs w:val="18"/>
              </w:rPr>
              <w:t>Coast</w:t>
            </w:r>
          </w:p>
        </w:tc>
        <w:tc>
          <w:tcPr>
            <w:tcW w:w="893" w:type="dxa"/>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rPr>
                <w:sz w:val="18"/>
                <w:szCs w:val="18"/>
              </w:rPr>
            </w:pPr>
            <w:r w:rsidRPr="00370E70">
              <w:rPr>
                <w:sz w:val="18"/>
                <w:szCs w:val="18"/>
              </w:rPr>
              <w:sym w:font="Wingdings" w:char="F0A8"/>
            </w:r>
            <w:r w:rsidRPr="00370E70">
              <w:t>*</w:t>
            </w:r>
          </w:p>
        </w:tc>
        <w:tc>
          <w:tcPr>
            <w:tcW w:w="487" w:type="dxa"/>
            <w:vAlign w:val="center"/>
          </w:tcPr>
          <w:p w:rsidR="002444B3" w:rsidRPr="00370E70" w:rsidRDefault="002444B3" w:rsidP="00020F54">
            <w:pPr>
              <w:spacing w:before="0" w:after="0"/>
              <w:jc w:val="center"/>
              <w:rPr>
                <w:sz w:val="18"/>
                <w:szCs w:val="18"/>
              </w:rPr>
            </w:pPr>
            <w:r w:rsidRPr="00370E70">
              <w:rPr>
                <w:sz w:val="18"/>
                <w:szCs w:val="18"/>
              </w:rPr>
              <w:sym w:font="Wingdings" w:char="F0A8"/>
            </w:r>
            <w:r w:rsidRPr="00370E70">
              <w:t>*</w:t>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930DB3">
            <w:pPr>
              <w:spacing w:before="0" w:after="0"/>
              <w:jc w:val="center"/>
            </w:pPr>
          </w:p>
        </w:tc>
        <w:tc>
          <w:tcPr>
            <w:tcW w:w="487" w:type="dxa"/>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noWrap/>
            <w:vAlign w:val="center"/>
          </w:tcPr>
          <w:p w:rsidR="002444B3" w:rsidRPr="00370E70" w:rsidRDefault="002444B3" w:rsidP="00034AD4">
            <w:pPr>
              <w:spacing w:before="0" w:after="0"/>
              <w:jc w:val="center"/>
              <w:rPr>
                <w:sz w:val="18"/>
                <w:szCs w:val="18"/>
              </w:rPr>
            </w:pPr>
          </w:p>
        </w:tc>
        <w:tc>
          <w:tcPr>
            <w:tcW w:w="1121" w:type="dxa"/>
            <w:vMerge/>
            <w:vAlign w:val="center"/>
          </w:tcPr>
          <w:p w:rsidR="002444B3" w:rsidRPr="00370E70" w:rsidRDefault="002444B3" w:rsidP="00034AD4">
            <w:pPr>
              <w:spacing w:before="0" w:after="0"/>
              <w:jc w:val="center"/>
              <w:rPr>
                <w:sz w:val="18"/>
                <w:szCs w:val="18"/>
              </w:rPr>
            </w:pPr>
          </w:p>
        </w:tc>
        <w:tc>
          <w:tcPr>
            <w:tcW w:w="1637" w:type="dxa"/>
            <w:vAlign w:val="center"/>
          </w:tcPr>
          <w:p w:rsidR="002444B3" w:rsidRPr="00370E70" w:rsidRDefault="002444B3"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Keppel</w:t>
                </w:r>
              </w:smartTag>
              <w:r w:rsidRPr="00370E70">
                <w:rPr>
                  <w:sz w:val="18"/>
                  <w:szCs w:val="18"/>
                </w:rPr>
                <w:t xml:space="preserve"> </w:t>
              </w:r>
              <w:smartTag w:uri="urn:schemas-microsoft-com:office:smarttags" w:element="PlaceType">
                <w:r w:rsidRPr="00370E70">
                  <w:rPr>
                    <w:sz w:val="18"/>
                    <w:szCs w:val="18"/>
                  </w:rPr>
                  <w:t>Islands</w:t>
                </w:r>
              </w:smartTag>
            </w:smartTag>
          </w:p>
        </w:tc>
        <w:tc>
          <w:tcPr>
            <w:tcW w:w="883" w:type="dxa"/>
            <w:vAlign w:val="center"/>
          </w:tcPr>
          <w:p w:rsidR="002444B3" w:rsidRPr="00370E70" w:rsidRDefault="002444B3" w:rsidP="00034AD4">
            <w:pPr>
              <w:spacing w:before="0" w:after="0"/>
              <w:jc w:val="center"/>
              <w:rPr>
                <w:sz w:val="18"/>
                <w:szCs w:val="18"/>
              </w:rPr>
            </w:pPr>
            <w:r w:rsidRPr="00370E70">
              <w:rPr>
                <w:sz w:val="18"/>
                <w:szCs w:val="18"/>
              </w:rPr>
              <w:t>Reef</w:t>
            </w:r>
          </w:p>
        </w:tc>
        <w:tc>
          <w:tcPr>
            <w:tcW w:w="893" w:type="dxa"/>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r w:rsidRPr="00370E70">
              <w:rPr>
                <w:sz w:val="18"/>
                <w:szCs w:val="18"/>
              </w:rPr>
              <w:sym w:font="Wingdings" w:char="F0A8"/>
            </w:r>
          </w:p>
        </w:tc>
        <w:tc>
          <w:tcPr>
            <w:tcW w:w="487" w:type="dxa"/>
            <w:vAlign w:val="center"/>
          </w:tcPr>
          <w:p w:rsidR="002444B3" w:rsidRPr="00370E70" w:rsidRDefault="002444B3" w:rsidP="00020F54">
            <w:pPr>
              <w:spacing w:before="0" w:after="0"/>
              <w:jc w:val="center"/>
              <w:rPr>
                <w:sz w:val="18"/>
                <w:szCs w:val="18"/>
              </w:rPr>
            </w:pPr>
            <w:r w:rsidRPr="00370E70">
              <w:sym w:font="Wingdings" w:char="F06E"/>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930DB3">
            <w:pPr>
              <w:spacing w:before="0" w:after="0"/>
              <w:jc w:val="center"/>
            </w:pPr>
          </w:p>
        </w:tc>
        <w:tc>
          <w:tcPr>
            <w:tcW w:w="487" w:type="dxa"/>
            <w:noWrap/>
            <w:vAlign w:val="center"/>
          </w:tcPr>
          <w:p w:rsidR="002444B3" w:rsidRPr="00370E70" w:rsidRDefault="002444B3" w:rsidP="00053C3F">
            <w:pPr>
              <w:spacing w:before="0" w:after="0"/>
              <w:jc w:val="center"/>
            </w:pPr>
            <w:r w:rsidRPr="00370E70">
              <w:sym w:font="Wingdings" w:char="F06E"/>
            </w:r>
          </w:p>
        </w:tc>
      </w:tr>
      <w:tr w:rsidR="002444B3" w:rsidRPr="00370E70" w:rsidTr="00BC26AE">
        <w:trPr>
          <w:trHeight w:val="284"/>
          <w:jc w:val="center"/>
        </w:trPr>
        <w:tc>
          <w:tcPr>
            <w:tcW w:w="1559" w:type="dxa"/>
            <w:vMerge/>
            <w:noWrap/>
            <w:vAlign w:val="center"/>
          </w:tcPr>
          <w:p w:rsidR="002444B3" w:rsidRPr="00370E70" w:rsidRDefault="002444B3" w:rsidP="00034AD4">
            <w:pPr>
              <w:spacing w:before="0" w:after="0"/>
              <w:jc w:val="center"/>
              <w:rPr>
                <w:sz w:val="18"/>
                <w:szCs w:val="18"/>
              </w:rPr>
            </w:pPr>
          </w:p>
        </w:tc>
        <w:tc>
          <w:tcPr>
            <w:tcW w:w="1121" w:type="dxa"/>
            <w:vAlign w:val="center"/>
          </w:tcPr>
          <w:p w:rsidR="002444B3" w:rsidRPr="00370E70" w:rsidRDefault="002444B3" w:rsidP="00034AD4">
            <w:pPr>
              <w:spacing w:before="0" w:after="0"/>
              <w:jc w:val="center"/>
              <w:rPr>
                <w:sz w:val="18"/>
                <w:szCs w:val="18"/>
              </w:rPr>
            </w:pPr>
            <w:smartTag w:uri="urn:schemas-microsoft-com:office:smarttags" w:element="place">
              <w:r w:rsidRPr="00370E70">
                <w:rPr>
                  <w:sz w:val="18"/>
                  <w:szCs w:val="18"/>
                </w:rPr>
                <w:t>Boyne</w:t>
              </w:r>
            </w:smartTag>
          </w:p>
        </w:tc>
        <w:tc>
          <w:tcPr>
            <w:tcW w:w="1637" w:type="dxa"/>
            <w:vAlign w:val="center"/>
          </w:tcPr>
          <w:p w:rsidR="002444B3" w:rsidRPr="00370E70" w:rsidRDefault="002444B3" w:rsidP="00034AD4">
            <w:pPr>
              <w:spacing w:before="0" w:after="0"/>
              <w:jc w:val="center"/>
              <w:rPr>
                <w:sz w:val="18"/>
                <w:szCs w:val="18"/>
              </w:rPr>
            </w:pPr>
            <w:smartTag w:uri="urn:schemas-microsoft-com:office:smarttags" w:element="place">
              <w:smartTag w:uri="urn:schemas-microsoft-com:office:smarttags" w:element="City">
                <w:r w:rsidRPr="00370E70">
                  <w:rPr>
                    <w:sz w:val="18"/>
                    <w:szCs w:val="18"/>
                  </w:rPr>
                  <w:t>Gladstone</w:t>
                </w:r>
              </w:smartTag>
            </w:smartTag>
          </w:p>
        </w:tc>
        <w:tc>
          <w:tcPr>
            <w:tcW w:w="883" w:type="dxa"/>
            <w:vAlign w:val="center"/>
          </w:tcPr>
          <w:p w:rsidR="002444B3" w:rsidRPr="00370E70" w:rsidRDefault="002444B3" w:rsidP="00034AD4">
            <w:pPr>
              <w:spacing w:before="0" w:after="0"/>
              <w:jc w:val="center"/>
              <w:rPr>
                <w:sz w:val="18"/>
                <w:szCs w:val="18"/>
              </w:rPr>
            </w:pPr>
            <w:r w:rsidRPr="00370E70">
              <w:rPr>
                <w:sz w:val="18"/>
                <w:szCs w:val="18"/>
              </w:rPr>
              <w:t>Estuary</w:t>
            </w:r>
          </w:p>
        </w:tc>
        <w:tc>
          <w:tcPr>
            <w:tcW w:w="893" w:type="dxa"/>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020F54">
            <w:pPr>
              <w:spacing w:before="0" w:after="0"/>
              <w:jc w:val="center"/>
            </w:pPr>
            <w:r w:rsidRPr="00370E70">
              <w:rPr>
                <w:sz w:val="18"/>
                <w:szCs w:val="18"/>
              </w:rPr>
              <w:sym w:font="Wingdings" w:char="F0A8"/>
            </w:r>
          </w:p>
        </w:tc>
        <w:tc>
          <w:tcPr>
            <w:tcW w:w="487" w:type="dxa"/>
            <w:vAlign w:val="center"/>
          </w:tcPr>
          <w:p w:rsidR="002444B3" w:rsidRPr="00370E70" w:rsidRDefault="002444B3" w:rsidP="00020F54">
            <w:pPr>
              <w:spacing w:before="0" w:after="0"/>
              <w:jc w:val="center"/>
              <w:rPr>
                <w:sz w:val="18"/>
                <w:szCs w:val="18"/>
              </w:rPr>
            </w:pPr>
            <w:r w:rsidRPr="00370E70">
              <w:rPr>
                <w:sz w:val="18"/>
                <w:szCs w:val="18"/>
              </w:rPr>
              <w:sym w:font="Wingdings" w:char="F0A8"/>
            </w:r>
            <w:r w:rsidRPr="00370E70">
              <w:t>*</w:t>
            </w:r>
          </w:p>
        </w:tc>
        <w:tc>
          <w:tcPr>
            <w:tcW w:w="487" w:type="dxa"/>
            <w:vAlign w:val="center"/>
          </w:tcPr>
          <w:p w:rsidR="002444B3" w:rsidRPr="00370E70" w:rsidRDefault="002444B3" w:rsidP="00020F54">
            <w:pPr>
              <w:spacing w:before="0" w:after="0"/>
              <w:jc w:val="center"/>
            </w:pPr>
          </w:p>
        </w:tc>
        <w:tc>
          <w:tcPr>
            <w:tcW w:w="487" w:type="dxa"/>
            <w:vAlign w:val="center"/>
          </w:tcPr>
          <w:p w:rsidR="002444B3" w:rsidRPr="00370E70" w:rsidRDefault="002444B3" w:rsidP="00930DB3">
            <w:pPr>
              <w:spacing w:before="0" w:after="0"/>
              <w:jc w:val="center"/>
            </w:pPr>
          </w:p>
        </w:tc>
        <w:tc>
          <w:tcPr>
            <w:tcW w:w="487" w:type="dxa"/>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val="restart"/>
            <w:shd w:val="clear" w:color="auto" w:fill="F3F3F3"/>
            <w:noWrap/>
            <w:vAlign w:val="center"/>
          </w:tcPr>
          <w:p w:rsidR="002444B3" w:rsidRPr="00370E70" w:rsidRDefault="002444B3" w:rsidP="00034AD4">
            <w:pPr>
              <w:spacing w:before="0" w:after="0"/>
              <w:jc w:val="center"/>
              <w:rPr>
                <w:sz w:val="18"/>
                <w:szCs w:val="18"/>
              </w:rPr>
            </w:pPr>
            <w:r w:rsidRPr="00370E70">
              <w:rPr>
                <w:sz w:val="18"/>
                <w:szCs w:val="18"/>
              </w:rPr>
              <w:t>Burnett Mary</w:t>
            </w:r>
          </w:p>
        </w:tc>
        <w:tc>
          <w:tcPr>
            <w:tcW w:w="1121"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Burnett</w:t>
            </w:r>
          </w:p>
        </w:tc>
        <w:tc>
          <w:tcPr>
            <w:tcW w:w="1637" w:type="dxa"/>
            <w:shd w:val="clear" w:color="auto" w:fill="F3F3F3"/>
            <w:vAlign w:val="center"/>
          </w:tcPr>
          <w:p w:rsidR="002444B3" w:rsidRPr="00370E70" w:rsidRDefault="002444B3"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Rodds</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Estuary</w:t>
            </w:r>
          </w:p>
        </w:tc>
        <w:tc>
          <w:tcPr>
            <w:tcW w:w="893" w:type="dxa"/>
            <w:shd w:val="clear" w:color="auto" w:fill="F3F3F3"/>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r w:rsidRPr="00370E70">
              <w:rPr>
                <w:sz w:val="18"/>
                <w:szCs w:val="18"/>
              </w:rPr>
              <w:sym w:font="Wingdings" w:char="F0A8"/>
            </w:r>
          </w:p>
        </w:tc>
        <w:tc>
          <w:tcPr>
            <w:tcW w:w="487" w:type="dxa"/>
            <w:shd w:val="clear" w:color="auto" w:fill="F3F3F3"/>
            <w:vAlign w:val="center"/>
          </w:tcPr>
          <w:p w:rsidR="002444B3" w:rsidRPr="00370E70" w:rsidRDefault="002444B3" w:rsidP="00020F54">
            <w:pPr>
              <w:spacing w:before="0" w:after="0"/>
              <w:jc w:val="center"/>
              <w:rPr>
                <w:sz w:val="18"/>
                <w:szCs w:val="18"/>
              </w:rP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930DB3">
            <w:pPr>
              <w:spacing w:before="0" w:after="0"/>
              <w:jc w:val="center"/>
            </w:pPr>
          </w:p>
        </w:tc>
        <w:tc>
          <w:tcPr>
            <w:tcW w:w="487" w:type="dxa"/>
            <w:shd w:val="clear" w:color="auto" w:fill="F3F3F3"/>
            <w:noWrap/>
            <w:vAlign w:val="center"/>
          </w:tcPr>
          <w:p w:rsidR="002444B3" w:rsidRPr="00370E70" w:rsidRDefault="002444B3" w:rsidP="00053C3F">
            <w:pPr>
              <w:spacing w:before="0" w:after="0"/>
              <w:jc w:val="center"/>
              <w:rPr>
                <w:sz w:val="18"/>
                <w:szCs w:val="18"/>
              </w:rPr>
            </w:pPr>
            <w:r w:rsidRPr="00370E70">
              <w:sym w:font="Wingdings" w:char="F06E"/>
            </w:r>
          </w:p>
        </w:tc>
      </w:tr>
      <w:tr w:rsidR="002444B3" w:rsidRPr="00370E70" w:rsidTr="00BC26AE">
        <w:trPr>
          <w:trHeight w:val="284"/>
          <w:jc w:val="center"/>
        </w:trPr>
        <w:tc>
          <w:tcPr>
            <w:tcW w:w="1559" w:type="dxa"/>
            <w:vMerge/>
            <w:shd w:val="clear" w:color="auto" w:fill="F3F3F3"/>
            <w:noWrap/>
            <w:vAlign w:val="center"/>
          </w:tcPr>
          <w:p w:rsidR="002444B3" w:rsidRPr="00370E70" w:rsidRDefault="002444B3" w:rsidP="00034AD4">
            <w:pPr>
              <w:spacing w:before="0" w:after="0"/>
              <w:jc w:val="center"/>
              <w:rPr>
                <w:sz w:val="18"/>
                <w:szCs w:val="18"/>
              </w:rPr>
            </w:pPr>
          </w:p>
        </w:tc>
        <w:tc>
          <w:tcPr>
            <w:tcW w:w="1121"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Mary</w:t>
            </w:r>
          </w:p>
        </w:tc>
        <w:tc>
          <w:tcPr>
            <w:tcW w:w="1637" w:type="dxa"/>
            <w:shd w:val="clear" w:color="auto" w:fill="F3F3F3"/>
            <w:vAlign w:val="center"/>
          </w:tcPr>
          <w:p w:rsidR="002444B3" w:rsidRPr="00370E70" w:rsidRDefault="002444B3" w:rsidP="00034AD4">
            <w:pPr>
              <w:spacing w:before="0" w:after="0"/>
              <w:jc w:val="center"/>
              <w:rPr>
                <w:sz w:val="18"/>
                <w:szCs w:val="18"/>
              </w:rPr>
            </w:pPr>
            <w:smartTag w:uri="urn:schemas-microsoft-com:office:smarttags" w:element="place">
              <w:smartTag w:uri="urn:schemas-microsoft-com:office:smarttags" w:element="PlaceName">
                <w:r w:rsidRPr="00370E70">
                  <w:rPr>
                    <w:sz w:val="18"/>
                    <w:szCs w:val="18"/>
                  </w:rPr>
                  <w:t>Hervey</w:t>
                </w:r>
              </w:smartTag>
              <w:r w:rsidRPr="00370E70">
                <w:rPr>
                  <w:sz w:val="18"/>
                  <w:szCs w:val="18"/>
                </w:rPr>
                <w:t xml:space="preserve"> </w:t>
              </w:r>
              <w:smartTag w:uri="urn:schemas-microsoft-com:office:smarttags" w:element="PlaceType">
                <w:r w:rsidRPr="00370E70">
                  <w:rPr>
                    <w:sz w:val="18"/>
                    <w:szCs w:val="18"/>
                  </w:rPr>
                  <w:t>Bay</w:t>
                </w:r>
              </w:smartTag>
            </w:smartTag>
          </w:p>
        </w:tc>
        <w:tc>
          <w:tcPr>
            <w:tcW w:w="883" w:type="dxa"/>
            <w:shd w:val="clear" w:color="auto" w:fill="F3F3F3"/>
            <w:vAlign w:val="center"/>
          </w:tcPr>
          <w:p w:rsidR="002444B3" w:rsidRPr="00370E70" w:rsidRDefault="002444B3" w:rsidP="00034AD4">
            <w:pPr>
              <w:spacing w:before="0" w:after="0"/>
              <w:jc w:val="center"/>
              <w:rPr>
                <w:sz w:val="18"/>
                <w:szCs w:val="18"/>
              </w:rPr>
            </w:pPr>
            <w:r w:rsidRPr="00370E70">
              <w:rPr>
                <w:sz w:val="18"/>
                <w:szCs w:val="18"/>
              </w:rPr>
              <w:t>Estuary</w:t>
            </w:r>
          </w:p>
        </w:tc>
        <w:tc>
          <w:tcPr>
            <w:tcW w:w="893" w:type="dxa"/>
            <w:shd w:val="clear" w:color="auto" w:fill="F3F3F3"/>
            <w:vAlign w:val="center"/>
          </w:tcPr>
          <w:p w:rsidR="002444B3" w:rsidRPr="00370E70" w:rsidRDefault="002444B3" w:rsidP="00C716D1">
            <w:pPr>
              <w:spacing w:before="0" w:after="0"/>
              <w:jc w:val="center"/>
              <w:rPr>
                <w:sz w:val="18"/>
                <w:szCs w:val="18"/>
              </w:rPr>
            </w:pPr>
            <w:r w:rsidRPr="00370E70">
              <w:rPr>
                <w:sz w:val="18"/>
                <w:szCs w:val="18"/>
              </w:rPr>
              <w:t>intertidal</w:t>
            </w: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020F54">
            <w:pPr>
              <w:spacing w:before="0" w:after="0"/>
              <w:jc w:val="center"/>
              <w:rPr>
                <w:sz w:val="18"/>
                <w:szCs w:val="18"/>
              </w:rPr>
            </w:pPr>
            <w:r w:rsidRPr="00370E70">
              <w:rPr>
                <w:sz w:val="18"/>
                <w:szCs w:val="18"/>
              </w:rPr>
              <w:sym w:font="Wingdings" w:char="F0A8"/>
            </w:r>
            <w:r w:rsidRPr="00370E70">
              <w:t>*</w:t>
            </w:r>
          </w:p>
        </w:tc>
        <w:tc>
          <w:tcPr>
            <w:tcW w:w="487" w:type="dxa"/>
            <w:shd w:val="clear" w:color="auto" w:fill="F3F3F3"/>
            <w:vAlign w:val="center"/>
          </w:tcPr>
          <w:p w:rsidR="002444B3" w:rsidRPr="00370E70" w:rsidRDefault="002444B3" w:rsidP="00020F54">
            <w:pPr>
              <w:spacing w:before="0" w:after="0"/>
              <w:jc w:val="center"/>
              <w:rPr>
                <w:sz w:val="18"/>
                <w:szCs w:val="18"/>
              </w:rPr>
            </w:pPr>
          </w:p>
        </w:tc>
        <w:tc>
          <w:tcPr>
            <w:tcW w:w="487" w:type="dxa"/>
            <w:shd w:val="clear" w:color="auto" w:fill="F3F3F3"/>
            <w:vAlign w:val="center"/>
          </w:tcPr>
          <w:p w:rsidR="002444B3" w:rsidRPr="00370E70" w:rsidRDefault="002444B3" w:rsidP="00020F54">
            <w:pPr>
              <w:spacing w:before="0" w:after="0"/>
              <w:jc w:val="center"/>
            </w:pPr>
          </w:p>
        </w:tc>
        <w:tc>
          <w:tcPr>
            <w:tcW w:w="487" w:type="dxa"/>
            <w:shd w:val="clear" w:color="auto" w:fill="F3F3F3"/>
            <w:vAlign w:val="center"/>
          </w:tcPr>
          <w:p w:rsidR="002444B3" w:rsidRPr="00370E70" w:rsidRDefault="002444B3" w:rsidP="00930DB3">
            <w:pPr>
              <w:spacing w:before="0" w:after="0"/>
              <w:jc w:val="center"/>
            </w:pPr>
          </w:p>
        </w:tc>
        <w:tc>
          <w:tcPr>
            <w:tcW w:w="487" w:type="dxa"/>
            <w:shd w:val="clear" w:color="auto" w:fill="F3F3F3"/>
            <w:noWrap/>
            <w:vAlign w:val="center"/>
          </w:tcPr>
          <w:p w:rsidR="002444B3" w:rsidRPr="00370E70" w:rsidRDefault="002444B3" w:rsidP="00053C3F">
            <w:pPr>
              <w:spacing w:before="0" w:after="0"/>
              <w:jc w:val="center"/>
              <w:rPr>
                <w:sz w:val="18"/>
                <w:szCs w:val="18"/>
              </w:rPr>
            </w:pPr>
            <w:r w:rsidRPr="00370E70">
              <w:sym w:font="Wingdings" w:char="F06E"/>
            </w:r>
          </w:p>
        </w:tc>
      </w:tr>
    </w:tbl>
    <w:p w:rsidR="00E454F0" w:rsidRPr="00370E70" w:rsidRDefault="00E454F0" w:rsidP="00E454F0">
      <w:pPr>
        <w:spacing w:after="0"/>
        <w:rPr>
          <w:i/>
          <w:szCs w:val="22"/>
        </w:rPr>
      </w:pPr>
      <w:bookmarkStart w:id="63" w:name="_Toc184101946"/>
      <w:bookmarkStart w:id="64" w:name="_Toc232845894"/>
      <w:r w:rsidRPr="00160B27">
        <w:rPr>
          <w:i/>
          <w:szCs w:val="22"/>
          <w:lang w:val="it-IT"/>
        </w:rPr>
        <w:t xml:space="preserve">Zostera muelleri = Zostera muelleri </w:t>
      </w:r>
      <w:r w:rsidRPr="00160B27">
        <w:rPr>
          <w:szCs w:val="22"/>
          <w:lang w:val="it-IT"/>
        </w:rPr>
        <w:t>subsp</w:t>
      </w:r>
      <w:r w:rsidRPr="00160B27">
        <w:rPr>
          <w:i/>
          <w:szCs w:val="22"/>
          <w:lang w:val="it-IT"/>
        </w:rPr>
        <w:t xml:space="preserve">. capricorni, </w:t>
      </w:r>
      <w:r w:rsidR="005D70A5" w:rsidRPr="00160B27">
        <w:rPr>
          <w:i/>
          <w:szCs w:val="22"/>
          <w:lang w:val="it-IT"/>
        </w:rPr>
        <w:t>as revision of Zostera capricorni (</w:t>
      </w:r>
      <w:hyperlink w:anchor="_ENREF_108" w:tooltip="Jacobs, 2006 #9168" w:history="1">
        <w:r w:rsidR="00964A70" w:rsidRPr="00370E70">
          <w:rPr>
            <w:i/>
            <w:szCs w:val="22"/>
          </w:rPr>
          <w:fldChar w:fldCharType="begin"/>
        </w:r>
        <w:r w:rsidR="00964A70" w:rsidRPr="00160B27">
          <w:rPr>
            <w:i/>
            <w:szCs w:val="22"/>
            <w:lang w:val="it-IT"/>
          </w:rPr>
          <w:instrText xml:space="preserve"> ADDIN EN.CITE &lt;EndNote&gt;&lt;Cite&gt;&lt;Author&gt;Jacobs&lt;/Author&gt;&lt;Year&gt;2006&lt;/Year&gt;&lt;RecNum&gt;9168&lt;/RecNum&gt;&lt;DisplayText&gt;Jacobs&lt;style face="italic"&gt; et al.&lt;/style&gt; 2006&lt;/DisplayText&gt;&lt;record&gt;&lt;rec-number&gt;9168&lt;/rec-number&gt;&lt;foreign-keys&gt;&lt;key app="EN" db-id="0eve55x9y5vfd6e9dacxtew4eatve2dzds9a"&gt;9168&lt;/key&gt;&lt;/foreign-keys&gt;&lt;ref-type name="Journal Article"&gt;17&lt;/ref-type&gt;&lt;contributors&gt;&lt;authors&gt;&lt;author&gt;Jacobs, S.W.L.&lt;/author&gt;&lt;author&gt;Les, D.H.&lt;/author&gt;&lt;author&gt;Moody, M.L.&lt;/author&gt;&lt;/authors&gt;&lt;/contributors&gt;&lt;titles&gt;&lt;title&gt;New combinations in Australasian Zostera (Zosteraceae)&lt;/title&gt;&lt;secondary-title&gt;Telopea&lt;/secondary-title&gt;&lt;/titles&gt;&lt;periodical&gt;&lt;full-title&gt;Telopea&lt;/full-title&gt;&lt;/periodical&gt;&lt;pages&gt;127-128&lt;/pages&gt;&lt;volume&gt;11&lt;/volume&gt;&lt;number&gt;2&lt;/number&gt;&lt;dates&gt;&lt;year&gt;2006&lt;/year&gt;&lt;/dates&gt;&lt;urls&gt;&lt;/urls&gt;&lt;/record&gt;&lt;/Cite&gt;&lt;/EndNote&gt;</w:instrText>
        </w:r>
        <w:r w:rsidR="00964A70" w:rsidRPr="00370E70">
          <w:rPr>
            <w:i/>
            <w:szCs w:val="22"/>
          </w:rPr>
          <w:fldChar w:fldCharType="separate"/>
        </w:r>
        <w:r w:rsidR="00964A70" w:rsidRPr="00160B27">
          <w:rPr>
            <w:i/>
            <w:noProof/>
            <w:szCs w:val="22"/>
            <w:lang w:val="it-IT"/>
          </w:rPr>
          <w:t>Jacobs et al. 2006</w:t>
        </w:r>
        <w:r w:rsidR="00964A70" w:rsidRPr="00370E70">
          <w:rPr>
            <w:i/>
            <w:szCs w:val="22"/>
          </w:rPr>
          <w:fldChar w:fldCharType="end"/>
        </w:r>
      </w:hyperlink>
      <w:r w:rsidR="005D70A5" w:rsidRPr="00160B27">
        <w:rPr>
          <w:i/>
          <w:szCs w:val="22"/>
          <w:lang w:val="it-IT"/>
        </w:rPr>
        <w:t xml:space="preserve">) resulted in classification to subspecies. </w:t>
      </w:r>
      <w:r w:rsidRPr="00370E70">
        <w:rPr>
          <w:i/>
          <w:szCs w:val="22"/>
        </w:rPr>
        <w:t>* indicates presence adjacent, but not within, 50m x 50m site.</w:t>
      </w:r>
    </w:p>
    <w:p w:rsidR="005132EF" w:rsidRPr="00370E70" w:rsidRDefault="005132EF" w:rsidP="00034AD4">
      <w:pPr>
        <w:pStyle w:val="Heading2"/>
        <w:rPr>
          <w:rFonts w:ascii="Century Gothic" w:hAnsi="Century Gothic"/>
          <w:color w:val="000000"/>
        </w:rPr>
      </w:pPr>
      <w:bookmarkStart w:id="65" w:name="_Toc384196109"/>
      <w:r w:rsidRPr="00370E70">
        <w:rPr>
          <w:rFonts w:ascii="Century Gothic" w:hAnsi="Century Gothic"/>
          <w:color w:val="000000"/>
        </w:rPr>
        <w:t>Seagrass reproductive health</w:t>
      </w:r>
      <w:bookmarkEnd w:id="63"/>
      <w:bookmarkEnd w:id="65"/>
      <w:r w:rsidRPr="00370E70">
        <w:rPr>
          <w:rFonts w:ascii="Century Gothic" w:hAnsi="Century Gothic"/>
          <w:color w:val="000000"/>
        </w:rPr>
        <w:t xml:space="preserve"> </w:t>
      </w:r>
      <w:bookmarkEnd w:id="60"/>
      <w:bookmarkEnd w:id="64"/>
    </w:p>
    <w:p w:rsidR="00E454F0" w:rsidRPr="00370E70" w:rsidRDefault="00E454F0" w:rsidP="00E454F0">
      <w:pPr>
        <w:pStyle w:val="Caption"/>
        <w:spacing w:before="0" w:after="0" w:line="240" w:lineRule="auto"/>
        <w:rPr>
          <w:szCs w:val="22"/>
          <w:lang w:val="en-AU"/>
        </w:rPr>
      </w:pPr>
      <w:bookmarkStart w:id="66" w:name="_Toc175991047"/>
      <w:bookmarkStart w:id="67" w:name="_Toc232845895"/>
      <w:bookmarkStart w:id="68" w:name="_Toc184101947"/>
      <w:r w:rsidRPr="00370E70">
        <w:rPr>
          <w:rStyle w:val="StyleCaptionCaptionCharCharLatinCalibri11ptBlackChar"/>
          <w:lang w:val="en-AU"/>
        </w:rPr>
        <w:t xml:space="preserve">Seagrass reproductive health was assessed from samples collected in the late dry 2011 and late monsoon 2012 at locations identified in </w:t>
      </w:r>
      <w:r w:rsidRPr="00370E70">
        <w:rPr>
          <w:color w:val="000000"/>
          <w:szCs w:val="22"/>
          <w:lang w:val="en-AU"/>
        </w:rPr>
        <w:fldChar w:fldCharType="begin"/>
      </w:r>
      <w:r w:rsidRPr="00370E70">
        <w:rPr>
          <w:color w:val="000000"/>
          <w:szCs w:val="22"/>
          <w:lang w:val="en-AU"/>
        </w:rPr>
        <w:instrText xml:space="preserve"> REF _Ref316452715 \h </w:instrText>
      </w:r>
      <w:r w:rsidRPr="00370E70">
        <w:rPr>
          <w:color w:val="000000"/>
          <w:szCs w:val="22"/>
          <w:lang w:val="en-AU"/>
        </w:rPr>
      </w:r>
      <w:r w:rsidRPr="00370E70">
        <w:rPr>
          <w:color w:val="000000"/>
          <w:szCs w:val="22"/>
          <w:lang w:val="en-AU"/>
        </w:rPr>
        <w:fldChar w:fldCharType="separate"/>
      </w:r>
      <w:r w:rsidR="005B5FD6" w:rsidRPr="00370E70">
        <w:rPr>
          <w:lang w:val="en-AU"/>
        </w:rPr>
        <w:t xml:space="preserve">Table </w:t>
      </w:r>
      <w:r w:rsidR="005B5FD6">
        <w:rPr>
          <w:noProof/>
          <w:lang w:val="en-AU"/>
        </w:rPr>
        <w:t>4</w:t>
      </w:r>
      <w:r w:rsidRPr="00370E70">
        <w:rPr>
          <w:color w:val="000000"/>
          <w:szCs w:val="22"/>
          <w:lang w:val="en-AU"/>
        </w:rPr>
        <w:fldChar w:fldCharType="end"/>
      </w:r>
      <w:r w:rsidRPr="00370E70">
        <w:rPr>
          <w:rStyle w:val="StyleCaptionCaptionCharCharLatinCalibri11ptBlackChar"/>
          <w:lang w:val="en-AU"/>
        </w:rPr>
        <w:t>. Samples were processed according to standard methodologies (</w:t>
      </w:r>
      <w:hyperlink w:anchor="_ENREF_137" w:tooltip="McKenzie, 2010 #9606" w:history="1">
        <w:r w:rsidR="00964A70" w:rsidRPr="00370E70">
          <w:rPr>
            <w:color w:val="000000"/>
            <w:szCs w:val="22"/>
            <w:lang w:val="en-AU"/>
          </w:rPr>
          <w:fldChar w:fldCharType="begin"/>
        </w:r>
        <w:r w:rsidR="00964A70" w:rsidRPr="00370E70">
          <w:rPr>
            <w:color w:val="000000"/>
            <w:szCs w:val="22"/>
            <w:lang w:val="en-AU"/>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color w:val="000000"/>
            <w:szCs w:val="22"/>
            <w:lang w:val="en-AU"/>
          </w:rPr>
          <w:fldChar w:fldCharType="separate"/>
        </w:r>
        <w:r w:rsidR="00964A70" w:rsidRPr="00370E70">
          <w:rPr>
            <w:noProof/>
            <w:color w:val="000000"/>
            <w:szCs w:val="22"/>
            <w:lang w:val="en-AU"/>
          </w:rPr>
          <w:t>McKenzie</w:t>
        </w:r>
        <w:r w:rsidR="00964A70" w:rsidRPr="00370E70">
          <w:rPr>
            <w:i/>
            <w:noProof/>
            <w:color w:val="000000"/>
            <w:szCs w:val="22"/>
            <w:lang w:val="en-AU"/>
          </w:rPr>
          <w:t>, et al.</w:t>
        </w:r>
        <w:r w:rsidR="00964A70" w:rsidRPr="00370E70">
          <w:rPr>
            <w:noProof/>
            <w:color w:val="000000"/>
            <w:szCs w:val="22"/>
            <w:lang w:val="en-AU"/>
          </w:rPr>
          <w:t xml:space="preserve"> 2010a</w:t>
        </w:r>
        <w:r w:rsidR="00964A70" w:rsidRPr="00370E70">
          <w:rPr>
            <w:color w:val="000000"/>
            <w:szCs w:val="22"/>
            <w:lang w:val="en-AU"/>
          </w:rPr>
          <w:fldChar w:fldCharType="end"/>
        </w:r>
      </w:hyperlink>
      <w:r w:rsidRPr="00370E70">
        <w:rPr>
          <w:rStyle w:val="StyleCaptionCaptionCharCharLatinCalibri11ptBlackChar"/>
          <w:lang w:val="en-AU"/>
        </w:rPr>
        <w:t>).</w:t>
      </w:r>
    </w:p>
    <w:p w:rsidR="00E454F0" w:rsidRPr="00370E70" w:rsidRDefault="00E454F0" w:rsidP="00E454F0">
      <w:pPr>
        <w:rPr>
          <w:color w:val="000000"/>
          <w:szCs w:val="22"/>
        </w:rPr>
      </w:pPr>
      <w:r w:rsidRPr="00370E70">
        <w:rPr>
          <w:color w:val="000000"/>
          <w:szCs w:val="22"/>
        </w:rPr>
        <w:t xml:space="preserve">In the field, 15 haphazardly placed cores </w:t>
      </w:r>
      <w:r w:rsidR="005D70A5" w:rsidRPr="00370E70">
        <w:rPr>
          <w:color w:val="000000"/>
          <w:szCs w:val="22"/>
        </w:rPr>
        <w:t xml:space="preserve">(10cm diameter x 10cm depth) </w:t>
      </w:r>
      <w:r w:rsidRPr="00370E70">
        <w:rPr>
          <w:color w:val="000000"/>
          <w:szCs w:val="22"/>
        </w:rPr>
        <w:t xml:space="preserve">of seagrass were collected from an area adjacent (of similar cover and species composition) to each monitoring site. </w:t>
      </w:r>
      <w:bookmarkStart w:id="69" w:name="_Toc175991046"/>
      <w:r w:rsidRPr="00370E70">
        <w:rPr>
          <w:color w:val="000000"/>
          <w:szCs w:val="22"/>
        </w:rPr>
        <w:t xml:space="preserve">In the laboratory, reproductive structures (spathes, fruits, female and male flowers) of plants from each </w:t>
      </w:r>
      <w:r w:rsidRPr="00370E70">
        <w:rPr>
          <w:color w:val="000000"/>
          <w:szCs w:val="22"/>
        </w:rPr>
        <w:lastRenderedPageBreak/>
        <w:t xml:space="preserve">core were </w:t>
      </w:r>
      <w:bookmarkEnd w:id="69"/>
      <w:r w:rsidRPr="00370E70">
        <w:rPr>
          <w:color w:val="000000"/>
          <w:szCs w:val="22"/>
        </w:rPr>
        <w:t>identified and counted for each samples and species. Reproductive effort was calculated as number of reproductive structures (fruits, flowers, spathes; species pooled) per core for analysis.</w:t>
      </w:r>
    </w:p>
    <w:p w:rsidR="00E454F0" w:rsidRPr="00370E70" w:rsidRDefault="00E454F0" w:rsidP="00E454F0">
      <w:pPr>
        <w:rPr>
          <w:color w:val="000000"/>
          <w:szCs w:val="22"/>
        </w:rPr>
      </w:pPr>
      <w:r w:rsidRPr="00370E70">
        <w:rPr>
          <w:color w:val="000000"/>
          <w:szCs w:val="22"/>
        </w:rPr>
        <w:t>Seeds banks and abundance of germinated seeds were sampled according to standard methods (</w:t>
      </w:r>
      <w:hyperlink w:anchor="_ENREF_137" w:tooltip="McKenzie, 2010 #9606"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et al.</w:t>
        </w:r>
        <w:r w:rsidR="00964A70" w:rsidRPr="00370E70">
          <w:rPr>
            <w:noProof/>
            <w:color w:val="000000"/>
            <w:szCs w:val="22"/>
          </w:rPr>
          <w:t xml:space="preserve"> 2010a</w:t>
        </w:r>
        <w:r w:rsidR="00964A70" w:rsidRPr="00370E70">
          <w:rPr>
            <w:color w:val="000000"/>
            <w:szCs w:val="22"/>
          </w:rPr>
          <w:fldChar w:fldCharType="end"/>
        </w:r>
      </w:hyperlink>
      <w:r w:rsidRPr="00370E70">
        <w:rPr>
          <w:color w:val="000000"/>
          <w:szCs w:val="22"/>
        </w:rPr>
        <w:t xml:space="preserve">) by sieving (2mm mesh) 30 cores (50mm diameter, 10cm depth) of sediment collected across each site and counting the seeds retained in each. For </w:t>
      </w:r>
      <w:r w:rsidRPr="00370E70">
        <w:rPr>
          <w:i/>
          <w:color w:val="000000"/>
          <w:szCs w:val="22"/>
        </w:rPr>
        <w:t>Zostera muelleri</w:t>
      </w:r>
      <w:r w:rsidRPr="00370E70">
        <w:rPr>
          <w:color w:val="000000"/>
          <w:szCs w:val="22"/>
        </w:rPr>
        <w:t>, where the seed are &lt;1mm diameter, intact cores (18) were collected and returned to the laboratory where they were washed through a 710µm sieve and seeds identified using a hand lens/microscope.</w:t>
      </w:r>
    </w:p>
    <w:p w:rsidR="005132EF" w:rsidRPr="00370E70" w:rsidRDefault="005132EF" w:rsidP="00034AD4">
      <w:pPr>
        <w:pStyle w:val="Heading2"/>
        <w:rPr>
          <w:rFonts w:ascii="Century Gothic" w:hAnsi="Century Gothic"/>
          <w:color w:val="000000"/>
        </w:rPr>
      </w:pPr>
      <w:bookmarkStart w:id="70" w:name="_Toc384196110"/>
      <w:r w:rsidRPr="00370E70">
        <w:rPr>
          <w:rFonts w:ascii="Century Gothic" w:hAnsi="Century Gothic"/>
          <w:color w:val="000000"/>
        </w:rPr>
        <w:t>Seagrass tissue nutrient</w:t>
      </w:r>
      <w:bookmarkEnd w:id="66"/>
      <w:bookmarkEnd w:id="67"/>
      <w:r w:rsidRPr="00370E70">
        <w:rPr>
          <w:rFonts w:ascii="Century Gothic" w:hAnsi="Century Gothic"/>
          <w:color w:val="000000"/>
        </w:rPr>
        <w:t>s</w:t>
      </w:r>
      <w:bookmarkEnd w:id="68"/>
      <w:bookmarkEnd w:id="70"/>
    </w:p>
    <w:p w:rsidR="00EE0164" w:rsidRPr="00370E70" w:rsidRDefault="00EE0164" w:rsidP="00EE0164">
      <w:pPr>
        <w:rPr>
          <w:color w:val="000000"/>
          <w:szCs w:val="22"/>
        </w:rPr>
      </w:pPr>
      <w:bookmarkStart w:id="71" w:name="_Toc184101948"/>
      <w:r w:rsidRPr="00370E70">
        <w:rPr>
          <w:color w:val="000000"/>
          <w:szCs w:val="22"/>
        </w:rPr>
        <w:t>In late dry season (October) 2011, foundational seagrass species leaf tissue nutrient samples were collected from each monitoring site (</w:t>
      </w:r>
      <w:r w:rsidRPr="00370E70">
        <w:rPr>
          <w:color w:val="000000"/>
          <w:szCs w:val="22"/>
        </w:rPr>
        <w:fldChar w:fldCharType="begin"/>
      </w:r>
      <w:r w:rsidRPr="00370E70">
        <w:rPr>
          <w:color w:val="000000"/>
          <w:szCs w:val="22"/>
        </w:rPr>
        <w:instrText xml:space="preserve"> REF _Ref316450977 \h </w:instrText>
      </w:r>
      <w:r w:rsidRPr="00370E70">
        <w:rPr>
          <w:color w:val="000000"/>
          <w:szCs w:val="22"/>
        </w:rPr>
      </w:r>
      <w:r w:rsidRPr="00370E70">
        <w:rPr>
          <w:color w:val="000000"/>
          <w:szCs w:val="22"/>
        </w:rPr>
        <w:fldChar w:fldCharType="separate"/>
      </w:r>
      <w:r w:rsidR="005B5FD6" w:rsidRPr="00370E70">
        <w:t xml:space="preserve">Table </w:t>
      </w:r>
      <w:r w:rsidR="005B5FD6">
        <w:rPr>
          <w:noProof/>
        </w:rPr>
        <w:t>4</w:t>
      </w:r>
      <w:r w:rsidRPr="00370E70">
        <w:rPr>
          <w:color w:val="000000"/>
          <w:szCs w:val="22"/>
        </w:rPr>
        <w:fldChar w:fldCharType="end"/>
      </w:r>
      <w:r w:rsidRPr="00370E70">
        <w:rPr>
          <w:color w:val="000000"/>
          <w:szCs w:val="22"/>
        </w:rPr>
        <w:t xml:space="preserve">, </w:t>
      </w:r>
      <w:r w:rsidRPr="00370E70">
        <w:rPr>
          <w:color w:val="000000"/>
          <w:szCs w:val="22"/>
        </w:rPr>
        <w:fldChar w:fldCharType="begin"/>
      </w:r>
      <w:r w:rsidRPr="00370E70">
        <w:rPr>
          <w:color w:val="000000"/>
          <w:szCs w:val="22"/>
        </w:rPr>
        <w:instrText xml:space="preserve"> REF _Ref318377132 \h </w:instrText>
      </w:r>
      <w:r w:rsidRPr="00370E70">
        <w:rPr>
          <w:color w:val="000000"/>
          <w:szCs w:val="22"/>
        </w:rPr>
      </w:r>
      <w:r w:rsidRPr="00370E70">
        <w:rPr>
          <w:color w:val="000000"/>
          <w:szCs w:val="22"/>
        </w:rPr>
        <w:fldChar w:fldCharType="separate"/>
      </w:r>
      <w:r w:rsidR="005B5FD6" w:rsidRPr="00370E70">
        <w:t xml:space="preserve">Table </w:t>
      </w:r>
      <w:r w:rsidR="005B5FD6">
        <w:rPr>
          <w:noProof/>
        </w:rPr>
        <w:t>5</w:t>
      </w:r>
      <w:r w:rsidRPr="00370E70">
        <w:rPr>
          <w:color w:val="000000"/>
          <w:szCs w:val="22"/>
        </w:rPr>
        <w:fldChar w:fldCharType="end"/>
      </w:r>
      <w:r w:rsidRPr="00370E70">
        <w:rPr>
          <w:color w:val="000000"/>
          <w:szCs w:val="22"/>
        </w:rPr>
        <w:t>). For nutrient status comparisons, collections were recommended during the growth season (e.g. late dry when nutrient contents are at a minimum) (</w:t>
      </w:r>
      <w:hyperlink w:anchor="_ENREF_143" w:tooltip="Mellors, 2005 #3739" w:history="1">
        <w:r w:rsidR="00964A70" w:rsidRPr="00370E70">
          <w:rPr>
            <w:color w:val="000000"/>
            <w:szCs w:val="22"/>
          </w:rPr>
          <w:fldChar w:fldCharType="begin"/>
        </w:r>
        <w:r w:rsidR="00964A70" w:rsidRPr="00370E70">
          <w:rPr>
            <w:color w:val="000000"/>
            <w:szCs w:val="22"/>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964A70" w:rsidRPr="00370E70">
          <w:rPr>
            <w:color w:val="000000"/>
            <w:szCs w:val="22"/>
          </w:rPr>
          <w:fldChar w:fldCharType="separate"/>
        </w:r>
        <w:r w:rsidR="00964A70" w:rsidRPr="00370E70">
          <w:rPr>
            <w:noProof/>
            <w:color w:val="000000"/>
            <w:szCs w:val="22"/>
          </w:rPr>
          <w:t>Mellors</w:t>
        </w:r>
        <w:r w:rsidR="00964A70" w:rsidRPr="00370E70">
          <w:rPr>
            <w:i/>
            <w:noProof/>
            <w:color w:val="000000"/>
            <w:szCs w:val="22"/>
          </w:rPr>
          <w:t xml:space="preserve"> et al.</w:t>
        </w:r>
        <w:r w:rsidR="00964A70" w:rsidRPr="00370E70">
          <w:rPr>
            <w:noProof/>
            <w:color w:val="000000"/>
            <w:szCs w:val="22"/>
          </w:rPr>
          <w:t xml:space="preserve"> 2005</w:t>
        </w:r>
        <w:r w:rsidR="00964A70" w:rsidRPr="00370E70">
          <w:rPr>
            <w:color w:val="000000"/>
            <w:szCs w:val="22"/>
          </w:rPr>
          <w:fldChar w:fldCharType="end"/>
        </w:r>
      </w:hyperlink>
      <w:r w:rsidRPr="00370E70">
        <w:rPr>
          <w:color w:val="000000"/>
          <w:szCs w:val="22"/>
        </w:rPr>
        <w:t>) and at the same time of the year and at the same depth at the different localities (</w:t>
      </w:r>
      <w:hyperlink w:anchor="_ENREF_20" w:tooltip="Borum, 2004 #7829" w:history="1">
        <w:r w:rsidR="00964A70" w:rsidRPr="00370E70">
          <w:rPr>
            <w:color w:val="000000"/>
            <w:szCs w:val="22"/>
          </w:rPr>
          <w:fldChar w:fldCharType="begin"/>
        </w:r>
        <w:r w:rsidR="00964A70" w:rsidRPr="00370E70">
          <w:rPr>
            <w:color w:val="000000"/>
            <w:szCs w:val="22"/>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964A70" w:rsidRPr="00370E70">
          <w:rPr>
            <w:color w:val="000000"/>
            <w:szCs w:val="22"/>
          </w:rPr>
          <w:fldChar w:fldCharType="separate"/>
        </w:r>
        <w:r w:rsidR="00964A70" w:rsidRPr="00370E70">
          <w:rPr>
            <w:noProof/>
            <w:color w:val="000000"/>
            <w:szCs w:val="22"/>
          </w:rPr>
          <w:t>Borum</w:t>
        </w:r>
        <w:r w:rsidR="00964A70" w:rsidRPr="00370E70">
          <w:rPr>
            <w:i/>
            <w:noProof/>
            <w:color w:val="000000"/>
            <w:szCs w:val="22"/>
          </w:rPr>
          <w:t xml:space="preserve"> et al.</w:t>
        </w:r>
        <w:r w:rsidR="00964A70" w:rsidRPr="00370E70">
          <w:rPr>
            <w:noProof/>
            <w:color w:val="000000"/>
            <w:szCs w:val="22"/>
          </w:rPr>
          <w:t xml:space="preserve"> 2004</w:t>
        </w:r>
        <w:r w:rsidR="00964A70" w:rsidRPr="00370E70">
          <w:rPr>
            <w:color w:val="000000"/>
            <w:szCs w:val="22"/>
          </w:rPr>
          <w:fldChar w:fldCharType="end"/>
        </w:r>
      </w:hyperlink>
      <w:r w:rsidRPr="00370E70">
        <w:rPr>
          <w:color w:val="000000"/>
          <w:szCs w:val="22"/>
        </w:rPr>
        <w:t>). Shoots from three haphazardly placed 0.25m</w:t>
      </w:r>
      <w:r w:rsidRPr="00370E70">
        <w:rPr>
          <w:color w:val="000000"/>
          <w:szCs w:val="22"/>
          <w:vertAlign w:val="superscript"/>
        </w:rPr>
        <w:t>2</w:t>
      </w:r>
      <w:r w:rsidRPr="00370E70">
        <w:rPr>
          <w:color w:val="000000"/>
          <w:szCs w:val="22"/>
        </w:rPr>
        <w:t xml:space="preserve"> quadrats were collected from an area adjacent (of similar cover and species composition) to each monitoring site. Leaves were separated from the below ground material in the laboratory and epiphytic algae removed by gently scraping. Dried and milled samples were analysed according to</w:t>
      </w:r>
      <w:r w:rsidR="005D70A5" w:rsidRPr="00370E70">
        <w:rPr>
          <w:color w:val="000000"/>
          <w:szCs w:val="22"/>
        </w:rPr>
        <w:t xml:space="preserve"> McKenzie </w:t>
      </w:r>
      <w:r w:rsidR="005D70A5" w:rsidRPr="00370E70">
        <w:rPr>
          <w:i/>
          <w:color w:val="000000"/>
          <w:szCs w:val="22"/>
        </w:rPr>
        <w:t>et al.</w:t>
      </w:r>
      <w:r w:rsidRPr="00370E70">
        <w:rPr>
          <w:color w:val="000000"/>
          <w:szCs w:val="22"/>
        </w:rPr>
        <w:t xml:space="preserve"> </w:t>
      </w:r>
      <w:r w:rsidR="005D70A5" w:rsidRPr="00370E70">
        <w:rPr>
          <w:color w:val="000000"/>
          <w:szCs w:val="22"/>
        </w:rPr>
        <w:t>(</w:t>
      </w:r>
      <w:hyperlink w:anchor="_ENREF_137" w:tooltip="McKenzie, 2010 #9606" w:history="1">
        <w:r w:rsidR="00964A70" w:rsidRPr="00370E70">
          <w:rPr>
            <w:color w:val="000000"/>
            <w:szCs w:val="22"/>
          </w:rPr>
          <w:fldChar w:fldCharType="begin"/>
        </w:r>
        <w:r w:rsidR="00964A70" w:rsidRPr="00370E70">
          <w:rPr>
            <w:color w:val="000000"/>
            <w:szCs w:val="22"/>
          </w:rPr>
          <w:instrText xml:space="preserve"> ADDIN EN.CITE &lt;EndNote&gt;&lt;Cite ExcludeAuth="1"&gt;&lt;Author&gt;McKenzie&lt;/Author&gt;&lt;Year&gt;2010&lt;/Year&gt;&lt;RecNum&gt;9606&lt;/RecNum&gt;&lt;DisplayText&gt;2010a&lt;/DisplayText&gt;&lt;record&gt;&lt;rec-number&gt;9606&lt;/rec-number&gt;&lt;foreign-keys&gt;&lt;key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color w:val="000000"/>
            <w:szCs w:val="22"/>
          </w:rPr>
          <w:fldChar w:fldCharType="separate"/>
        </w:r>
        <w:r w:rsidR="00964A70" w:rsidRPr="00370E70">
          <w:rPr>
            <w:noProof/>
            <w:color w:val="000000"/>
            <w:szCs w:val="22"/>
          </w:rPr>
          <w:t>2010a</w:t>
        </w:r>
        <w:r w:rsidR="00964A70" w:rsidRPr="00370E70">
          <w:rPr>
            <w:color w:val="000000"/>
            <w:szCs w:val="22"/>
          </w:rPr>
          <w:fldChar w:fldCharType="end"/>
        </w:r>
      </w:hyperlink>
      <w:r w:rsidR="005D70A5" w:rsidRPr="00370E70">
        <w:rPr>
          <w:color w:val="000000"/>
          <w:szCs w:val="22"/>
        </w:rPr>
        <w:t>)</w:t>
      </w:r>
      <w:r w:rsidRPr="00370E70">
        <w:rPr>
          <w:color w:val="000000"/>
          <w:szCs w:val="22"/>
        </w:rPr>
        <w:t xml:space="preserve">. Elemental ratios (C:N:P) were calculated on a mole:mole basis using atomic weights (i.e., C=12, N=14, P=31). </w:t>
      </w:r>
    </w:p>
    <w:p w:rsidR="00EE0164" w:rsidRPr="00370E70" w:rsidRDefault="00EE0164" w:rsidP="00EE0164">
      <w:pPr>
        <w:rPr>
          <w:color w:val="000000"/>
          <w:szCs w:val="22"/>
        </w:rPr>
      </w:pPr>
      <w:r w:rsidRPr="00370E70">
        <w:rPr>
          <w:color w:val="000000"/>
          <w:szCs w:val="22"/>
        </w:rPr>
        <w:t xml:space="preserve">Analysis of tissue nutrient data was based upon the calculation of the atomic ratios of C:N:P. The ratios of the most common macronutrients required for plant growth has been used widely as an indicator of growth status, in phytoplankton cultures this </w:t>
      </w:r>
      <w:r w:rsidR="005D70A5" w:rsidRPr="00370E70">
        <w:rPr>
          <w:color w:val="000000"/>
          <w:szCs w:val="22"/>
        </w:rPr>
        <w:t xml:space="preserve">is </w:t>
      </w:r>
      <w:r w:rsidRPr="00370E70">
        <w:rPr>
          <w:color w:val="000000"/>
          <w:szCs w:val="22"/>
        </w:rPr>
        <w:t xml:space="preserve">known as the </w:t>
      </w:r>
      <w:r w:rsidRPr="00370E70">
        <w:rPr>
          <w:i/>
          <w:color w:val="000000"/>
          <w:szCs w:val="22"/>
        </w:rPr>
        <w:t xml:space="preserve">“Redfield” </w:t>
      </w:r>
      <w:r w:rsidRPr="00370E70">
        <w:rPr>
          <w:color w:val="000000"/>
          <w:szCs w:val="22"/>
        </w:rPr>
        <w:t>ratio of 106C:16N:P (</w:t>
      </w:r>
      <w:hyperlink w:anchor="_ENREF_164" w:tooltip="Redfield, 1963 #9486" w:history="1">
        <w:r w:rsidR="00964A70" w:rsidRPr="00370E70">
          <w:rPr>
            <w:color w:val="000000"/>
            <w:szCs w:val="22"/>
          </w:rPr>
          <w:fldChar w:fldCharType="begin"/>
        </w:r>
        <w:r w:rsidR="00964A70" w:rsidRPr="00370E70">
          <w:rPr>
            <w:color w:val="000000"/>
            <w:szCs w:val="22"/>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964A70" w:rsidRPr="00370E70">
          <w:rPr>
            <w:color w:val="000000"/>
            <w:szCs w:val="22"/>
          </w:rPr>
          <w:fldChar w:fldCharType="separate"/>
        </w:r>
        <w:r w:rsidR="00964A70" w:rsidRPr="00370E70">
          <w:rPr>
            <w:noProof/>
            <w:color w:val="000000"/>
            <w:szCs w:val="22"/>
          </w:rPr>
          <w:t>Redfield</w:t>
        </w:r>
        <w:r w:rsidR="00964A70" w:rsidRPr="00370E70">
          <w:rPr>
            <w:i/>
            <w:noProof/>
            <w:color w:val="000000"/>
            <w:szCs w:val="22"/>
          </w:rPr>
          <w:t xml:space="preserve"> et al.</w:t>
        </w:r>
        <w:r w:rsidR="00964A70" w:rsidRPr="00370E70">
          <w:rPr>
            <w:noProof/>
            <w:color w:val="000000"/>
            <w:szCs w:val="22"/>
          </w:rPr>
          <w:t xml:space="preserve"> 1963</w:t>
        </w:r>
        <w:r w:rsidR="00964A70" w:rsidRPr="00370E70">
          <w:rPr>
            <w:color w:val="000000"/>
            <w:szCs w:val="22"/>
          </w:rPr>
          <w:fldChar w:fldCharType="end"/>
        </w:r>
      </w:hyperlink>
      <w:r w:rsidRPr="00370E70">
        <w:rPr>
          <w:color w:val="000000"/>
          <w:szCs w:val="22"/>
        </w:rPr>
        <w:t>). Seagrass and other benthic marine plants possess large quantities of structural carbon, resulting in ‘‘seagrass Redfield ratios’’ estimated to be between 550:30:1 (</w:t>
      </w:r>
      <w:hyperlink w:anchor="_ENREF_9" w:tooltip="Atkinson, 1983 #6292" w:history="1">
        <w:r w:rsidR="00964A70" w:rsidRPr="00370E70">
          <w:rPr>
            <w:color w:val="000000"/>
            <w:szCs w:val="22"/>
          </w:rPr>
          <w:fldChar w:fldCharType="begin"/>
        </w:r>
        <w:r w:rsidR="00964A70" w:rsidRPr="00370E70">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964A70" w:rsidRPr="00370E70">
          <w:rPr>
            <w:color w:val="000000"/>
            <w:szCs w:val="22"/>
          </w:rPr>
          <w:fldChar w:fldCharType="separate"/>
        </w:r>
        <w:r w:rsidR="00964A70" w:rsidRPr="00370E70">
          <w:rPr>
            <w:noProof/>
            <w:color w:val="000000"/>
            <w:szCs w:val="22"/>
          </w:rPr>
          <w:t>Atkinson and Smith 1983</w:t>
        </w:r>
        <w:r w:rsidR="00964A70" w:rsidRPr="00370E70">
          <w:rPr>
            <w:color w:val="000000"/>
            <w:szCs w:val="22"/>
          </w:rPr>
          <w:fldChar w:fldCharType="end"/>
        </w:r>
      </w:hyperlink>
      <w:r w:rsidRPr="00370E70">
        <w:rPr>
          <w:color w:val="000000"/>
          <w:szCs w:val="22"/>
        </w:rPr>
        <w:t>) and 474:24:1 (</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Duarte 1990</w:t>
        </w:r>
        <w:r w:rsidR="00964A70" w:rsidRPr="00370E70">
          <w:rPr>
            <w:color w:val="000000"/>
            <w:szCs w:val="22"/>
          </w:rPr>
          <w:fldChar w:fldCharType="end"/>
        </w:r>
      </w:hyperlink>
      <w:r w:rsidRPr="00370E70">
        <w:rPr>
          <w:color w:val="000000"/>
          <w:szCs w:val="22"/>
        </w:rPr>
        <w:t>). The magnitude of these ratios and their temporal changes allow for a broad level understanding of the physical environment of seagrass meadows. Like phytoplankton, seagrasses growing in eutrophic waters have C:N:P ratios that reflect elevated nitrogen and phosphorus levels (</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Duarte 1990</w:t>
        </w:r>
        <w:r w:rsidR="00964A70" w:rsidRPr="00370E70">
          <w:rPr>
            <w:color w:val="000000"/>
            <w:szCs w:val="22"/>
          </w:rPr>
          <w:fldChar w:fldCharType="end"/>
        </w:r>
      </w:hyperlink>
      <w:r w:rsidRPr="00370E70">
        <w:rPr>
          <w:color w:val="000000"/>
          <w:szCs w:val="22"/>
        </w:rPr>
        <w:t>). Plants residing in nutrient poor waters show significantly lower N:P ratios than those from nutrient rich conditions (</w:t>
      </w:r>
      <w:hyperlink w:anchor="_ENREF_9" w:tooltip="Atkinson, 1983 #6292" w:history="1">
        <w:r w:rsidR="00964A70" w:rsidRPr="00370E70">
          <w:rPr>
            <w:color w:val="000000"/>
            <w:szCs w:val="22"/>
          </w:rPr>
          <w:fldChar w:fldCharType="begin"/>
        </w:r>
        <w:r w:rsidR="00964A70" w:rsidRPr="00370E70">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964A70" w:rsidRPr="00370E70">
          <w:rPr>
            <w:color w:val="000000"/>
            <w:szCs w:val="22"/>
          </w:rPr>
          <w:fldChar w:fldCharType="separate"/>
        </w:r>
        <w:r w:rsidR="00964A70" w:rsidRPr="00370E70">
          <w:rPr>
            <w:noProof/>
            <w:color w:val="000000"/>
            <w:szCs w:val="22"/>
          </w:rPr>
          <w:t>Atkinson and Smith 1983</w:t>
        </w:r>
        <w:r w:rsidR="00964A70" w:rsidRPr="00370E70">
          <w:rPr>
            <w:color w:val="000000"/>
            <w:szCs w:val="22"/>
          </w:rPr>
          <w:fldChar w:fldCharType="end"/>
        </w:r>
      </w:hyperlink>
      <w:r w:rsidRPr="00370E70">
        <w:rPr>
          <w:color w:val="000000"/>
          <w:szCs w:val="22"/>
        </w:rPr>
        <w:t>). Comparing deviations in the ratios of carbon, nitrogen and phosphorous (C:N:P) retained within plant tissue has been used extensively as an alternative mean of evaluating the nutrient status of coastal waters (</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Duarte 1990</w:t>
        </w:r>
        <w:r w:rsidR="00964A70" w:rsidRPr="00370E70">
          <w:rPr>
            <w:color w:val="000000"/>
            <w:szCs w:val="22"/>
          </w:rPr>
          <w:fldChar w:fldCharType="end"/>
        </w:r>
      </w:hyperlink>
      <w:r w:rsidRPr="00370E70">
        <w:rPr>
          <w:color w:val="000000"/>
          <w:szCs w:val="22"/>
        </w:rPr>
        <w:t xml:space="preserve">). </w:t>
      </w:r>
    </w:p>
    <w:p w:rsidR="00EE0164" w:rsidRPr="00370E70" w:rsidRDefault="00EE0164" w:rsidP="00EE0164">
      <w:pPr>
        <w:rPr>
          <w:color w:val="000000"/>
          <w:szCs w:val="22"/>
        </w:rPr>
      </w:pPr>
      <w:r w:rsidRPr="00370E70">
        <w:rPr>
          <w:color w:val="000000"/>
          <w:szCs w:val="22"/>
        </w:rPr>
        <w:t xml:space="preserve">Changing C:N ratios have been found in a number of experiments and field surveys to be related to light levels, as leaves with an atomic C:N ratio of less than 20, may suggest reduced light availability </w:t>
      </w:r>
      <w:r w:rsidR="005D70A5" w:rsidRPr="00370E70">
        <w:rPr>
          <w:color w:val="000000"/>
          <w:szCs w:val="22"/>
        </w:rPr>
        <w:t xml:space="preserve">when N is not in surplus </w:t>
      </w:r>
      <w:r w:rsidRPr="00370E70">
        <w:rPr>
          <w:color w:val="000000"/>
          <w:szCs w:val="22"/>
        </w:rPr>
        <w:t>(</w:t>
      </w:r>
      <w:r w:rsidRPr="00370E70">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eHRldzRlYXR2ZTJkemRzOWEiPjc0MDU8L2tleT48L2ZvcmVpZ24ta2V5cz48cmVmLXR5cGUgbmFt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eHRldzRlYXR2ZTJkemRzOWEiPjc0MDU8L2tleT48L2ZvcmVpZ24ta2V5cz48cmVmLXR5cGUgbmFt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3" w:tooltip="Abal, 1994 #7405" w:history="1">
        <w:r w:rsidR="00964A70" w:rsidRPr="00370E70">
          <w:rPr>
            <w:noProof/>
            <w:color w:val="000000"/>
            <w:szCs w:val="22"/>
          </w:rPr>
          <w:t>Abal</w:t>
        </w:r>
        <w:r w:rsidR="00964A70" w:rsidRPr="00370E70">
          <w:rPr>
            <w:i/>
            <w:noProof/>
            <w:color w:val="000000"/>
            <w:szCs w:val="22"/>
          </w:rPr>
          <w:t xml:space="preserve"> et al.</w:t>
        </w:r>
        <w:r w:rsidR="00964A70" w:rsidRPr="00370E70">
          <w:rPr>
            <w:noProof/>
            <w:color w:val="000000"/>
            <w:szCs w:val="22"/>
          </w:rPr>
          <w:t xml:space="preserve"> 1994</w:t>
        </w:r>
      </w:hyperlink>
      <w:r w:rsidR="00126051" w:rsidRPr="00370E70">
        <w:rPr>
          <w:noProof/>
          <w:color w:val="000000"/>
          <w:szCs w:val="22"/>
        </w:rPr>
        <w:t xml:space="preserve">; </w:t>
      </w:r>
      <w:hyperlink w:anchor="_ENREF_93" w:tooltip="Grice, 1996 #1346" w:history="1">
        <w:r w:rsidR="00964A70" w:rsidRPr="00370E70">
          <w:rPr>
            <w:noProof/>
            <w:color w:val="000000"/>
            <w:szCs w:val="22"/>
          </w:rPr>
          <w:t>Grice</w:t>
        </w:r>
        <w:r w:rsidR="00964A70" w:rsidRPr="00370E70">
          <w:rPr>
            <w:i/>
            <w:noProof/>
            <w:color w:val="000000"/>
            <w:szCs w:val="22"/>
          </w:rPr>
          <w:t xml:space="preserve"> et al.</w:t>
        </w:r>
        <w:r w:rsidR="00964A70" w:rsidRPr="00370E70">
          <w:rPr>
            <w:noProof/>
            <w:color w:val="000000"/>
            <w:szCs w:val="22"/>
          </w:rPr>
          <w:t xml:space="preserve"> 1996</w:t>
        </w:r>
      </w:hyperlink>
      <w:r w:rsidRPr="00370E70">
        <w:rPr>
          <w:color w:val="000000"/>
          <w:szCs w:val="22"/>
        </w:rPr>
        <w:fldChar w:fldCharType="end"/>
      </w:r>
      <w:hyperlink w:anchor="_ENREF_100" w:tooltip="Grice, 1996 #1346" w:history="1"/>
      <w:r w:rsidRPr="00370E70">
        <w:rPr>
          <w:color w:val="000000"/>
          <w:szCs w:val="22"/>
        </w:rPr>
        <w:t xml:space="preserve">; </w:t>
      </w:r>
      <w:hyperlink w:anchor="_ENREF_25" w:tooltip="Cabaço, 2007 #9489" w:history="1">
        <w:r w:rsidR="00964A70" w:rsidRPr="00370E70">
          <w:rPr>
            <w:color w:val="000000"/>
            <w:szCs w:val="22"/>
          </w:rPr>
          <w:fldChar w:fldCharType="begin"/>
        </w:r>
        <w:r w:rsidR="00964A70" w:rsidRPr="00370E70">
          <w:rPr>
            <w:color w:val="000000"/>
            <w:szCs w:val="22"/>
          </w:rPr>
          <w:instrText xml:space="preserve"> ADDIN EN.CITE &lt;EndNote&gt;&lt;Cite&gt;&lt;Author&gt;Cabaço&lt;/Author&gt;&lt;Year&gt;2007&lt;/Year&gt;&lt;RecNum&gt;9489&lt;/RecNum&gt;&lt;DisplayText&gt;Cabaço and Santos 2007&lt;/DisplayText&gt;&lt;record&gt;&lt;rec-number&gt;9489&lt;/rec-number&gt;&lt;foreign-keys&gt;&lt;key app="EN" db-id="0eve55x9y5vfd6e9dacxtew4eatve2dzds9a"&gt;9489&lt;/key&gt;&lt;/foreign-keys&gt;&lt;ref-type name="Journal Article"&gt;17&lt;/ref-type&gt;&lt;contributors&gt;&lt;authors&gt;&lt;author&gt;Cabaço, S&lt;/author&gt;&lt;author&gt;Santos, R&lt;/author&gt;&lt;/authors&gt;&lt;/contributors&gt;&lt;titles&gt;&lt;title&gt;Effects of burial and erosion on the seagrass Zostera noltii&lt;/title&gt;&lt;secondary-title&gt;Journal of Experimental Marine Biology and Ecology&lt;/secondary-title&gt;&lt;/titles&gt;&lt;periodical&gt;&lt;full-title&gt;Journal of Experimental Marine Biology and Ecology&lt;/full-title&gt;&lt;/periodical&gt;&lt;pages&gt;204-212&lt;/pages&gt;&lt;volume&gt;340&lt;/volume&gt;&lt;dates&gt;&lt;year&gt;2007&lt;/year&gt;&lt;/dates&gt;&lt;urls&gt;&lt;/urls&gt;&lt;/record&gt;&lt;/Cite&gt;&lt;/EndNote&gt;</w:instrText>
        </w:r>
        <w:r w:rsidR="00964A70" w:rsidRPr="00370E70">
          <w:rPr>
            <w:color w:val="000000"/>
            <w:szCs w:val="22"/>
          </w:rPr>
          <w:fldChar w:fldCharType="separate"/>
        </w:r>
        <w:r w:rsidR="00964A70" w:rsidRPr="00370E70">
          <w:rPr>
            <w:noProof/>
            <w:color w:val="000000"/>
            <w:szCs w:val="22"/>
          </w:rPr>
          <w:t>Cabaço and Santos 2007</w:t>
        </w:r>
        <w:r w:rsidR="00964A70" w:rsidRPr="00370E70">
          <w:rPr>
            <w:color w:val="000000"/>
            <w:szCs w:val="22"/>
          </w:rPr>
          <w:fldChar w:fldCharType="end"/>
        </w:r>
      </w:hyperlink>
      <w:r w:rsidRPr="00370E70">
        <w:rPr>
          <w:color w:val="000000"/>
          <w:szCs w:val="22"/>
        </w:rPr>
        <w:t xml:space="preserve">; </w:t>
      </w:r>
      <w:hyperlink w:anchor="_ENREF_43" w:tooltip="Collier, 2009 #9490" w:history="1">
        <w:r w:rsidR="00964A70" w:rsidRPr="00370E70">
          <w:rPr>
            <w:color w:val="000000"/>
            <w:szCs w:val="22"/>
          </w:rPr>
          <w:fldChar w:fldCharType="begin"/>
        </w:r>
        <w:r w:rsidR="00964A70" w:rsidRPr="00370E70">
          <w:rPr>
            <w:color w:val="000000"/>
            <w:szCs w:val="22"/>
          </w:rPr>
          <w:instrText xml:space="preserve"> ADDIN EN.CITE &lt;EndNote&gt;&lt;Cite&gt;&lt;Author&gt;Collier&lt;/Author&gt;&lt;Year&gt;2009&lt;/Year&gt;&lt;RecNum&gt;9490&lt;/RecNum&gt;&lt;DisplayText&gt;Collier&lt;style face="italic"&gt; et al.&lt;/style&gt; 2009&lt;/DisplayText&gt;&lt;record&gt;&lt;rec-number&gt;9490&lt;/rec-number&gt;&lt;foreign-keys&gt;&lt;key app="EN" db-id="0eve55x9y5vfd6e9dacxtew4eatve2dzds9a"&gt;9490&lt;/key&gt;&lt;/foreign-keys&gt;&lt;ref-type name="Journal Article"&gt;17&lt;/ref-type&gt;&lt;contributors&gt;&lt;authors&gt;&lt;author&gt;Collier, Catherine J.&lt;/author&gt;&lt;author&gt;Lavery, Paul S.&lt;/author&gt;&lt;author&gt;Ralph, Peter J.&lt;/author&gt;&lt;author&gt;Masini, Raymond J.&lt;/author&gt;&lt;/authors&gt;&lt;/contributors&gt;&lt;titles&gt;&lt;title&gt;Shade-induced response and recovery of the seagrass Posidonia sinuosa&lt;/title&gt;&lt;secondary-title&gt;Journal of Experimental Marine Biology and Ecology&lt;/secondary-title&gt;&lt;/titles&gt;&lt;periodical&gt;&lt;full-title&gt;Journal of Experimental Marine Biology and Ecology&lt;/full-title&gt;&lt;/periodical&gt;&lt;pages&gt;89-103&lt;/pages&gt;&lt;volume&gt;370&lt;/volume&gt;&lt;number&gt;1–2&lt;/number&gt;&lt;keywords&gt;&lt;keyword&gt;Depth&lt;/keyword&gt;&lt;keyword&gt;Monitoring&lt;/keyword&gt;&lt;keyword&gt;Recovery&lt;/keyword&gt;&lt;keyword&gt;Self-shading&lt;/keyword&gt;&lt;keyword&gt;Shading&lt;/keyword&gt;&lt;keyword&gt;Western Australia&lt;/keyword&gt;&lt;/keywords&gt;&lt;dates&gt;&lt;year&gt;2009&lt;/year&gt;&lt;/dates&gt;&lt;isbn&gt;0022-0981&lt;/isbn&gt;&lt;urls&gt;&lt;related-urls&gt;&lt;url&gt;http://www.sciencedirect.com/science/article/pii/S0022098108005935&lt;/url&gt;&lt;/related-urls&gt;&lt;/urls&gt;&lt;electronic-resource-num&gt;http://dx.doi.org/10.1016/j.jembe.2008.12.003&lt;/electronic-resource-num&gt;&lt;/record&gt;&lt;/Cite&gt;&lt;/EndNote&gt;</w:instrText>
        </w:r>
        <w:r w:rsidR="00964A70" w:rsidRPr="00370E70">
          <w:rPr>
            <w:color w:val="000000"/>
            <w:szCs w:val="22"/>
          </w:rPr>
          <w:fldChar w:fldCharType="separate"/>
        </w:r>
        <w:r w:rsidR="00964A70" w:rsidRPr="00370E70">
          <w:rPr>
            <w:noProof/>
            <w:color w:val="000000"/>
            <w:szCs w:val="22"/>
          </w:rPr>
          <w:t>Collier</w:t>
        </w:r>
        <w:r w:rsidR="00964A70" w:rsidRPr="00370E70">
          <w:rPr>
            <w:i/>
            <w:noProof/>
            <w:color w:val="000000"/>
            <w:szCs w:val="22"/>
          </w:rPr>
          <w:t xml:space="preserve">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xml:space="preserve">). The ratio of N:P is also a useful indicator as it is a reflection of the </w:t>
      </w:r>
      <w:r w:rsidRPr="00370E70">
        <w:rPr>
          <w:i/>
          <w:color w:val="000000"/>
          <w:szCs w:val="22"/>
        </w:rPr>
        <w:t xml:space="preserve">“Redfield” </w:t>
      </w:r>
      <w:r w:rsidRPr="00370E70">
        <w:rPr>
          <w:color w:val="000000"/>
          <w:szCs w:val="22"/>
        </w:rPr>
        <w:t>ratios (</w:t>
      </w:r>
      <w:hyperlink w:anchor="_ENREF_164" w:tooltip="Redfield, 1963 #9486" w:history="1">
        <w:r w:rsidR="00964A70" w:rsidRPr="00370E70">
          <w:rPr>
            <w:color w:val="000000"/>
            <w:szCs w:val="22"/>
          </w:rPr>
          <w:fldChar w:fldCharType="begin"/>
        </w:r>
        <w:r w:rsidR="00964A70" w:rsidRPr="00370E70">
          <w:rPr>
            <w:color w:val="000000"/>
            <w:szCs w:val="22"/>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964A70" w:rsidRPr="00370E70">
          <w:rPr>
            <w:color w:val="000000"/>
            <w:szCs w:val="22"/>
          </w:rPr>
          <w:fldChar w:fldCharType="separate"/>
        </w:r>
        <w:r w:rsidR="00964A70" w:rsidRPr="00370E70">
          <w:rPr>
            <w:noProof/>
            <w:color w:val="000000"/>
            <w:szCs w:val="22"/>
          </w:rPr>
          <w:t>Redfield</w:t>
        </w:r>
        <w:r w:rsidR="00964A70" w:rsidRPr="00370E70">
          <w:rPr>
            <w:i/>
            <w:noProof/>
            <w:color w:val="000000"/>
            <w:szCs w:val="22"/>
          </w:rPr>
          <w:t>, et al.</w:t>
        </w:r>
        <w:r w:rsidR="00964A70" w:rsidRPr="00370E70">
          <w:rPr>
            <w:noProof/>
            <w:color w:val="000000"/>
            <w:szCs w:val="22"/>
          </w:rPr>
          <w:t xml:space="preserve"> 1963</w:t>
        </w:r>
        <w:r w:rsidR="00964A70" w:rsidRPr="00370E70">
          <w:rPr>
            <w:color w:val="000000"/>
            <w:szCs w:val="22"/>
          </w:rPr>
          <w:fldChar w:fldCharType="end"/>
        </w:r>
      </w:hyperlink>
      <w:r w:rsidRPr="00370E70">
        <w:rPr>
          <w:color w:val="000000"/>
          <w:szCs w:val="22"/>
        </w:rPr>
        <w:t xml:space="preserve">), and seagrass with an atomic N:P ratio of 25 to 30 can be determined to be ‘replete’ </w:t>
      </w:r>
      <w:r w:rsidRPr="00370E70">
        <w:rPr>
          <w:rFonts w:cs="TimesNewRoman,Italic"/>
          <w:iCs/>
          <w:color w:val="000000"/>
          <w:szCs w:val="22"/>
        </w:rPr>
        <w:t>(well supplied and balanced macronutrients for growth)</w:t>
      </w:r>
      <w:r w:rsidRPr="00370E70">
        <w:rPr>
          <w:color w:val="000000"/>
          <w:szCs w:val="22"/>
        </w:rPr>
        <w:t xml:space="preserve"> (</w:t>
      </w:r>
      <w:hyperlink w:anchor="_ENREF_9" w:tooltip="Atkinson, 1983 #6292" w:history="1">
        <w:r w:rsidR="00964A70" w:rsidRPr="00370E70">
          <w:rPr>
            <w:color w:val="000000"/>
            <w:szCs w:val="22"/>
          </w:rPr>
          <w:fldChar w:fldCharType="begin"/>
        </w:r>
        <w:r w:rsidR="00964A70" w:rsidRPr="00370E70">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964A70" w:rsidRPr="00370E70">
          <w:rPr>
            <w:color w:val="000000"/>
            <w:szCs w:val="22"/>
          </w:rPr>
          <w:fldChar w:fldCharType="separate"/>
        </w:r>
        <w:r w:rsidR="00964A70" w:rsidRPr="00370E70">
          <w:rPr>
            <w:noProof/>
            <w:color w:val="000000"/>
            <w:szCs w:val="22"/>
          </w:rPr>
          <w:t>Atkinson and Smith 1983</w:t>
        </w:r>
        <w:r w:rsidR="00964A70" w:rsidRPr="00370E70">
          <w:rPr>
            <w:color w:val="000000"/>
            <w:szCs w:val="22"/>
          </w:rPr>
          <w:fldChar w:fldCharType="end"/>
        </w:r>
      </w:hyperlink>
      <w:r w:rsidRPr="00370E70">
        <w:rPr>
          <w:color w:val="000000"/>
          <w:szCs w:val="22"/>
        </w:rPr>
        <w:t xml:space="preserve">; </w:t>
      </w:r>
      <w:hyperlink w:anchor="_ENREF_78" w:tooltip="Fourqurean, 1997 #9491" w:history="1">
        <w:r w:rsidR="00964A70" w:rsidRPr="00370E70">
          <w:rPr>
            <w:color w:val="000000"/>
            <w:szCs w:val="22"/>
          </w:rPr>
          <w:fldChar w:fldCharType="begin"/>
        </w:r>
        <w:r w:rsidR="00964A70" w:rsidRPr="00370E70">
          <w:rPr>
            <w:color w:val="000000"/>
            <w:szCs w:val="22"/>
          </w:rPr>
          <w:instrText xml:space="preserve"> ADDIN EN.CITE &lt;EndNote&gt;&lt;Cite&gt;&lt;Author&gt;Fourqurean&lt;/Author&gt;&lt;Year&gt;1997&lt;/Year&gt;&lt;RecNum&gt;9491&lt;/RecNum&gt;&lt;DisplayText&gt;Fourqurean&lt;style face="italic"&gt; et al.&lt;/style&gt; 1997&lt;/DisplayText&gt;&lt;record&gt;&lt;rec-number&gt;9491&lt;/rec-number&gt;&lt;foreign-keys&gt;&lt;key app="EN" db-id="0eve55x9y5vfd6e9dacxtew4eatve2dzds9a"&gt;9491&lt;/key&gt;&lt;/foreign-keys&gt;&lt;ref-type name="Journal Article"&gt;17&lt;/ref-type&gt;&lt;contributors&gt;&lt;authors&gt;&lt;author&gt;James W. Fourqurean&lt;/author&gt;&lt;author&gt;Thomas O. Moore&lt;/author&gt;&lt;author&gt;Brian Fry&lt;/author&gt;&lt;author&gt;James T. Hollibaugh&lt;/author&gt;&lt;/authors&gt;&lt;/contributors&gt;&lt;titles&gt;&lt;title&gt;Spatial and temporal variation in C:N:P ratios, Î´15N, and Î´13C of eelgrass Zostera marina as indicators of ecosystem processes, Tomales Bay, California, USA&lt;/title&gt;&lt;secondary-title&gt;Marine Ecology Progress Series&lt;/secondary-title&gt;&lt;/titles&gt;&lt;periodical&gt;&lt;full-title&gt;Marine Ecology Progress Series&lt;/full-title&gt;&lt;/periodical&gt;&lt;pages&gt;147-157&lt;/pages&gt;&lt;volume&gt;157&lt;/volume&gt;&lt;dates&gt;&lt;year&gt;1997&lt;/year&gt;&lt;pub-dates&gt;&lt;date&gt;October 16, 1997&lt;/date&gt;&lt;/pub-dates&gt;&lt;/dates&gt;&lt;urls&gt;&lt;related-urls&gt;&lt;url&gt;http://www.int-res.com/abstracts/meps/v157/p147-157/&lt;/url&gt;&lt;/related-urls&gt;&lt;/urls&gt;&lt;electronic-resource-num&gt;10.3354/meps157147&lt;/electronic-resource-num&gt;&lt;/record&gt;&lt;/Cite&gt;&lt;/EndNote&gt;</w:instrText>
        </w:r>
        <w:r w:rsidR="00964A70" w:rsidRPr="00370E70">
          <w:rPr>
            <w:color w:val="000000"/>
            <w:szCs w:val="22"/>
          </w:rPr>
          <w:fldChar w:fldCharType="separate"/>
        </w:r>
        <w:r w:rsidR="00964A70" w:rsidRPr="00370E70">
          <w:rPr>
            <w:noProof/>
            <w:color w:val="000000"/>
            <w:szCs w:val="22"/>
          </w:rPr>
          <w:t>Fourqurean</w:t>
        </w:r>
        <w:r w:rsidR="00964A70" w:rsidRPr="00370E70">
          <w:rPr>
            <w:i/>
            <w:noProof/>
            <w:color w:val="000000"/>
            <w:szCs w:val="22"/>
          </w:rPr>
          <w:t xml:space="preserve"> et al.</w:t>
        </w:r>
        <w:r w:rsidR="00964A70" w:rsidRPr="00370E70">
          <w:rPr>
            <w:noProof/>
            <w:color w:val="000000"/>
            <w:szCs w:val="22"/>
          </w:rPr>
          <w:t xml:space="preserve"> 1997</w:t>
        </w:r>
        <w:r w:rsidR="00964A70" w:rsidRPr="00370E70">
          <w:rPr>
            <w:color w:val="000000"/>
            <w:szCs w:val="22"/>
          </w:rPr>
          <w:fldChar w:fldCharType="end"/>
        </w:r>
      </w:hyperlink>
      <w:r w:rsidRPr="00370E70">
        <w:rPr>
          <w:color w:val="000000"/>
          <w:szCs w:val="22"/>
        </w:rPr>
        <w:t xml:space="preserve">; </w:t>
      </w:r>
      <w:hyperlink w:anchor="_ENREF_76" w:tooltip="Fourqurean, 2001 #9492" w:history="1">
        <w:r w:rsidR="00964A70" w:rsidRPr="00370E70">
          <w:rPr>
            <w:color w:val="000000"/>
            <w:szCs w:val="22"/>
          </w:rPr>
          <w:fldChar w:fldCharType="begin"/>
        </w:r>
        <w:r w:rsidR="00964A70" w:rsidRPr="00370E70">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964A70" w:rsidRPr="00370E70">
          <w:rPr>
            <w:color w:val="000000"/>
            <w:szCs w:val="22"/>
          </w:rPr>
          <w:fldChar w:fldCharType="separate"/>
        </w:r>
        <w:r w:rsidR="00964A70" w:rsidRPr="00370E70">
          <w:rPr>
            <w:noProof/>
            <w:color w:val="000000"/>
            <w:szCs w:val="22"/>
          </w:rPr>
          <w:t>Fourqurean and Cai 2001</w:t>
        </w:r>
        <w:r w:rsidR="00964A70" w:rsidRPr="00370E70">
          <w:rPr>
            <w:color w:val="000000"/>
            <w:szCs w:val="22"/>
          </w:rPr>
          <w:fldChar w:fldCharType="end"/>
        </w:r>
      </w:hyperlink>
      <w:r w:rsidRPr="00370E70">
        <w:rPr>
          <w:color w:val="000000"/>
          <w:szCs w:val="22"/>
        </w:rPr>
        <w:t xml:space="preserve">). N:P values in excess of 30 may potentially indicate P-limitation and less than 25 are considered to show N limitation </w:t>
      </w:r>
      <w:r w:rsidRPr="00370E70">
        <w:rPr>
          <w:noProof/>
          <w:color w:val="000000"/>
          <w:szCs w:val="22"/>
        </w:rPr>
        <w:t>(</w:t>
      </w:r>
      <w:hyperlink w:anchor="_ENREF_9" w:tooltip="Atkinson, 1983 #6292" w:history="1">
        <w:r w:rsidR="00964A70" w:rsidRPr="00370E70">
          <w:rPr>
            <w:color w:val="000000"/>
            <w:szCs w:val="22"/>
          </w:rPr>
          <w:fldChar w:fldCharType="begin"/>
        </w:r>
        <w:r w:rsidR="00964A70" w:rsidRPr="00370E70">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964A70" w:rsidRPr="00370E70">
          <w:rPr>
            <w:color w:val="000000"/>
            <w:szCs w:val="22"/>
          </w:rPr>
          <w:fldChar w:fldCharType="separate"/>
        </w:r>
        <w:r w:rsidR="00964A70" w:rsidRPr="00370E70">
          <w:rPr>
            <w:noProof/>
            <w:color w:val="000000"/>
            <w:szCs w:val="22"/>
          </w:rPr>
          <w:t>Atkinson and Smith 1983</w:t>
        </w:r>
        <w:r w:rsidR="00964A70" w:rsidRPr="00370E70">
          <w:rPr>
            <w:color w:val="000000"/>
            <w:szCs w:val="22"/>
          </w:rPr>
          <w:fldChar w:fldCharType="end"/>
        </w:r>
      </w:hyperlink>
      <w:r w:rsidRPr="00370E70">
        <w:rPr>
          <w:noProof/>
          <w:color w:val="000000"/>
          <w:szCs w:val="22"/>
        </w:rPr>
        <w:t>;</w:t>
      </w:r>
      <w:hyperlink w:anchor="_ENREF_66" w:tooltip="Duarte, 1990 #1954"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noProof/>
            <w:color w:val="000000"/>
            <w:szCs w:val="22"/>
          </w:rPr>
          <w:fldChar w:fldCharType="separate"/>
        </w:r>
        <w:r w:rsidR="00964A70" w:rsidRPr="00370E70">
          <w:rPr>
            <w:noProof/>
            <w:color w:val="000000"/>
            <w:szCs w:val="22"/>
          </w:rPr>
          <w:t>Duarte 1990</w:t>
        </w:r>
        <w:r w:rsidR="00964A70" w:rsidRPr="00370E70">
          <w:rPr>
            <w:noProof/>
            <w:color w:val="000000"/>
            <w:szCs w:val="22"/>
          </w:rPr>
          <w:fldChar w:fldCharType="end"/>
        </w:r>
      </w:hyperlink>
      <w:r w:rsidRPr="00370E70">
        <w:rPr>
          <w:noProof/>
          <w:color w:val="000000"/>
          <w:szCs w:val="22"/>
        </w:rPr>
        <w:t xml:space="preserve">; </w:t>
      </w:r>
      <w:hyperlink w:anchor="_ENREF_80" w:tooltip="Fourqurean, 1992 #9493"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&lt;EndNote&gt;&lt;Cite&gt;&lt;Author&gt;Fourqurean&lt;/Author&gt;&lt;Year&gt;1992&lt;/Year&gt;&lt;RecNum&gt;9493&lt;/RecNum&gt;&lt;DisplayText&gt;Fourqurean&lt;style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EndNote&gt;</w:instrText>
        </w:r>
        <w:r w:rsidR="00964A70" w:rsidRPr="00370E70">
          <w:rPr>
            <w:noProof/>
            <w:color w:val="000000"/>
            <w:szCs w:val="22"/>
          </w:rPr>
          <w:fldChar w:fldCharType="separate"/>
        </w:r>
        <w:r w:rsidR="00964A70" w:rsidRPr="00370E70">
          <w:rPr>
            <w:noProof/>
            <w:color w:val="000000"/>
            <w:szCs w:val="22"/>
          </w:rPr>
          <w:t>Fourqurean</w:t>
        </w:r>
        <w:r w:rsidR="00964A70" w:rsidRPr="00370E70">
          <w:rPr>
            <w:i/>
            <w:noProof/>
            <w:color w:val="000000"/>
            <w:szCs w:val="22"/>
          </w:rPr>
          <w:t xml:space="preserve"> et al.</w:t>
        </w:r>
        <w:r w:rsidR="00964A70" w:rsidRPr="00370E70">
          <w:rPr>
            <w:noProof/>
            <w:color w:val="000000"/>
            <w:szCs w:val="22"/>
          </w:rPr>
          <w:t xml:space="preserve"> 1992b</w:t>
        </w:r>
        <w:r w:rsidR="00964A70" w:rsidRPr="00370E70">
          <w:rPr>
            <w:noProof/>
            <w:color w:val="000000"/>
            <w:szCs w:val="22"/>
          </w:rPr>
          <w:fldChar w:fldCharType="end"/>
        </w:r>
      </w:hyperlink>
      <w:r w:rsidRPr="00370E70">
        <w:rPr>
          <w:noProof/>
          <w:color w:val="000000"/>
          <w:szCs w:val="22"/>
        </w:rPr>
        <w:t xml:space="preserve">; </w:t>
      </w:r>
      <w:hyperlink w:anchor="_ENREF_76" w:tooltip="Fourqurean, 2001 #9492" w:history="1">
        <w:r w:rsidR="00964A70" w:rsidRPr="00370E70">
          <w:rPr>
            <w:color w:val="000000"/>
            <w:szCs w:val="22"/>
          </w:rPr>
          <w:fldChar w:fldCharType="begin"/>
        </w:r>
        <w:r w:rsidR="00964A70" w:rsidRPr="00370E70">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964A70" w:rsidRPr="00370E70">
          <w:rPr>
            <w:color w:val="000000"/>
            <w:szCs w:val="22"/>
          </w:rPr>
          <w:fldChar w:fldCharType="separate"/>
        </w:r>
        <w:r w:rsidR="00964A70" w:rsidRPr="00370E70">
          <w:rPr>
            <w:noProof/>
            <w:color w:val="000000"/>
            <w:szCs w:val="22"/>
          </w:rPr>
          <w:t>Fourqurean and Cai 2001</w:t>
        </w:r>
        <w:r w:rsidR="00964A70" w:rsidRPr="00370E70">
          <w:rPr>
            <w:color w:val="000000"/>
            <w:szCs w:val="22"/>
          </w:rPr>
          <w:fldChar w:fldCharType="end"/>
        </w:r>
      </w:hyperlink>
      <w:r w:rsidRPr="00370E70">
        <w:rPr>
          <w:noProof/>
          <w:color w:val="000000"/>
          <w:szCs w:val="22"/>
        </w:rPr>
        <w:t>)</w:t>
      </w:r>
      <w:r w:rsidRPr="00370E70">
        <w:rPr>
          <w:color w:val="000000"/>
          <w:szCs w:val="22"/>
        </w:rPr>
        <w:t>. The median seagrass tissue ratios of C:P is approximately 500 (</w:t>
      </w:r>
      <w:hyperlink w:anchor="_ENREF_9" w:tooltip="Atkinson, 1983 #6292" w:history="1">
        <w:r w:rsidR="00964A70" w:rsidRPr="00370E70">
          <w:rPr>
            <w:color w:val="000000"/>
            <w:szCs w:val="22"/>
          </w:rPr>
          <w:fldChar w:fldCharType="begin"/>
        </w:r>
        <w:r w:rsidR="00964A70" w:rsidRPr="00370E70">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964A70" w:rsidRPr="00370E70">
          <w:rPr>
            <w:color w:val="000000"/>
            <w:szCs w:val="22"/>
          </w:rPr>
          <w:fldChar w:fldCharType="separate"/>
        </w:r>
        <w:r w:rsidR="00964A70" w:rsidRPr="00370E70">
          <w:rPr>
            <w:noProof/>
            <w:color w:val="000000"/>
            <w:szCs w:val="22"/>
          </w:rPr>
          <w:t>Atkinson and Smith 1983</w:t>
        </w:r>
        <w:r w:rsidR="00964A70" w:rsidRPr="00370E70">
          <w:rPr>
            <w:color w:val="000000"/>
            <w:szCs w:val="22"/>
          </w:rPr>
          <w:fldChar w:fldCharType="end"/>
        </w:r>
      </w:hyperlink>
      <w:r w:rsidRPr="00370E70">
        <w:rPr>
          <w:color w:val="000000"/>
          <w:szCs w:val="22"/>
        </w:rPr>
        <w:t>), therefore deviation from this value is also likely to be indicative of some level of nutrient enriched or nutrient limited conditions. A combination of these ratios can indicate seagrass environments which are impacted by nutrient enrichment. Plant tissue which has a high N:P and low C:P indicates an environment of elevated (saturated) nitrogen.</w:t>
      </w:r>
    </w:p>
    <w:p w:rsidR="00EE0164" w:rsidRPr="00370E70" w:rsidRDefault="00EE0164" w:rsidP="00EE0164">
      <w:pPr>
        <w:rPr>
          <w:szCs w:val="22"/>
        </w:rPr>
      </w:pPr>
      <w:r w:rsidRPr="00370E70">
        <w:rPr>
          <w:szCs w:val="22"/>
        </w:rPr>
        <w:t>Investigations of the differences in each individual tissue ratio within each of the species revealed that although tissue nutrient concentrations were extremely variable between locations and between years, by pooling species within habitat types trends were apparent (</w:t>
      </w:r>
      <w:hyperlink w:anchor="_ENREF_139" w:tooltip="McKenzie, 2009 #9494" w:history="1">
        <w:r w:rsidR="00964A70" w:rsidRPr="00370E70">
          <w:rPr>
            <w:szCs w:val="22"/>
          </w:rPr>
          <w:fldChar w:fldCharType="begin"/>
        </w:r>
        <w:r w:rsidR="00964A70" w:rsidRPr="00370E70">
          <w:rPr>
            <w:szCs w:val="22"/>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964A70" w:rsidRPr="00370E70">
          <w:rPr>
            <w:szCs w:val="22"/>
          </w:rPr>
          <w:fldChar w:fldCharType="separate"/>
        </w:r>
        <w:r w:rsidR="00964A70" w:rsidRPr="00370E70">
          <w:rPr>
            <w:noProof/>
            <w:szCs w:val="22"/>
          </w:rPr>
          <w:t>McKenzie and Unsworth 2009</w:t>
        </w:r>
        <w:r w:rsidR="00964A70" w:rsidRPr="00370E70">
          <w:rPr>
            <w:szCs w:val="22"/>
          </w:rPr>
          <w:fldChar w:fldCharType="end"/>
        </w:r>
      </w:hyperlink>
      <w:r w:rsidRPr="00370E70">
        <w:rPr>
          <w:szCs w:val="22"/>
        </w:rPr>
        <w:t xml:space="preserve">). As seagrass tissue nutrient ratios of the foundation species were generally not </w:t>
      </w:r>
      <w:r w:rsidRPr="00370E70">
        <w:rPr>
          <w:szCs w:val="22"/>
        </w:rPr>
        <w:lastRenderedPageBreak/>
        <w:t>significantly different from each other at a site within each sampling period (</w:t>
      </w:r>
      <w:hyperlink w:anchor="_ENREF_139" w:tooltip="McKenzie, 2009 #9494" w:history="1">
        <w:r w:rsidR="00964A70" w:rsidRPr="00370E70">
          <w:rPr>
            <w:szCs w:val="22"/>
          </w:rPr>
          <w:fldChar w:fldCharType="begin"/>
        </w:r>
        <w:r w:rsidR="00964A70" w:rsidRPr="00370E70">
          <w:rPr>
            <w:szCs w:val="22"/>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964A70" w:rsidRPr="00370E70">
          <w:rPr>
            <w:szCs w:val="22"/>
          </w:rPr>
          <w:fldChar w:fldCharType="separate"/>
        </w:r>
        <w:r w:rsidR="00964A70" w:rsidRPr="00370E70">
          <w:rPr>
            <w:noProof/>
            <w:szCs w:val="22"/>
          </w:rPr>
          <w:t>McKenzie and Unsworth 2009</w:t>
        </w:r>
        <w:r w:rsidR="00964A70" w:rsidRPr="00370E70">
          <w:rPr>
            <w:szCs w:val="22"/>
          </w:rPr>
          <w:fldChar w:fldCharType="end"/>
        </w:r>
      </w:hyperlink>
      <w:r w:rsidRPr="00370E70">
        <w:rPr>
          <w:szCs w:val="22"/>
        </w:rPr>
        <w:t xml:space="preserve">), the tissue nutrient ratios were pooled at the request of the GBRMPA to assist with interpretation of the findings. </w:t>
      </w:r>
    </w:p>
    <w:p w:rsidR="00EE0164" w:rsidRPr="00370E70" w:rsidRDefault="00EE0164" w:rsidP="00EE0164">
      <w:pPr>
        <w:rPr>
          <w:szCs w:val="22"/>
        </w:rPr>
      </w:pPr>
      <w:r w:rsidRPr="00370E70">
        <w:rPr>
          <w:rFonts w:cs="Arial"/>
          <w:szCs w:val="22"/>
        </w:rPr>
        <w:t>To identify the sources of the nitrogen and provide insight into the occurrence of carbon limitation associated with light limitation, leaf tissue were also analysed for nitrogen and carbon stable isotope ratios (δ</w:t>
      </w:r>
      <w:r w:rsidRPr="00370E70">
        <w:rPr>
          <w:rFonts w:cs="Arial"/>
          <w:szCs w:val="22"/>
          <w:vertAlign w:val="superscript"/>
        </w:rPr>
        <w:t>15</w:t>
      </w:r>
      <w:r w:rsidRPr="00370E70">
        <w:rPr>
          <w:rFonts w:cs="Arial"/>
          <w:szCs w:val="22"/>
        </w:rPr>
        <w:t>N and δ</w:t>
      </w:r>
      <w:r w:rsidRPr="00370E70">
        <w:rPr>
          <w:rFonts w:cs="Arial"/>
          <w:szCs w:val="22"/>
          <w:vertAlign w:val="superscript"/>
        </w:rPr>
        <w:t>13</w:t>
      </w:r>
      <w:r w:rsidRPr="00370E70">
        <w:rPr>
          <w:rFonts w:cs="Arial"/>
          <w:szCs w:val="22"/>
        </w:rPr>
        <w:t>C).</w:t>
      </w:r>
    </w:p>
    <w:p w:rsidR="00EE0164" w:rsidRPr="00370E70" w:rsidRDefault="00EE0164" w:rsidP="00EE0164">
      <w:pPr>
        <w:rPr>
          <w:szCs w:val="22"/>
        </w:rPr>
      </w:pPr>
      <w:r w:rsidRPr="00370E70">
        <w:rPr>
          <w:szCs w:val="22"/>
        </w:rPr>
        <w:t xml:space="preserve">There are two naturally occurring atomic forms </w:t>
      </w:r>
      <w:r w:rsidR="005D70A5" w:rsidRPr="00370E70">
        <w:rPr>
          <w:szCs w:val="22"/>
        </w:rPr>
        <w:t xml:space="preserve">of nitrogen (N). The common form that contains seven protons and seven neutrons is referred to as </w:t>
      </w:r>
      <w:r w:rsidR="005D70A5" w:rsidRPr="00370E70">
        <w:rPr>
          <w:szCs w:val="22"/>
          <w:vertAlign w:val="superscript"/>
        </w:rPr>
        <w:t>14</w:t>
      </w:r>
      <w:r w:rsidR="005D70A5" w:rsidRPr="00370E70">
        <w:rPr>
          <w:szCs w:val="22"/>
        </w:rPr>
        <w:t>N</w:t>
      </w:r>
      <w:r w:rsidR="00B4634C" w:rsidRPr="00370E70">
        <w:rPr>
          <w:szCs w:val="22"/>
        </w:rPr>
        <w:t xml:space="preserve">, and a heavier form that contains an extra neutron is called </w:t>
      </w:r>
      <w:r w:rsidR="00B4634C" w:rsidRPr="00370E70">
        <w:rPr>
          <w:szCs w:val="22"/>
          <w:vertAlign w:val="superscript"/>
        </w:rPr>
        <w:t>15</w:t>
      </w:r>
      <w:r w:rsidR="00B4634C" w:rsidRPr="00370E70">
        <w:rPr>
          <w:szCs w:val="22"/>
        </w:rPr>
        <w:t xml:space="preserve">N: </w:t>
      </w:r>
      <w:r w:rsidRPr="00370E70">
        <w:rPr>
          <w:szCs w:val="22"/>
        </w:rPr>
        <w:t xml:space="preserve">with 0.3663% of atmospheric N in the heavy form. Plants and animals assimilate both forms of nitrogen, and the ratio of </w:t>
      </w:r>
      <w:r w:rsidRPr="00370E70">
        <w:rPr>
          <w:szCs w:val="22"/>
          <w:vertAlign w:val="superscript"/>
        </w:rPr>
        <w:t>14</w:t>
      </w:r>
      <w:r w:rsidRPr="00370E70">
        <w:rPr>
          <w:szCs w:val="22"/>
        </w:rPr>
        <w:t xml:space="preserve">N to </w:t>
      </w:r>
      <w:r w:rsidRPr="00370E70">
        <w:rPr>
          <w:szCs w:val="22"/>
          <w:vertAlign w:val="superscript"/>
        </w:rPr>
        <w:t>15</w:t>
      </w:r>
      <w:r w:rsidRPr="00370E70">
        <w:rPr>
          <w:szCs w:val="22"/>
        </w:rPr>
        <w:t>N compared to an atmospheric standard (δ</w:t>
      </w:r>
      <w:r w:rsidRPr="00370E70">
        <w:rPr>
          <w:szCs w:val="22"/>
          <w:vertAlign w:val="superscript"/>
        </w:rPr>
        <w:t>15</w:t>
      </w:r>
      <w:r w:rsidRPr="00370E70">
        <w:rPr>
          <w:szCs w:val="22"/>
        </w:rPr>
        <w:t>N) can be determined by analysis of tissue on a stable isotope mass spectrometer using the following equation:</w:t>
      </w:r>
    </w:p>
    <w:p w:rsidR="00EE0164" w:rsidRPr="00370E70" w:rsidRDefault="00787547" w:rsidP="00EE0164">
      <w:pPr>
        <w:jc w:val="center"/>
        <w:rPr>
          <w:szCs w:val="22"/>
        </w:rPr>
      </w:pPr>
      <w:r w:rsidRPr="00370E70">
        <w:rPr>
          <w:position w:val="-36"/>
          <w:szCs w:val="22"/>
        </w:rPr>
        <w:object w:dxaOrig="6000" w:dyaOrig="8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ormula" style="width:300.15pt;height:40.55pt" o:ole="">
            <v:imagedata r:id="rId23" o:title=""/>
          </v:shape>
          <o:OLEObject Type="Embed" ProgID="Equation.3" ShapeID="_x0000_i1025" DrawAspect="Content" ObjectID="_1458997673" r:id="rId24"/>
        </w:object>
      </w:r>
    </w:p>
    <w:p w:rsidR="00EE0164" w:rsidRPr="00370E70" w:rsidRDefault="00EE0164" w:rsidP="00EE0164">
      <w:pPr>
        <w:rPr>
          <w:szCs w:val="22"/>
        </w:rPr>
      </w:pPr>
      <w:r w:rsidRPr="00370E70">
        <w:rPr>
          <w:szCs w:val="22"/>
        </w:rPr>
        <w:t>Seagrasses are passive indicators of δ</w:t>
      </w:r>
      <w:r w:rsidRPr="00370E70">
        <w:rPr>
          <w:szCs w:val="22"/>
          <w:vertAlign w:val="superscript"/>
        </w:rPr>
        <w:t>15</w:t>
      </w:r>
      <w:r w:rsidRPr="00370E70">
        <w:rPr>
          <w:szCs w:val="22"/>
        </w:rPr>
        <w:t xml:space="preserve">N enrichment, as they integrated the signature of their environment over time throughout their growth cycle. The various sources of nitrogen pollution to coastal ecosystems often have distinguishable </w:t>
      </w:r>
      <w:r w:rsidRPr="00370E70">
        <w:rPr>
          <w:szCs w:val="22"/>
          <w:vertAlign w:val="superscript"/>
        </w:rPr>
        <w:t>15</w:t>
      </w:r>
      <w:r w:rsidRPr="00370E70">
        <w:rPr>
          <w:szCs w:val="22"/>
        </w:rPr>
        <w:t>N/</w:t>
      </w:r>
      <w:r w:rsidRPr="00370E70">
        <w:rPr>
          <w:szCs w:val="22"/>
          <w:vertAlign w:val="superscript"/>
        </w:rPr>
        <w:t>14</w:t>
      </w:r>
      <w:r w:rsidRPr="00370E70">
        <w:rPr>
          <w:szCs w:val="22"/>
        </w:rPr>
        <w:t>N ratios (</w:t>
      </w:r>
      <w:hyperlink w:anchor="_ENREF_99" w:tooltip="Heaton, 1986 #9763" w:history="1">
        <w:r w:rsidR="00964A70" w:rsidRPr="00370E70">
          <w:rPr>
            <w:szCs w:val="22"/>
          </w:rPr>
          <w:fldChar w:fldCharType="begin"/>
        </w:r>
        <w:r w:rsidR="00964A70" w:rsidRPr="00370E70">
          <w:rPr>
            <w:szCs w:val="22"/>
          </w:rPr>
          <w:instrText xml:space="preserve"> ADDIN EN.CITE &lt;EndNote&gt;&lt;Cite&gt;&lt;Author&gt;Heaton&lt;/Author&gt;&lt;Year&gt;1986&lt;/Year&gt;&lt;RecNum&gt;9763&lt;/RecNum&gt;&lt;DisplayText&gt;Heaton 1986&lt;/DisplayText&gt;&lt;record&gt;&lt;rec-number&gt;9763&lt;/rec-number&gt;&lt;foreign-keys&gt;&lt;key app="EN" db-id="0eve55x9y5vfd6e9dacxtew4eatve2dzds9a"&gt;9763&lt;/key&gt;&lt;/foreign-keys&gt;&lt;ref-type name="Journal Article"&gt;17&lt;/ref-type&gt;&lt;contributors&gt;&lt;authors&gt;&lt;author&gt;Heaton, T H E&lt;/author&gt;&lt;/authors&gt;&lt;/contributors&gt;&lt;titles&gt;&lt;title&gt;Isotopic studies of nitrogen pollution in the hydrosphere and atmosphere: a review&lt;/title&gt;&lt;secondary-title&gt;Chemical Geology&lt;/secondary-title&gt;&lt;/titles&gt;&lt;periodical&gt;&lt;full-title&gt;Chemical Geology&lt;/full-title&gt;&lt;/periodical&gt;&lt;pages&gt;87-102&lt;/pages&gt;&lt;volume&gt;59&lt;/volume&gt;&lt;dates&gt;&lt;year&gt;1986&lt;/year&gt;&lt;/dates&gt;&lt;urls&gt;&lt;/urls&gt;&lt;/record&gt;&lt;/Cite&gt;&lt;/EndNote&gt;</w:instrText>
        </w:r>
        <w:r w:rsidR="00964A70" w:rsidRPr="00370E70">
          <w:rPr>
            <w:szCs w:val="22"/>
          </w:rPr>
          <w:fldChar w:fldCharType="separate"/>
        </w:r>
        <w:r w:rsidR="00964A70" w:rsidRPr="00370E70">
          <w:rPr>
            <w:noProof/>
            <w:szCs w:val="22"/>
          </w:rPr>
          <w:t>Heaton 1986</w:t>
        </w:r>
        <w:r w:rsidR="00964A70" w:rsidRPr="00370E70">
          <w:rPr>
            <w:szCs w:val="22"/>
          </w:rPr>
          <w:fldChar w:fldCharType="end"/>
        </w:r>
      </w:hyperlink>
      <w:r w:rsidRPr="00370E70">
        <w:rPr>
          <w:szCs w:val="22"/>
        </w:rPr>
        <w:t>), and in regions subject to anthropogenic inputs of nitrogen, changes in the δ</w:t>
      </w:r>
      <w:r w:rsidRPr="00370E70">
        <w:rPr>
          <w:szCs w:val="22"/>
          <w:vertAlign w:val="superscript"/>
        </w:rPr>
        <w:t>15</w:t>
      </w:r>
      <w:r w:rsidRPr="00370E70">
        <w:rPr>
          <w:szCs w:val="22"/>
        </w:rPr>
        <w:t>N signature can be used to identify the source and distribution of the nitrogen (</w:t>
      </w:r>
      <w:hyperlink w:anchor="_ENREF_52" w:tooltip="Costanzo, 2001 #9764" w:history="1">
        <w:r w:rsidR="00964A70" w:rsidRPr="00370E70">
          <w:rPr>
            <w:szCs w:val="22"/>
          </w:rPr>
          <w:fldChar w:fldCharType="begin"/>
        </w:r>
        <w:r w:rsidR="00964A70" w:rsidRPr="00370E70">
          <w:rPr>
            <w:szCs w:val="22"/>
          </w:rPr>
          <w:instrText xml:space="preserve"> ADDIN EN.CITE &lt;EndNote&gt;&lt;Cite&gt;&lt;Author&gt;Costanzo&lt;/Author&gt;&lt;Year&gt;2001&lt;/Year&gt;&lt;RecNum&gt;9764&lt;/RecNum&gt;&lt;DisplayText&gt;Costanzo 2001&lt;/DisplayText&gt;&lt;record&gt;&lt;rec-number&gt;9764&lt;/rec-number&gt;&lt;foreign-keys&gt;&lt;key app="EN" db-id="0eve55x9y5vfd6e9dacxtew4eatve2dzds9a"&gt;9764&lt;/key&gt;&lt;/foreign-keys&gt;&lt;ref-type name="Thesis"&gt;32&lt;/ref-type&gt;&lt;contributors&gt;&lt;authors&gt;&lt;author&gt;Costanzo, Simon D&lt;/author&gt;&lt;/authors&gt;&lt;/contributors&gt;&lt;titles&gt;&lt;title&gt;Development of indicators for assessing and monitoring nutrient influences in coastal waters&lt;/title&gt;&lt;/titles&gt;&lt;pages&gt;151&lt;/pages&gt;&lt;volume&gt;PhD &lt;/volume&gt;&lt;dates&gt;&lt;year&gt;2001&lt;/year&gt;&lt;/dates&gt;&lt;pub-location&gt;Brisbane, Australia&lt;/pub-location&gt;&lt;publisher&gt;University of Queensland&lt;/publisher&gt;&lt;urls&gt;&lt;/urls&gt;&lt;/record&gt;&lt;/Cite&gt;&lt;/EndNote&gt;</w:instrText>
        </w:r>
        <w:r w:rsidR="00964A70" w:rsidRPr="00370E70">
          <w:rPr>
            <w:szCs w:val="22"/>
          </w:rPr>
          <w:fldChar w:fldCharType="separate"/>
        </w:r>
        <w:r w:rsidR="00964A70" w:rsidRPr="00370E70">
          <w:rPr>
            <w:noProof/>
            <w:szCs w:val="22"/>
          </w:rPr>
          <w:t>Costanzo 2001</w:t>
        </w:r>
        <w:r w:rsidR="00964A70" w:rsidRPr="00370E70">
          <w:rPr>
            <w:szCs w:val="22"/>
          </w:rPr>
          <w:fldChar w:fldCharType="end"/>
        </w:r>
      </w:hyperlink>
      <w:r w:rsidRPr="00370E70">
        <w:rPr>
          <w:szCs w:val="22"/>
        </w:rPr>
        <w:t>). Nitrogen fertilizer, produced by industrial fixation of atmospheric nitrogen results in low to negative δ</w:t>
      </w:r>
      <w:r w:rsidRPr="00370E70">
        <w:rPr>
          <w:szCs w:val="22"/>
          <w:vertAlign w:val="superscript"/>
        </w:rPr>
        <w:t>15</w:t>
      </w:r>
      <w:r w:rsidRPr="00370E70">
        <w:rPr>
          <w:szCs w:val="22"/>
        </w:rPr>
        <w:t>N signatures (i.e. δ</w:t>
      </w:r>
      <w:r w:rsidRPr="00370E70">
        <w:rPr>
          <w:szCs w:val="22"/>
          <w:vertAlign w:val="superscript"/>
        </w:rPr>
        <w:t>15</w:t>
      </w:r>
      <w:r w:rsidRPr="00370E70">
        <w:rPr>
          <w:szCs w:val="22"/>
        </w:rPr>
        <w:t>N ~0 - 1‰) (</w:t>
      </w:r>
      <w:hyperlink w:anchor="_ENREF_187" w:tooltip="Udy, 1997 #5442" w:history="1">
        <w:r w:rsidR="00964A70" w:rsidRPr="00370E70">
          <w:rPr>
            <w:szCs w:val="22"/>
          </w:rPr>
          <w:fldChar w:fldCharType="begin"/>
        </w:r>
        <w:r w:rsidR="00964A70" w:rsidRPr="00370E70">
          <w:rPr>
            <w:szCs w:val="22"/>
          </w:rPr>
          <w:instrText xml:space="preserve"> ADDIN EN.CITE &lt;EndNote&gt;&lt;Cite&gt;&lt;Author&gt;Udy&lt;/Author&gt;&lt;Year&gt;1997&lt;/Year&gt;&lt;RecNum&gt;5442&lt;/RecNum&gt;&lt;DisplayText&gt;Udy and Dennison 1997a&lt;/DisplayText&gt;&lt;record&gt;&lt;rec-number&gt;5442&lt;/rec-number&gt;&lt;foreign-keys&gt;&lt;key app="EN" db-id="0eve55x9y5vfd6e9dacxtew4eatve2dzds9a"&gt;5442&lt;/key&gt;&lt;/foreign-keys&gt;&lt;ref-type name="Journal Article"&gt;17&lt;/ref-type&gt;&lt;contributors&gt;&lt;authors&gt;&lt;author&gt;Udy, James W&lt;/author&gt;&lt;author&gt;Dennison, William C&lt;/author&gt;&lt;/authors&gt;&lt;/contributors&gt;&lt;titles&gt;&lt;title&gt;Growth and physiological responses of three Seagrass species to elevated sediment nutrients in Moreton Bay, Australia&lt;/title&gt;&lt;secondary-title&gt;Journal of Experimental Marine Biology and Ecology&lt;/secondary-title&gt;&lt;/titles&gt;&lt;periodical&gt;&lt;full-title&gt;Journal of Experimental Marine Biology and Ecology&lt;/full-title&gt;&lt;/periodical&gt;&lt;pages&gt;253-277&lt;/pages&gt;&lt;volume&gt;217&lt;/volume&gt;&lt;number&gt;2&lt;/number&gt;&lt;keywords&gt;&lt;keyword&gt;Seagrass&lt;/keyword&gt;&lt;keyword&gt;Nutrient&lt;/keyword&gt;&lt;keyword&gt;Nitrogen&lt;/keyword&gt;&lt;keyword&gt;Phosphorus&lt;/keyword&gt;&lt;keyword&gt;Amino acid.&lt;/keyword&gt;&lt;keyword&gt;Zostera-marina l&lt;/keyword&gt;&lt;keyword&gt;Halodule-wrightii aschers&lt;/keyword&gt;&lt;keyword&gt;Phosphorus limitation&lt;/keyword&gt;&lt;keyword&gt;Syringodium-filiforme&lt;/keyword&gt;&lt;keyword&gt;Thalassia-testudinum&lt;/keyword&gt;&lt;keyword&gt;Cymodocea-nodosa&lt;/keyword&gt;&lt;keyword&gt;Light-intensity&lt;/keyword&gt;&lt;keyword&gt;Chesapeake bay&lt;/keyword&gt;&lt;keyword&gt;Florida bay&lt;/keyword&gt;&lt;keyword&gt;L eelgrass.&lt;/keyword&gt;&lt;keyword&gt;Aquatic sciences.&lt;/keyword&gt;&lt;/keywords&gt;&lt;dates&gt;&lt;year&gt;1997&lt;/year&gt;&lt;/dates&gt;&lt;urls&gt;&lt;/urls&gt;&lt;custom1&gt;Reprint available from: Udy JW UNIV QUEENSLAND DEPT BOT ST LUCIA QLD 4072 AUSTRALIA&lt;/custom1&gt;&lt;/record&gt;&lt;/Cite&gt;&lt;/EndNote&gt;</w:instrText>
        </w:r>
        <w:r w:rsidR="00964A70" w:rsidRPr="00370E70">
          <w:rPr>
            <w:szCs w:val="22"/>
          </w:rPr>
          <w:fldChar w:fldCharType="separate"/>
        </w:r>
        <w:r w:rsidR="00964A70" w:rsidRPr="00370E70">
          <w:rPr>
            <w:noProof/>
            <w:szCs w:val="22"/>
          </w:rPr>
          <w:t>Udy and Dennison 1997a</w:t>
        </w:r>
        <w:r w:rsidR="00964A70" w:rsidRPr="00370E70">
          <w:rPr>
            <w:szCs w:val="22"/>
          </w:rPr>
          <w:fldChar w:fldCharType="end"/>
        </w:r>
      </w:hyperlink>
      <w:r w:rsidRPr="00370E70">
        <w:rPr>
          <w:szCs w:val="22"/>
        </w:rPr>
        <w:t xml:space="preserve">). In animal or sewage waste, nitrogen is excreted mainly in the form of urea, which favours conversion to ammonia and enables volatilization to the atmosphere. Resultant fractionation during this process leaves the remaining ammonium enriched in </w:t>
      </w:r>
      <w:r w:rsidRPr="00370E70">
        <w:rPr>
          <w:szCs w:val="22"/>
          <w:vertAlign w:val="superscript"/>
        </w:rPr>
        <w:t>15</w:t>
      </w:r>
      <w:r w:rsidRPr="00370E70">
        <w:rPr>
          <w:szCs w:val="22"/>
        </w:rPr>
        <w:t>N. Further biological fractionation results in sewage nitrogen having a δ</w:t>
      </w:r>
      <w:r w:rsidRPr="00370E70">
        <w:rPr>
          <w:szCs w:val="22"/>
          <w:vertAlign w:val="superscript"/>
        </w:rPr>
        <w:t>15</w:t>
      </w:r>
      <w:r w:rsidRPr="00370E70">
        <w:rPr>
          <w:szCs w:val="22"/>
        </w:rPr>
        <w:t>N signature greater than 9 or ~10‰ (</w:t>
      </w:r>
      <w:r w:rsidRPr="00370E70">
        <w:rPr>
          <w:szCs w:val="22"/>
        </w:rPr>
        <w:fldChar w:fldCharType="begin">
          <w:fldData xml:space="preserve">PEVuZE5vdGU+PENpdGU+PEF1dGhvcj5EZW5uaXNvbjwvQXV0aG9yPjxZZWFyPjE5OTk8L1llYXI+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</w:fldData>
        </w:fldChar>
      </w:r>
      <w:r w:rsidR="00126051" w:rsidRPr="00370E70">
        <w:rPr>
          <w:szCs w:val="22"/>
        </w:rPr>
        <w:instrText xml:space="preserve"> ADDIN EN.CITE </w:instrText>
      </w:r>
      <w:r w:rsidR="00126051" w:rsidRPr="00370E70">
        <w:rPr>
          <w:szCs w:val="22"/>
        </w:rPr>
        <w:fldChar w:fldCharType="begin">
          <w:fldData xml:space="preserve">PEVuZE5vdGU+PENpdGU+PEF1dGhvcj5EZW5uaXNvbjwvQXV0aG9yPjxZZWFyPjE5OTk8L1llYXI+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</w:fldData>
        </w:fldChar>
      </w:r>
      <w:r w:rsidR="00126051" w:rsidRPr="00370E70">
        <w:rPr>
          <w:szCs w:val="22"/>
        </w:rPr>
        <w:instrText xml:space="preserve"> ADDIN EN.CITE.DATA </w:instrText>
      </w:r>
      <w:r w:rsidR="00126051" w:rsidRPr="00370E70">
        <w:rPr>
          <w:szCs w:val="22"/>
        </w:rPr>
      </w:r>
      <w:r w:rsidR="00126051" w:rsidRPr="00370E70">
        <w:rPr>
          <w:szCs w:val="22"/>
        </w:rPr>
        <w:fldChar w:fldCharType="end"/>
      </w:r>
      <w:r w:rsidRPr="00370E70">
        <w:rPr>
          <w:szCs w:val="22"/>
        </w:rPr>
      </w:r>
      <w:r w:rsidRPr="00370E70">
        <w:rPr>
          <w:szCs w:val="22"/>
        </w:rPr>
        <w:fldChar w:fldCharType="separate"/>
      </w:r>
      <w:hyperlink w:anchor="_ENREF_112" w:tooltip="Lajtha, 1994 #9792" w:history="1">
        <w:r w:rsidR="00964A70" w:rsidRPr="00370E70">
          <w:rPr>
            <w:noProof/>
            <w:szCs w:val="22"/>
          </w:rPr>
          <w:t>Lajtha and Marshall 1994</w:t>
        </w:r>
      </w:hyperlink>
      <w:r w:rsidR="00126051" w:rsidRPr="00370E70">
        <w:rPr>
          <w:noProof/>
          <w:szCs w:val="22"/>
        </w:rPr>
        <w:t xml:space="preserve">; </w:t>
      </w:r>
      <w:hyperlink w:anchor="_ENREF_188" w:tooltip="Udy, 1997 #9791" w:history="1">
        <w:r w:rsidR="00964A70" w:rsidRPr="00370E70">
          <w:rPr>
            <w:noProof/>
            <w:szCs w:val="22"/>
          </w:rPr>
          <w:t>Udy and Dennison 1997b</w:t>
        </w:r>
      </w:hyperlink>
      <w:r w:rsidR="00126051" w:rsidRPr="00370E70">
        <w:rPr>
          <w:noProof/>
          <w:szCs w:val="22"/>
        </w:rPr>
        <w:t xml:space="preserve">; </w:t>
      </w:r>
      <w:hyperlink w:anchor="_ENREF_59" w:tooltip="Dennison, 1999 #6992" w:history="1">
        <w:r w:rsidR="00964A70" w:rsidRPr="00370E70">
          <w:rPr>
            <w:noProof/>
            <w:szCs w:val="22"/>
          </w:rPr>
          <w:t>Dennison and Abal 1999</w:t>
        </w:r>
      </w:hyperlink>
      <w:r w:rsidR="00126051" w:rsidRPr="00370E70">
        <w:rPr>
          <w:noProof/>
          <w:szCs w:val="22"/>
        </w:rPr>
        <w:t xml:space="preserve">; </w:t>
      </w:r>
      <w:hyperlink w:anchor="_ENREF_2" w:tooltip="Abal, 2001 #9765" w:history="1">
        <w:r w:rsidR="00964A70" w:rsidRPr="00370E70">
          <w:rPr>
            <w:noProof/>
            <w:szCs w:val="22"/>
          </w:rPr>
          <w:t>Abal</w:t>
        </w:r>
        <w:r w:rsidR="00964A70" w:rsidRPr="00370E70">
          <w:rPr>
            <w:i/>
            <w:noProof/>
            <w:szCs w:val="22"/>
          </w:rPr>
          <w:t xml:space="preserve"> et al.</w:t>
        </w:r>
        <w:r w:rsidR="00964A70" w:rsidRPr="00370E70">
          <w:rPr>
            <w:noProof/>
            <w:szCs w:val="22"/>
          </w:rPr>
          <w:t xml:space="preserve"> 2001</w:t>
        </w:r>
      </w:hyperlink>
      <w:r w:rsidR="00126051" w:rsidRPr="00370E70">
        <w:rPr>
          <w:noProof/>
          <w:szCs w:val="22"/>
        </w:rPr>
        <w:t xml:space="preserve">; </w:t>
      </w:r>
      <w:hyperlink w:anchor="_ENREF_54" w:tooltip="Costanzo, 2001 #2582" w:history="1">
        <w:r w:rsidR="00964A70" w:rsidRPr="00370E70">
          <w:rPr>
            <w:noProof/>
            <w:szCs w:val="22"/>
          </w:rPr>
          <w:t>Costanzo</w:t>
        </w:r>
        <w:r w:rsidR="00964A70" w:rsidRPr="00370E70">
          <w:rPr>
            <w:i/>
            <w:noProof/>
            <w:szCs w:val="22"/>
          </w:rPr>
          <w:t xml:space="preserve"> et al.</w:t>
        </w:r>
        <w:r w:rsidR="00964A70" w:rsidRPr="00370E70">
          <w:rPr>
            <w:noProof/>
            <w:szCs w:val="22"/>
          </w:rPr>
          <w:t xml:space="preserve"> 2001</w:t>
        </w:r>
      </w:hyperlink>
      <w:r w:rsidRPr="00370E70">
        <w:rPr>
          <w:szCs w:val="22"/>
        </w:rPr>
        <w:fldChar w:fldCharType="end"/>
      </w:r>
      <w:r w:rsidRPr="00370E70">
        <w:rPr>
          <w:szCs w:val="22"/>
        </w:rPr>
        <w:t>). Septic and aquaculture discharge undergo less biological treatment and are likely to have a signature closer to that of raw waste (δ</w:t>
      </w:r>
      <w:r w:rsidRPr="00370E70">
        <w:rPr>
          <w:szCs w:val="22"/>
          <w:vertAlign w:val="superscript"/>
        </w:rPr>
        <w:t>15</w:t>
      </w:r>
      <w:r w:rsidRPr="00370E70">
        <w:rPr>
          <w:szCs w:val="22"/>
        </w:rPr>
        <w:t>N ~5‰) (</w:t>
      </w:r>
      <w:hyperlink w:anchor="_ENREF_110" w:tooltip="Jones, 2001 #2607" w:history="1">
        <w:r w:rsidR="00964A70" w:rsidRPr="00370E70">
          <w:rPr>
            <w:szCs w:val="22"/>
          </w:rPr>
          <w:fldChar w:fldCharType="begin"/>
        </w:r>
        <w:r w:rsidR="00964A70" w:rsidRPr="00370E70">
          <w:rPr>
            <w:szCs w:val="22"/>
          </w:rPr>
          <w:instrText xml:space="preserve"> ADDIN EN.CITE &lt;EndNote&gt;&lt;Cite&gt;&lt;Author&gt;Jones&lt;/Author&gt;&lt;Year&gt;2001&lt;/Year&gt;&lt;RecNum&gt;2607&lt;/RecNum&gt;&lt;DisplayText&gt;Jones&lt;style face="italic"&gt; et al.&lt;/style&gt; 2001&lt;/DisplayText&gt;&lt;record&gt;&lt;rec-number&gt;2607&lt;/rec-number&gt;&lt;foreign-keys&gt;&lt;key app="EN" db-id="0eve55x9y5vfd6e9dacxtew4eatve2dzds9a"&gt;2607&lt;/key&gt;&lt;/foreign-keys&gt;&lt;ref-type name="Journal Article"&gt;17&lt;/ref-type&gt;&lt;contributors&gt;&lt;authors&gt;&lt;author&gt;Jones, A. B.&lt;/author&gt;&lt;author&gt;O&amp;apos;Donohue, M. J.&lt;/author&gt;&lt;author&gt;Udy, J.&lt;/author&gt;&lt;author&gt;Dennison, W. C.&lt;/author&gt;&lt;/authors&gt;&lt;/contributors&gt;&lt;titles&gt;&lt;title&gt;Assessing Ecological Impacts of Shrimp and Sewage Effluent: Biological Indicators with Standard Water Quality Analyses&lt;/title&gt;&lt;secondary-title&gt;Estuarine, Coastal and Shelf Science&lt;/secondary-title&gt;&lt;/titles&gt;&lt;periodical&gt;&lt;full-title&gt;Estuarine, Coastal and Shelf Science&lt;/full-title&gt;&lt;/periodical&gt;&lt;pages&gt;91-109&lt;/pages&gt;&lt;volume&gt;52&lt;/volume&gt;&lt;number&gt;1&lt;/number&gt;&lt;dates&gt;&lt;year&gt;2001&lt;/year&gt;&lt;pub-dates&gt;&lt;date&gt;2001/1&lt;/date&gt;&lt;/pub-dates&gt;&lt;/dates&gt;&lt;label&gt;Stew&lt;/label&gt;&lt;urls&gt;&lt;related-urls&gt;&lt;url&gt;http://www.sciencedirect.com/science/article/B6WDV-458W57V-2Y/1/91bc089eb81289ab904493bfef658b95&lt;/url&gt;&lt;/related-urls&gt;&lt;/urls&gt;&lt;/record&gt;&lt;/Cite&gt;&lt;/EndNote&gt;</w:instrText>
        </w:r>
        <w:r w:rsidR="00964A70" w:rsidRPr="00370E70">
          <w:rPr>
            <w:szCs w:val="22"/>
          </w:rPr>
          <w:fldChar w:fldCharType="separate"/>
        </w:r>
        <w:r w:rsidR="00964A70" w:rsidRPr="00370E70">
          <w:rPr>
            <w:noProof/>
            <w:szCs w:val="22"/>
          </w:rPr>
          <w:t>Jones</w:t>
        </w:r>
        <w:r w:rsidR="00964A70" w:rsidRPr="00370E70">
          <w:rPr>
            <w:i/>
            <w:noProof/>
            <w:szCs w:val="22"/>
          </w:rPr>
          <w:t xml:space="preserve"> et al.</w:t>
        </w:r>
        <w:r w:rsidR="00964A70" w:rsidRPr="00370E70">
          <w:rPr>
            <w:noProof/>
            <w:szCs w:val="22"/>
          </w:rPr>
          <w:t xml:space="preserve"> 2001</w:t>
        </w:r>
        <w:r w:rsidR="00964A70" w:rsidRPr="00370E70">
          <w:rPr>
            <w:szCs w:val="22"/>
          </w:rPr>
          <w:fldChar w:fldCharType="end"/>
        </w:r>
      </w:hyperlink>
      <w:r w:rsidRPr="00370E70">
        <w:rPr>
          <w:szCs w:val="22"/>
        </w:rPr>
        <w:t>).</w:t>
      </w:r>
    </w:p>
    <w:p w:rsidR="00EE0164" w:rsidRPr="00370E70" w:rsidRDefault="00EE0164" w:rsidP="00EE0164">
      <w:pPr>
        <w:rPr>
          <w:rFonts w:cs="Arial"/>
          <w:szCs w:val="22"/>
        </w:rPr>
      </w:pPr>
      <w:r w:rsidRPr="00370E70">
        <w:rPr>
          <w:szCs w:val="22"/>
        </w:rPr>
        <w:t xml:space="preserve">Similar to N, there are two naturally occurring atomic forms of carbon (C), </w:t>
      </w:r>
      <w:r w:rsidRPr="00370E70">
        <w:rPr>
          <w:szCs w:val="22"/>
          <w:vertAlign w:val="superscript"/>
        </w:rPr>
        <w:t>13</w:t>
      </w:r>
      <w:r w:rsidRPr="00370E70">
        <w:rPr>
          <w:szCs w:val="22"/>
        </w:rPr>
        <w:t xml:space="preserve">C and </w:t>
      </w:r>
      <w:r w:rsidRPr="00370E70">
        <w:rPr>
          <w:szCs w:val="22"/>
          <w:vertAlign w:val="superscript"/>
        </w:rPr>
        <w:t>12</w:t>
      </w:r>
      <w:r w:rsidRPr="00370E70">
        <w:rPr>
          <w:szCs w:val="22"/>
        </w:rPr>
        <w:t xml:space="preserve">C, which are taken up during photosynthesis where </w:t>
      </w:r>
      <w:r w:rsidRPr="00370E70">
        <w:rPr>
          <w:szCs w:val="22"/>
          <w:vertAlign w:val="superscript"/>
        </w:rPr>
        <w:t>12</w:t>
      </w:r>
      <w:r w:rsidRPr="00370E70">
        <w:rPr>
          <w:szCs w:val="22"/>
        </w:rPr>
        <w:t>C</w:t>
      </w:r>
      <w:r w:rsidRPr="00370E70">
        <w:rPr>
          <w:rFonts w:cs="Arial"/>
          <w:szCs w:val="22"/>
        </w:rPr>
        <w:t xml:space="preserve"> is the more abundant of the two, accounting for 98.89% of carbon. The ratio that </w:t>
      </w:r>
      <w:r w:rsidRPr="00370E70">
        <w:rPr>
          <w:rFonts w:cs="Arial"/>
          <w:szCs w:val="22"/>
          <w:vertAlign w:val="superscript"/>
        </w:rPr>
        <w:t>13</w:t>
      </w:r>
      <w:r w:rsidRPr="00370E70">
        <w:rPr>
          <w:rFonts w:cs="Arial"/>
          <w:szCs w:val="22"/>
        </w:rPr>
        <w:t xml:space="preserve">C is taken up relative to </w:t>
      </w:r>
      <w:r w:rsidRPr="00370E70">
        <w:rPr>
          <w:rFonts w:cs="Arial"/>
          <w:szCs w:val="22"/>
          <w:vertAlign w:val="superscript"/>
        </w:rPr>
        <w:t>12</w:t>
      </w:r>
      <w:r w:rsidRPr="00370E70">
        <w:rPr>
          <w:rFonts w:cs="Arial"/>
          <w:szCs w:val="22"/>
        </w:rPr>
        <w:t xml:space="preserve">C varies in time as a function of productivity, organic carbon burial and vegetation type. A measure of the ratio of </w:t>
      </w:r>
      <w:hyperlink r:id="rId25" w:tooltip="Stable isotope" w:history="1">
        <w:r w:rsidRPr="00370E70">
          <w:rPr>
            <w:rFonts w:cs="Arial"/>
            <w:szCs w:val="22"/>
          </w:rPr>
          <w:t>stable isotopes</w:t>
        </w:r>
      </w:hyperlink>
      <w:r w:rsidRPr="00370E70">
        <w:rPr>
          <w:rFonts w:cs="Arial"/>
          <w:szCs w:val="22"/>
        </w:rPr>
        <w:t xml:space="preserve"> </w:t>
      </w:r>
      <w:r w:rsidRPr="00370E70">
        <w:rPr>
          <w:szCs w:val="22"/>
          <w:vertAlign w:val="superscript"/>
        </w:rPr>
        <w:t>13</w:t>
      </w:r>
      <w:r w:rsidRPr="00370E70">
        <w:rPr>
          <w:szCs w:val="22"/>
        </w:rPr>
        <w:t>C:</w:t>
      </w:r>
      <w:r w:rsidRPr="00370E70">
        <w:rPr>
          <w:szCs w:val="22"/>
          <w:vertAlign w:val="superscript"/>
        </w:rPr>
        <w:t>12</w:t>
      </w:r>
      <w:r w:rsidRPr="00370E70">
        <w:rPr>
          <w:szCs w:val="22"/>
        </w:rPr>
        <w:t>C</w:t>
      </w:r>
      <w:r w:rsidRPr="00370E70">
        <w:rPr>
          <w:rFonts w:cs="Arial"/>
          <w:szCs w:val="22"/>
        </w:rPr>
        <w:t xml:space="preserve"> (i.e. δ</w:t>
      </w:r>
      <w:r w:rsidRPr="00370E70">
        <w:rPr>
          <w:rFonts w:cs="Arial"/>
          <w:szCs w:val="22"/>
          <w:vertAlign w:val="superscript"/>
        </w:rPr>
        <w:t>13</w:t>
      </w:r>
      <w:r w:rsidRPr="00370E70">
        <w:rPr>
          <w:rFonts w:cs="Arial"/>
          <w:szCs w:val="22"/>
        </w:rPr>
        <w:t xml:space="preserve">C) is known as the </w:t>
      </w:r>
      <w:hyperlink r:id="rId26" w:tooltip="Isotopic signature" w:history="1">
        <w:r w:rsidRPr="00370E70">
          <w:rPr>
            <w:rFonts w:cs="Arial"/>
            <w:szCs w:val="22"/>
          </w:rPr>
          <w:t>isotopic signature</w:t>
        </w:r>
      </w:hyperlink>
      <w:r w:rsidRPr="00370E70">
        <w:rPr>
          <w:rFonts w:cs="Arial"/>
          <w:szCs w:val="22"/>
        </w:rPr>
        <w:t>, and reported in parts per thousand (per mil, ‰):</w:t>
      </w:r>
    </w:p>
    <w:p w:rsidR="00CB33D3" w:rsidRPr="00370E70" w:rsidRDefault="00787547" w:rsidP="00CB33D3">
      <w:pPr>
        <w:jc w:val="center"/>
        <w:rPr>
          <w:szCs w:val="22"/>
        </w:rPr>
      </w:pPr>
      <w:r w:rsidRPr="00370E70">
        <w:rPr>
          <w:position w:val="-38"/>
          <w:szCs w:val="22"/>
        </w:rPr>
        <w:object w:dxaOrig="3440" w:dyaOrig="859">
          <v:shape id="_x0000_i1026" type="#_x0000_t75" alt="formula" style="width:172.4pt;height:42.6pt" o:ole="">
            <v:imagedata r:id="rId27" o:title=""/>
          </v:shape>
          <o:OLEObject Type="Embed" ProgID="Equation.3" ShapeID="_x0000_i1026" DrawAspect="Content" ObjectID="_1458997674" r:id="rId28"/>
        </w:object>
      </w:r>
    </w:p>
    <w:p w:rsidR="00EE0164" w:rsidRPr="00370E70" w:rsidRDefault="00CB33D3" w:rsidP="00CB33D3">
      <w:pPr>
        <w:tabs>
          <w:tab w:val="left" w:pos="2835"/>
        </w:tabs>
        <w:rPr>
          <w:rFonts w:cs="Arial"/>
          <w:szCs w:val="22"/>
        </w:rPr>
      </w:pPr>
      <w:r w:rsidRPr="00370E70">
        <w:rPr>
          <w:rFonts w:cs="Arial"/>
          <w:szCs w:val="22"/>
        </w:rPr>
        <w:tab/>
      </w:r>
      <w:r w:rsidR="00EE0164" w:rsidRPr="00370E70">
        <w:rPr>
          <w:rFonts w:cs="Arial"/>
          <w:szCs w:val="22"/>
        </w:rPr>
        <w:t>where the standard is an established reference material.</w:t>
      </w:r>
    </w:p>
    <w:p w:rsidR="00EE0164" w:rsidRPr="00370E70" w:rsidRDefault="00EE0164" w:rsidP="00EE0164">
      <w:pPr>
        <w:rPr>
          <w:szCs w:val="22"/>
        </w:rPr>
      </w:pPr>
      <w:r w:rsidRPr="00370E70">
        <w:rPr>
          <w:szCs w:val="22"/>
        </w:rPr>
        <w:t xml:space="preserve">Experimental work has confirmed that seagrasses from high light, high productivity environments demonstrate (less negative) isotopic enrichment: i.e. low %C, low C:N, in contrast, more negative </w:t>
      </w:r>
      <w:r w:rsidRPr="00370E70">
        <w:rPr>
          <w:i/>
          <w:szCs w:val="22"/>
        </w:rPr>
        <w:t>δ</w:t>
      </w:r>
      <w:r w:rsidRPr="00370E70">
        <w:rPr>
          <w:szCs w:val="22"/>
          <w:vertAlign w:val="superscript"/>
        </w:rPr>
        <w:t>13</w:t>
      </w:r>
      <w:r w:rsidRPr="00370E70">
        <w:rPr>
          <w:szCs w:val="22"/>
        </w:rPr>
        <w:t>C, may indicate that light is limited (</w:t>
      </w:r>
      <w:r w:rsidRPr="00370E70">
        <w:rPr>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ZmQ2ZTlkYWN4dGV3NGVhdHZlMmR6ZHM5YSI+MTM0Njwva2V5PjwvZm9yZWlnbi1rZXlzPjxyZWYt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</w:fldData>
        </w:fldChar>
      </w:r>
      <w:r w:rsidR="00126051" w:rsidRPr="00370E70">
        <w:rPr>
          <w:szCs w:val="22"/>
        </w:rPr>
        <w:instrText xml:space="preserve"> ADDIN EN.CITE </w:instrText>
      </w:r>
      <w:r w:rsidR="00126051" w:rsidRPr="00370E70">
        <w:rPr>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ZmQ2ZTlkYWN4dGV3NGVhdHZlMmR6ZHM5YSI+MTM0Njwva2V5PjwvZm9yZWlnbi1rZXlzPjxyZWYt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</w:fldData>
        </w:fldChar>
      </w:r>
      <w:r w:rsidR="00126051" w:rsidRPr="00370E70">
        <w:rPr>
          <w:szCs w:val="22"/>
        </w:rPr>
        <w:instrText xml:space="preserve"> ADDIN EN.CITE.DATA </w:instrText>
      </w:r>
      <w:r w:rsidR="00126051" w:rsidRPr="00370E70">
        <w:rPr>
          <w:szCs w:val="22"/>
        </w:rPr>
      </w:r>
      <w:r w:rsidR="00126051" w:rsidRPr="00370E70">
        <w:rPr>
          <w:szCs w:val="22"/>
        </w:rPr>
        <w:fldChar w:fldCharType="end"/>
      </w:r>
      <w:r w:rsidRPr="00370E70">
        <w:rPr>
          <w:szCs w:val="22"/>
        </w:rPr>
      </w:r>
      <w:r w:rsidRPr="00370E70">
        <w:rPr>
          <w:szCs w:val="22"/>
        </w:rPr>
        <w:fldChar w:fldCharType="separate"/>
      </w:r>
      <w:hyperlink w:anchor="_ENREF_93" w:tooltip="Grice, 1996 #1346" w:history="1">
        <w:r w:rsidR="00964A70" w:rsidRPr="00370E70">
          <w:rPr>
            <w:noProof/>
            <w:szCs w:val="22"/>
          </w:rPr>
          <w:t>Grice</w:t>
        </w:r>
        <w:r w:rsidR="00964A70" w:rsidRPr="00370E70">
          <w:rPr>
            <w:i/>
            <w:noProof/>
            <w:szCs w:val="22"/>
          </w:rPr>
          <w:t>, et al.</w:t>
        </w:r>
        <w:r w:rsidR="00964A70" w:rsidRPr="00370E70">
          <w:rPr>
            <w:noProof/>
            <w:szCs w:val="22"/>
          </w:rPr>
          <w:t xml:space="preserve"> 1996</w:t>
        </w:r>
      </w:hyperlink>
      <w:r w:rsidR="00126051" w:rsidRPr="00370E70">
        <w:rPr>
          <w:noProof/>
          <w:szCs w:val="22"/>
        </w:rPr>
        <w:t xml:space="preserve">; </w:t>
      </w:r>
      <w:hyperlink w:anchor="_ENREF_77" w:tooltip="Fourqurean, 2005 #7505" w:history="1">
        <w:r w:rsidR="00964A70" w:rsidRPr="00370E70">
          <w:rPr>
            <w:noProof/>
            <w:szCs w:val="22"/>
          </w:rPr>
          <w:t>Fourqurean</w:t>
        </w:r>
        <w:r w:rsidR="00964A70" w:rsidRPr="00370E70">
          <w:rPr>
            <w:i/>
            <w:noProof/>
            <w:szCs w:val="22"/>
          </w:rPr>
          <w:t xml:space="preserve"> et al.</w:t>
        </w:r>
        <w:r w:rsidR="00964A70" w:rsidRPr="00370E70">
          <w:rPr>
            <w:noProof/>
            <w:szCs w:val="22"/>
          </w:rPr>
          <w:t xml:space="preserve"> 2005</w:t>
        </w:r>
      </w:hyperlink>
      <w:r w:rsidRPr="00370E70">
        <w:rPr>
          <w:szCs w:val="22"/>
        </w:rPr>
        <w:fldChar w:fldCharType="end"/>
      </w:r>
      <w:r w:rsidRPr="00370E70">
        <w:rPr>
          <w:szCs w:val="22"/>
        </w:rPr>
        <w:t>).</w:t>
      </w:r>
    </w:p>
    <w:p w:rsidR="005132EF" w:rsidRPr="00370E70" w:rsidRDefault="005132EF" w:rsidP="00034AD4">
      <w:pPr>
        <w:pStyle w:val="Heading2"/>
        <w:rPr>
          <w:rFonts w:ascii="Century Gothic" w:hAnsi="Century Gothic"/>
          <w:color w:val="000000"/>
        </w:rPr>
      </w:pPr>
      <w:bookmarkStart w:id="72" w:name="_Toc384196111"/>
      <w:r w:rsidRPr="00370E70">
        <w:rPr>
          <w:rFonts w:ascii="Century Gothic" w:hAnsi="Century Gothic"/>
          <w:color w:val="000000"/>
        </w:rPr>
        <w:t>Epiphyte and macro-algae abundance</w:t>
      </w:r>
      <w:bookmarkEnd w:id="71"/>
      <w:bookmarkEnd w:id="72"/>
    </w:p>
    <w:p w:rsidR="00EE0164" w:rsidRPr="00370E70" w:rsidRDefault="00EE0164" w:rsidP="00EE0164">
      <w:pPr>
        <w:spacing w:before="240"/>
        <w:rPr>
          <w:color w:val="000000"/>
          <w:szCs w:val="22"/>
        </w:rPr>
      </w:pPr>
      <w:bookmarkStart w:id="73" w:name="_Toc184101949"/>
      <w:r w:rsidRPr="00370E70">
        <w:rPr>
          <w:color w:val="000000"/>
          <w:szCs w:val="22"/>
        </w:rPr>
        <w:t>Epiphyte and macroalgae cover were measured according to standard methods (</w:t>
      </w:r>
      <w:hyperlink w:anchor="_ENREF_137" w:tooltip="McKenzie, 2010 #9606"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et al.</w:t>
        </w:r>
        <w:r w:rsidR="00964A70" w:rsidRPr="00370E70">
          <w:rPr>
            <w:noProof/>
            <w:color w:val="000000"/>
            <w:szCs w:val="22"/>
          </w:rPr>
          <w:t xml:space="preserve"> 2010a</w:t>
        </w:r>
        <w:r w:rsidR="00964A70" w:rsidRPr="00370E70">
          <w:rPr>
            <w:color w:val="000000"/>
            <w:szCs w:val="22"/>
          </w:rPr>
          <w:fldChar w:fldCharType="end"/>
        </w:r>
      </w:hyperlink>
      <w:r w:rsidRPr="00370E70">
        <w:rPr>
          <w:color w:val="000000"/>
          <w:szCs w:val="22"/>
        </w:rPr>
        <w:t xml:space="preserve">). The total percentage of leaf surface area (both sides, all species pooled) covered by epiphytes and percentage of quadrat area covered by macroalgae, </w:t>
      </w:r>
      <w:r w:rsidR="00B4634C" w:rsidRPr="00370E70">
        <w:rPr>
          <w:color w:val="000000"/>
          <w:szCs w:val="22"/>
        </w:rPr>
        <w:t>were measured each monitoring event</w:t>
      </w:r>
      <w:r w:rsidRPr="00370E70">
        <w:rPr>
          <w:color w:val="000000"/>
          <w:szCs w:val="22"/>
        </w:rPr>
        <w:t>. Values were compared against the GBR long-term average (1999-2010) calculated for each habitat type.</w:t>
      </w:r>
    </w:p>
    <w:p w:rsidR="00EE0164" w:rsidRPr="00370E70" w:rsidRDefault="00EE0164" w:rsidP="00EE0164">
      <w:pPr>
        <w:tabs>
          <w:tab w:val="left" w:pos="360"/>
        </w:tabs>
        <w:rPr>
          <w:color w:val="000000"/>
          <w:szCs w:val="22"/>
        </w:rPr>
      </w:pPr>
      <w:r w:rsidRPr="00370E70">
        <w:rPr>
          <w:color w:val="000000"/>
          <w:szCs w:val="22"/>
        </w:rPr>
        <w:lastRenderedPageBreak/>
        <w:t>Increased epiphyte (the plants growing on the surfaces of slower-growing seagrass leaves (</w:t>
      </w:r>
      <w:hyperlink w:anchor="_ENREF_18" w:tooltip="Borowitzka, 2006 #7364" w:history="1">
        <w:r w:rsidR="00964A70" w:rsidRPr="00370E70">
          <w:rPr>
            <w:color w:val="000000"/>
            <w:szCs w:val="22"/>
          </w:rPr>
          <w:fldChar w:fldCharType="begin"/>
        </w:r>
        <w:r w:rsidR="00964A70" w:rsidRPr="00370E70">
          <w:rPr>
            <w:color w:val="000000"/>
            <w:szCs w:val="22"/>
          </w:rPr>
          <w:instrText xml:space="preserve"> ADDIN EN.CITE &lt;EndNote&gt;&lt;Cite&gt;&lt;Author&gt;Borowitzka&lt;/Author&gt;&lt;Year&gt;2006&lt;/Year&gt;&lt;RecNum&gt;7364&lt;/RecNum&gt;&lt;DisplayText&gt;Borowitzka&lt;style face="italic"&gt; et al.&lt;/style&gt; 2006&lt;/DisplayText&gt;&lt;record&gt;&lt;rec-number&gt;7364&lt;/rec-number&gt;&lt;foreign-keys&gt;&lt;key app="EN" db-id="0eve55x9y5vfd6e9dacxtew4eatve2dzds9a"&gt;7364&lt;/key&gt;&lt;/foreign-keys&gt;&lt;ref-type name="Book Section"&gt;5&lt;/ref-type&gt;&lt;contributors&gt;&lt;authors&gt;&lt;author&gt;Borowitzka, M.A.&lt;/author&gt;&lt;author&gt;Lavery, P.S.&lt;/author&gt;&lt;author&gt;van Keulen, M.&lt;/author&gt;&lt;/authors&gt;&lt;secondary-authors&gt;&lt;author&gt;Larkum, W.D.&lt;/author&gt;&lt;author&gt;Orth, R.J.&lt;/author&gt;&lt;author&gt;Duarte, C.M.&lt;/author&gt;&lt;/secondary-authors&gt;&lt;/contributors&gt;&lt;titles&gt;&lt;title&gt;Epiphytes of seagrasses&lt;/title&gt;&lt;secondary-title&gt;Seagrasses: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1-4020-2942&lt;/isbn&gt;&lt;urls&gt;&lt;/urls&gt;&lt;/record&gt;&lt;/Cite&gt;&lt;/EndNote&gt;</w:instrText>
        </w:r>
        <w:r w:rsidR="00964A70" w:rsidRPr="00370E70">
          <w:rPr>
            <w:color w:val="000000"/>
            <w:szCs w:val="22"/>
          </w:rPr>
          <w:fldChar w:fldCharType="separate"/>
        </w:r>
        <w:r w:rsidR="00964A70" w:rsidRPr="00370E70">
          <w:rPr>
            <w:noProof/>
            <w:color w:val="000000"/>
            <w:szCs w:val="22"/>
          </w:rPr>
          <w:t>Borowitzka</w:t>
        </w:r>
        <w:r w:rsidR="00964A70" w:rsidRPr="00370E70">
          <w:rPr>
            <w:i/>
            <w:noProof/>
            <w:color w:val="000000"/>
            <w:szCs w:val="22"/>
          </w:rPr>
          <w:t xml:space="preserve"> et al.</w:t>
        </w:r>
        <w:r w:rsidR="00964A70" w:rsidRPr="00370E70">
          <w:rPr>
            <w:noProof/>
            <w:color w:val="000000"/>
            <w:szCs w:val="22"/>
          </w:rPr>
          <w:t xml:space="preserve"> 2006</w:t>
        </w:r>
        <w:r w:rsidR="00964A70" w:rsidRPr="00370E70">
          <w:rPr>
            <w:color w:val="000000"/>
            <w:szCs w:val="22"/>
          </w:rPr>
          <w:fldChar w:fldCharType="end"/>
        </w:r>
      </w:hyperlink>
      <w:r w:rsidRPr="00370E70">
        <w:rPr>
          <w:color w:val="000000"/>
          <w:szCs w:val="22"/>
        </w:rPr>
        <w:t>)</w:t>
      </w:r>
      <w:r w:rsidR="00B4634C" w:rsidRPr="00370E70">
        <w:rPr>
          <w:color w:val="000000"/>
          <w:szCs w:val="22"/>
        </w:rPr>
        <w:t>)</w:t>
      </w:r>
      <w:r w:rsidRPr="00370E70">
        <w:rPr>
          <w:color w:val="000000"/>
          <w:szCs w:val="22"/>
        </w:rPr>
        <w:t xml:space="preserve"> loads may result in shading of seagrass leaves by up to 65%, reducing photosynthetic rate and leaf densities of the seagrasses (</w:t>
      </w:r>
      <w:r w:rsidRPr="00370E70">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emRzOWEiPjExNjwva2V5PjwvZm9yZWlnbi1rZXlzPjxyZWYtdHlwZSBuYW1lPSJKb3VybmFsIEFy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eSBhbmQgRWNvbG9neTwvZnVsbC10aXRsZT48L3BlcmlvZGljYWw+PHBhZ2VzPjEzMy0xNjc8L3Bh
Z2VzPjx2b2x1bWU+MjUwPC92b2x1bWU+PGRhdGVzPjx5ZWFyPjIwMDA8L3llYXI+PC9kYXRlcz48
dXJscz48L3VybHM+PC9yZWNvcmQ+PC9DaXRlPjwvRW5kTm90ZT5=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emRzOWEiPjExNjwva2V5PjwvZm9yZWlnbi1rZXlzPjxyZWYtdHlwZSBuYW1lPSJKb3VybmFsIEFy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eSBhbmQgRWNvbG9neTwvZnVsbC10aXRsZT48L3BlcmlvZGljYWw+PHBhZ2VzPjEzMy0xNjc8L3Bh
Z2VzPjx2b2x1bWU+MjUwPC92b2x1bWU+PGRhdGVzPjx5ZWFyPjIwMDA8L3llYXI+PC9kYXRlcz48
dXJscz48L3VybHM+PC9yZWNvcmQ+PC9DaXRlPjwvRW5kTm90ZT5=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166" w:tooltip="Sand-Jensen, 1977 #116" w:history="1">
        <w:r w:rsidR="00964A70" w:rsidRPr="00370E70">
          <w:rPr>
            <w:noProof/>
            <w:color w:val="000000"/>
            <w:szCs w:val="22"/>
          </w:rPr>
          <w:t>Sand-Jensen 1977</w:t>
        </w:r>
      </w:hyperlink>
      <w:r w:rsidR="00126051" w:rsidRPr="00370E70">
        <w:rPr>
          <w:noProof/>
          <w:color w:val="000000"/>
          <w:szCs w:val="22"/>
        </w:rPr>
        <w:t xml:space="preserve">; </w:t>
      </w:r>
      <w:hyperlink w:anchor="_ENREF_184" w:tooltip="Tomasko, 1991 #1388" w:history="1">
        <w:r w:rsidR="00964A70" w:rsidRPr="00370E70">
          <w:rPr>
            <w:noProof/>
            <w:color w:val="000000"/>
            <w:szCs w:val="22"/>
          </w:rPr>
          <w:t>Tomasko and Lapointe 1991</w:t>
        </w:r>
      </w:hyperlink>
      <w:r w:rsidR="00126051" w:rsidRPr="00370E70">
        <w:rPr>
          <w:noProof/>
          <w:color w:val="000000"/>
          <w:szCs w:val="22"/>
        </w:rPr>
        <w:t xml:space="preserve">; </w:t>
      </w:r>
      <w:hyperlink w:anchor="_ENREF_191" w:tooltip="Walker, 1992 #305" w:history="1">
        <w:r w:rsidR="00964A70" w:rsidRPr="00370E70">
          <w:rPr>
            <w:noProof/>
            <w:color w:val="000000"/>
            <w:szCs w:val="22"/>
          </w:rPr>
          <w:t>Walker and McComb 1992</w:t>
        </w:r>
      </w:hyperlink>
      <w:r w:rsidR="00126051" w:rsidRPr="00370E70">
        <w:rPr>
          <w:noProof/>
          <w:color w:val="000000"/>
          <w:szCs w:val="22"/>
        </w:rPr>
        <w:t xml:space="preserve">; </w:t>
      </w:r>
      <w:hyperlink w:anchor="_ENREF_183" w:tooltip="Tomasko, 1996 #9740" w:history="1">
        <w:r w:rsidR="00964A70" w:rsidRPr="00370E70">
          <w:rPr>
            <w:noProof/>
            <w:color w:val="000000"/>
            <w:szCs w:val="22"/>
          </w:rPr>
          <w:t>Tomasko</w:t>
        </w:r>
        <w:r w:rsidR="00964A70" w:rsidRPr="00370E70">
          <w:rPr>
            <w:i/>
            <w:noProof/>
            <w:color w:val="000000"/>
            <w:szCs w:val="22"/>
          </w:rPr>
          <w:t xml:space="preserve"> et al.</w:t>
        </w:r>
        <w:r w:rsidR="00964A70" w:rsidRPr="00370E70">
          <w:rPr>
            <w:noProof/>
            <w:color w:val="000000"/>
            <w:szCs w:val="22"/>
          </w:rPr>
          <w:t xml:space="preserve"> 1996</w:t>
        </w:r>
      </w:hyperlink>
      <w:r w:rsidR="00126051" w:rsidRPr="00370E70">
        <w:rPr>
          <w:noProof/>
          <w:color w:val="000000"/>
          <w:szCs w:val="22"/>
        </w:rPr>
        <w:t xml:space="preserve">; </w:t>
      </w:r>
      <w:hyperlink w:anchor="_ENREF_81" w:tooltip="Frankovich, 1997 #5476" w:history="1">
        <w:r w:rsidR="00964A70" w:rsidRPr="00370E70">
          <w:rPr>
            <w:noProof/>
            <w:color w:val="000000"/>
            <w:szCs w:val="22"/>
          </w:rPr>
          <w:t>Frankovich and Fourqurean 1997</w:t>
        </w:r>
      </w:hyperlink>
      <w:r w:rsidR="00126051" w:rsidRPr="00370E70">
        <w:rPr>
          <w:noProof/>
          <w:color w:val="000000"/>
          <w:szCs w:val="22"/>
        </w:rPr>
        <w:t xml:space="preserve">; </w:t>
      </w:r>
      <w:hyperlink w:anchor="_ENREF_161" w:tooltip="Ralph, 1999 #9766" w:history="1">
        <w:r w:rsidR="00964A70" w:rsidRPr="00370E70">
          <w:rPr>
            <w:noProof/>
            <w:color w:val="000000"/>
            <w:szCs w:val="22"/>
          </w:rPr>
          <w:t>Ralph and Gademann 1999</w:t>
        </w:r>
      </w:hyperlink>
      <w:r w:rsidR="00126051" w:rsidRPr="00370E70">
        <w:rPr>
          <w:noProof/>
          <w:color w:val="000000"/>
          <w:szCs w:val="22"/>
        </w:rPr>
        <w:t xml:space="preserve">; </w:t>
      </w:r>
      <w:hyperlink w:anchor="_ENREF_185" w:tooltip="Touchette, 2000 #9751" w:history="1">
        <w:r w:rsidR="00964A70" w:rsidRPr="00370E70">
          <w:rPr>
            <w:noProof/>
            <w:color w:val="000000"/>
            <w:szCs w:val="22"/>
          </w:rPr>
          <w:t>Touchette 2000</w:t>
        </w:r>
      </w:hyperlink>
      <w:r w:rsidRPr="00370E70">
        <w:rPr>
          <w:color w:val="000000"/>
          <w:szCs w:val="22"/>
        </w:rPr>
        <w:fldChar w:fldCharType="end"/>
      </w:r>
      <w:r w:rsidRPr="00370E70">
        <w:rPr>
          <w:color w:val="000000"/>
          <w:szCs w:val="22"/>
        </w:rPr>
        <w:t xml:space="preserve">). In seagrass meadows, increases in the abundance of epiphytes are stimulated by nutrient loading (e.g. </w:t>
      </w:r>
      <w:r w:rsidRPr="00370E70">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NXg5eTV2ZmQ2ZTlkYWN4dGV3NGVhdHZlMmR6ZHM5YSI+OTc2Nzwva2V5PjwvZm9yZWlnbi1rZXlz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NXg5eTV2ZmQ2ZTlkYWN4dGV3NGVhdHZlMmR6ZHM5YSI+OTc2Nzwva2V5PjwvZm9yZWlnbi1rZXlz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19" w:tooltip="Borum, 1985 #9767" w:history="1">
        <w:r w:rsidR="00964A70" w:rsidRPr="00370E70">
          <w:rPr>
            <w:noProof/>
            <w:color w:val="000000"/>
            <w:szCs w:val="22"/>
          </w:rPr>
          <w:t>Borum 1985</w:t>
        </w:r>
      </w:hyperlink>
      <w:r w:rsidR="00126051" w:rsidRPr="00370E70">
        <w:rPr>
          <w:noProof/>
          <w:color w:val="000000"/>
          <w:szCs w:val="22"/>
        </w:rPr>
        <w:t xml:space="preserve">; </w:t>
      </w:r>
      <w:hyperlink w:anchor="_ENREF_178" w:tooltip="Silberstein, 1986 #129" w:history="1">
        <w:r w:rsidR="00964A70" w:rsidRPr="00370E70">
          <w:rPr>
            <w:noProof/>
            <w:color w:val="000000"/>
            <w:szCs w:val="22"/>
          </w:rPr>
          <w:t>Silberstein</w:t>
        </w:r>
        <w:r w:rsidR="00964A70" w:rsidRPr="00370E70">
          <w:rPr>
            <w:i/>
            <w:noProof/>
            <w:color w:val="000000"/>
            <w:szCs w:val="22"/>
          </w:rPr>
          <w:t xml:space="preserve"> et al.</w:t>
        </w:r>
        <w:r w:rsidR="00964A70" w:rsidRPr="00370E70">
          <w:rPr>
            <w:noProof/>
            <w:color w:val="000000"/>
            <w:szCs w:val="22"/>
          </w:rPr>
          <w:t xml:space="preserve"> 1986</w:t>
        </w:r>
      </w:hyperlink>
      <w:r w:rsidR="00126051" w:rsidRPr="00370E70">
        <w:rPr>
          <w:noProof/>
          <w:color w:val="000000"/>
          <w:szCs w:val="22"/>
        </w:rPr>
        <w:t xml:space="preserve">; </w:t>
      </w:r>
      <w:hyperlink w:anchor="_ENREF_150" w:tooltip="Neckles, 1994 #9768" w:history="1">
        <w:r w:rsidR="00964A70" w:rsidRPr="00370E70">
          <w:rPr>
            <w:noProof/>
            <w:color w:val="000000"/>
            <w:szCs w:val="22"/>
          </w:rPr>
          <w:t>Neckles</w:t>
        </w:r>
        <w:r w:rsidR="00964A70" w:rsidRPr="00370E70">
          <w:rPr>
            <w:i/>
            <w:noProof/>
            <w:color w:val="000000"/>
            <w:szCs w:val="22"/>
          </w:rPr>
          <w:t xml:space="preserve"> et al.</w:t>
        </w:r>
        <w:r w:rsidR="00964A70" w:rsidRPr="00370E70">
          <w:rPr>
            <w:noProof/>
            <w:color w:val="000000"/>
            <w:szCs w:val="22"/>
          </w:rPr>
          <w:t xml:space="preserve"> 1994</w:t>
        </w:r>
      </w:hyperlink>
      <w:r w:rsidR="00126051" w:rsidRPr="00370E70">
        <w:rPr>
          <w:noProof/>
          <w:color w:val="000000"/>
          <w:szCs w:val="22"/>
        </w:rPr>
        <w:t xml:space="preserve">; </w:t>
      </w:r>
      <w:hyperlink w:anchor="_ENREF_13" w:tooltip="Balata, 2008 #9769" w:history="1">
        <w:r w:rsidR="00964A70" w:rsidRPr="00370E70">
          <w:rPr>
            <w:noProof/>
            <w:color w:val="000000"/>
            <w:szCs w:val="22"/>
          </w:rPr>
          <w:t>Balata</w:t>
        </w:r>
        <w:r w:rsidR="00964A70" w:rsidRPr="00370E70">
          <w:rPr>
            <w:i/>
            <w:noProof/>
            <w:color w:val="000000"/>
            <w:szCs w:val="22"/>
          </w:rPr>
          <w:t xml:space="preserve"> et al.</w:t>
        </w:r>
        <w:r w:rsidR="00964A70" w:rsidRPr="00370E70">
          <w:rPr>
            <w:noProof/>
            <w:color w:val="000000"/>
            <w:szCs w:val="22"/>
          </w:rPr>
          <w:t xml:space="preserve"> 2008</w:t>
        </w:r>
      </w:hyperlink>
      <w:r w:rsidRPr="00370E70">
        <w:rPr>
          <w:color w:val="000000"/>
          <w:szCs w:val="22"/>
        </w:rPr>
        <w:fldChar w:fldCharType="end"/>
      </w:r>
      <w:r w:rsidRPr="00370E70">
        <w:rPr>
          <w:color w:val="000000"/>
          <w:szCs w:val="22"/>
        </w:rPr>
        <w:t xml:space="preserve">) and these increases in abundance have been implicated as the cause for declines of seagrasses during eutrophication (e.g. </w:t>
      </w:r>
      <w:r w:rsidRPr="00370E70">
        <w:rPr>
          <w:color w:val="000000"/>
          <w:szCs w:val="22"/>
        </w:rPr>
        <w:fldChar w:fldCharType="begin"/>
      </w:r>
      <w:r w:rsidR="00126051" w:rsidRPr="00370E70">
        <w:rPr>
          <w:color w:val="000000"/>
          <w:szCs w:val="22"/>
        </w:rPr>
        <w:instrText xml:space="preserve"> ADDIN EN.CITE &lt;EndNote&gt;&lt;Cite&gt;&lt;Author&gt;Orth&lt;/Author&gt;&lt;Year&gt;1983&lt;/Year&gt;&lt;RecNum&gt;304&lt;/RecNum&gt;&lt;DisplayText&gt;Orth and Moore 1983; Cambridge&lt;style face="italic"&gt; et al.&lt;/style&gt; 1986&lt;/DisplayText&gt;&lt;record&gt;&lt;rec-number&gt;304&lt;/rec-number&gt;&lt;foreign-keys&gt;&lt;key app="EN" db-id="0eve55x9y5vfd6e9dacxtew4eatve2dzds9a"&gt;304&lt;/key&gt;&lt;/foreign-keys&gt;&lt;ref-type name="Journal Article"&gt;17&lt;/ref-type&gt;&lt;contributors&gt;&lt;authors&gt;&lt;author&gt;Orth, Robert J.&lt;/author&gt;&lt;author&gt;Moore, Kenneth A.&lt;/author&gt;&lt;/authors&gt;&lt;/contributors&gt;&lt;titles&gt;&lt;title&gt;Chesapaeke Bay: An unprecedented decline in submerged aquatic vegetation&lt;/title&gt;&lt;secondary-title&gt;Science&lt;/secondary-title&gt;&lt;alt-title&gt;Science&lt;/alt-title&gt;&lt;/titles&gt;&lt;periodical&gt;&lt;full-title&gt;Science&lt;/full-title&gt;&lt;/periodical&gt;&lt;alt-periodical&gt;&lt;full-title&gt;Science&lt;/full-title&gt;&lt;/alt-periodical&gt;&lt;pages&gt;51-53&lt;/pages&gt;&lt;volume&gt;222&lt;/volume&gt;&lt;dates&gt;&lt;year&gt;1983&lt;/year&gt;&lt;/dates&gt;&lt;label&gt;266&lt;/label&gt;&lt;urls&gt;&lt;/urls&gt;&lt;custom1&gt;Annex&lt;/custom1&gt;&lt;/record&gt;&lt;/Cite&gt;&lt;Cite&gt;&lt;Author&gt;Cambridge&lt;/Author&gt;&lt;Year&gt;1986&lt;/Year&gt;&lt;RecNum&gt;64&lt;/RecNum&gt;&lt;record&gt;&lt;rec-number&gt;64&lt;/rec-number&gt;&lt;foreign-keys&gt;&lt;key app="EN" db-id="0eve55x9y5vfd6e9dacxtew4eatve2dzds9a"&gt;64&lt;/key&gt;&lt;/foreign-keys&gt;&lt;ref-type name="Journal Article"&gt;17&lt;/ref-type&gt;&lt;contributors&gt;&lt;authors&gt;&lt;author&gt;Cambridge, M. L.&lt;/author&gt;&lt;author&gt;Chiffings, A. W.&lt;/author&gt;&lt;author&gt;Brittan, C.&lt;/author&gt;&lt;author&gt;Moore, L.&lt;/author&gt;&lt;author&gt;McComb, A. J.&lt;/author&gt;&lt;/authors&gt;&lt;/contributors&gt;&lt;titles&gt;&lt;title&gt;The loss of seagrass in Cockburn Sound, Western Australia. II. Possible causes of seagrass decline&lt;/title&gt;&lt;secondary-title&gt;Aquatic Botany&lt;/secondary-title&gt;&lt;alt-title&gt;Aquat. Bot.&lt;/alt-title&gt;&lt;/titles&gt;&lt;periodical&gt;&lt;full-title&gt;Aquatic Botany&lt;/full-title&gt;&lt;/periodical&gt;&lt;pages&gt;269-285&lt;/pages&gt;&lt;volume&gt;24&lt;/volume&gt;&lt;keywords&gt;&lt;keyword&gt;GIBIBLIO&lt;/keyword&gt;&lt;keyword&gt;SEAGRASS LOSS&lt;/keyword&gt;&lt;/keywords&gt;&lt;dates&gt;&lt;year&gt;1986&lt;/year&gt;&lt;/dates&gt;&lt;label&gt;9&lt;/label&gt;&lt;urls&gt;&lt;/urls&gt;&lt;custom1&gt;Annex&lt;/custom1&gt;&lt;/record&gt;&lt;/Cite&gt;&lt;/EndNote&gt;</w:instrText>
      </w:r>
      <w:r w:rsidRPr="00370E70">
        <w:rPr>
          <w:color w:val="000000"/>
          <w:szCs w:val="22"/>
        </w:rPr>
        <w:fldChar w:fldCharType="separate"/>
      </w:r>
      <w:hyperlink w:anchor="_ENREF_154" w:tooltip="Orth, 1983 #304" w:history="1">
        <w:r w:rsidR="00964A70" w:rsidRPr="00370E70">
          <w:rPr>
            <w:noProof/>
            <w:color w:val="000000"/>
            <w:szCs w:val="22"/>
          </w:rPr>
          <w:t>Orth and Moore 1983</w:t>
        </w:r>
      </w:hyperlink>
      <w:r w:rsidR="00126051" w:rsidRPr="00370E70">
        <w:rPr>
          <w:noProof/>
          <w:color w:val="000000"/>
          <w:szCs w:val="22"/>
        </w:rPr>
        <w:t xml:space="preserve">; </w:t>
      </w:r>
      <w:hyperlink w:anchor="_ENREF_26" w:tooltip="Cambridge, 1986 #64" w:history="1">
        <w:r w:rsidR="00964A70" w:rsidRPr="00370E70">
          <w:rPr>
            <w:noProof/>
            <w:color w:val="000000"/>
            <w:szCs w:val="22"/>
          </w:rPr>
          <w:t>Cambridge</w:t>
        </w:r>
        <w:r w:rsidR="00964A70" w:rsidRPr="00370E70">
          <w:rPr>
            <w:i/>
            <w:noProof/>
            <w:color w:val="000000"/>
            <w:szCs w:val="22"/>
          </w:rPr>
          <w:t xml:space="preserve"> et al.</w:t>
        </w:r>
        <w:r w:rsidR="00964A70" w:rsidRPr="00370E70">
          <w:rPr>
            <w:noProof/>
            <w:color w:val="000000"/>
            <w:szCs w:val="22"/>
          </w:rPr>
          <w:t xml:space="preserve"> 1986</w:t>
        </w:r>
      </w:hyperlink>
      <w:r w:rsidRPr="00370E70">
        <w:rPr>
          <w:color w:val="000000"/>
          <w:szCs w:val="22"/>
        </w:rPr>
        <w:fldChar w:fldCharType="end"/>
      </w:r>
      <w:r w:rsidRPr="00370E70">
        <w:rPr>
          <w:color w:val="000000"/>
          <w:szCs w:val="22"/>
        </w:rPr>
        <w:t>).</w:t>
      </w:r>
    </w:p>
    <w:p w:rsidR="00EE0164" w:rsidRPr="00370E70" w:rsidRDefault="00EE0164" w:rsidP="00EE0164">
      <w:pPr>
        <w:spacing w:before="240"/>
        <w:rPr>
          <w:color w:val="000000"/>
          <w:szCs w:val="22"/>
        </w:rPr>
      </w:pPr>
      <w:r w:rsidRPr="00370E70">
        <w:rPr>
          <w:color w:val="000000"/>
          <w:szCs w:val="22"/>
        </w:rPr>
        <w:t>Given the observed relationships between nutrient loading and the abundance of epiphytes observed in seagrass ecosystems from around the world, and the perceived threat to water quality owing to human population, the abundance of epiphytes in seagrass meadows may prove to be a valuable indicator for assessing both the current status and trends of the GBR seagrass meadows. However, preliminary analysis of the relationship between seagrass abundance and epiphyte cover collected by the RRMMP and MTSRF did not identify threshold levels beyond which loss of abundance occurred (</w:t>
      </w:r>
      <w:hyperlink w:anchor="_ENREF_131" w:tooltip="McKenzie, 2008 #9770"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&lt;EndNote&gt;&lt;Cite&gt;&lt;Author&gt;McKenzie&lt;/Author&gt;&lt;Year&gt;2008&lt;/Year&gt;&lt;RecNum&gt;9770&lt;/RecNum&gt;&lt;DisplayText&gt;McKenzie 2008&lt;/DisplayText&gt;&lt;record&gt;&lt;rec-number&gt;9770&lt;/rec-number&gt;&lt;foreign-keys&gt;&lt;key app="EN" db-id="0eve55x9y5vfd6e9dacxtew4eatve2dzds9a"&gt;9770&lt;/key&gt;&lt;/foreign-keys&gt;&lt;ref-type name="Book"&gt;6&lt;/ref-type&gt;&lt;contributors&gt;&lt;authors&gt;&lt;author&gt;McKenzie, Len J&lt;/author&gt;&lt;/authors&gt;&lt;/contributors&gt;&lt;titles&gt;&lt;title&gt;Relationships between seagrass communities and epiphyte assemblages along the Queensland coast. Marine and Tropical Sciences Research Facility Milestone Report, Project 3.7.1c Progress Report #3, 11th June 2008&lt;/title&gt;&lt;/titles&gt;&lt;section&gt;5&lt;/section&gt;&lt;dates&gt;&lt;year&gt;2008&lt;/year&gt;&lt;/dates&gt;&lt;pub-location&gt;Cairns&lt;/pub-location&gt;&lt;publisher&gt;RRRC&lt;/publisher&gt;&lt;urls&gt;&lt;/urls&gt;&lt;/record&gt;&lt;/Cite&gt;&lt;/EndNote&gt;</w:instrText>
        </w:r>
        <w:r w:rsidR="00964A70" w:rsidRPr="00370E70">
          <w:rPr>
            <w:color w:val="000000"/>
            <w:szCs w:val="22"/>
          </w:rPr>
          <w:fldChar w:fldCharType="separate"/>
        </w:r>
        <w:r w:rsidR="00964A70" w:rsidRPr="00370E70">
          <w:rPr>
            <w:noProof/>
            <w:color w:val="000000"/>
            <w:szCs w:val="22"/>
          </w:rPr>
          <w:t>McKenzie 2008</w:t>
        </w:r>
        <w:r w:rsidR="00964A70" w:rsidRPr="00370E70">
          <w:rPr>
            <w:color w:val="000000"/>
            <w:szCs w:val="22"/>
          </w:rPr>
          <w:fldChar w:fldCharType="end"/>
        </w:r>
      </w:hyperlink>
      <w:r w:rsidRPr="00370E70">
        <w:rPr>
          <w:color w:val="000000"/>
          <w:szCs w:val="22"/>
        </w:rPr>
        <w:t>) suggesting further research and analysis.</w:t>
      </w:r>
    </w:p>
    <w:p w:rsidR="005132EF" w:rsidRPr="00370E70" w:rsidRDefault="005132EF" w:rsidP="00034AD4">
      <w:pPr>
        <w:pStyle w:val="Heading2"/>
        <w:rPr>
          <w:rFonts w:ascii="Century Gothic" w:hAnsi="Century Gothic"/>
          <w:color w:val="000000"/>
        </w:rPr>
      </w:pPr>
      <w:bookmarkStart w:id="74" w:name="_Toc384196112"/>
      <w:r w:rsidRPr="00370E70">
        <w:rPr>
          <w:rFonts w:ascii="Century Gothic" w:hAnsi="Century Gothic"/>
          <w:color w:val="000000"/>
        </w:rPr>
        <w:t>Within seagrass canopy temperature</w:t>
      </w:r>
      <w:bookmarkEnd w:id="73"/>
      <w:bookmarkEnd w:id="74"/>
    </w:p>
    <w:p w:rsidR="00EE0164" w:rsidRPr="00370E70" w:rsidRDefault="00EE0164" w:rsidP="00EE0164">
      <w:pPr>
        <w:rPr>
          <w:color w:val="000000"/>
          <w:szCs w:val="22"/>
        </w:rPr>
      </w:pPr>
      <w:r w:rsidRPr="00370E70">
        <w:rPr>
          <w:rFonts w:cs="Arial"/>
          <w:color w:val="000000"/>
          <w:szCs w:val="22"/>
        </w:rPr>
        <w:t xml:space="preserve">Autonomous </w:t>
      </w:r>
      <w:r w:rsidRPr="00370E70">
        <w:rPr>
          <w:color w:val="000000"/>
          <w:szCs w:val="22"/>
        </w:rPr>
        <w:t>iBTag</w:t>
      </w:r>
      <w:r w:rsidRPr="00370E70">
        <w:rPr>
          <w:color w:val="000000"/>
          <w:szCs w:val="22"/>
          <w:vertAlign w:val="superscript"/>
        </w:rPr>
        <w:t>™</w:t>
      </w:r>
      <w:r w:rsidRPr="00370E70">
        <w:rPr>
          <w:color w:val="000000"/>
          <w:szCs w:val="22"/>
        </w:rPr>
        <w:t xml:space="preserve"> submersible temperature loggers were deployed at all </w:t>
      </w:r>
      <w:r w:rsidRPr="00370E70">
        <w:rPr>
          <w:bCs/>
          <w:color w:val="000000"/>
          <w:szCs w:val="22"/>
        </w:rPr>
        <w:t xml:space="preserve">sites identified in </w:t>
      </w:r>
      <w:r w:rsidRPr="00370E70">
        <w:fldChar w:fldCharType="begin"/>
      </w:r>
      <w:r w:rsidRPr="00370E70">
        <w:rPr>
          <w:bCs/>
          <w:color w:val="000000"/>
          <w:szCs w:val="22"/>
        </w:rPr>
        <w:instrText xml:space="preserve"> REF _Ref316450977 \h </w:instrText>
      </w:r>
      <w:r w:rsidRPr="00370E70">
        <w:fldChar w:fldCharType="separate"/>
      </w:r>
      <w:r w:rsidR="005B5FD6" w:rsidRPr="00370E70">
        <w:t xml:space="preserve">Table </w:t>
      </w:r>
      <w:r w:rsidR="005B5FD6">
        <w:rPr>
          <w:noProof/>
        </w:rPr>
        <w:t>4</w:t>
      </w:r>
      <w:r w:rsidRPr="00370E70">
        <w:fldChar w:fldCharType="end"/>
      </w:r>
      <w:r w:rsidRPr="00370E70">
        <w:rPr>
          <w:bCs/>
          <w:color w:val="000000"/>
          <w:szCs w:val="22"/>
        </w:rPr>
        <w:t>. The loggers recorded</w:t>
      </w:r>
      <w:r w:rsidRPr="00370E70">
        <w:rPr>
          <w:rFonts w:cs="Arial"/>
          <w:color w:val="000000"/>
          <w:szCs w:val="22"/>
        </w:rPr>
        <w:t xml:space="preserve"> temperature (accuracy 0.0625</w:t>
      </w:r>
      <w:r w:rsidR="00B4634C" w:rsidRPr="00370E70">
        <w:rPr>
          <w:rFonts w:cs="Arial"/>
          <w:color w:val="000000"/>
          <w:szCs w:val="22"/>
        </w:rPr>
        <w:t>°C</w:t>
      </w:r>
      <w:r w:rsidRPr="00370E70">
        <w:rPr>
          <w:rFonts w:cs="Arial"/>
          <w:color w:val="000000"/>
          <w:szCs w:val="22"/>
        </w:rPr>
        <w:t xml:space="preserve">) within the seagrass canopy every 30-90 minutes. </w:t>
      </w:r>
      <w:r w:rsidRPr="00370E70">
        <w:rPr>
          <w:color w:val="000000"/>
          <w:szCs w:val="22"/>
        </w:rPr>
        <w:t>iBCod</w:t>
      </w:r>
      <w:r w:rsidR="00B4634C" w:rsidRPr="00370E70">
        <w:rPr>
          <w:color w:val="000000"/>
          <w:szCs w:val="22"/>
          <w:vertAlign w:val="superscript"/>
        </w:rPr>
        <w:t>™</w:t>
      </w:r>
      <w:r w:rsidRPr="00370E70">
        <w:rPr>
          <w:color w:val="000000"/>
          <w:szCs w:val="22"/>
        </w:rPr>
        <w:t>22L submersible temperature loggers were attached to the permanent marker at each site above the sediment-water interface.</w:t>
      </w:r>
    </w:p>
    <w:p w:rsidR="005132EF" w:rsidRPr="00370E70" w:rsidRDefault="007B15AB" w:rsidP="00034AD4">
      <w:pPr>
        <w:jc w:val="center"/>
      </w:pPr>
      <w:r>
        <w:rPr>
          <w:noProof/>
          <w:lang w:eastAsia="en-AU"/>
        </w:rPr>
        <w:drawing>
          <wp:inline distT="0" distB="0" distL="0" distR="0">
            <wp:extent cx="1480820" cy="2228215"/>
            <wp:effectExtent l="0" t="0" r="5080" b="635"/>
            <wp:docPr id="6" name="Picture 20" descr="Photograph of autonomous iBTag submersible temperature logger attached to permanent site marker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hotograph of autonomous iBTag submersible temperature logger attached to permanent site marker at Green Islan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80820" cy="2228215"/>
                    </a:xfrm>
                    <a:prstGeom prst="rect">
                      <a:avLst/>
                    </a:prstGeom>
                    <a:noFill/>
                    <a:ln>
                      <a:noFill/>
                    </a:ln>
                  </pic:spPr>
                </pic:pic>
              </a:graphicData>
            </a:graphic>
          </wp:inline>
        </w:drawing>
      </w:r>
    </w:p>
    <w:p w:rsidR="005132EF" w:rsidRPr="00370E70" w:rsidRDefault="005132EF" w:rsidP="00034AD4">
      <w:pPr>
        <w:jc w:val="center"/>
        <w:rPr>
          <w:i/>
          <w:szCs w:val="22"/>
        </w:rPr>
      </w:pPr>
      <w:r w:rsidRPr="00370E70">
        <w:rPr>
          <w:i/>
          <w:szCs w:val="22"/>
        </w:rPr>
        <w:t xml:space="preserve">Autonomous iBTag™ submersible temperature loggers attached to permanent site marker at </w:t>
      </w:r>
      <w:smartTag w:uri="urn:schemas-microsoft-com:office:smarttags" w:element="place">
        <w:smartTag w:uri="urn:schemas-microsoft-com:office:smarttags" w:element="PlaceName">
          <w:r w:rsidRPr="00370E70">
            <w:rPr>
              <w:i/>
              <w:szCs w:val="22"/>
            </w:rPr>
            <w:t>Green</w:t>
          </w:r>
        </w:smartTag>
        <w:r w:rsidRPr="00370E70">
          <w:rPr>
            <w:i/>
            <w:szCs w:val="22"/>
          </w:rPr>
          <w:t xml:space="preserve"> </w:t>
        </w:r>
        <w:smartTag w:uri="urn:schemas-microsoft-com:office:smarttags" w:element="PlaceType">
          <w:r w:rsidRPr="00370E70">
            <w:rPr>
              <w:i/>
              <w:szCs w:val="22"/>
            </w:rPr>
            <w:t>Island</w:t>
          </w:r>
        </w:smartTag>
      </w:smartTag>
      <w:r w:rsidRPr="00370E70">
        <w:rPr>
          <w:i/>
          <w:szCs w:val="22"/>
        </w:rPr>
        <w:t xml:space="preserve"> (GI1)</w:t>
      </w:r>
    </w:p>
    <w:p w:rsidR="005132EF" w:rsidRPr="00370E70" w:rsidRDefault="005132EF" w:rsidP="00034AD4">
      <w:pPr>
        <w:pStyle w:val="Heading2"/>
        <w:rPr>
          <w:rFonts w:ascii="Century Gothic" w:hAnsi="Century Gothic"/>
          <w:color w:val="000000"/>
        </w:rPr>
      </w:pPr>
      <w:bookmarkStart w:id="75" w:name="_Toc184101950"/>
      <w:bookmarkStart w:id="76" w:name="_Toc384196113"/>
      <w:r w:rsidRPr="00370E70">
        <w:rPr>
          <w:rFonts w:ascii="Century Gothic" w:hAnsi="Century Gothic"/>
          <w:color w:val="000000"/>
        </w:rPr>
        <w:t>Seagrass canopy light</w:t>
      </w:r>
      <w:bookmarkEnd w:id="75"/>
      <w:bookmarkEnd w:id="76"/>
    </w:p>
    <w:p w:rsidR="005132EF" w:rsidRPr="00370E70" w:rsidRDefault="005132EF" w:rsidP="00034AD4">
      <w:pPr>
        <w:rPr>
          <w:color w:val="000000"/>
          <w:szCs w:val="22"/>
        </w:rPr>
      </w:pPr>
      <w:r w:rsidRPr="00370E70">
        <w:rPr>
          <w:color w:val="000000"/>
          <w:szCs w:val="22"/>
        </w:rPr>
        <w:t>Submersible Odyssey</w:t>
      </w:r>
      <w:r w:rsidRPr="00370E70">
        <w:rPr>
          <w:color w:val="000000"/>
          <w:szCs w:val="22"/>
          <w:vertAlign w:val="superscript"/>
        </w:rPr>
        <w:t>™</w:t>
      </w:r>
      <w:r w:rsidRPr="00370E70">
        <w:rPr>
          <w:color w:val="000000"/>
          <w:szCs w:val="22"/>
        </w:rPr>
        <w:t xml:space="preserve"> </w:t>
      </w:r>
      <w:r w:rsidRPr="00370E70">
        <w:rPr>
          <w:rFonts w:cs="Arial"/>
          <w:color w:val="000000"/>
          <w:szCs w:val="22"/>
        </w:rPr>
        <w:t xml:space="preserve">photosynthetic irradiance autonomous loggers were </w:t>
      </w:r>
      <w:r w:rsidRPr="00370E70">
        <w:rPr>
          <w:color w:val="000000"/>
          <w:szCs w:val="22"/>
        </w:rPr>
        <w:t>attached to permanent markers</w:t>
      </w:r>
      <w:r w:rsidRPr="00370E70">
        <w:rPr>
          <w:rFonts w:cs="Arial"/>
          <w:color w:val="000000"/>
          <w:szCs w:val="22"/>
        </w:rPr>
        <w:t xml:space="preserve"> at </w:t>
      </w:r>
      <w:r w:rsidRPr="00370E70">
        <w:rPr>
          <w:szCs w:val="22"/>
        </w:rPr>
        <w:t xml:space="preserve">15 intertidal </w:t>
      </w:r>
      <w:r w:rsidR="008F339A" w:rsidRPr="00370E70">
        <w:rPr>
          <w:rFonts w:cs="Arial"/>
          <w:color w:val="000000"/>
          <w:szCs w:val="22"/>
        </w:rPr>
        <w:t xml:space="preserve">locations </w:t>
      </w:r>
      <w:r w:rsidRPr="00370E70">
        <w:rPr>
          <w:szCs w:val="22"/>
        </w:rPr>
        <w:t>and 4 subtidal sites</w:t>
      </w:r>
      <w:r w:rsidRPr="00370E70" w:rsidDel="00CA3CAB">
        <w:rPr>
          <w:rFonts w:cs="Arial"/>
          <w:color w:val="000000"/>
          <w:szCs w:val="22"/>
        </w:rPr>
        <w:t xml:space="preserve"> </w:t>
      </w:r>
      <w:r w:rsidRPr="00370E70">
        <w:rPr>
          <w:rFonts w:cs="Arial"/>
          <w:color w:val="000000"/>
          <w:szCs w:val="22"/>
        </w:rPr>
        <w:t>from the Wet Tropics region to the Burnett Mary region (</w:t>
      </w:r>
      <w:r w:rsidRPr="00370E70">
        <w:fldChar w:fldCharType="begin"/>
      </w:r>
      <w:r w:rsidRPr="00370E70">
        <w:instrText xml:space="preserve"> REF _Ref316452715 \h  \* MERGEFORMAT </w:instrText>
      </w:r>
      <w:r w:rsidRPr="00370E70">
        <w:fldChar w:fldCharType="separate"/>
      </w:r>
      <w:r w:rsidR="005B5FD6" w:rsidRPr="005B5FD6">
        <w:rPr>
          <w:szCs w:val="22"/>
        </w:rPr>
        <w:t xml:space="preserve">Table </w:t>
      </w:r>
      <w:r w:rsidR="005B5FD6" w:rsidRPr="005B5FD6">
        <w:rPr>
          <w:noProof/>
          <w:szCs w:val="22"/>
        </w:rPr>
        <w:t>4</w:t>
      </w:r>
      <w:r w:rsidRPr="00370E70">
        <w:fldChar w:fldCharType="end"/>
      </w:r>
      <w:r w:rsidRPr="00370E70">
        <w:rPr>
          <w:rFonts w:cs="Arial"/>
          <w:color w:val="000000"/>
          <w:szCs w:val="22"/>
        </w:rPr>
        <w:t xml:space="preserve">). </w:t>
      </w:r>
      <w:r w:rsidRPr="00370E70">
        <w:rPr>
          <w:szCs w:val="22"/>
        </w:rPr>
        <w:t xml:space="preserve">Detailed methodology for the light monitoring (including </w:t>
      </w:r>
      <w:r w:rsidRPr="00370E70">
        <w:rPr>
          <w:rFonts w:eastAsia="MS ??" w:cs="Helvetica"/>
          <w:color w:val="000000"/>
          <w:szCs w:val="22"/>
          <w:lang w:eastAsia="ja-JP"/>
        </w:rPr>
        <w:t xml:space="preserve">cosine correction factors) </w:t>
      </w:r>
      <w:r w:rsidRPr="00370E70">
        <w:rPr>
          <w:szCs w:val="22"/>
        </w:rPr>
        <w:t xml:space="preserve">can be found in McKenzie </w:t>
      </w:r>
      <w:r w:rsidRPr="00370E70">
        <w:rPr>
          <w:i/>
          <w:szCs w:val="22"/>
        </w:rPr>
        <w:t>et al.</w:t>
      </w:r>
      <w:r w:rsidRPr="00370E70">
        <w:rPr>
          <w:szCs w:val="22"/>
        </w:rPr>
        <w:t xml:space="preserve"> (2010). </w:t>
      </w:r>
      <w:r w:rsidRPr="00370E70">
        <w:rPr>
          <w:color w:val="000000"/>
          <w:szCs w:val="22"/>
        </w:rPr>
        <w:t xml:space="preserve">Measurements were recorded by the logger every 30 minutes. Automatic wiper brushes cleaned the optical surface of the sensor every 15 minutes to prevent marine organisms fouling. </w:t>
      </w:r>
    </w:p>
    <w:p w:rsidR="005132EF" w:rsidRPr="00370E70" w:rsidRDefault="005132EF" w:rsidP="00034AD4">
      <w:pPr>
        <w:rPr>
          <w:color w:val="000000"/>
          <w:szCs w:val="22"/>
        </w:rPr>
      </w:pPr>
      <w:r w:rsidRPr="00370E70">
        <w:rPr>
          <w:szCs w:val="22"/>
        </w:rPr>
        <w:t xml:space="preserve">The deployment durations were variable, with some deployed since 2008 under a different program (MTSRF); however the light monitoring was expanded and incorporated into the MMP in late 2009. Data were patchy for a number of intertidal sites because visitation frequency was low (3- 6 months), which increases the risk of light logger or wiper unit failure and increases the gap in data if loggers do </w:t>
      </w:r>
      <w:r w:rsidRPr="00370E70">
        <w:rPr>
          <w:szCs w:val="22"/>
        </w:rPr>
        <w:lastRenderedPageBreak/>
        <w:t>fail. Furthermore, there are some sites that are frequently accessed by the public and tampering is suspected in the disappearance of some loggers. For subtidal sites, and their associated intertidal sites (Picnic Bay, Dunk Island, Green Island and Low Isles, 8 sites in total), the logger replacement time was every 6 weeks so data gaps were fewer.</w:t>
      </w:r>
    </w:p>
    <w:p w:rsidR="005132EF" w:rsidRPr="00370E70" w:rsidRDefault="005132EF" w:rsidP="00964A70">
      <w:pPr>
        <w:autoSpaceDE w:val="0"/>
        <w:autoSpaceDN w:val="0"/>
        <w:adjustRightInd w:val="0"/>
        <w:rPr>
          <w:szCs w:val="22"/>
        </w:rPr>
      </w:pPr>
      <w:r w:rsidRPr="00370E70">
        <w:rPr>
          <w:color w:val="000000"/>
          <w:szCs w:val="22"/>
        </w:rPr>
        <w:t>Loggers were calibrated against a certified reference Photosynthetically Active Radiation (PAR) sensor (LI-COR</w:t>
      </w:r>
      <w:r w:rsidRPr="00370E70">
        <w:rPr>
          <w:color w:val="000000"/>
          <w:szCs w:val="22"/>
          <w:vertAlign w:val="superscript"/>
        </w:rPr>
        <w:t>™</w:t>
      </w:r>
      <w:r w:rsidRPr="00370E70">
        <w:rPr>
          <w:color w:val="000000"/>
          <w:szCs w:val="22"/>
        </w:rPr>
        <w:t xml:space="preserve"> LI-192SB Underwater Quantum Sensor) using a stable light source (LiCor) enclosed in a casing that holds both the sensor and light source at a constant distance. Calibration is repeated after each deployment period of 6 weeks to 6 months. </w:t>
      </w:r>
    </w:p>
    <w:p w:rsidR="006C017A" w:rsidRPr="00370E70" w:rsidRDefault="007B15AB" w:rsidP="006C017A">
      <w:pPr>
        <w:keepNext/>
        <w:spacing w:before="0" w:after="0"/>
        <w:jc w:val="center"/>
        <w:rPr>
          <w:color w:val="000000"/>
          <w:szCs w:val="22"/>
        </w:rPr>
      </w:pPr>
      <w:r>
        <w:rPr>
          <w:noProof/>
          <w:color w:val="000000"/>
          <w:szCs w:val="22"/>
          <w:lang w:eastAsia="en-AU"/>
        </w:rPr>
        <w:drawing>
          <wp:inline distT="0" distB="0" distL="0" distR="0">
            <wp:extent cx="2704465" cy="1802765"/>
            <wp:effectExtent l="0" t="0" r="635" b="6985"/>
            <wp:docPr id="7" name="Picture 7" descr="Photograph of Submersible Odyssey™ photosynthetic irradiance autonomous logger deployed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hotograph of Submersible Odyssey™ photosynthetic irradiance autonomous logger deployed at Green Islan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04465" cy="1802765"/>
                    </a:xfrm>
                    <a:prstGeom prst="rect">
                      <a:avLst/>
                    </a:prstGeom>
                    <a:noFill/>
                    <a:ln>
                      <a:noFill/>
                    </a:ln>
                  </pic:spPr>
                </pic:pic>
              </a:graphicData>
            </a:graphic>
          </wp:inline>
        </w:drawing>
      </w:r>
    </w:p>
    <w:p w:rsidR="005132EF" w:rsidRPr="00370E70" w:rsidRDefault="005132EF" w:rsidP="00034AD4">
      <w:pPr>
        <w:jc w:val="center"/>
        <w:rPr>
          <w:i/>
          <w:color w:val="000000"/>
          <w:szCs w:val="22"/>
        </w:rPr>
      </w:pPr>
      <w:r w:rsidRPr="00370E70">
        <w:rPr>
          <w:i/>
          <w:color w:val="000000"/>
          <w:szCs w:val="22"/>
        </w:rPr>
        <w:t xml:space="preserve">Submersible Odyssey™ photosynthetic irradiance autonomous logger deployed at </w:t>
      </w:r>
      <w:smartTag w:uri="urn:schemas-microsoft-com:office:smarttags" w:element="place">
        <w:smartTag w:uri="urn:schemas-microsoft-com:office:smarttags" w:element="PlaceName">
          <w:r w:rsidR="006C017A" w:rsidRPr="00370E70">
            <w:rPr>
              <w:i/>
              <w:color w:val="000000"/>
              <w:szCs w:val="22"/>
            </w:rPr>
            <w:t>Green</w:t>
          </w:r>
        </w:smartTag>
        <w:r w:rsidRPr="00370E70">
          <w:rPr>
            <w:i/>
            <w:color w:val="000000"/>
            <w:szCs w:val="22"/>
          </w:rPr>
          <w:t xml:space="preserve"> </w:t>
        </w:r>
        <w:smartTag w:uri="urn:schemas-microsoft-com:office:smarttags" w:element="PlaceType">
          <w:r w:rsidRPr="00370E70">
            <w:rPr>
              <w:i/>
              <w:color w:val="000000"/>
              <w:szCs w:val="22"/>
            </w:rPr>
            <w:t>Island</w:t>
          </w:r>
        </w:smartTag>
      </w:smartTag>
      <w:r w:rsidRPr="00370E70">
        <w:rPr>
          <w:i/>
          <w:color w:val="000000"/>
          <w:szCs w:val="22"/>
        </w:rPr>
        <w:t>.</w:t>
      </w:r>
    </w:p>
    <w:p w:rsidR="005132EF" w:rsidRPr="00370E70" w:rsidRDefault="005132EF" w:rsidP="00814116">
      <w:pPr>
        <w:rPr>
          <w:szCs w:val="22"/>
        </w:rPr>
      </w:pPr>
      <w:r w:rsidRPr="00370E70">
        <w:rPr>
          <w:szCs w:val="22"/>
        </w:rPr>
        <w:t>Light data measured as instantaneous irradiance (µmol m</w:t>
      </w:r>
      <w:r w:rsidRPr="00370E70">
        <w:rPr>
          <w:szCs w:val="22"/>
          <w:vertAlign w:val="superscript"/>
        </w:rPr>
        <w:t>-2</w:t>
      </w:r>
      <w:r w:rsidRPr="00370E70">
        <w:rPr>
          <w:szCs w:val="22"/>
        </w:rPr>
        <w:t xml:space="preserve"> s</w:t>
      </w:r>
      <w:r w:rsidRPr="00370E70">
        <w:rPr>
          <w:szCs w:val="22"/>
          <w:vertAlign w:val="superscript"/>
        </w:rPr>
        <w:t>-1</w:t>
      </w:r>
      <w:r w:rsidRPr="00370E70">
        <w:rPr>
          <w:szCs w:val="22"/>
        </w:rPr>
        <w:t>) was converted to daily irradiance (I</w:t>
      </w:r>
      <w:r w:rsidRPr="00370E70">
        <w:rPr>
          <w:szCs w:val="22"/>
          <w:vertAlign w:val="subscript"/>
        </w:rPr>
        <w:t>d</w:t>
      </w:r>
      <w:r w:rsidRPr="00370E70">
        <w:rPr>
          <w:szCs w:val="22"/>
        </w:rPr>
        <w:t>, mol m</w:t>
      </w:r>
      <w:r w:rsidRPr="00370E70">
        <w:rPr>
          <w:szCs w:val="22"/>
          <w:vertAlign w:val="superscript"/>
        </w:rPr>
        <w:t>-2</w:t>
      </w:r>
      <w:r w:rsidRPr="00370E70">
        <w:rPr>
          <w:szCs w:val="22"/>
        </w:rPr>
        <w:t xml:space="preserve"> d</w:t>
      </w:r>
      <w:r w:rsidRPr="00370E70">
        <w:rPr>
          <w:szCs w:val="22"/>
          <w:vertAlign w:val="superscript"/>
        </w:rPr>
        <w:t>-1</w:t>
      </w:r>
      <w:r w:rsidRPr="00370E70">
        <w:rPr>
          <w:szCs w:val="22"/>
        </w:rPr>
        <w:t>). I</w:t>
      </w:r>
      <w:r w:rsidRPr="00370E70">
        <w:rPr>
          <w:szCs w:val="22"/>
          <w:vertAlign w:val="subscript"/>
        </w:rPr>
        <w:t>d</w:t>
      </w:r>
      <w:r w:rsidRPr="00370E70">
        <w:rPr>
          <w:szCs w:val="22"/>
        </w:rPr>
        <w:t xml:space="preserve"> is highly variable in shallow coastal systems, being affected by incoming irradiance, the tidal cycle as well as water quality </w:t>
      </w:r>
      <w:r w:rsidR="008F339A" w:rsidRPr="00370E70">
        <w:rPr>
          <w:szCs w:val="22"/>
        </w:rPr>
        <w:t>(</w:t>
      </w:r>
      <w:hyperlink w:anchor="_ENREF_5" w:tooltip="Anthony, 2004 #960" w:history="1">
        <w:r w:rsidR="00964A70" w:rsidRPr="00370E70">
          <w:rPr>
            <w:szCs w:val="22"/>
          </w:rPr>
          <w:fldChar w:fldCharType="begin"/>
        </w:r>
        <w:r w:rsidR="00964A70" w:rsidRPr="00370E70">
          <w:rPr>
            <w:szCs w:val="22"/>
          </w:rPr>
          <w:instrText xml:space="preserve"> ADDIN EN.CITE &lt;EndNote&gt;&lt;Cite&gt;&lt;Author&gt;Anthony&lt;/Author&gt;&lt;Year&gt;2004&lt;/Year&gt;&lt;RecNum&gt;960&lt;/RecNum&gt;&lt;DisplayText&gt;Anthony&lt;style face="italic"&gt; et al.&lt;/style&gt; 2004&lt;/DisplayText&gt;&lt;record&gt;&lt;rec-number&gt;960&lt;/rec-number&gt;&lt;foreign-keys&gt;&lt;key app="EN" db-id="xp95r2wt4pwtpyeavf5vadf4pa05f0ae5f0d"&gt;960&lt;/key&gt;&lt;/foreign-keys&gt;&lt;ref-type name="Journal Article"&gt;17&lt;/ref-type&gt;&lt;contributors&gt;&lt;authors&gt;&lt;author&gt;Anthony, K. R. N.&lt;/author&gt;&lt;author&gt;Ridd, P.V.&lt;/author&gt;&lt;author&gt;Orpin, A.R.&lt;/author&gt;&lt;author&gt;Larcombe, P.&lt;/author&gt;&lt;author&gt;Lough, J.&lt;/author&gt;&lt;/authors&gt;&lt;/contributors&gt;&lt;titles&gt;&lt;title&gt;Temporal variation of light availability in coastal benthic habitats: effects of clouds, turbidity, and tides&lt;/title&gt;&lt;secondary-title&gt;Limnology and Oceanography&lt;/secondary-title&gt;&lt;/titles&gt;&lt;periodical&gt;&lt;full-title&gt;Limnology and Oceanography&lt;/full-title&gt;&lt;abbr-1&gt;Limnol. Oceanogr.&lt;/abbr-1&gt;&lt;abbr-2&gt;Limnol Oceanogr&lt;/abbr-2&gt;&lt;abbr-3&gt;Limnology &amp;amp; Oceanography&lt;/abbr-3&gt;&lt;/periodical&gt;&lt;pages&gt;2201-2211&lt;/pages&gt;&lt;volume&gt;49&lt;/volume&gt;&lt;number&gt;6&lt;/number&gt;&lt;dates&gt;&lt;year&gt;2004&lt;/year&gt;&lt;/dates&gt;&lt;urls&gt;&lt;/urls&gt;&lt;/record&gt;&lt;/Cite&gt;&lt;/EndNote&gt;</w:instrText>
        </w:r>
        <w:r w:rsidR="00964A70" w:rsidRPr="00370E70">
          <w:rPr>
            <w:szCs w:val="22"/>
          </w:rPr>
          <w:fldChar w:fldCharType="separate"/>
        </w:r>
        <w:r w:rsidR="00964A70" w:rsidRPr="00370E70">
          <w:rPr>
            <w:noProof/>
            <w:szCs w:val="22"/>
          </w:rPr>
          <w:t>Anthony</w:t>
        </w:r>
        <w:r w:rsidR="00964A70" w:rsidRPr="00370E70">
          <w:rPr>
            <w:i/>
            <w:noProof/>
            <w:szCs w:val="22"/>
          </w:rPr>
          <w:t xml:space="preserve"> et al.</w:t>
        </w:r>
        <w:r w:rsidR="00964A70" w:rsidRPr="00370E70">
          <w:rPr>
            <w:noProof/>
            <w:szCs w:val="22"/>
          </w:rPr>
          <w:t xml:space="preserve"> 2004</w:t>
        </w:r>
        <w:r w:rsidR="00964A70" w:rsidRPr="00370E70">
          <w:rPr>
            <w:szCs w:val="22"/>
          </w:rPr>
          <w:fldChar w:fldCharType="end"/>
        </w:r>
      </w:hyperlink>
      <w:r w:rsidR="008F339A" w:rsidRPr="00370E70">
        <w:rPr>
          <w:szCs w:val="22"/>
        </w:rPr>
        <w:t>)</w:t>
      </w:r>
      <w:r w:rsidRPr="00370E70">
        <w:rPr>
          <w:szCs w:val="22"/>
        </w:rPr>
        <w:t xml:space="preserve">. This high variability makes it difficult to </w:t>
      </w:r>
      <w:r w:rsidR="002C6536" w:rsidRPr="00370E70">
        <w:rPr>
          <w:szCs w:val="22"/>
        </w:rPr>
        <w:t>ascertain</w:t>
      </w:r>
      <w:r w:rsidRPr="00370E70">
        <w:rPr>
          <w:szCs w:val="22"/>
        </w:rPr>
        <w:t xml:space="preserve"> trends in data. To aid with the visual interpretation of trends, I</w:t>
      </w:r>
      <w:r w:rsidRPr="00370E70">
        <w:rPr>
          <w:szCs w:val="22"/>
          <w:vertAlign w:val="subscript"/>
        </w:rPr>
        <w:t>d</w:t>
      </w:r>
      <w:r w:rsidRPr="00370E70">
        <w:rPr>
          <w:szCs w:val="22"/>
        </w:rPr>
        <w:t xml:space="preserve"> was then averaged over a 28</w:t>
      </w:r>
      <w:r w:rsidR="008F339A" w:rsidRPr="00370E70">
        <w:rPr>
          <w:szCs w:val="22"/>
        </w:rPr>
        <w:t xml:space="preserve"> </w:t>
      </w:r>
      <w:r w:rsidRPr="00370E70">
        <w:rPr>
          <w:szCs w:val="22"/>
        </w:rPr>
        <w:t xml:space="preserve">day period (complete tidal cycle). 28 days is also biologically meaningful, as it corresponds to the approximate duration over which leaves on a shoot are fully replaced by new leaves and it is the approximate time over which shoot density and </w:t>
      </w:r>
      <w:r w:rsidR="002C6536" w:rsidRPr="00370E70">
        <w:rPr>
          <w:szCs w:val="22"/>
        </w:rPr>
        <w:t>biomass</w:t>
      </w:r>
      <w:r w:rsidRPr="00370E70">
        <w:rPr>
          <w:szCs w:val="22"/>
        </w:rPr>
        <w:t xml:space="preserve"> starts to decline following reductions in light </w:t>
      </w:r>
      <w:r w:rsidR="00EE0164" w:rsidRPr="00370E70">
        <w:rPr>
          <w:szCs w:val="22"/>
        </w:rPr>
        <w:t>(</w:t>
      </w:r>
      <w:hyperlink w:anchor="_ENREF_44" w:tooltip="Collier, 2012 #9308" w:history="1">
        <w:r w:rsidR="00964A70" w:rsidRPr="00370E70">
          <w:rPr>
            <w:szCs w:val="22"/>
          </w:rPr>
          <w:fldChar w:fldCharType="begin"/>
        </w:r>
        <w:r w:rsidR="00964A70" w:rsidRPr="00370E70">
          <w:rPr>
            <w:szCs w:val="22"/>
          </w:rPr>
          <w:instrText xml:space="preserve"> ADDIN EN.CITE &lt;EndNote&gt;&lt;Cite&gt;&lt;Author&gt;Collier&lt;/Author&gt;&lt;Year&gt;2012&lt;/Year&gt;&lt;RecNum&gt;9308&lt;/RecNum&gt;&lt;DisplayText&gt;Collier&lt;style face="italic"&gt; et al.&lt;/style&gt; 2012a&lt;/DisplayText&gt;&lt;record&gt;&lt;rec-number&gt;9308&lt;/rec-number&gt;&lt;foreign-keys&gt;&lt;key app="EN" db-id="0eve55x9y5vfd6e9dacxtew4eatve2dzds9a"&gt;9308&lt;/key&gt;&lt;/foreign-keys&gt;&lt;ref-type name="Journal Article"&gt;17&lt;/ref-type&gt;&lt;contributors&gt;&lt;authors&gt;&lt;author&gt;Collier, C.J.&lt;/author&gt;&lt;author&gt;Waycott, M&lt;/author&gt;&lt;author&gt;Giraldo-Ospina, A.&lt;/author&gt;&lt;/authors&gt;&lt;/contributors&gt;&lt;titles&gt;&lt;title&gt;Responses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Bulletin&lt;/full-title&gt;&lt;/periodical&gt;&lt;pages&gt;342-354&lt;/pages&gt;&lt;volume&gt;65&lt;/volume&gt;&lt;number&gt;4-9&lt;/number&gt;&lt;dates&gt;&lt;year&gt;2012&lt;/year&gt;&lt;/dates&gt;&lt;urls&gt;&lt;/urls&gt;&lt;/record&gt;&lt;/Cite&gt;&lt;/EndNote&gt;</w:instrText>
        </w:r>
        <w:r w:rsidR="00964A70" w:rsidRPr="00370E70">
          <w:rPr>
            <w:szCs w:val="22"/>
          </w:rPr>
          <w:fldChar w:fldCharType="separate"/>
        </w:r>
        <w:r w:rsidR="00964A70" w:rsidRPr="00370E70">
          <w:rPr>
            <w:noProof/>
            <w:szCs w:val="22"/>
          </w:rPr>
          <w:t>Collier</w:t>
        </w:r>
        <w:r w:rsidR="00964A70" w:rsidRPr="00370E70">
          <w:rPr>
            <w:i/>
            <w:noProof/>
            <w:szCs w:val="22"/>
          </w:rPr>
          <w:t xml:space="preserve"> et al.</w:t>
        </w:r>
        <w:r w:rsidR="00964A70" w:rsidRPr="00370E70">
          <w:rPr>
            <w:noProof/>
            <w:szCs w:val="22"/>
          </w:rPr>
          <w:t xml:space="preserve"> 2012a</w:t>
        </w:r>
        <w:r w:rsidR="00964A70" w:rsidRPr="00370E70">
          <w:rPr>
            <w:szCs w:val="22"/>
          </w:rPr>
          <w:fldChar w:fldCharType="end"/>
        </w:r>
      </w:hyperlink>
      <w:r w:rsidR="00EE0164" w:rsidRPr="00370E70">
        <w:rPr>
          <w:szCs w:val="22"/>
        </w:rPr>
        <w:t>)</w:t>
      </w:r>
      <w:r w:rsidRPr="00370E70">
        <w:rPr>
          <w:szCs w:val="22"/>
        </w:rPr>
        <w:t>. 28</w:t>
      </w:r>
      <w:r w:rsidR="008F339A" w:rsidRPr="00370E70">
        <w:rPr>
          <w:szCs w:val="22"/>
        </w:rPr>
        <w:t xml:space="preserve"> </w:t>
      </w:r>
      <w:r w:rsidRPr="00370E70">
        <w:rPr>
          <w:szCs w:val="22"/>
        </w:rPr>
        <w:t>day averaged I</w:t>
      </w:r>
      <w:r w:rsidRPr="00370E70">
        <w:rPr>
          <w:szCs w:val="22"/>
          <w:vertAlign w:val="subscript"/>
        </w:rPr>
        <w:t>d</w:t>
      </w:r>
      <w:r w:rsidRPr="00370E70">
        <w:rPr>
          <w:szCs w:val="22"/>
        </w:rPr>
        <w:t xml:space="preserve"> are presented graphically against draft thresholds with different values for northern and southern communities as the dominant species and habitat types vary from north to south. Thresholds applied in the northern GBR (5 mol m</w:t>
      </w:r>
      <w:r w:rsidRPr="00370E70">
        <w:rPr>
          <w:szCs w:val="22"/>
          <w:vertAlign w:val="superscript"/>
        </w:rPr>
        <w:t>-2</w:t>
      </w:r>
      <w:r w:rsidRPr="00370E70">
        <w:rPr>
          <w:szCs w:val="22"/>
        </w:rPr>
        <w:t xml:space="preserve"> s</w:t>
      </w:r>
      <w:r w:rsidRPr="00370E70">
        <w:rPr>
          <w:szCs w:val="22"/>
          <w:vertAlign w:val="superscript"/>
        </w:rPr>
        <w:t>-1</w:t>
      </w:r>
      <w:r w:rsidRPr="00370E70">
        <w:rPr>
          <w:szCs w:val="22"/>
        </w:rPr>
        <w:t xml:space="preserve">) were developed for </w:t>
      </w:r>
      <w:r w:rsidRPr="00370E70">
        <w:rPr>
          <w:i/>
          <w:szCs w:val="22"/>
        </w:rPr>
        <w:t>Halodule uninervis</w:t>
      </w:r>
      <w:r w:rsidRPr="00370E70">
        <w:rPr>
          <w:szCs w:val="22"/>
        </w:rPr>
        <w:t xml:space="preserve">-dominated communities during episodic seagrass loss </w:t>
      </w:r>
      <w:r w:rsidR="00EE0164" w:rsidRPr="00370E70">
        <w:rPr>
          <w:szCs w:val="22"/>
        </w:rPr>
        <w:t>(</w:t>
      </w:r>
      <w:hyperlink w:anchor="_ENREF_45" w:tooltip="Collier, 2012 #9288" w:history="1">
        <w:r w:rsidR="00964A70" w:rsidRPr="00370E70">
          <w:rPr>
            <w:szCs w:val="22"/>
          </w:rPr>
          <w:fldChar w:fldCharType="begin"/>
        </w:r>
        <w:r w:rsidR="00964A70" w:rsidRPr="00370E70">
          <w:rPr>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szCs w:val="22"/>
          </w:rPr>
          <w:fldChar w:fldCharType="separate"/>
        </w:r>
        <w:r w:rsidR="00964A70" w:rsidRPr="00370E70">
          <w:rPr>
            <w:noProof/>
            <w:szCs w:val="22"/>
          </w:rPr>
          <w:t>Collier</w:t>
        </w:r>
        <w:r w:rsidR="00964A70" w:rsidRPr="00370E70">
          <w:rPr>
            <w:i/>
            <w:noProof/>
            <w:szCs w:val="22"/>
          </w:rPr>
          <w:t xml:space="preserve"> et al.</w:t>
        </w:r>
        <w:r w:rsidR="00964A70" w:rsidRPr="00370E70">
          <w:rPr>
            <w:noProof/>
            <w:szCs w:val="22"/>
          </w:rPr>
          <w:t xml:space="preserve"> 2012b</w:t>
        </w:r>
        <w:r w:rsidR="00964A70" w:rsidRPr="00370E70">
          <w:rPr>
            <w:szCs w:val="22"/>
          </w:rPr>
          <w:fldChar w:fldCharType="end"/>
        </w:r>
      </w:hyperlink>
      <w:r w:rsidR="00EE0164" w:rsidRPr="00370E70">
        <w:rPr>
          <w:szCs w:val="22"/>
        </w:rPr>
        <w:t>)</w:t>
      </w:r>
      <w:r w:rsidRPr="00370E70">
        <w:rPr>
          <w:szCs w:val="22"/>
        </w:rPr>
        <w:t xml:space="preserve">. The threshold applied to southern GBR communities were developed for </w:t>
      </w:r>
      <w:r w:rsidRPr="00370E70">
        <w:rPr>
          <w:i/>
          <w:szCs w:val="22"/>
        </w:rPr>
        <w:t xml:space="preserve">Zostera </w:t>
      </w:r>
      <w:r w:rsidR="00EE0164" w:rsidRPr="00370E70">
        <w:rPr>
          <w:i/>
          <w:szCs w:val="22"/>
        </w:rPr>
        <w:t>muelleri</w:t>
      </w:r>
      <w:r w:rsidR="002C6536" w:rsidRPr="00370E70">
        <w:rPr>
          <w:i/>
          <w:szCs w:val="22"/>
        </w:rPr>
        <w:t xml:space="preserve"> </w:t>
      </w:r>
      <w:r w:rsidRPr="00370E70">
        <w:rPr>
          <w:szCs w:val="22"/>
        </w:rPr>
        <w:t>dominated communities over a 2</w:t>
      </w:r>
      <w:r w:rsidR="008F339A" w:rsidRPr="00370E70">
        <w:rPr>
          <w:szCs w:val="22"/>
        </w:rPr>
        <w:t xml:space="preserve"> </w:t>
      </w:r>
      <w:r w:rsidRPr="00370E70">
        <w:rPr>
          <w:szCs w:val="22"/>
        </w:rPr>
        <w:t xml:space="preserve">week rolling average using a range of experimental and monitoring approaches </w:t>
      </w:r>
      <w:r w:rsidR="008F339A" w:rsidRPr="00370E70">
        <w:rPr>
          <w:szCs w:val="22"/>
        </w:rPr>
        <w:t>(</w:t>
      </w:r>
      <w:hyperlink w:anchor="_ENREF_33" w:tooltip="Chartrand, 2012 #9309" w:history="1">
        <w:r w:rsidR="00964A70" w:rsidRPr="00370E70">
          <w:rPr>
            <w:szCs w:val="22"/>
          </w:rPr>
          <w:fldChar w:fldCharType="begin"/>
        </w:r>
        <w:r w:rsidR="00964A70" w:rsidRPr="00370E70">
          <w:rPr>
            <w:szCs w:val="22"/>
          </w:rPr>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szCs w:val="22"/>
          </w:rPr>
          <w:fldChar w:fldCharType="separate"/>
        </w:r>
        <w:r w:rsidR="00964A70" w:rsidRPr="00370E70">
          <w:rPr>
            <w:noProof/>
            <w:szCs w:val="22"/>
          </w:rPr>
          <w:t>Chartrand</w:t>
        </w:r>
        <w:r w:rsidR="00964A70" w:rsidRPr="00370E70">
          <w:rPr>
            <w:i/>
            <w:noProof/>
            <w:szCs w:val="22"/>
          </w:rPr>
          <w:t xml:space="preserve"> et al.</w:t>
        </w:r>
        <w:r w:rsidR="00964A70" w:rsidRPr="00370E70">
          <w:rPr>
            <w:noProof/>
            <w:szCs w:val="22"/>
          </w:rPr>
          <w:t xml:space="preserve"> 2012</w:t>
        </w:r>
        <w:r w:rsidR="00964A70" w:rsidRPr="00370E70">
          <w:rPr>
            <w:szCs w:val="22"/>
          </w:rPr>
          <w:fldChar w:fldCharType="end"/>
        </w:r>
      </w:hyperlink>
      <w:r w:rsidR="008F339A" w:rsidRPr="00370E70">
        <w:rPr>
          <w:szCs w:val="22"/>
        </w:rPr>
        <w:t>)</w:t>
      </w:r>
      <w:r w:rsidRPr="00370E70">
        <w:rPr>
          <w:szCs w:val="22"/>
        </w:rPr>
        <w:t xml:space="preserve">.  These working thresholds describe light levels associated with short-term changes in seagrass abundance. </w:t>
      </w:r>
    </w:p>
    <w:p w:rsidR="005132EF" w:rsidRPr="00370E70" w:rsidRDefault="005132EF" w:rsidP="00814116">
      <w:pPr>
        <w:rPr>
          <w:szCs w:val="22"/>
        </w:rPr>
      </w:pPr>
      <w:r w:rsidRPr="00370E70">
        <w:rPr>
          <w:szCs w:val="22"/>
        </w:rPr>
        <w:t>Also discussed is I</w:t>
      </w:r>
      <w:r w:rsidRPr="00370E70">
        <w:rPr>
          <w:szCs w:val="22"/>
          <w:vertAlign w:val="subscript"/>
        </w:rPr>
        <w:t>d</w:t>
      </w:r>
      <w:r w:rsidRPr="00370E70">
        <w:rPr>
          <w:szCs w:val="22"/>
        </w:rPr>
        <w:t xml:space="preserve"> relative to estimated minimum light requirements (MLR). MLR describes the light required for the long-term survival of seagrass meadows </w:t>
      </w:r>
      <w:r w:rsidR="008F339A" w:rsidRPr="00370E70">
        <w:rPr>
          <w:szCs w:val="22"/>
        </w:rPr>
        <w:t>(</w:t>
      </w:r>
      <w:hyperlink w:anchor="_ENREF_58" w:tooltip="Dennison, 1987 #8096" w:history="1">
        <w:r w:rsidR="00964A70" w:rsidRPr="00370E70">
          <w:rPr>
            <w:szCs w:val="22"/>
          </w:rPr>
          <w:fldChar w:fldCharType="begin"/>
        </w:r>
        <w:r w:rsidR="00964A70" w:rsidRPr="00370E70">
          <w:rPr>
            <w:szCs w:val="22"/>
          </w:rPr>
          <w:instrText xml:space="preserve"> ADDIN EN.CITE &lt;EndNote&gt;&lt;Cite&gt;&lt;Author&gt;Dennison&lt;/Author&gt;&lt;Year&gt;1987&lt;/Year&gt;&lt;RecNum&gt;8096&lt;/RecNum&gt;&lt;DisplayText&gt;Dennison 1987&lt;/DisplayText&gt;&lt;record&gt;&lt;rec-number&gt;8096&lt;/rec-number&gt;&lt;foreign-keys&gt;&lt;key app="EN" db-id="0eve55x9y5vfd6e9dacxtew4eatve2dzds9a"&gt;8096&lt;/key&gt;&lt;/foreign-keys&gt;&lt;ref-type name="Journal Article"&gt;17&lt;/ref-type&gt;&lt;contributors&gt;&lt;authors&gt;&lt;author&gt;Dennison, W.C.&lt;/author&gt;&lt;/authors&gt;&lt;/contributors&gt;&lt;titles&gt;&lt;title&gt;Effects of light on seagrass photosynthesis, growth and depth distribution&lt;/title&gt;&lt;secondary-title&gt;Aquatic Botany&lt;/secondary-title&gt;&lt;/titles&gt;&lt;periodical&gt;&lt;full-title&gt;Aquatic Botany&lt;/full-title&gt;&lt;/periodical&gt;&lt;pages&gt;15-26&lt;/pages&gt;&lt;volume&gt;27&lt;/volume&gt;&lt;dates&gt;&lt;year&gt;1987&lt;/year&gt;&lt;/dates&gt;&lt;urls&gt;&lt;/urls&gt;&lt;/record&gt;&lt;/Cite&gt;&lt;/EndNote&gt;</w:instrText>
        </w:r>
        <w:r w:rsidR="00964A70" w:rsidRPr="00370E70">
          <w:rPr>
            <w:szCs w:val="22"/>
          </w:rPr>
          <w:fldChar w:fldCharType="separate"/>
        </w:r>
        <w:r w:rsidR="00964A70" w:rsidRPr="00370E70">
          <w:rPr>
            <w:noProof/>
            <w:szCs w:val="22"/>
          </w:rPr>
          <w:t>Dennison 1987</w:t>
        </w:r>
        <w:r w:rsidR="00964A70" w:rsidRPr="00370E70">
          <w:rPr>
            <w:szCs w:val="22"/>
          </w:rPr>
          <w:fldChar w:fldCharType="end"/>
        </w:r>
      </w:hyperlink>
      <w:r w:rsidR="008F339A" w:rsidRPr="00370E70">
        <w:rPr>
          <w:szCs w:val="22"/>
        </w:rPr>
        <w:t>)</w:t>
      </w:r>
      <w:r w:rsidRPr="00370E70">
        <w:rPr>
          <w:szCs w:val="22"/>
        </w:rPr>
        <w:t xml:space="preserve">. It is frequently calculated from measurement of annual light availability at the deepest edge of seagrass meadow, beyond which seagrasses cannot survive. MLR is difficult to determine in the dynamic seagrass meadows of the GBR, which often have poorly defined meadow boundaries, and these boundaries vary over intra-annual cycles. MLR are usually reported as percent of surface irradiance (SI), even though this not the most meaningful representation of light requirements. The average MLR of 15-25% SI for tropical blady species (summarized in Lee </w:t>
      </w:r>
      <w:r w:rsidRPr="00370E70">
        <w:rPr>
          <w:i/>
          <w:szCs w:val="22"/>
        </w:rPr>
        <w:t>et al</w:t>
      </w:r>
      <w:r w:rsidR="00E41B86" w:rsidRPr="00370E70">
        <w:rPr>
          <w:i/>
          <w:szCs w:val="22"/>
        </w:rPr>
        <w:t>.</w:t>
      </w:r>
      <w:r w:rsidRPr="00370E70">
        <w:rPr>
          <w:szCs w:val="22"/>
        </w:rPr>
        <w:t xml:space="preserve"> 2007) was converted to I</w:t>
      </w:r>
      <w:r w:rsidRPr="00370E70">
        <w:rPr>
          <w:szCs w:val="22"/>
          <w:vertAlign w:val="subscript"/>
        </w:rPr>
        <w:t>d</w:t>
      </w:r>
      <w:r w:rsidRPr="00370E70">
        <w:rPr>
          <w:szCs w:val="22"/>
        </w:rPr>
        <w:t xml:space="preserve"> using surface light data from </w:t>
      </w:r>
      <w:smartTag w:uri="urn:schemas-microsoft-com:office:smarttags" w:element="PlaceName">
        <w:r w:rsidRPr="00370E70">
          <w:rPr>
            <w:szCs w:val="22"/>
          </w:rPr>
          <w:t>Magnetic</w:t>
        </w:r>
      </w:smartTag>
      <w:r w:rsidRPr="00370E70">
        <w:rPr>
          <w:szCs w:val="22"/>
        </w:rPr>
        <w:t xml:space="preserve"> </w:t>
      </w:r>
      <w:smartTag w:uri="urn:schemas-microsoft-com:office:smarttags" w:element="PlaceType">
        <w:r w:rsidRPr="00370E70">
          <w:rPr>
            <w:szCs w:val="22"/>
          </w:rPr>
          <w:t>Island</w:t>
        </w:r>
      </w:smartTag>
      <w:r w:rsidRPr="00370E70">
        <w:rPr>
          <w:szCs w:val="22"/>
        </w:rPr>
        <w:t xml:space="preserve">, </w:t>
      </w:r>
      <w:smartTag w:uri="urn:schemas-microsoft-com:office:smarttags" w:element="PlaceName">
        <w:r w:rsidRPr="00370E70">
          <w:rPr>
            <w:szCs w:val="22"/>
          </w:rPr>
          <w:t>Dunk</w:t>
        </w:r>
      </w:smartTag>
      <w:r w:rsidRPr="00370E70">
        <w:rPr>
          <w:szCs w:val="22"/>
        </w:rPr>
        <w:t xml:space="preserve"> </w:t>
      </w:r>
      <w:smartTag w:uri="urn:schemas-microsoft-com:office:smarttags" w:element="PlaceType">
        <w:r w:rsidRPr="00370E70">
          <w:rPr>
            <w:szCs w:val="22"/>
          </w:rPr>
          <w:t>Island</w:t>
        </w:r>
      </w:smartTag>
      <w:r w:rsidRPr="00370E70">
        <w:rPr>
          <w:szCs w:val="22"/>
        </w:rPr>
        <w:t xml:space="preserve">, </w:t>
      </w:r>
      <w:smartTag w:uri="urn:schemas-microsoft-com:office:smarttags" w:element="place">
        <w:smartTag w:uri="urn:schemas-microsoft-com:office:smarttags" w:element="PlaceName">
          <w:r w:rsidRPr="00370E70">
            <w:rPr>
              <w:szCs w:val="22"/>
            </w:rPr>
            <w:t>Green</w:t>
          </w:r>
        </w:smartTag>
        <w:r w:rsidRPr="00370E70">
          <w:rPr>
            <w:szCs w:val="22"/>
          </w:rPr>
          <w:t xml:space="preserve"> </w:t>
        </w:r>
        <w:smartTag w:uri="urn:schemas-microsoft-com:office:smarttags" w:element="PlaceType">
          <w:r w:rsidRPr="00370E70">
            <w:rPr>
              <w:szCs w:val="22"/>
            </w:rPr>
            <w:t>Island</w:t>
          </w:r>
        </w:smartTag>
      </w:smartTag>
      <w:r w:rsidRPr="00370E70">
        <w:rPr>
          <w:szCs w:val="22"/>
        </w:rPr>
        <w:t xml:space="preserve"> and Low Isles, which has been recorded at these sites since 2008. From this we estimate that the MLR equivalent to 15-25% SI is 4.7 to 7.9 mol photons m</w:t>
      </w:r>
      <w:r w:rsidRPr="00370E70">
        <w:rPr>
          <w:szCs w:val="22"/>
          <w:vertAlign w:val="superscript"/>
        </w:rPr>
        <w:t>-2</w:t>
      </w:r>
      <w:r w:rsidRPr="00370E70">
        <w:rPr>
          <w:szCs w:val="22"/>
        </w:rPr>
        <w:t xml:space="preserve"> d</w:t>
      </w:r>
      <w:r w:rsidRPr="00370E70">
        <w:rPr>
          <w:szCs w:val="22"/>
          <w:vertAlign w:val="superscript"/>
        </w:rPr>
        <w:t>-1</w:t>
      </w:r>
      <w:r w:rsidR="008F339A" w:rsidRPr="00370E70">
        <w:rPr>
          <w:szCs w:val="22"/>
        </w:rPr>
        <w:t xml:space="preserve"> (</w:t>
      </w:r>
      <w:r w:rsidR="008F339A" w:rsidRPr="00370E70">
        <w:rPr>
          <w:szCs w:val="22"/>
        </w:rPr>
        <w:fldChar w:fldCharType="begin"/>
      </w:r>
      <w:r w:rsidR="008F339A" w:rsidRPr="00370E70">
        <w:rPr>
          <w:szCs w:val="22"/>
        </w:rPr>
        <w:instrText xml:space="preserve"> REF _Ref382642298 \h </w:instrText>
      </w:r>
      <w:r w:rsidR="008F339A" w:rsidRPr="00370E70">
        <w:rPr>
          <w:szCs w:val="22"/>
        </w:rPr>
      </w:r>
      <w:r w:rsidR="008F339A" w:rsidRPr="00370E70">
        <w:rPr>
          <w:szCs w:val="22"/>
        </w:rPr>
        <w:fldChar w:fldCharType="separate"/>
      </w:r>
      <w:r w:rsidR="005B5FD6" w:rsidRPr="00370E70">
        <w:rPr>
          <w:szCs w:val="22"/>
        </w:rPr>
        <w:t xml:space="preserve">Table </w:t>
      </w:r>
      <w:r w:rsidR="005B5FD6">
        <w:rPr>
          <w:noProof/>
          <w:szCs w:val="22"/>
        </w:rPr>
        <w:t>6</w:t>
      </w:r>
      <w:r w:rsidR="008F339A" w:rsidRPr="00370E70">
        <w:rPr>
          <w:szCs w:val="22"/>
        </w:rPr>
        <w:fldChar w:fldCharType="end"/>
      </w:r>
      <w:r w:rsidR="008F339A" w:rsidRPr="00370E70">
        <w:rPr>
          <w:szCs w:val="22"/>
        </w:rPr>
        <w:t>)</w:t>
      </w:r>
      <w:r w:rsidRPr="00370E70">
        <w:rPr>
          <w:szCs w:val="22"/>
        </w:rPr>
        <w:t xml:space="preserve">. </w:t>
      </w:r>
      <w:r w:rsidRPr="00370E70">
        <w:rPr>
          <w:i/>
          <w:szCs w:val="22"/>
        </w:rPr>
        <w:t>Halophila</w:t>
      </w:r>
      <w:r w:rsidRPr="00370E70">
        <w:rPr>
          <w:szCs w:val="22"/>
        </w:rPr>
        <w:t xml:space="preserve"> species typically have a much lower MLR, around 5-10% SI </w:t>
      </w:r>
      <w:r w:rsidR="008F339A" w:rsidRPr="00370E70">
        <w:rPr>
          <w:szCs w:val="22"/>
        </w:rPr>
        <w:t>(</w:t>
      </w:r>
      <w:hyperlink w:anchor="_ENREF_115" w:tooltip="Lee, 2007 #938" w:history="1">
        <w:r w:rsidR="00964A70" w:rsidRPr="00370E70">
          <w:rPr>
            <w:szCs w:val="22"/>
          </w:rPr>
          <w:fldChar w:fldCharType="begin"/>
        </w:r>
        <w:r w:rsidR="00964A70" w:rsidRPr="00370E70">
          <w:rPr>
            <w:szCs w:val="22"/>
          </w:rPr>
          <w:instrText xml:space="preserve"> ADDIN EN.CITE &lt;EndNote&gt;&lt;Cite&gt;&lt;Author&gt;Lee&lt;/Author&gt;&lt;Year&gt;2007&lt;/Year&gt;&lt;RecNum&gt;938&lt;/RecNum&gt;&lt;DisplayText&gt;Lee&lt;style face="italic"&gt; et al.&lt;/style&gt; 2007&lt;/DisplayText&gt;&lt;record&gt;&lt;rec-number&gt;938&lt;/rec-number&gt;&lt;foreign-keys&gt;&lt;key app="EN" db-id="xp95r2wt4pwtpyeavf5vadf4pa05f0ae5f0d"&gt;938&lt;/key&gt;&lt;/foreign-keys&gt;&lt;ref-type name="Journal Article"&gt;17&lt;/ref-type&gt;&lt;contributors&gt;&lt;authors&gt;&lt;author&gt;Lee, K-S.&lt;/author&gt;&lt;author&gt;Park, S.R.&lt;/author&gt;&lt;author&gt;Kim, Y.K.&lt;/author&gt;&lt;/authors&gt;&lt;/contributors&gt;&lt;titles&gt;&lt;title&gt;Effects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Ecology&lt;/abbr-3&gt;&lt;/periodical&gt;&lt;pages&gt;144-175&lt;/pages&gt;&lt;volume&gt;350&lt;/volume&gt;&lt;dates&gt;&lt;year&gt;2007&lt;/year&gt;&lt;/dates&gt;&lt;urls&gt;&lt;/urls&gt;&lt;/record&gt;&lt;/Cite&gt;&lt;/EndNote&gt;</w:instrText>
        </w:r>
        <w:r w:rsidR="00964A70" w:rsidRPr="00370E70">
          <w:rPr>
            <w:szCs w:val="22"/>
          </w:rPr>
          <w:fldChar w:fldCharType="separate"/>
        </w:r>
        <w:r w:rsidR="00964A70" w:rsidRPr="00370E70">
          <w:rPr>
            <w:noProof/>
            <w:szCs w:val="22"/>
          </w:rPr>
          <w:t>Lee</w:t>
        </w:r>
        <w:r w:rsidR="00964A70" w:rsidRPr="00370E70">
          <w:rPr>
            <w:i/>
            <w:noProof/>
            <w:szCs w:val="22"/>
          </w:rPr>
          <w:t xml:space="preserve"> et al.</w:t>
        </w:r>
        <w:r w:rsidR="00964A70" w:rsidRPr="00370E70">
          <w:rPr>
            <w:noProof/>
            <w:szCs w:val="22"/>
          </w:rPr>
          <w:t xml:space="preserve"> 2007</w:t>
        </w:r>
        <w:r w:rsidR="00964A70" w:rsidRPr="00370E70">
          <w:rPr>
            <w:szCs w:val="22"/>
          </w:rPr>
          <w:fldChar w:fldCharType="end"/>
        </w:r>
      </w:hyperlink>
      <w:r w:rsidR="008F339A" w:rsidRPr="00370E70">
        <w:rPr>
          <w:szCs w:val="22"/>
        </w:rPr>
        <w:t>)</w:t>
      </w:r>
      <w:r w:rsidRPr="00370E70">
        <w:rPr>
          <w:szCs w:val="22"/>
        </w:rPr>
        <w:t>, which is equivalent to 1.5 to 2.9 mol m</w:t>
      </w:r>
      <w:r w:rsidRPr="00370E70">
        <w:rPr>
          <w:szCs w:val="22"/>
          <w:vertAlign w:val="superscript"/>
        </w:rPr>
        <w:t>-2</w:t>
      </w:r>
      <w:r w:rsidRPr="00370E70">
        <w:rPr>
          <w:szCs w:val="22"/>
        </w:rPr>
        <w:t xml:space="preserve"> d</w:t>
      </w:r>
      <w:r w:rsidRPr="00370E70">
        <w:rPr>
          <w:szCs w:val="22"/>
          <w:vertAlign w:val="superscript"/>
        </w:rPr>
        <w:t xml:space="preserve">-1 </w:t>
      </w:r>
      <w:r w:rsidRPr="00370E70">
        <w:rPr>
          <w:szCs w:val="22"/>
        </w:rPr>
        <w:t xml:space="preserve">at the monitoring sites for which we have surface light data. There are other species that possibly have higher MLR than the range given here; for example, </w:t>
      </w:r>
      <w:r w:rsidRPr="00370E70">
        <w:rPr>
          <w:i/>
          <w:szCs w:val="22"/>
        </w:rPr>
        <w:t xml:space="preserve">Zostera </w:t>
      </w:r>
      <w:r w:rsidR="00145BB9" w:rsidRPr="00370E70">
        <w:rPr>
          <w:i/>
          <w:szCs w:val="22"/>
        </w:rPr>
        <w:t>muelleri</w:t>
      </w:r>
      <w:r w:rsidRPr="00370E70">
        <w:rPr>
          <w:szCs w:val="22"/>
        </w:rPr>
        <w:t xml:space="preserve"> is thought to have an MLR greater than 30% </w:t>
      </w:r>
      <w:hyperlink w:anchor="_ENREF_123" w:tooltip="Longstaff, 2002 #816" w:history="1">
        <w:r w:rsidR="00964A70" w:rsidRPr="00370E70">
          <w:rPr>
            <w:szCs w:val="22"/>
          </w:rPr>
          <w:fldChar w:fldCharType="begin"/>
        </w:r>
        <w:r w:rsidR="00964A70" w:rsidRPr="00370E70">
          <w:rPr>
            <w:szCs w:val="22"/>
          </w:rPr>
          <w:instrText xml:space="preserve"> ADDIN EN.CITE &lt;EndNote&gt;&lt;Cite&gt;&lt;Author&gt;Longstaff&lt;/Author&gt;&lt;Year&gt;2002&lt;/Year&gt;&lt;RecNum&gt;816&lt;/RecNum&gt;&lt;DisplayText&gt;Longstaff 2002&lt;/DisplayText&gt;&lt;record&gt;&lt;rec-number&gt;816&lt;/rec-number&gt;&lt;foreign-keys&gt;&lt;key app="EN" db-id="xp95r2wt4pwtpyeavf5vadf4pa05f0ae5f0d"&gt;816&lt;/key&gt;&lt;/foreign-keys&gt;&lt;ref-type name="Book"&gt;6&lt;/ref-type&gt;&lt;contributors&gt;&lt;authors&gt;&lt;author&gt;Longstaff, B. J.&lt;/author&gt;&lt;/authors&gt;&lt;/contributors&gt;&lt;titles&gt;&lt;title&gt;Investigations into the light requiements of seagraes in Northeast Australia. PhD Thesis.&lt;/title&gt;&lt;/titles&gt;&lt;pages&gt;152&lt;/pages&gt;&lt;dates&gt;&lt;year&gt;2002&lt;/year&gt;&lt;/dates&gt;&lt;pub-location&gt;Department of Botany&lt;/pub-location&gt;&lt;publisher&gt;University of Queensland Brisbane&lt;/publisher&gt;&lt;urls&gt;&lt;/urls&gt;&lt;/record&gt;&lt;/Cite&gt;&lt;/EndNote&gt;</w:instrText>
        </w:r>
        <w:r w:rsidR="00964A70" w:rsidRPr="00370E70">
          <w:rPr>
            <w:szCs w:val="22"/>
          </w:rPr>
          <w:fldChar w:fldCharType="separate"/>
        </w:r>
        <w:r w:rsidR="00964A70" w:rsidRPr="00370E70">
          <w:rPr>
            <w:noProof/>
            <w:szCs w:val="22"/>
          </w:rPr>
          <w:t>Longstaff 2002</w:t>
        </w:r>
        <w:r w:rsidR="00964A70" w:rsidRPr="00370E70">
          <w:rPr>
            <w:szCs w:val="22"/>
          </w:rPr>
          <w:fldChar w:fldCharType="end"/>
        </w:r>
      </w:hyperlink>
      <w:r w:rsidRPr="00370E70">
        <w:rPr>
          <w:szCs w:val="22"/>
        </w:rPr>
        <w:t xml:space="preserve">. </w:t>
      </w:r>
    </w:p>
    <w:p w:rsidR="005132EF" w:rsidRPr="00370E70" w:rsidRDefault="005132EF" w:rsidP="00E41B86">
      <w:pPr>
        <w:pStyle w:val="Caption"/>
        <w:keepNext/>
        <w:rPr>
          <w:i/>
          <w:szCs w:val="22"/>
          <w:lang w:val="en-AU"/>
        </w:rPr>
      </w:pPr>
      <w:bookmarkStart w:id="77" w:name="_Ref382642298"/>
      <w:bookmarkStart w:id="78" w:name="_Toc384196542"/>
      <w:r w:rsidRPr="00370E70">
        <w:rPr>
          <w:szCs w:val="22"/>
          <w:lang w:val="en-AU"/>
        </w:rPr>
        <w:lastRenderedPageBreak/>
        <w:t xml:space="preserve">Table </w:t>
      </w:r>
      <w:r w:rsidRPr="00370E70">
        <w:rPr>
          <w:szCs w:val="22"/>
          <w:lang w:val="en-AU"/>
        </w:rPr>
        <w:fldChar w:fldCharType="begin"/>
      </w:r>
      <w:r w:rsidRPr="00370E70">
        <w:rPr>
          <w:szCs w:val="22"/>
          <w:lang w:val="en-AU"/>
        </w:rPr>
        <w:instrText xml:space="preserve"> SEQ Table \* ARABIC </w:instrText>
      </w:r>
      <w:r w:rsidRPr="00370E70">
        <w:rPr>
          <w:szCs w:val="22"/>
          <w:lang w:val="en-AU"/>
        </w:rPr>
        <w:fldChar w:fldCharType="separate"/>
      </w:r>
      <w:r w:rsidR="005B5FD6">
        <w:rPr>
          <w:noProof/>
          <w:szCs w:val="22"/>
          <w:lang w:val="en-AU"/>
        </w:rPr>
        <w:t>6</w:t>
      </w:r>
      <w:r w:rsidRPr="00370E70">
        <w:rPr>
          <w:szCs w:val="22"/>
          <w:lang w:val="en-AU"/>
        </w:rPr>
        <w:fldChar w:fldCharType="end"/>
      </w:r>
      <w:bookmarkEnd w:id="77"/>
      <w:r w:rsidRPr="00370E70">
        <w:rPr>
          <w:szCs w:val="22"/>
          <w:lang w:val="en-AU"/>
        </w:rPr>
        <w:t xml:space="preserve">. </w:t>
      </w:r>
      <w:r w:rsidRPr="00370E70">
        <w:rPr>
          <w:i/>
          <w:szCs w:val="22"/>
          <w:lang w:val="en-AU"/>
        </w:rPr>
        <w:t xml:space="preserve">Minimum light requirements (MLR) derived from the literature (15-25%) were converted to </w:t>
      </w:r>
      <w:r w:rsidRPr="00370E70">
        <w:rPr>
          <w:i/>
          <w:color w:val="000000"/>
          <w:szCs w:val="22"/>
          <w:lang w:val="en-AU"/>
        </w:rPr>
        <w:t>daily irradiance from surface light at sites where surface light is also monitored.</w:t>
      </w:r>
      <w:bookmarkEnd w:id="78"/>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62"/>
        <w:gridCol w:w="2462"/>
        <w:gridCol w:w="2462"/>
      </w:tblGrid>
      <w:tr w:rsidR="005132EF" w:rsidRPr="00370E70" w:rsidTr="00CA3CAB">
        <w:trPr>
          <w:jc w:val="center"/>
        </w:trPr>
        <w:tc>
          <w:tcPr>
            <w:tcW w:w="2462" w:type="dxa"/>
            <w:vMerge w:val="restart"/>
            <w:shd w:val="clear" w:color="auto" w:fill="BBE0E3"/>
            <w:vAlign w:val="center"/>
          </w:tcPr>
          <w:p w:rsidR="005132EF" w:rsidRPr="00370E70" w:rsidRDefault="005132EF" w:rsidP="00CA3CAB">
            <w:pPr>
              <w:keepNext/>
              <w:spacing w:before="0" w:after="0"/>
              <w:ind w:left="360" w:hanging="360"/>
              <w:jc w:val="center"/>
              <w:rPr>
                <w:b/>
                <w:bCs/>
                <w:color w:val="000000"/>
                <w:sz w:val="20"/>
              </w:rPr>
            </w:pPr>
            <w:r w:rsidRPr="00370E70">
              <w:rPr>
                <w:b/>
                <w:bCs/>
                <w:color w:val="000000"/>
                <w:sz w:val="20"/>
              </w:rPr>
              <w:t>Site</w:t>
            </w:r>
          </w:p>
        </w:tc>
        <w:tc>
          <w:tcPr>
            <w:tcW w:w="4924" w:type="dxa"/>
            <w:gridSpan w:val="2"/>
            <w:shd w:val="clear" w:color="auto" w:fill="BBE0E3"/>
            <w:vAlign w:val="center"/>
          </w:tcPr>
          <w:p w:rsidR="005132EF" w:rsidRPr="00370E70" w:rsidRDefault="005132EF" w:rsidP="00CA3CAB">
            <w:pPr>
              <w:keepNext/>
              <w:spacing w:before="0" w:after="0"/>
              <w:ind w:left="360" w:hanging="360"/>
              <w:jc w:val="center"/>
              <w:rPr>
                <w:b/>
                <w:bCs/>
                <w:color w:val="000000"/>
                <w:sz w:val="20"/>
              </w:rPr>
            </w:pPr>
            <w:r w:rsidRPr="00370E70">
              <w:rPr>
                <w:b/>
                <w:bCs/>
                <w:color w:val="000000"/>
                <w:sz w:val="20"/>
              </w:rPr>
              <w:t>Average daily irradiance (mol m</w:t>
            </w:r>
            <w:r w:rsidRPr="00370E70">
              <w:rPr>
                <w:b/>
                <w:bCs/>
                <w:color w:val="000000"/>
                <w:sz w:val="20"/>
                <w:vertAlign w:val="superscript"/>
              </w:rPr>
              <w:t>-2</w:t>
            </w:r>
            <w:r w:rsidRPr="00370E70">
              <w:rPr>
                <w:b/>
                <w:bCs/>
                <w:color w:val="000000"/>
                <w:sz w:val="20"/>
              </w:rPr>
              <w:t xml:space="preserve"> d</w:t>
            </w:r>
            <w:r w:rsidRPr="00370E70">
              <w:rPr>
                <w:b/>
                <w:bCs/>
                <w:color w:val="000000"/>
                <w:sz w:val="20"/>
                <w:vertAlign w:val="superscript"/>
              </w:rPr>
              <w:t>-1</w:t>
            </w:r>
            <w:r w:rsidRPr="00370E70">
              <w:rPr>
                <w:b/>
                <w:bCs/>
                <w:color w:val="000000"/>
                <w:sz w:val="20"/>
              </w:rPr>
              <w:t>)</w:t>
            </w:r>
          </w:p>
        </w:tc>
      </w:tr>
      <w:tr w:rsidR="005132EF" w:rsidRPr="00370E70" w:rsidTr="00CA3CAB">
        <w:trPr>
          <w:jc w:val="center"/>
        </w:trPr>
        <w:tc>
          <w:tcPr>
            <w:tcW w:w="2462" w:type="dxa"/>
            <w:vMerge/>
            <w:shd w:val="clear" w:color="auto" w:fill="BBE0E3"/>
            <w:vAlign w:val="center"/>
          </w:tcPr>
          <w:p w:rsidR="005132EF" w:rsidRPr="00370E70" w:rsidRDefault="005132EF" w:rsidP="00CA3CAB">
            <w:pPr>
              <w:keepNext/>
              <w:spacing w:before="0" w:after="0"/>
              <w:ind w:left="360" w:hanging="360"/>
              <w:jc w:val="center"/>
              <w:rPr>
                <w:b/>
                <w:bCs/>
                <w:color w:val="000000"/>
                <w:sz w:val="20"/>
              </w:rPr>
            </w:pPr>
          </w:p>
        </w:tc>
        <w:tc>
          <w:tcPr>
            <w:tcW w:w="2462" w:type="dxa"/>
            <w:shd w:val="clear" w:color="auto" w:fill="BBE0E3"/>
            <w:vAlign w:val="center"/>
          </w:tcPr>
          <w:p w:rsidR="005132EF" w:rsidRPr="00370E70" w:rsidRDefault="005132EF" w:rsidP="00CA3CAB">
            <w:pPr>
              <w:keepNext/>
              <w:spacing w:before="0" w:after="0"/>
              <w:ind w:left="360" w:hanging="360"/>
              <w:jc w:val="center"/>
              <w:rPr>
                <w:b/>
                <w:bCs/>
                <w:color w:val="000000"/>
                <w:sz w:val="20"/>
              </w:rPr>
            </w:pPr>
            <w:r w:rsidRPr="00370E70">
              <w:rPr>
                <w:b/>
                <w:bCs/>
                <w:color w:val="000000"/>
                <w:sz w:val="20"/>
              </w:rPr>
              <w:t>15% SI</w:t>
            </w:r>
          </w:p>
        </w:tc>
        <w:tc>
          <w:tcPr>
            <w:tcW w:w="2462" w:type="dxa"/>
            <w:shd w:val="clear" w:color="auto" w:fill="BBE0E3"/>
            <w:vAlign w:val="center"/>
          </w:tcPr>
          <w:p w:rsidR="005132EF" w:rsidRPr="00370E70" w:rsidRDefault="005132EF" w:rsidP="00CA3CAB">
            <w:pPr>
              <w:keepNext/>
              <w:spacing w:before="0" w:after="0"/>
              <w:ind w:left="360" w:hanging="360"/>
              <w:jc w:val="center"/>
              <w:rPr>
                <w:b/>
                <w:bCs/>
                <w:color w:val="000000"/>
                <w:sz w:val="20"/>
              </w:rPr>
            </w:pPr>
            <w:r w:rsidRPr="00370E70">
              <w:rPr>
                <w:b/>
                <w:bCs/>
                <w:color w:val="000000"/>
                <w:sz w:val="20"/>
              </w:rPr>
              <w:t>25% SI</w:t>
            </w:r>
          </w:p>
        </w:tc>
      </w:tr>
      <w:tr w:rsidR="005132EF" w:rsidRPr="00370E70" w:rsidTr="00CA3CAB">
        <w:trPr>
          <w:jc w:val="center"/>
        </w:trPr>
        <w:tc>
          <w:tcPr>
            <w:tcW w:w="2462" w:type="dxa"/>
            <w:shd w:val="clear" w:color="auto" w:fill="F3F9FA"/>
          </w:tcPr>
          <w:p w:rsidR="005132EF" w:rsidRPr="00370E70" w:rsidRDefault="005132EF" w:rsidP="00CA3CAB">
            <w:pPr>
              <w:keepNext/>
              <w:spacing w:before="0" w:after="0"/>
              <w:rPr>
                <w:color w:val="000000"/>
                <w:sz w:val="20"/>
              </w:rPr>
            </w:pPr>
            <w:r w:rsidRPr="00370E70">
              <w:rPr>
                <w:color w:val="000000"/>
                <w:sz w:val="20"/>
              </w:rPr>
              <w:t>Low Isles</w:t>
            </w:r>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4.5</w:t>
            </w:r>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7.4</w:t>
            </w:r>
          </w:p>
        </w:tc>
      </w:tr>
      <w:tr w:rsidR="005132EF" w:rsidRPr="00370E70" w:rsidTr="00CA3CAB">
        <w:trPr>
          <w:jc w:val="center"/>
        </w:trPr>
        <w:tc>
          <w:tcPr>
            <w:tcW w:w="2462" w:type="dxa"/>
            <w:shd w:val="clear" w:color="auto" w:fill="F3F9FA"/>
          </w:tcPr>
          <w:p w:rsidR="005132EF" w:rsidRPr="00370E70" w:rsidRDefault="005132EF" w:rsidP="00CA3CAB">
            <w:pPr>
              <w:keepNext/>
              <w:spacing w:before="0" w:after="0"/>
              <w:rPr>
                <w:color w:val="000000"/>
                <w:sz w:val="20"/>
              </w:rPr>
            </w:pPr>
            <w:smartTag w:uri="urn:schemas-microsoft-com:office:smarttags" w:element="place">
              <w:smartTag w:uri="urn:schemas-microsoft-com:office:smarttags" w:element="PlaceName">
                <w:r w:rsidRPr="00370E70">
                  <w:rPr>
                    <w:color w:val="000000"/>
                    <w:sz w:val="20"/>
                  </w:rPr>
                  <w:t>Green</w:t>
                </w:r>
              </w:smartTag>
              <w:r w:rsidRPr="00370E70">
                <w:rPr>
                  <w:color w:val="000000"/>
                  <w:sz w:val="20"/>
                </w:rPr>
                <w:t xml:space="preserve"> </w:t>
              </w:r>
              <w:smartTag w:uri="urn:schemas-microsoft-com:office:smarttags" w:element="PlaceType">
                <w:r w:rsidRPr="00370E70">
                  <w:rPr>
                    <w:color w:val="000000"/>
                    <w:sz w:val="20"/>
                  </w:rPr>
                  <w:t>Island</w:t>
                </w:r>
              </w:smartTag>
            </w:smartTag>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4.9</w:t>
            </w:r>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8.2</w:t>
            </w:r>
          </w:p>
        </w:tc>
      </w:tr>
      <w:tr w:rsidR="005132EF" w:rsidRPr="00370E70" w:rsidTr="00CA3CAB">
        <w:trPr>
          <w:jc w:val="center"/>
        </w:trPr>
        <w:tc>
          <w:tcPr>
            <w:tcW w:w="2462" w:type="dxa"/>
            <w:shd w:val="clear" w:color="auto" w:fill="F3F9FA"/>
          </w:tcPr>
          <w:p w:rsidR="005132EF" w:rsidRPr="00370E70" w:rsidRDefault="005132EF" w:rsidP="00CA3CAB">
            <w:pPr>
              <w:keepNext/>
              <w:spacing w:before="0" w:after="0"/>
              <w:rPr>
                <w:color w:val="000000"/>
                <w:sz w:val="20"/>
              </w:rPr>
            </w:pPr>
            <w:smartTag w:uri="urn:schemas-microsoft-com:office:smarttags" w:element="place">
              <w:smartTag w:uri="urn:schemas-microsoft-com:office:smarttags" w:element="PlaceName">
                <w:r w:rsidRPr="00370E70">
                  <w:rPr>
                    <w:color w:val="000000"/>
                    <w:sz w:val="20"/>
                  </w:rPr>
                  <w:t>Dunk</w:t>
                </w:r>
              </w:smartTag>
              <w:r w:rsidRPr="00370E70">
                <w:rPr>
                  <w:color w:val="000000"/>
                  <w:sz w:val="20"/>
                </w:rPr>
                <w:t xml:space="preserve"> </w:t>
              </w:r>
              <w:smartTag w:uri="urn:schemas-microsoft-com:office:smarttags" w:element="PlaceType">
                <w:r w:rsidRPr="00370E70">
                  <w:rPr>
                    <w:color w:val="000000"/>
                    <w:sz w:val="20"/>
                  </w:rPr>
                  <w:t>Island</w:t>
                </w:r>
              </w:smartTag>
            </w:smartTag>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4.9</w:t>
            </w:r>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8.1</w:t>
            </w:r>
          </w:p>
        </w:tc>
      </w:tr>
      <w:tr w:rsidR="005132EF" w:rsidRPr="00370E70" w:rsidTr="00CA3CAB">
        <w:trPr>
          <w:jc w:val="center"/>
        </w:trPr>
        <w:tc>
          <w:tcPr>
            <w:tcW w:w="2462" w:type="dxa"/>
            <w:shd w:val="clear" w:color="auto" w:fill="F3F9FA"/>
          </w:tcPr>
          <w:p w:rsidR="005132EF" w:rsidRPr="00370E70" w:rsidRDefault="005132EF" w:rsidP="00CA3CAB">
            <w:pPr>
              <w:keepNext/>
              <w:spacing w:before="0" w:after="0"/>
              <w:rPr>
                <w:color w:val="000000"/>
                <w:sz w:val="20"/>
              </w:rPr>
            </w:pPr>
            <w:r w:rsidRPr="00370E70">
              <w:rPr>
                <w:color w:val="000000"/>
                <w:sz w:val="20"/>
              </w:rPr>
              <w:t xml:space="preserve">Magnetic </w:t>
            </w:r>
            <w:smartTag w:uri="urn:schemas-microsoft-com:office:smarttags" w:element="place">
              <w:r w:rsidRPr="00370E70">
                <w:rPr>
                  <w:color w:val="000000"/>
                  <w:sz w:val="20"/>
                </w:rPr>
                <w:t>Island</w:t>
              </w:r>
            </w:smartTag>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4.6</w:t>
            </w:r>
          </w:p>
        </w:tc>
        <w:tc>
          <w:tcPr>
            <w:tcW w:w="2462" w:type="dxa"/>
            <w:shd w:val="clear" w:color="auto" w:fill="F3F9FA"/>
          </w:tcPr>
          <w:p w:rsidR="005132EF" w:rsidRPr="00370E70" w:rsidRDefault="005132EF" w:rsidP="00CA3CAB">
            <w:pPr>
              <w:keepNext/>
              <w:spacing w:before="0" w:after="0"/>
              <w:jc w:val="center"/>
              <w:rPr>
                <w:color w:val="000000"/>
                <w:sz w:val="20"/>
              </w:rPr>
            </w:pPr>
            <w:r w:rsidRPr="00370E70">
              <w:rPr>
                <w:color w:val="000000"/>
                <w:sz w:val="20"/>
              </w:rPr>
              <w:t>7.7</w:t>
            </w:r>
          </w:p>
        </w:tc>
      </w:tr>
      <w:tr w:rsidR="005132EF" w:rsidRPr="00370E70" w:rsidTr="00CA3CAB">
        <w:trPr>
          <w:jc w:val="center"/>
        </w:trPr>
        <w:tc>
          <w:tcPr>
            <w:tcW w:w="2462" w:type="dxa"/>
            <w:shd w:val="clear" w:color="auto" w:fill="E7F3F4"/>
          </w:tcPr>
          <w:p w:rsidR="005132EF" w:rsidRPr="00370E70" w:rsidRDefault="005132EF" w:rsidP="00CA3CAB">
            <w:pPr>
              <w:keepNext/>
              <w:spacing w:before="0" w:after="0"/>
              <w:rPr>
                <w:b/>
                <w:color w:val="000000"/>
                <w:sz w:val="20"/>
              </w:rPr>
            </w:pPr>
            <w:r w:rsidRPr="00370E70">
              <w:rPr>
                <w:b/>
                <w:color w:val="000000"/>
                <w:sz w:val="20"/>
              </w:rPr>
              <w:t>AVERAGE</w:t>
            </w:r>
          </w:p>
        </w:tc>
        <w:tc>
          <w:tcPr>
            <w:tcW w:w="2462" w:type="dxa"/>
            <w:shd w:val="clear" w:color="auto" w:fill="E7F3F4"/>
          </w:tcPr>
          <w:p w:rsidR="005132EF" w:rsidRPr="00370E70" w:rsidRDefault="005132EF" w:rsidP="00CA3CAB">
            <w:pPr>
              <w:keepNext/>
              <w:spacing w:before="0" w:after="0"/>
              <w:jc w:val="center"/>
              <w:rPr>
                <w:b/>
                <w:color w:val="000000"/>
                <w:sz w:val="20"/>
              </w:rPr>
            </w:pPr>
            <w:r w:rsidRPr="00370E70">
              <w:rPr>
                <w:b/>
                <w:color w:val="000000"/>
                <w:sz w:val="20"/>
              </w:rPr>
              <w:t>4.7</w:t>
            </w:r>
          </w:p>
        </w:tc>
        <w:tc>
          <w:tcPr>
            <w:tcW w:w="2462" w:type="dxa"/>
            <w:shd w:val="clear" w:color="auto" w:fill="E7F3F4"/>
          </w:tcPr>
          <w:p w:rsidR="005132EF" w:rsidRPr="00370E70" w:rsidRDefault="005132EF" w:rsidP="00CA3CAB">
            <w:pPr>
              <w:keepNext/>
              <w:spacing w:before="0" w:after="0"/>
              <w:jc w:val="center"/>
              <w:rPr>
                <w:b/>
                <w:color w:val="000000"/>
                <w:sz w:val="20"/>
              </w:rPr>
            </w:pPr>
            <w:r w:rsidRPr="00370E70">
              <w:rPr>
                <w:b/>
                <w:color w:val="000000"/>
                <w:sz w:val="20"/>
              </w:rPr>
              <w:t>7.9</w:t>
            </w:r>
          </w:p>
        </w:tc>
      </w:tr>
    </w:tbl>
    <w:p w:rsidR="005132EF" w:rsidRPr="00370E70" w:rsidRDefault="005132EF" w:rsidP="00976C52">
      <w:pPr>
        <w:pStyle w:val="Heading2"/>
        <w:rPr>
          <w:rFonts w:ascii="Century Gothic" w:hAnsi="Century Gothic"/>
          <w:color w:val="000000"/>
        </w:rPr>
      </w:pPr>
      <w:bookmarkStart w:id="79" w:name="_Toc240272894"/>
      <w:bookmarkStart w:id="80" w:name="_Toc184101951"/>
      <w:bookmarkStart w:id="81" w:name="_Toc318461347"/>
      <w:bookmarkStart w:id="82" w:name="_Toc384196114"/>
      <w:r w:rsidRPr="00370E70">
        <w:rPr>
          <w:rFonts w:ascii="Century Gothic" w:hAnsi="Century Gothic"/>
          <w:color w:val="000000"/>
        </w:rPr>
        <w:t>Rhizosphere sediment herbicides</w:t>
      </w:r>
      <w:bookmarkEnd w:id="79"/>
      <w:bookmarkEnd w:id="80"/>
      <w:bookmarkEnd w:id="81"/>
      <w:bookmarkEnd w:id="82"/>
      <w:r w:rsidRPr="00370E70">
        <w:rPr>
          <w:rFonts w:ascii="Century Gothic" w:hAnsi="Century Gothic"/>
          <w:color w:val="000000"/>
        </w:rPr>
        <w:t xml:space="preserve"> </w:t>
      </w:r>
    </w:p>
    <w:p w:rsidR="00EE0164" w:rsidRPr="00370E70" w:rsidRDefault="00EE0164" w:rsidP="00EE0164">
      <w:pPr>
        <w:rPr>
          <w:szCs w:val="22"/>
        </w:rPr>
      </w:pPr>
      <w:r w:rsidRPr="00370E70">
        <w:rPr>
          <w:szCs w:val="22"/>
        </w:rPr>
        <w:t xml:space="preserve">Sediment (approximately 250ml) for herbicide analysis was collected at selected monitoring sites in the </w:t>
      </w:r>
      <w:smartTag w:uri="urn:schemas-microsoft-com:office:smarttags" w:element="place">
        <w:r w:rsidRPr="00370E70">
          <w:rPr>
            <w:szCs w:val="22"/>
          </w:rPr>
          <w:t>Cape York</w:t>
        </w:r>
      </w:smartTag>
      <w:r w:rsidRPr="00370E70">
        <w:rPr>
          <w:szCs w:val="22"/>
        </w:rPr>
        <w:t xml:space="preserve"> and Burdekin regions (identified in </w:t>
      </w:r>
      <w:r w:rsidRPr="00370E70">
        <w:rPr>
          <w:szCs w:val="22"/>
        </w:rPr>
        <w:fldChar w:fldCharType="begin"/>
      </w:r>
      <w:r w:rsidRPr="00370E70">
        <w:rPr>
          <w:szCs w:val="22"/>
        </w:rPr>
        <w:instrText xml:space="preserve"> REF _Ref316452715 \h </w:instrText>
      </w:r>
      <w:r w:rsidRPr="00370E70">
        <w:rPr>
          <w:szCs w:val="22"/>
        </w:rPr>
      </w:r>
      <w:r w:rsidRPr="00370E70">
        <w:rPr>
          <w:szCs w:val="22"/>
        </w:rPr>
        <w:fldChar w:fldCharType="separate"/>
      </w:r>
      <w:r w:rsidR="005B5FD6" w:rsidRPr="00370E70">
        <w:t xml:space="preserve">Table </w:t>
      </w:r>
      <w:r w:rsidR="005B5FD6">
        <w:rPr>
          <w:noProof/>
        </w:rPr>
        <w:t>4</w:t>
      </w:r>
      <w:r w:rsidRPr="00370E70">
        <w:rPr>
          <w:szCs w:val="22"/>
        </w:rPr>
        <w:fldChar w:fldCharType="end"/>
      </w:r>
      <w:r w:rsidRPr="00370E70">
        <w:rPr>
          <w:szCs w:val="22"/>
        </w:rPr>
        <w:t xml:space="preserve">). Along each of the three transects </w:t>
      </w:r>
      <w:r w:rsidR="008F339A" w:rsidRPr="00370E70">
        <w:rPr>
          <w:szCs w:val="22"/>
        </w:rPr>
        <w:t>at each</w:t>
      </w:r>
      <w:r w:rsidRPr="00370E70">
        <w:rPr>
          <w:szCs w:val="22"/>
        </w:rPr>
        <w:t xml:space="preserve"> site, approximately 20ml of sediment was collected every 5m to a depth approximately equal to the depth of the rhizome layer</w:t>
      </w:r>
      <w:r w:rsidR="006D1394" w:rsidRPr="00370E70">
        <w:rPr>
          <w:szCs w:val="22"/>
        </w:rPr>
        <w:t xml:space="preserve"> (5cm)</w:t>
      </w:r>
      <w:r w:rsidRPr="00370E70">
        <w:rPr>
          <w:szCs w:val="22"/>
        </w:rPr>
        <w:t xml:space="preserve">. Three homogenised samples (one per each transect) were collected per site (detailed procedures are outlined in </w:t>
      </w:r>
      <w:hyperlink w:anchor="_ENREF_137" w:tooltip="McKenzie, 2010 #9606" w:history="1">
        <w:r w:rsidR="00964A70" w:rsidRPr="00370E70">
          <w:rPr>
            <w:szCs w:val="22"/>
          </w:rPr>
          <w:fldChar w:fldCharType="begin"/>
        </w:r>
        <w:r w:rsidR="00964A70" w:rsidRPr="00370E70">
          <w:rPr>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964A70" w:rsidRPr="00370E70">
          <w:rPr>
            <w:szCs w:val="22"/>
          </w:rPr>
          <w:fldChar w:fldCharType="separate"/>
        </w:r>
        <w:r w:rsidR="00964A70" w:rsidRPr="00370E70">
          <w:rPr>
            <w:noProof/>
            <w:szCs w:val="22"/>
          </w:rPr>
          <w:t>McKenzie</w:t>
        </w:r>
        <w:r w:rsidR="00964A70" w:rsidRPr="00370E70">
          <w:rPr>
            <w:i/>
            <w:noProof/>
            <w:szCs w:val="22"/>
          </w:rPr>
          <w:t>, et al.</w:t>
        </w:r>
        <w:r w:rsidR="00964A70" w:rsidRPr="00370E70">
          <w:rPr>
            <w:noProof/>
            <w:szCs w:val="22"/>
          </w:rPr>
          <w:t xml:space="preserve"> 2010a</w:t>
        </w:r>
        <w:r w:rsidR="00964A70" w:rsidRPr="00370E70">
          <w:rPr>
            <w:szCs w:val="22"/>
          </w:rPr>
          <w:fldChar w:fldCharType="end"/>
        </w:r>
      </w:hyperlink>
      <w:r w:rsidRPr="00370E70">
        <w:rPr>
          <w:szCs w:val="22"/>
        </w:rPr>
        <w:t>)</w:t>
      </w:r>
      <w:r w:rsidRPr="00370E70">
        <w:rPr>
          <w:i/>
          <w:color w:val="000000"/>
          <w:szCs w:val="22"/>
        </w:rPr>
        <w:t>.</w:t>
      </w:r>
      <w:r w:rsidRPr="00370E70">
        <w:rPr>
          <w:color w:val="000000"/>
          <w:szCs w:val="22"/>
        </w:rPr>
        <w:t xml:space="preserve"> Frozen samples were then sent for analysis. </w:t>
      </w:r>
      <w:r w:rsidRPr="00370E70">
        <w:rPr>
          <w:szCs w:val="22"/>
        </w:rPr>
        <w:t xml:space="preserve">Extraction, clean-up and analysis of the sediments for herbicides were conducted according to NATA approved methods developed by QHSS. </w:t>
      </w:r>
    </w:p>
    <w:p w:rsidR="005132EF" w:rsidRPr="00370E70" w:rsidRDefault="005132EF" w:rsidP="00B7498D">
      <w:pPr>
        <w:pStyle w:val="Heading2"/>
        <w:rPr>
          <w:rFonts w:ascii="Century Gothic" w:hAnsi="Century Gothic"/>
          <w:color w:val="000000"/>
          <w:szCs w:val="26"/>
        </w:rPr>
      </w:pPr>
      <w:bookmarkStart w:id="83" w:name="_Toc384196115"/>
      <w:r w:rsidRPr="00370E70">
        <w:rPr>
          <w:rFonts w:ascii="Century Gothic" w:hAnsi="Century Gothic"/>
          <w:color w:val="000000"/>
          <w:szCs w:val="26"/>
        </w:rPr>
        <w:t>Data analyses</w:t>
      </w:r>
      <w:bookmarkEnd w:id="83"/>
    </w:p>
    <w:p w:rsidR="00EE0164" w:rsidRPr="00370E70" w:rsidRDefault="00EE0164" w:rsidP="00EE0164">
      <w:pPr>
        <w:rPr>
          <w:szCs w:val="22"/>
        </w:rPr>
      </w:pPr>
      <w:bookmarkStart w:id="84" w:name="_Toc170191607"/>
      <w:bookmarkStart w:id="85" w:name="_Toc175991054"/>
      <w:bookmarkStart w:id="86" w:name="_Toc232845902"/>
      <w:bookmarkStart w:id="87" w:name="_Toc184101953"/>
      <w:r w:rsidRPr="00370E70">
        <w:rPr>
          <w:szCs w:val="22"/>
        </w:rPr>
        <w:t xml:space="preserve">In this report results are presented to reveal temporal and spatial differences, however, detailed statistical analyses </w:t>
      </w:r>
      <w:r w:rsidR="008F339A" w:rsidRPr="00370E70">
        <w:rPr>
          <w:szCs w:val="22"/>
        </w:rPr>
        <w:t>were</w:t>
      </w:r>
      <w:r w:rsidRPr="00370E70">
        <w:rPr>
          <w:szCs w:val="22"/>
        </w:rPr>
        <w:t xml:space="preserve"> restricted. We are working with the CSIRO Mathematics, Informatics and Statistics section to more fully interrogate the temporal and covariate components of the data as the time series of observations lengthen. Limited statistical analysis is currently presented</w:t>
      </w:r>
      <w:r w:rsidR="008F339A" w:rsidRPr="00370E70">
        <w:rPr>
          <w:szCs w:val="22"/>
        </w:rPr>
        <w:t xml:space="preserve"> (e.g. ANOVA, T-test)</w:t>
      </w:r>
      <w:r w:rsidRPr="00370E70">
        <w:rPr>
          <w:szCs w:val="22"/>
        </w:rPr>
        <w:t xml:space="preserve">. Prior to analysis (e.g. ANOVA) percent cover data was ArcSin square root transformed. Where data for the majority of months failed a normality test (Shapiro-Wilk), a non-parametric Kruskal-Wallis One Way ANOVA on Ranks was performed. A Tukeys pairwise multiple comparison was conducted </w:t>
      </w:r>
      <w:r w:rsidRPr="00370E70">
        <w:rPr>
          <w:i/>
          <w:szCs w:val="22"/>
        </w:rPr>
        <w:t>post hoc</w:t>
      </w:r>
      <w:r w:rsidRPr="00370E70">
        <w:rPr>
          <w:szCs w:val="22"/>
        </w:rPr>
        <w:t xml:space="preserve"> to identify differences between sampling events.</w:t>
      </w:r>
    </w:p>
    <w:p w:rsidR="005132EF" w:rsidRPr="00370E70" w:rsidRDefault="005132EF" w:rsidP="00034AD4">
      <w:pPr>
        <w:pStyle w:val="Heading2"/>
        <w:rPr>
          <w:rFonts w:ascii="Century Gothic" w:hAnsi="Century Gothic"/>
          <w:color w:val="000000"/>
        </w:rPr>
      </w:pPr>
      <w:bookmarkStart w:id="88" w:name="_Toc384196116"/>
      <w:r w:rsidRPr="00370E70">
        <w:rPr>
          <w:rFonts w:ascii="Century Gothic" w:hAnsi="Century Gothic"/>
          <w:color w:val="000000"/>
        </w:rPr>
        <w:t>Reporting Approach</w:t>
      </w:r>
      <w:bookmarkEnd w:id="84"/>
      <w:bookmarkEnd w:id="85"/>
      <w:bookmarkEnd w:id="86"/>
      <w:bookmarkEnd w:id="87"/>
      <w:bookmarkEnd w:id="88"/>
    </w:p>
    <w:p w:rsidR="005132EF" w:rsidRPr="00370E70" w:rsidRDefault="005132EF" w:rsidP="00034AD4">
      <w:pPr>
        <w:rPr>
          <w:color w:val="000000"/>
          <w:szCs w:val="22"/>
        </w:rPr>
      </w:pPr>
      <w:r w:rsidRPr="00370E70">
        <w:rPr>
          <w:color w:val="000000"/>
          <w:szCs w:val="22"/>
        </w:rPr>
        <w:t>Results and discussion of monitoring is presented firstly in a GBR general overview and then by the NRM regions identified in the</w:t>
      </w:r>
      <w:bookmarkStart w:id="89" w:name="OLE_LINK3"/>
      <w:bookmarkStart w:id="90" w:name="OLE_LINK4"/>
      <w:r w:rsidRPr="00370E70">
        <w:rPr>
          <w:color w:val="000000"/>
          <w:szCs w:val="22"/>
        </w:rPr>
        <w:t xml:space="preserve"> GBR</w:t>
      </w:r>
      <w:bookmarkEnd w:id="89"/>
      <w:bookmarkEnd w:id="90"/>
      <w:r w:rsidRPr="00370E70">
        <w:rPr>
          <w:color w:val="000000"/>
          <w:szCs w:val="22"/>
        </w:rPr>
        <w:t xml:space="preserve"> area. These discrete regions have been used for stratifying issues of land and catchment based resource management and used to report downstream impacts on the reef environment such as from the affect of water quality. There are 56 NRM regions identified in </w:t>
      </w:r>
      <w:smartTag w:uri="urn:schemas-microsoft-com:office:smarttags" w:element="country-region">
        <w:r w:rsidRPr="00370E70">
          <w:rPr>
            <w:color w:val="000000"/>
            <w:szCs w:val="22"/>
          </w:rPr>
          <w:t>Australia</w:t>
        </w:r>
      </w:smartTag>
      <w:r w:rsidRPr="00370E70">
        <w:rPr>
          <w:color w:val="000000"/>
          <w:szCs w:val="22"/>
        </w:rPr>
        <w:t xml:space="preserve">, 15 are in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and six are part of the coastal processes of the GBR. These regions are mostly based on catchments or bioregions using assessments from the </w:t>
      </w:r>
      <w:smartTag w:uri="urn:schemas-microsoft-com:office:smarttags" w:element="place">
        <w:smartTag w:uri="urn:schemas-microsoft-com:office:smarttags" w:element="PlaceName">
          <w:r w:rsidRPr="00370E70">
            <w:rPr>
              <w:color w:val="000000"/>
              <w:szCs w:val="22"/>
            </w:rPr>
            <w:t>National</w:t>
          </w:r>
        </w:smartTag>
        <w:r w:rsidRPr="00370E70">
          <w:rPr>
            <w:color w:val="000000"/>
            <w:szCs w:val="22"/>
          </w:rPr>
          <w:t xml:space="preserve"> </w:t>
        </w:r>
        <w:smartTag w:uri="urn:schemas-microsoft-com:office:smarttags" w:element="PlaceType">
          <w:r w:rsidRPr="00370E70">
            <w:rPr>
              <w:color w:val="000000"/>
              <w:szCs w:val="22"/>
            </w:rPr>
            <w:t>Land</w:t>
          </w:r>
        </w:smartTag>
      </w:smartTag>
      <w:r w:rsidRPr="00370E70">
        <w:rPr>
          <w:color w:val="000000"/>
          <w:szCs w:val="22"/>
        </w:rPr>
        <w:t xml:space="preserve"> and Water Resources Audit. Regional plans have been developed for each of these setting out the means for identifying and achieving natural resource management targets and detailing catchment-wide activities addressing natural resource management issues including land and water management, biodiversity and agricultural practices. Seagrass habitat data forms part of these targets and activities. </w:t>
      </w:r>
    </w:p>
    <w:p w:rsidR="005132EF" w:rsidRPr="00370E70" w:rsidRDefault="005132EF" w:rsidP="00034AD4">
      <w:pPr>
        <w:spacing w:before="240"/>
        <w:rPr>
          <w:color w:val="000000"/>
          <w:szCs w:val="22"/>
        </w:rPr>
      </w:pPr>
      <w:r w:rsidRPr="00370E70">
        <w:rPr>
          <w:color w:val="000000"/>
          <w:szCs w:val="22"/>
        </w:rPr>
        <w:t xml:space="preserve">Within each region, estuarine and coastal habitat boundaries were delineated based on the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coastal waterways geomorphic habitat mapping, Version 2 (1:100 000 </w:t>
      </w:r>
      <w:bookmarkStart w:id="91" w:name="OLE_LINK17"/>
      <w:bookmarkStart w:id="92" w:name="OLE_LINK18"/>
      <w:r w:rsidRPr="00370E70">
        <w:rPr>
          <w:color w:val="000000"/>
          <w:szCs w:val="22"/>
        </w:rPr>
        <w:t>scale digital data)</w:t>
      </w:r>
      <w:bookmarkEnd w:id="91"/>
      <w:bookmarkEnd w:id="92"/>
      <w:r w:rsidRPr="00370E70">
        <w:rPr>
          <w:color w:val="000000"/>
          <w:szCs w:val="22"/>
        </w:rPr>
        <w:t xml:space="preserve"> (Heap </w:t>
      </w:r>
      <w:r w:rsidRPr="00370E70">
        <w:rPr>
          <w:i/>
          <w:color w:val="000000"/>
          <w:szCs w:val="22"/>
        </w:rPr>
        <w:t>et al</w:t>
      </w:r>
      <w:r w:rsidRPr="00370E70">
        <w:rPr>
          <w:color w:val="000000"/>
          <w:szCs w:val="22"/>
        </w:rPr>
        <w:t xml:space="preserve"> 2001). Reef habitat boundaries were determined using the AUSLIG (now the National Mapping Division of Geosciences Australia) geodata topographic basemap (1:100 000 scale digital data).</w:t>
      </w:r>
    </w:p>
    <w:p w:rsidR="005132EF" w:rsidRPr="00370E70" w:rsidRDefault="005132EF" w:rsidP="00CA3CAB">
      <w:pPr>
        <w:spacing w:before="240"/>
        <w:rPr>
          <w:color w:val="000000"/>
          <w:szCs w:val="22"/>
        </w:rPr>
      </w:pPr>
      <w:r w:rsidRPr="00370E70">
        <w:rPr>
          <w:color w:val="000000"/>
          <w:szCs w:val="22"/>
        </w:rPr>
        <w:lastRenderedPageBreak/>
        <w:t>Conceptual diagrams have been used to illustrate the general seagrass habitats type in each region. Symbols/icons have been used in the conceptual diagrams to illustrate major controls, processes and threats/impacts (</w:t>
      </w:r>
      <w:r w:rsidRPr="00370E70">
        <w:fldChar w:fldCharType="begin"/>
      </w:r>
      <w:r w:rsidRPr="00370E70">
        <w:instrText xml:space="preserve"> REF _Ref316453191 \h  \* MERGEFORMAT </w:instrText>
      </w:r>
      <w:r w:rsidRPr="00370E70">
        <w:fldChar w:fldCharType="separate"/>
      </w:r>
      <w:r w:rsidR="005B5FD6" w:rsidRPr="00370E70">
        <w:rPr>
          <w:szCs w:val="22"/>
        </w:rPr>
        <w:t xml:space="preserve">Figure </w:t>
      </w:r>
      <w:r w:rsidR="005B5FD6">
        <w:rPr>
          <w:szCs w:val="22"/>
        </w:rPr>
        <w:t>4</w:t>
      </w:r>
      <w:r w:rsidRPr="00370E70">
        <w:fldChar w:fldCharType="end"/>
      </w:r>
      <w:r w:rsidRPr="00370E70">
        <w:rPr>
          <w:color w:val="000000"/>
          <w:szCs w:val="22"/>
        </w:rPr>
        <w:t>).</w:t>
      </w:r>
      <w:r w:rsidR="00EE0164" w:rsidRPr="00370E70">
        <w:rPr>
          <w:color w:val="000000"/>
          <w:szCs w:val="22"/>
        </w:rPr>
        <w:t xml:space="preserve"> </w:t>
      </w:r>
    </w:p>
    <w:p w:rsidR="005132EF" w:rsidRPr="00370E70" w:rsidRDefault="007B15AB" w:rsidP="00BC26AE">
      <w:pPr>
        <w:spacing w:after="0"/>
        <w:jc w:val="center"/>
      </w:pPr>
      <w:r>
        <w:rPr>
          <w:noProof/>
          <w:lang w:eastAsia="en-AU"/>
        </w:rPr>
        <w:drawing>
          <wp:inline distT="0" distB="0" distL="0" distR="0">
            <wp:extent cx="5151755" cy="7559675"/>
            <wp:effectExtent l="0" t="0" r="0" b="3175"/>
            <wp:docPr id="8" name="Picture 8" descr="Figure of key to all symbols used for conceptual diagrams detailing impacts to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ure of key to all symbols used for conceptual diagrams detailing impacts to seagrasse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51755" cy="7559675"/>
                    </a:xfrm>
                    <a:prstGeom prst="rect">
                      <a:avLst/>
                    </a:prstGeom>
                    <a:noFill/>
                    <a:ln>
                      <a:noFill/>
                    </a:ln>
                  </pic:spPr>
                </pic:pic>
              </a:graphicData>
            </a:graphic>
          </wp:inline>
        </w:drawing>
      </w:r>
    </w:p>
    <w:p w:rsidR="005132EF" w:rsidRPr="00370E70" w:rsidRDefault="005132EF" w:rsidP="00BC26AE">
      <w:pPr>
        <w:pStyle w:val="Caption"/>
        <w:spacing w:before="0" w:after="0"/>
        <w:rPr>
          <w:i/>
          <w:szCs w:val="22"/>
          <w:lang w:val="en-AU"/>
        </w:rPr>
      </w:pPr>
      <w:bookmarkStart w:id="93" w:name="_Ref316453191"/>
      <w:bookmarkStart w:id="94" w:name="_Toc384196351"/>
      <w:r w:rsidRPr="00370E70">
        <w:rPr>
          <w:szCs w:val="22"/>
          <w:lang w:val="en-AU"/>
        </w:rPr>
        <w:t xml:space="preserve">Figure </w:t>
      </w:r>
      <w:r w:rsidRPr="00370E70">
        <w:rPr>
          <w:szCs w:val="22"/>
          <w:lang w:val="en-AU"/>
        </w:rPr>
        <w:fldChar w:fldCharType="begin"/>
      </w:r>
      <w:r w:rsidRPr="00370E70">
        <w:rPr>
          <w:szCs w:val="22"/>
          <w:lang w:val="en-AU"/>
        </w:rPr>
        <w:instrText xml:space="preserve"> SEQ Figure \* ARABIC </w:instrText>
      </w:r>
      <w:r w:rsidRPr="00370E70">
        <w:rPr>
          <w:szCs w:val="22"/>
          <w:lang w:val="en-AU"/>
        </w:rPr>
        <w:fldChar w:fldCharType="separate"/>
      </w:r>
      <w:r w:rsidR="005B5FD6">
        <w:rPr>
          <w:noProof/>
          <w:szCs w:val="22"/>
          <w:lang w:val="en-AU"/>
        </w:rPr>
        <w:t>4</w:t>
      </w:r>
      <w:r w:rsidRPr="00370E70">
        <w:rPr>
          <w:szCs w:val="22"/>
          <w:lang w:val="en-AU"/>
        </w:rPr>
        <w:fldChar w:fldCharType="end"/>
      </w:r>
      <w:bookmarkEnd w:id="93"/>
      <w:r w:rsidRPr="00370E70">
        <w:rPr>
          <w:szCs w:val="22"/>
          <w:lang w:val="en-AU"/>
        </w:rPr>
        <w:t>.</w:t>
      </w:r>
      <w:r w:rsidRPr="00370E70">
        <w:rPr>
          <w:i/>
          <w:szCs w:val="22"/>
          <w:lang w:val="en-AU"/>
        </w:rPr>
        <w:t xml:space="preserve"> Key to symbols used for conceptual diagrams detailing impacts to seagrasses.</w:t>
      </w:r>
      <w:bookmarkEnd w:id="94"/>
    </w:p>
    <w:p w:rsidR="00EE0164" w:rsidRPr="00370E70" w:rsidRDefault="009A14B8" w:rsidP="00EE0164">
      <w:pPr>
        <w:rPr>
          <w:color w:val="FFFFFF"/>
          <w:sz w:val="10"/>
          <w:szCs w:val="10"/>
        </w:rPr>
      </w:pPr>
      <w:hyperlink w:anchor="_ENREF_189" w:tooltip="Udy, 1999 #237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964A70" w:rsidRPr="00370E70">
          <w:rPr>
            <w:color w:val="FFFFFF"/>
            <w:sz w:val="10"/>
            <w:szCs w:val="10"/>
          </w:rPr>
          <w:fldChar w:fldCharType="separate"/>
        </w:r>
        <w:r w:rsidR="00964A70" w:rsidRPr="00370E70">
          <w:rPr>
            <w:noProof/>
            <w:color w:val="FFFFFF"/>
            <w:sz w:val="10"/>
            <w:szCs w:val="10"/>
          </w:rPr>
          <w:t>Udy</w:t>
        </w:r>
        <w:r w:rsidR="00964A70" w:rsidRPr="00370E70">
          <w:rPr>
            <w:i/>
            <w:noProof/>
            <w:color w:val="FFFFFF"/>
            <w:sz w:val="10"/>
            <w:szCs w:val="10"/>
          </w:rPr>
          <w:t>, et al.</w:t>
        </w:r>
        <w:r w:rsidR="00964A70" w:rsidRPr="00370E70">
          <w:rPr>
            <w:noProof/>
            <w:color w:val="FFFFFF"/>
            <w:sz w:val="10"/>
            <w:szCs w:val="10"/>
          </w:rPr>
          <w:t xml:space="preserve"> 1999</w:t>
        </w:r>
        <w:r w:rsidR="00964A70" w:rsidRPr="00370E70">
          <w:rPr>
            <w:color w:val="FFFFFF"/>
            <w:sz w:val="10"/>
            <w:szCs w:val="10"/>
          </w:rPr>
          <w:fldChar w:fldCharType="end"/>
        </w:r>
      </w:hyperlink>
      <w:r w:rsidR="00EE0164" w:rsidRPr="00370E70">
        <w:rPr>
          <w:color w:val="FFFFFF"/>
          <w:sz w:val="10"/>
          <w:szCs w:val="10"/>
        </w:rPr>
        <w:t xml:space="preserve">, </w:t>
      </w:r>
      <w:hyperlink w:anchor="_ENREF_97" w:tooltip="Haynes, 2000 #734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&lt;EndNote&gt;&lt;Cite&gt;&lt;Author&gt;Haynes&lt;/Author&gt;&lt;Year&gt;2000&lt;/Year&gt;&lt;RecNum&gt;7340&lt;/RecNum&gt;&lt;DisplayText&gt;Haynes&lt;style face="italic"&gt;, et al.&lt;/style&gt; 2000a&lt;/DisplayText&gt;&lt;record&gt;&lt;rec-number&gt;7340&lt;/rec-number&gt;&lt;foreign-keys&gt;&lt;key app="EN" db-id="0eve55x9y5vfd6e9dacxtew4eatve2dzds9a"&gt;7340&lt;/key&gt;&lt;/foreign-keys&gt;&lt;ref-type name="Journal Article"&gt;17&lt;/ref-type&gt;&lt;contributors&gt;&lt;authors&gt;&lt;author&gt;Haynes, D.&lt;/author&gt;&lt;author&gt;Müller, J.&lt;/author&gt;&lt;author&gt;Carter, S.&lt;/author&gt;&lt;/authors&gt;&lt;/contributors&gt;&lt;titles&gt;&lt;title&gt;Pesticide and Herbicide Residues in Sediments and Seagrasses from the Great Barrier Reef World Heritage Area and Queensland Coast&lt;/title&gt;&lt;secondary-title&gt;Marine Pollution Bulletin&lt;/secondary-title&gt;&lt;/titles&gt;&lt;periodical&gt;&lt;full-title&gt;Marine Pollution Bulletin&lt;/full-title&gt;&lt;/periodical&gt;&lt;pages&gt;279-287&lt;/pages&gt;&lt;volume&gt;41&lt;/volume&gt;&lt;number&gt;7-12&lt;/number&gt;&lt;dates&gt;&lt;year&gt;2000&lt;/year&gt;&lt;/dates&gt;&lt;urls&gt;&lt;/urls&gt;&lt;/record&gt;&lt;/Cite&gt;&lt;/EndNote&gt;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Haynes</w:t>
        </w:r>
        <w:r w:rsidR="00964A70" w:rsidRPr="00370E70">
          <w:rPr>
            <w:i/>
            <w:noProof/>
            <w:color w:val="FFFFFF"/>
            <w:sz w:val="10"/>
            <w:szCs w:val="10"/>
          </w:rPr>
          <w:t>, et al.</w:t>
        </w:r>
        <w:r w:rsidR="00964A70" w:rsidRPr="00370E70">
          <w:rPr>
            <w:noProof/>
            <w:color w:val="FFFFFF"/>
            <w:sz w:val="10"/>
            <w:szCs w:val="10"/>
          </w:rPr>
          <w:t xml:space="preserve"> 2000a</w:t>
        </w:r>
        <w:r w:rsidR="00964A70" w:rsidRPr="00370E70">
          <w:rPr>
            <w:color w:val="FFFFFF"/>
            <w:sz w:val="10"/>
            <w:szCs w:val="10"/>
          </w:rPr>
          <w:fldChar w:fldCharType="end"/>
        </w:r>
      </w:hyperlink>
      <w:r w:rsidR="00EE0164" w:rsidRPr="00370E70">
        <w:rPr>
          <w:color w:val="FFFFFF"/>
          <w:sz w:val="10"/>
          <w:szCs w:val="10"/>
        </w:rPr>
        <w:t xml:space="preserve">, </w:t>
      </w:r>
      <w:hyperlink w:anchor="_ENREF_98" w:tooltip="Haynes, 2000 #628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&lt;EndNote&gt;&lt;Cite&gt;&lt;Author&gt;Haynes&lt;/Author&gt;&lt;Year&gt;2000&lt;/Year&gt;&lt;RecNum&gt;6283&lt;/RecNum&gt;&lt;DisplayText&gt;Haynes&lt;style face="italic"&gt; et al.&lt;/style&gt; 2000b&lt;/DisplayText&gt;&lt;record&gt;&lt;rec-number&gt;6283&lt;/rec-number&gt;&lt;foreign-keys&gt;&lt;key app="EN" db-id="0eve55x9y5vfd6e9dacxtew4eatve2dzds9a"&gt;6283&lt;/key&gt;&lt;/foreign-keys&gt;&lt;ref-type name="Journal Article"&gt;17&lt;/ref-type&gt;&lt;contributors&gt;&lt;authors&gt;&lt;author&gt;Haynes, D.&lt;/author&gt;&lt;author&gt;Ralph, P.&lt;/author&gt;&lt;author&gt;Prange, J.&lt;/author&gt;&lt;author&gt;Dennison, B.&lt;/author&gt;&lt;/authors&gt;&lt;/contributors&gt;&lt;auth-address&gt;Reprint available from: Haynes D Great Barrier Reef Marine Pk Author 2-68 Flinders St,POB 1379 Townsville Qld 4810 Australia Great Barrier Reef Marine Pk Author Townsville Qld 4810 Australia Univ Technol Sydney Sydney NSW 2007 Australia Univ Queensland St Lucia Qld 4072 Australia Griffith Univ Nathan Qld 4111 Australia&lt;/auth-address&gt;&lt;titles&gt;&lt;title&gt;The impact of the herbicide diuron on photosynthesis in three species of tropical seagrass&lt;/title&gt;&lt;secondary-title&gt;Marine Pollution Bulletin&lt;/secondary-title&gt;&lt;alt-title&gt;Mar. Pollut. Bull&lt;/alt-title&gt;&lt;/titles&gt;&lt;periodical&gt;&lt;full-title&gt;Marine Pollution Bulletin&lt;/full-title&gt;&lt;/periodical&gt;&lt;pages&gt;288-293&lt;/pages&gt;&lt;volume&gt;41&lt;/volume&gt;&lt;number&gt;7-12&lt;/number&gt;&lt;keywords&gt;&lt;keyword&gt;Diuron&lt;/keyword&gt;&lt;keyword&gt;Fluorometry&lt;/keyword&gt;&lt;keyword&gt;Pollution effects&lt;/keyword&gt;&lt;keyword&gt;Seagrass&lt;/keyword&gt;&lt;keyword&gt;Toxicity&lt;/keyword&gt;&lt;keyword&gt;Water quality.&lt;/keyword&gt;&lt;keyword&gt;Chlorophyll fluorescence&lt;/keyword&gt;&lt;keyword&gt;Halophila-ovalis&lt;/keyword&gt;&lt;keyword&gt;Hervey-bay&lt;/keyword&gt;&lt;keyword&gt;Queensland&lt;/keyword&gt;&lt;keyword&gt;Australia&lt;/keyword&gt;&lt;keyword&gt;Stress.&lt;/keyword&gt;&lt;keyword&gt;Aquatic Sciences in Current Contents(R)/Agricultural, Biology &amp;amp; Environmental Sciences.&lt;/keyword&gt;&lt;/keywords&gt;&lt;dates&gt;&lt;year&gt;2000&lt;/year&gt;&lt;pub-dates&gt;&lt;date&gt;Jul-Dec&lt;/date&gt;&lt;/pub-dates&gt;&lt;/dates&gt;&lt;accession-num&gt;386GQ-0004&lt;/accession-num&gt;&lt;urls&gt;&lt;/urls&gt;&lt;/record&gt;&lt;/Cite&gt;&lt;/EndNote&gt;</w:instrText>
        </w:r>
        <w:r w:rsidR="00964A70" w:rsidRPr="00370E70">
          <w:rPr>
            <w:color w:val="FFFFFF"/>
            <w:sz w:val="10"/>
            <w:szCs w:val="10"/>
          </w:rPr>
          <w:fldChar w:fldCharType="separate"/>
        </w:r>
        <w:r w:rsidR="00964A70" w:rsidRPr="00370E70">
          <w:rPr>
            <w:noProof/>
            <w:color w:val="FFFFFF"/>
            <w:sz w:val="10"/>
            <w:szCs w:val="10"/>
          </w:rPr>
          <w:t>Haynes</w:t>
        </w:r>
        <w:r w:rsidR="00964A70" w:rsidRPr="00370E70">
          <w:rPr>
            <w:i/>
            <w:noProof/>
            <w:color w:val="FFFFFF"/>
            <w:sz w:val="10"/>
            <w:szCs w:val="10"/>
          </w:rPr>
          <w:t xml:space="preserve"> et al.</w:t>
        </w:r>
        <w:r w:rsidR="00964A70" w:rsidRPr="00370E70">
          <w:rPr>
            <w:noProof/>
            <w:color w:val="FFFFFF"/>
            <w:sz w:val="10"/>
            <w:szCs w:val="10"/>
          </w:rPr>
          <w:t xml:space="preserve"> 2000b</w:t>
        </w:r>
        <w:r w:rsidR="00964A70" w:rsidRPr="00370E70">
          <w:rPr>
            <w:color w:val="FFFFFF"/>
            <w:sz w:val="10"/>
            <w:szCs w:val="10"/>
          </w:rPr>
          <w:fldChar w:fldCharType="end"/>
        </w:r>
      </w:hyperlink>
      <w:r w:rsidR="00EE0164" w:rsidRPr="00370E70">
        <w:rPr>
          <w:color w:val="FFFFFF"/>
          <w:sz w:val="10"/>
          <w:szCs w:val="10"/>
        </w:rPr>
        <w:t xml:space="preserve">, </w:t>
      </w:r>
      <w:hyperlink w:anchor="_ENREF_142" w:tooltip="McMahon, 2005 #741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&lt;EndNote&gt;&lt;Cite&gt;&lt;Author&gt;McMahon&lt;/Author&gt;&lt;Year&gt;2005&lt;/Year&gt;&lt;RecNum&gt;7418&lt;/RecNum&gt;&lt;DisplayText&gt;McMahon&lt;style face="italic"&gt;, et al.&lt;/style&gt; 2005&lt;/DisplayText&gt;&lt;record&gt;&lt;rec-number&gt;7418&lt;/rec-number&gt;&lt;foreign-keys&gt;&lt;key app="EN" db-id="0eve55x9y5vfd6e9dacxtew4eatve2dzds9a"&gt;7418&lt;/key&gt;&lt;/foreign-keys&gt;&lt;ref-type name="Journal Article"&gt;17&lt;/ref-type&gt;&lt;contributors&gt;&lt;authors&gt;&lt;author&gt;McMahon, K.M.&lt;/author&gt;&lt;author&gt;Bengston-Nash, Susan&lt;/author&gt;&lt;author&gt;Eaglesham, Geoff K&lt;/author&gt;&lt;author&gt;Mueller, J.&lt;/author&gt;&lt;author&gt;Duke, N. C.&lt;/author&gt;&lt;author&gt;Winderlich, S.&lt;/author&gt;&lt;/authors&gt;&lt;/contributors&gt;&lt;titles&gt;&lt;title&gt;Herbicide contamination and the potential impact to seagrass meadows in Hervey Bay, Queensland, Australia&lt;/title&gt;&lt;secondary-title&gt;Marine Pollution Bulletin&lt;/secondary-title&gt;&lt;/titles&gt;&lt;periodical&gt;&lt;full-title&gt;Marine Pollution Bulletin&lt;/full-title&gt;&lt;/periodical&gt;&lt;pages&gt;325-334&lt;/pages&gt;&lt;volume&gt;51&lt;/volume&gt;&lt;dates&gt;&lt;year&gt;2005&lt;/year&gt;&lt;/dates&gt;&lt;urls&gt;&lt;/urls&gt;&lt;/record&gt;&lt;/Cite&gt;&lt;/EndNote&gt;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McMahon</w:t>
        </w:r>
        <w:r w:rsidR="00964A70" w:rsidRPr="00370E70">
          <w:rPr>
            <w:i/>
            <w:noProof/>
            <w:color w:val="FFFFFF"/>
            <w:sz w:val="10"/>
            <w:szCs w:val="10"/>
          </w:rPr>
          <w:t>, et al.</w:t>
        </w:r>
        <w:r w:rsidR="00964A70" w:rsidRPr="00370E70">
          <w:rPr>
            <w:noProof/>
            <w:color w:val="FFFFFF"/>
            <w:sz w:val="10"/>
            <w:szCs w:val="10"/>
          </w:rPr>
          <w:t xml:space="preserve"> 2005</w:t>
        </w:r>
        <w:r w:rsidR="00964A70" w:rsidRPr="00370E70">
          <w:rPr>
            <w:color w:val="FFFFFF"/>
            <w:sz w:val="10"/>
            <w:szCs w:val="10"/>
          </w:rPr>
          <w:fldChar w:fldCharType="end"/>
        </w:r>
      </w:hyperlink>
      <w:r w:rsidR="00EE0164" w:rsidRPr="00370E70">
        <w:rPr>
          <w:color w:val="FFFFFF"/>
          <w:sz w:val="10"/>
          <w:szCs w:val="10"/>
        </w:rPr>
        <w:t xml:space="preserve">, </w:t>
      </w:r>
      <w:hyperlink w:anchor="_ENREF_17" w:tooltip="Bishop, 2008 #973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&lt;EndNote&gt;&lt;Cite&gt;&lt;Author&gt;Bishop&lt;/Author&gt;&lt;Year&gt;2008&lt;/Year&gt;&lt;RecNum&gt;9730&lt;/RecNum&gt;&lt;DisplayText&gt;Bishop 2008&lt;/DisplayText&gt;&lt;record&gt;&lt;rec-number&gt;9730&lt;/rec-number&gt;&lt;foreign-keys&gt;&lt;key app="EN" db-id="0eve55x9y5vfd6e9dacxtew4eatve2dzds9a"&gt;9730&lt;/key&gt;&lt;/foreign-keys&gt;&lt;ref-type name="Journal Article"&gt;17&lt;/ref-type&gt;&lt;contributors&gt;&lt;authors&gt;&lt;author&gt;Bishop, M J&lt;/author&gt;&lt;/authors&gt;&lt;/contributors&gt;&lt;titles&gt;&lt;title&gt;Displacement of epifauna from seagrass blades by boat wake&lt;/title&gt;&lt;secondary-title&gt;Journal of Experimental Marine Biology and Ecology&lt;/secondary-title&gt;&lt;/titles&gt;&lt;periodical&gt;&lt;full-title&gt;Journal of Experimental Marine Biology and Ecology&lt;/full-title&gt;&lt;/periodical&gt;&lt;pages&gt;111–118&lt;/pages&gt;&lt;volume&gt;354&lt;/volume&gt;&lt;dates&gt;&lt;year&gt;2008&lt;/year&gt;&lt;/dates&gt;&lt;urls&gt;&lt;/urls&gt;&lt;/record&gt;&lt;/Cite&gt;&lt;/EndNote&gt;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Bishop 2008</w:t>
        </w:r>
        <w:r w:rsidR="00964A70" w:rsidRPr="00370E70">
          <w:rPr>
            <w:color w:val="FFFFFF"/>
            <w:sz w:val="10"/>
            <w:szCs w:val="10"/>
          </w:rPr>
          <w:fldChar w:fldCharType="end"/>
        </w:r>
      </w:hyperlink>
      <w:r w:rsidR="00EE0164" w:rsidRPr="00370E70">
        <w:rPr>
          <w:color w:val="FFFFFF"/>
          <w:sz w:val="10"/>
          <w:szCs w:val="10"/>
        </w:rPr>
        <w:t xml:space="preserve">, </w:t>
      </w:r>
      <w:hyperlink w:anchor="_ENREF_167" w:tooltip="Sargent, 1995 #170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&lt;EndNote&gt;&lt;Cite&gt;&lt;Author&gt;Sargent&lt;/Author&gt;&lt;Year&gt;1995&lt;/Year&gt;&lt;RecNum&gt;1708&lt;/RecNum&gt;&lt;DisplayText&gt;Sargent&lt;style face="italic"&gt; et al.&lt;/style&gt; 1995&lt;/DisplayText&gt;&lt;record&gt;&lt;rec-number&gt;1708&lt;/rec-number&gt;&lt;foreign-keys&gt;&lt;key app="EN" db-id="0eve55x9y5vfd6e9dacxtew4eatve2dzds9a"&gt;1708&lt;/key&gt;&lt;/foreign-keys&gt;&lt;ref-type name="Journal Article"&gt;17&lt;/ref-type&gt;&lt;contributors&gt;&lt;authors&gt;&lt;author&gt;Sargent, F.&lt;/author&gt;&lt;author&gt;Leary, T.&lt;/author&gt;&lt;author&gt;Crewz, D.&lt;/author&gt;&lt;author&gt;Kruer, C.&lt;/author&gt;&lt;/authors&gt;&lt;/contributors&gt;&lt;titles&gt;&lt;title&gt;Scarring of Florida&amp;apos;s Seagrasses: Assessment and Management options&lt;/title&gt;&lt;secondary-title&gt;Florida Marine Research Institute&lt;/secondary-title&gt;&lt;alt-title&gt;Florida Marine Research Institute&lt;/alt-title&gt;&lt;/titles&gt;&lt;pages&gt;43pp&lt;/pages&gt;&lt;keywords&gt;&lt;keyword&gt;SCARRING&lt;/keyword&gt;&lt;keyword&gt;SEAGRASSES&lt;/keyword&gt;&lt;/keywords&gt;&lt;dates&gt;&lt;year&gt;1995&lt;/year&gt;&lt;/dates&gt;&lt;label&gt;1798&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Sargent</w:t>
        </w:r>
        <w:r w:rsidR="00964A70" w:rsidRPr="00370E70">
          <w:rPr>
            <w:i/>
            <w:noProof/>
            <w:color w:val="FFFFFF"/>
            <w:sz w:val="10"/>
            <w:szCs w:val="10"/>
          </w:rPr>
          <w:t xml:space="preserve"> et al.</w:t>
        </w:r>
        <w:r w:rsidR="00964A70" w:rsidRPr="00370E70">
          <w:rPr>
            <w:noProof/>
            <w:color w:val="FFFFFF"/>
            <w:sz w:val="10"/>
            <w:szCs w:val="10"/>
          </w:rPr>
          <w:t xml:space="preserve"> 1995</w:t>
        </w:r>
        <w:r w:rsidR="00964A70" w:rsidRPr="00370E70">
          <w:rPr>
            <w:color w:val="FFFFFF"/>
            <w:sz w:val="10"/>
            <w:szCs w:val="10"/>
          </w:rPr>
          <w:fldChar w:fldCharType="end"/>
        </w:r>
      </w:hyperlink>
      <w:r w:rsidR="00EE0164" w:rsidRPr="00370E70">
        <w:rPr>
          <w:color w:val="FFFFFF"/>
          <w:sz w:val="10"/>
          <w:szCs w:val="10"/>
        </w:rPr>
        <w:t xml:space="preserve">, </w:t>
      </w:r>
      <w:hyperlink w:anchor="_ENREF_71" w:tooltip="Engeman, 2008 #973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&lt;EndNote&gt;&lt;Cite&gt;&lt;Author&gt;Engeman&lt;/Author&gt;&lt;Year&gt;2008&lt;/Year&gt;&lt;RecNum&gt;9731&lt;/RecNum&gt;&lt;DisplayText&gt;Engeman&lt;style face="italic"&gt; et al.&lt;/style&gt; 2008&lt;/DisplayText&gt;&lt;record&gt;&lt;rec-number&gt;9731&lt;/rec-number&gt;&lt;foreign-keys&gt;&lt;key app="EN" db-id="0eve55x9y5vfd6e9dacxtew4eatve2dzds9a"&gt;9731&lt;/key&gt;&lt;/foreign-keys&gt;&lt;ref-type name="Journal Article"&gt;17&lt;/ref-type&gt;&lt;contributors&gt;&lt;authors&gt;&lt;author&gt;Engeman, RM&lt;/author&gt;&lt;author&gt;Duquesnel, J A&lt;/author&gt;&lt;author&gt;Cowan, E M&lt;/author&gt;&lt;author&gt;Smith, H T&lt;/author&gt;&lt;author&gt;Shwiff, S A &lt;/author&gt;&lt;author&gt;Karlin, M&lt;/author&gt;&lt;/authors&gt;&lt;/contributors&gt;&lt;titles&gt;&lt;title&gt;Assessing boat damage to seagrass bed habitat in a Florida Park from a bioeconomics perspective&lt;/title&gt;&lt;secondary-title&gt;Journal of Coastal Research&lt;/secondary-title&gt;&lt;/titles&gt;&lt;periodical&gt;&lt;full-title&gt;Journal of Coastal Research&lt;/full-title&gt;&lt;/periodical&gt;&lt;pages&gt;527-532&lt;/pages&gt;&lt;volume&gt;24&lt;/volume&gt;&lt;number&gt;2&lt;/number&gt;&lt;dates&gt;&lt;year&gt;2008&lt;/year&gt;&lt;/dates&gt;&lt;urls&gt;&lt;/urls&gt;&lt;/record&gt;&lt;/Cite&gt;&lt;/EndNote&gt;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Engeman</w:t>
        </w:r>
        <w:r w:rsidR="00964A70" w:rsidRPr="00370E70">
          <w:rPr>
            <w:i/>
            <w:noProof/>
            <w:color w:val="FFFFFF"/>
            <w:sz w:val="10"/>
            <w:szCs w:val="10"/>
          </w:rPr>
          <w:t xml:space="preserve"> et al.</w:t>
        </w:r>
        <w:r w:rsidR="00964A70" w:rsidRPr="00370E70">
          <w:rPr>
            <w:noProof/>
            <w:color w:val="FFFFFF"/>
            <w:sz w:val="10"/>
            <w:szCs w:val="10"/>
          </w:rPr>
          <w:t xml:space="preserve"> 2008</w:t>
        </w:r>
        <w:r w:rsidR="00964A70" w:rsidRPr="00370E70">
          <w:rPr>
            <w:color w:val="FFFFFF"/>
            <w:sz w:val="10"/>
            <w:szCs w:val="10"/>
          </w:rPr>
          <w:fldChar w:fldCharType="end"/>
        </w:r>
      </w:hyperlink>
      <w:r w:rsidR="00EE0164" w:rsidRPr="00370E70">
        <w:rPr>
          <w:color w:val="FFFFFF"/>
          <w:sz w:val="10"/>
          <w:szCs w:val="10"/>
        </w:rPr>
        <w:t xml:space="preserve">, </w:t>
      </w:r>
      <w:hyperlink w:anchor="_ENREF_147" w:tooltip="Milazzo, 2004 #289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&lt;EndNote&gt;&lt;Cite&gt;&lt;Author&gt;Milazzo&lt;/Author&gt;&lt;Year&gt;2004&lt;/Year&gt;&lt;RecNum&gt;2895&lt;/RecNum&gt;&lt;DisplayText&gt;Milazzo&lt;style face="italic"&gt; et al.&lt;/style&gt; 2004&lt;/DisplayText&gt;&lt;record&gt;&lt;rec-number&gt;2895&lt;/rec-number&gt;&lt;foreign-keys&gt;&lt;key app="EN" db-id="0eve55x9y5vfd6e9dacxtew4eatve2dzds9a"&gt;2895&lt;/key&gt;&lt;/foreign-keys&gt;&lt;ref-type name="Journal Article"&gt;17&lt;/ref-type&gt;&lt;contributors&gt;&lt;authors&gt;&lt;author&gt;Milazzo, Marco&lt;/author&gt;&lt;author&gt;Badalamenti, Fabio&lt;/author&gt;&lt;author&gt;Ceccherelli, Giulia&lt;/author&gt;&lt;author&gt;Chemello, Renato&lt;/author&gt;&lt;/authors&gt;&lt;/contributors&gt;&lt;titles&gt;&lt;title&gt;Boat anchoring on Posidonia oceanica beds in a marine protected area (Italy, western Mediterranean): effect of anchor types in different anchoring stages&lt;/title&gt;&lt;secondary-title&gt;Journal of Experimental Marine Biology and Ecology&lt;/secondary-title&gt;&lt;/titles&gt;&lt;periodical&gt;&lt;full-title&gt;Journal of Experimental Marine Biology and Ecology&lt;/full-title&gt;&lt;/periodical&gt;&lt;pages&gt;51-62&lt;/pages&gt;&lt;volume&gt;299&lt;/volume&gt;&lt;number&gt;1&lt;/number&gt;&lt;dates&gt;&lt;year&gt;2004&lt;/year&gt;&lt;pub-dates&gt;&lt;date&gt;2004/2/10&lt;/date&gt;&lt;/pub-dates&gt;&lt;/dates&gt;&lt;urls&gt;&lt;related-urls&gt;&lt;url&gt;http://www.sciencedirect.com/science/article/B6T8F-49VCBGV-1/2/8d43666522b2d33f76f6a2711b8ff939&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Milazzo</w:t>
        </w:r>
        <w:r w:rsidR="00964A70" w:rsidRPr="00370E70">
          <w:rPr>
            <w:i/>
            <w:noProof/>
            <w:color w:val="FFFFFF"/>
            <w:sz w:val="10"/>
            <w:szCs w:val="10"/>
          </w:rPr>
          <w:t xml:space="preserve"> et al.</w:t>
        </w:r>
        <w:r w:rsidR="00964A70" w:rsidRPr="00370E70">
          <w:rPr>
            <w:noProof/>
            <w:color w:val="FFFFFF"/>
            <w:sz w:val="10"/>
            <w:szCs w:val="10"/>
          </w:rPr>
          <w:t xml:space="preserve"> 2004</w:t>
        </w:r>
        <w:r w:rsidR="00964A70" w:rsidRPr="00370E70">
          <w:rPr>
            <w:color w:val="FFFFFF"/>
            <w:sz w:val="10"/>
            <w:szCs w:val="10"/>
          </w:rPr>
          <w:fldChar w:fldCharType="end"/>
        </w:r>
      </w:hyperlink>
      <w:r w:rsidR="00EE0164" w:rsidRPr="00370E70">
        <w:rPr>
          <w:color w:val="FFFFFF"/>
          <w:sz w:val="10"/>
          <w:szCs w:val="10"/>
        </w:rPr>
        <w:t xml:space="preserve">, </w:t>
      </w:r>
      <w:hyperlink w:anchor="_ENREF_95" w:tooltip="Hastings, 1995 #130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&lt;EndNote&gt;&lt;Cite&gt;&lt;Author&gt;Hastings&lt;/Author&gt;&lt;Year&gt;1995&lt;/Year&gt;&lt;RecNum&gt;1303&lt;/RecNum&gt;&lt;DisplayText&gt;Hastings&lt;style face="italic"&gt; et al.&lt;/style&gt; 1995&lt;/DisplayText&gt;&lt;record&gt;&lt;rec-number&gt;1303&lt;/rec-number&gt;&lt;foreign-keys&gt;&lt;key app="EN" db-id="0eve55x9y5vfd6e9dacxtew4eatve2dzds9a"&gt;1303&lt;/key&gt;&lt;/foreign-keys&gt;&lt;ref-type name="Journal Article"&gt;17&lt;/ref-type&gt;&lt;contributors&gt;&lt;authors&gt;&lt;author&gt;Hastings, K.&lt;/author&gt;&lt;author&gt;Hesp, P.&lt;/author&gt;&lt;author&gt;Kendrick, G. A.&lt;/author&gt;&lt;/authors&gt;&lt;/contributors&gt;&lt;titles&gt;&lt;title&gt;Seagrass loss associated with boat moorings at Rottnest Island, Western Australia&lt;/title&gt;&lt;secondary-title&gt;Ocean and Coastal Management&lt;/secondary-title&gt;&lt;alt-title&gt;Ocean Coast. Manag.&lt;/alt-title&gt;&lt;/titles&gt;&lt;pages&gt;225-246&lt;/pages&gt;&lt;volume&gt;26&lt;/volume&gt;&lt;number&gt;3&lt;/number&gt;&lt;keywords&gt;&lt;keyword&gt;SEAGRASS LOSS&lt;/keyword&gt;&lt;/keywords&gt;&lt;dates&gt;&lt;year&gt;1995&lt;/year&gt;&lt;/dates&gt;&lt;label&gt;1386&lt;/label&gt;&lt;urls&gt;&lt;/urls&gt;&lt;custom1&gt;Annex&lt;/custom1&gt;&lt;/record&gt;&lt;/Cite&gt;&lt;/EndNote&gt;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Hastings</w:t>
        </w:r>
        <w:r w:rsidR="00964A70" w:rsidRPr="00370E70">
          <w:rPr>
            <w:i/>
            <w:noProof/>
            <w:color w:val="FFFFFF"/>
            <w:sz w:val="10"/>
            <w:szCs w:val="10"/>
          </w:rPr>
          <w:t xml:space="preserve"> et al.</w:t>
        </w:r>
        <w:r w:rsidR="00964A70" w:rsidRPr="00370E70">
          <w:rPr>
            <w:noProof/>
            <w:color w:val="FFFFFF"/>
            <w:sz w:val="10"/>
            <w:szCs w:val="10"/>
          </w:rPr>
          <w:t xml:space="preserve"> 1995</w:t>
        </w:r>
        <w:r w:rsidR="00964A70" w:rsidRPr="00370E70">
          <w:rPr>
            <w:color w:val="FFFFFF"/>
            <w:sz w:val="10"/>
            <w:szCs w:val="10"/>
          </w:rPr>
          <w:fldChar w:fldCharType="end"/>
        </w:r>
      </w:hyperlink>
      <w:r w:rsidR="00EE0164" w:rsidRPr="00370E70">
        <w:rPr>
          <w:color w:val="FFFFFF"/>
          <w:sz w:val="10"/>
          <w:szCs w:val="10"/>
        </w:rPr>
        <w:t xml:space="preserve">,  </w:t>
      </w:r>
      <w:hyperlink w:anchor="_ENREF_149" w:tooltip="Mueller, 2004 #9732"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&lt;EndNote&gt;&lt;Cite&gt;&lt;Author&gt;Mueller&lt;/Author&gt;&lt;Year&gt;2004&lt;/Year&gt;&lt;RecNum&gt;9732&lt;/RecNum&gt;&lt;DisplayText&gt;Mueller 2004&lt;/DisplayText&gt;&lt;record&gt;&lt;rec-number&gt;9732&lt;/rec-number&gt;&lt;foreign-keys&gt;&lt;key app="EN" db-id="0eve55x9y5vfd6e9dacxtew4eatve2dzds9a"&gt;9732&lt;/key&gt;&lt;/foreign-keys&gt;&lt;ref-type name="Journal Article"&gt;17&lt;/ref-type&gt;&lt;contributors&gt;&lt;authors&gt;&lt;author&gt;Mueller, B&lt;/author&gt;&lt;/authors&gt;&lt;/contributors&gt;&lt;titles&gt;&lt;title&gt;Quality of Halodule wrightii growing near marinas&lt;/title&gt;&lt;secondary-title&gt;Bios&lt;/secondary-title&gt;&lt;/titles&gt;&lt;periodical&gt;&lt;full-title&gt;Bios&lt;/full-title&gt;&lt;/periodical&gt;&lt;pages&gt;53-57&lt;/pages&gt;&lt;volume&gt;75&lt;/volume&gt;&lt;number&gt;2&lt;/number&gt;&lt;dates&gt;&lt;year&gt;2004&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Mueller 2004</w:t>
        </w:r>
        <w:r w:rsidR="00964A70" w:rsidRPr="00370E70">
          <w:rPr>
            <w:color w:val="FFFFFF"/>
            <w:sz w:val="10"/>
            <w:szCs w:val="10"/>
          </w:rPr>
          <w:fldChar w:fldCharType="end"/>
        </w:r>
      </w:hyperlink>
      <w:r w:rsidR="00EE0164" w:rsidRPr="00370E70">
        <w:rPr>
          <w:color w:val="FFFFFF"/>
          <w:sz w:val="10"/>
          <w:szCs w:val="10"/>
        </w:rPr>
        <w:t xml:space="preserve">, </w:t>
      </w:r>
      <w:hyperlink w:anchor="_ENREF_186" w:tooltip="Tuya, 2002 #973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&lt;EndNote&gt;&lt;Cite&gt;&lt;Author&gt;Tuya&lt;/Author&gt;&lt;Year&gt;2002&lt;/Year&gt;&lt;RecNum&gt;9733&lt;/RecNum&gt;&lt;DisplayText&gt;Tuya&lt;style face="italic"&gt; et al.&lt;/style&gt; 2002&lt;/DisplayText&gt;&lt;record&gt;&lt;rec-number&gt;9733&lt;/rec-number&gt;&lt;foreign-keys&gt;&lt;key app="EN" db-id="0eve55x9y5vfd6e9dacxtew4eatve2dzds9a"&gt;9733&lt;/key&gt;&lt;/foreign-keys&gt;&lt;ref-type name="Journal Article"&gt;17&lt;/ref-type&gt;&lt;contributors&gt;&lt;authors&gt;&lt;author&gt;Tuya, F&lt;/author&gt;&lt;author&gt;Martín, J A&lt;/author&gt;&lt;author&gt;Luque, A&lt;/author&gt;&lt;/authors&gt;&lt;/contributors&gt;&lt;titles&gt;&lt;title&gt;Impact of a marina construction on a seagrass bed at Lanzarote (Canary Islands).&lt;/title&gt;&lt;secondary-title&gt;Journal of Coastal Conservation&lt;/secondary-title&gt;&lt;/titles&gt;&lt;periodical&gt;&lt;full-title&gt;Journal of Coastal Conservation&lt;/full-title&gt;&lt;/periodical&gt;&lt;pages&gt;157-162&lt;/pages&gt;&lt;volume&gt;8&lt;/volume&gt;&lt;dates&gt;&lt;year&gt;2002&lt;/year&gt;&lt;/dates&gt;&lt;urls&gt;&lt;/urls&gt;&lt;/record&gt;&lt;/Cite&gt;&lt;/EndNote&gt;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Tuya</w:t>
        </w:r>
        <w:r w:rsidR="00964A70" w:rsidRPr="00370E70">
          <w:rPr>
            <w:i/>
            <w:noProof/>
            <w:color w:val="FFFFFF"/>
            <w:sz w:val="10"/>
            <w:szCs w:val="10"/>
          </w:rPr>
          <w:t xml:space="preserve"> et al.</w:t>
        </w:r>
        <w:r w:rsidR="00964A70" w:rsidRPr="00370E70">
          <w:rPr>
            <w:noProof/>
            <w:color w:val="FFFFFF"/>
            <w:sz w:val="10"/>
            <w:szCs w:val="10"/>
          </w:rPr>
          <w:t xml:space="preserve"> 2002</w:t>
        </w:r>
        <w:r w:rsidR="00964A70" w:rsidRPr="00370E70">
          <w:rPr>
            <w:color w:val="FFFFFF"/>
            <w:sz w:val="10"/>
            <w:szCs w:val="10"/>
          </w:rPr>
          <w:fldChar w:fldCharType="end"/>
        </w:r>
      </w:hyperlink>
      <w:r w:rsidR="00EE0164" w:rsidRPr="00370E70">
        <w:rPr>
          <w:color w:val="FFFFFF"/>
          <w:sz w:val="10"/>
          <w:szCs w:val="10"/>
        </w:rPr>
        <w:t xml:space="preserve">, </w:t>
      </w:r>
      <w:hyperlink w:anchor="_ENREF_15" w:tooltip="Beal, 2000 #973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&lt;EndNote&gt;&lt;Cite&gt;&lt;Author&gt;Beal&lt;/Author&gt;&lt;Year&gt;2000&lt;/Year&gt;&lt;RecNum&gt;9734&lt;/RecNum&gt;&lt;DisplayText&gt;Beal and Schmit 2000&lt;/DisplayText&gt;&lt;record&gt;&lt;rec-number&gt;9734&lt;/rec-number&gt;&lt;foreign-keys&gt;&lt;key app="EN" db-id="0eve55x9y5vfd6e9dacxtew4eatve2dzds9a"&gt;9734&lt;/key&gt;&lt;/foreign-keys&gt;&lt;ref-type name="Book Section"&gt;5&lt;/ref-type&gt;&lt;contributors&gt;&lt;authors&gt;&lt;author&gt;Beal, J L&lt;/author&gt;&lt;author&gt;Schmit, B S&lt;/author&gt;&lt;/authors&gt;&lt;secondary-authors&gt;&lt;author&gt;Bortone, S A&lt;/author&gt;&lt;/secondary-authors&gt;&lt;/contributors&gt;&lt;titles&gt;&lt;title&gt;&lt;style face="normal" font="default" size="100%"&gt;The effects of dock height on light irradiance (PAR) and seagrass (&lt;/style&gt;&lt;style face="italic" font="default" size="100%"&gt;Halodule wrightii &lt;/style&gt;&lt;style face="normal" font="default" size="100%"&gt;and &lt;/style&gt;&lt;style face="italic" font="default" size="100%"&gt;Syringodium filiforme&lt;/style&gt;&lt;style face="normal" font="default" size="100%"&gt;) cover&lt;/style&gt;&lt;/title&gt;&lt;secondary-title&gt;Seagrasses: Monitoring, Ecology, Physiology and Management&lt;/secondary-title&gt;&lt;/titles&gt;&lt;pages&gt;49–63&lt;/pages&gt;&lt;dates&gt;&lt;year&gt;2000&lt;/year&gt;&lt;/dates&gt;&lt;pub-location&gt;Boca Raton, Florida&lt;/pub-location&gt;&lt;publisher&gt;CRC&lt;/publisher&gt;&lt;urls&gt;&lt;/urls&gt;&lt;/record&gt;&lt;/Cite&gt;&lt;/EndNote&gt;</w:instrText>
        </w:r>
        <w:r w:rsidR="00964A70" w:rsidRPr="00370E70">
          <w:rPr>
            <w:color w:val="FFFFFF"/>
            <w:sz w:val="10"/>
            <w:szCs w:val="10"/>
          </w:rPr>
          <w:fldChar w:fldCharType="separate"/>
        </w:r>
        <w:r w:rsidR="00964A70" w:rsidRPr="00370E70">
          <w:rPr>
            <w:noProof/>
            <w:color w:val="FFFFFF"/>
            <w:sz w:val="10"/>
            <w:szCs w:val="10"/>
          </w:rPr>
          <w:t>Beal and Schmit 2000</w:t>
        </w:r>
        <w:r w:rsidR="00964A70" w:rsidRPr="00370E70">
          <w:rPr>
            <w:color w:val="FFFFFF"/>
            <w:sz w:val="10"/>
            <w:szCs w:val="10"/>
          </w:rPr>
          <w:fldChar w:fldCharType="end"/>
        </w:r>
      </w:hyperlink>
      <w:r w:rsidR="00EE0164" w:rsidRPr="00370E70">
        <w:rPr>
          <w:color w:val="FFFFFF"/>
          <w:sz w:val="10"/>
          <w:szCs w:val="10"/>
        </w:rPr>
        <w:t xml:space="preserve">, </w:t>
      </w:r>
      <w:hyperlink w:anchor="_ENREF_34" w:tooltip="Chesworth, 2004 #803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&lt;EndNote&gt;&lt;Cite&gt;&lt;Author&gt;Chesworth&lt;/Author&gt;&lt;Year&gt;2004&lt;/Year&gt;&lt;RecNum&gt;8035&lt;/RecNum&gt;&lt;DisplayText&gt;Chesworth&lt;style face="italic"&gt; et al.&lt;/style&gt; 2004&lt;/DisplayText&gt;&lt;record&gt;&lt;rec-number&gt;8035&lt;/rec-number&gt;&lt;foreign-keys&gt;&lt;key app="EN" db-id="0eve55x9y5vfd6e9dacxtew4eatve2dzds9a"&gt;8035&lt;/key&gt;&lt;/foreign-keys&gt;&lt;ref-type name="Journal Article"&gt;17&lt;/ref-type&gt;&lt;contributors&gt;&lt;authors&gt;&lt;author&gt;Chesworth, J.C.&lt;/author&gt;&lt;author&gt;Donkin, ME&lt;/author&gt;&lt;author&gt;Brown, M.T.&lt;/author&gt;&lt;/authors&gt;&lt;/contributors&gt;&lt;titles&gt;&lt;title&gt;&lt;style face="normal" font="default" size="100%"&gt;The interactive effects of the antifouling herbicides Irgarol 1051 and Diuron on the seagrass &lt;/style&gt;&lt;style face="italic" font="default" size="100%"&gt;Zostera marina &lt;/style&gt;&lt;style face="normal" font="default" size="100%"&gt;(L.)&lt;/style&gt;&lt;/title&gt;&lt;secondary-title&gt;Aquatic Toxicology&lt;/secondary-title&gt;&lt;/titles&gt;&lt;pages&gt;293-305&lt;/pages&gt;&lt;volume&gt;66&lt;/volume&gt;&lt;dates&gt;&lt;year&gt;2004&lt;/year&gt;&lt;/dates&gt;&lt;urls&gt;&lt;/urls&gt;&lt;/record&gt;&lt;/Cite&gt;&lt;/EndNote&gt;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Chesworth</w:t>
        </w:r>
        <w:r w:rsidR="00964A70" w:rsidRPr="00370E70">
          <w:rPr>
            <w:i/>
            <w:noProof/>
            <w:color w:val="FFFFFF"/>
            <w:sz w:val="10"/>
            <w:szCs w:val="10"/>
          </w:rPr>
          <w:t xml:space="preserve"> et al.</w:t>
        </w:r>
        <w:r w:rsidR="00964A70" w:rsidRPr="00370E70">
          <w:rPr>
            <w:noProof/>
            <w:color w:val="FFFFFF"/>
            <w:sz w:val="10"/>
            <w:szCs w:val="10"/>
          </w:rPr>
          <w:t xml:space="preserve"> 2004</w:t>
        </w:r>
        <w:r w:rsidR="00964A70" w:rsidRPr="00370E70">
          <w:rPr>
            <w:color w:val="FFFFFF"/>
            <w:sz w:val="10"/>
            <w:szCs w:val="10"/>
          </w:rPr>
          <w:fldChar w:fldCharType="end"/>
        </w:r>
      </w:hyperlink>
      <w:r w:rsidR="00EE0164" w:rsidRPr="00370E70">
        <w:rPr>
          <w:color w:val="FFFFFF"/>
          <w:sz w:val="10"/>
          <w:szCs w:val="10"/>
        </w:rPr>
        <w:t xml:space="preserve">, </w:t>
      </w:r>
      <w:hyperlink w:anchor="_ENREF_125" w:tooltip="Macinnis-Ng, 2004 #728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&lt;EndNote&gt;&lt;Cite&gt;&lt;Author&gt;Macinnis-Ng&lt;/Author&gt;&lt;Year&gt;2004&lt;/Year&gt;&lt;RecNum&gt;7285&lt;/RecNum&gt;&lt;DisplayText&gt;Macinnis-Ng and Ralph 2004&lt;/DisplayText&gt;&lt;record&gt;&lt;rec-number&gt;7285&lt;/rec-number&gt;&lt;foreign-keys&gt;&lt;key app="EN" db-id="0eve55x9y5vfd6e9dacxtew4eatve2dzds9a"&gt;7285&lt;/key&gt;&lt;/foreign-keys&gt;&lt;ref-type name="Journal Article"&gt;17&lt;/ref-type&gt;&lt;contributors&gt;&lt;authors&gt;&lt;author&gt;Macinnis-Ng, C. M. O.&lt;/author&gt;&lt;author&gt;Ralph, P. J.&lt;/author&gt;&lt;/authors&gt;&lt;/contributors&gt;&lt;auth-address&gt;Macinnis-Ng, C. M. O.&amp;#xD;Univ Technol Sydney, Inst Water &amp;amp; Environm Resource Management, Westbourne St, Gore Hill, NSW 2065, Australia&amp;#xD;Univ Technol Sydney, Inst Water &amp;amp; Environm Resource Management, Gore Hill, NSW 2065, Australia&lt;/auth-address&gt;&lt;titles&gt;&lt;title&gt;In situ impact of multiple pulses of metal and herbicide on the seagrass, Zostera capricorni&lt;/title&gt;&lt;secondary-title&gt;Aquatic Toxicology&lt;/secondary-title&gt;&lt;alt-title&gt;Aquat Toxicol&amp;#xD;Aquat Toxicol&lt;/alt-title&gt;&lt;/titles&gt;&lt;pages&gt;227-237&lt;/pages&gt;&lt;volume&gt;67&lt;/volume&gt;&lt;number&gt;3&lt;/number&gt;&lt;keywords&gt;&lt;keyword&gt;copper&lt;/keyword&gt;&lt;keyword&gt;irgarol 1051&lt;/keyword&gt;&lt;keyword&gt;pulsed-exposure&lt;/keyword&gt;&lt;keyword&gt;recovery&lt;/keyword&gt;&lt;keyword&gt;chlorophyll a fluorescence&lt;/keyword&gt;&lt;keyword&gt;ecological risk-assessment&lt;/keyword&gt;&lt;keyword&gt;chlorophyll fluorescence&lt;/keyword&gt;&lt;keyword&gt;irgarol 1051&lt;/keyword&gt;&lt;keyword&gt;heavy-metals&lt;/keyword&gt;&lt;keyword&gt;photosynthesis&lt;/keyword&gt;&lt;keyword&gt;ecotoxicology&lt;/keyword&gt;&lt;keyword&gt;stressors&lt;/keyword&gt;&lt;keyword&gt;queensland&lt;/keyword&gt;&lt;keyword&gt;atrazine&lt;/keyword&gt;&lt;keyword&gt;survival&lt;/keyword&gt;&lt;/keywords&gt;&lt;dates&gt;&lt;year&gt;2004&lt;/year&gt;&lt;pub-dates&gt;&lt;date&gt;APR 28&lt;/date&gt;&lt;/pub-dates&gt;&lt;/dates&gt;&lt;accession-num&gt;ISI:000220941100003&lt;/accession-num&gt;&lt;label&gt;Elsevier Science Bv&lt;/label&gt;&lt;urls&gt;&lt;related-urls&gt;&lt;url&gt;&amp;lt;Go to ISI&amp;gt;://000220941100003&lt;/url&gt;&lt;/related-urls&gt;&lt;/urls&gt;&lt;/record&gt;&lt;/Cite&gt;&lt;/EndNote&gt;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Macinnis-Ng and Ralph 2004</w:t>
        </w:r>
        <w:r w:rsidR="00964A70" w:rsidRPr="00370E70">
          <w:rPr>
            <w:color w:val="FFFFFF"/>
            <w:sz w:val="10"/>
            <w:szCs w:val="10"/>
          </w:rPr>
          <w:fldChar w:fldCharType="end"/>
        </w:r>
      </w:hyperlink>
      <w:r w:rsidR="00EE0164" w:rsidRPr="00370E70">
        <w:rPr>
          <w:color w:val="FFFFFF"/>
          <w:sz w:val="10"/>
          <w:szCs w:val="10"/>
        </w:rPr>
        <w:t xml:space="preserve">, </w:t>
      </w:r>
      <w:hyperlink w:anchor="_ENREF_72" w:tooltip="Erftemeijer, 2006 #916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&lt;EndNote&gt;&lt;Cite&gt;&lt;Author&gt;Erftemeijer&lt;/Author&gt;&lt;Year&gt;2006&lt;/Year&gt;&lt;RecNum&gt;9163&lt;/RecNum&gt;&lt;DisplayText&gt;Erftemeijer and Lewis 2006&lt;/DisplayText&gt;&lt;record&gt;&lt;rec-number&gt;9163&lt;/rec-number&gt;&lt;foreign-keys&gt;&lt;key app="EN" db-id="0eve55x9y5vfd6e9dacxtew4eatve2dzds9a"&gt;9163&lt;/key&gt;&lt;/foreign-keys&gt;&lt;ref-type name="Journal Article"&gt;17&lt;/ref-type&gt;&lt;contributors&gt;&lt;authors&gt;&lt;author&gt;Erftemeijer, P. L. A.&lt;/author&gt;&lt;author&gt;Lewis, R. R. R.&lt;/author&gt;&lt;/authors&gt;&lt;/contributors&gt;&lt;titles&gt;&lt;title&gt;Environmental impacts of dredging on seagrasses: A review&lt;/title&gt;&lt;secondary-title&gt;Marine Pollution Bulletin&lt;/secondary-title&gt;&lt;/titles&gt;&lt;periodical&gt;&lt;full-title&gt;Marine Pollution Bulletin&lt;/full-title&gt;&lt;/periodical&gt;&lt;pages&gt;1553-1572&lt;/pages&gt;&lt;volume&gt;52&lt;/volume&gt;&lt;number&gt;12&lt;/number&gt;&lt;dates&gt;&lt;year&gt;2006&lt;/year&gt;&lt;pub-dates&gt;&lt;date&gt;Dec&lt;/date&gt;&lt;/pub-dates&gt;&lt;/dates&gt;&lt;isbn&gt;0025-326X&lt;/isbn&gt;&lt;accession-num&gt;ISI:000243136900011&lt;/accession-num&gt;&lt;urls&gt;&lt;related-urls&gt;&lt;url&gt;&amp;lt;Go to ISI&amp;gt;://000243136900011&lt;/url&gt;&lt;/related-urls&gt;&lt;/urls&gt;&lt;electronic-resource-num&gt;10.1016/j.marpolbul.2006.09.006&lt;/electronic-resource-num&gt;&lt;/record&gt;&lt;/Cite&gt;&lt;/EndNote&gt;</w:instrText>
        </w:r>
        <w:r w:rsidR="00964A70" w:rsidRPr="00370E70">
          <w:rPr>
            <w:color w:val="FFFFFF"/>
            <w:sz w:val="10"/>
            <w:szCs w:val="10"/>
          </w:rPr>
          <w:fldChar w:fldCharType="separate"/>
        </w:r>
        <w:r w:rsidR="00964A70" w:rsidRPr="00370E70">
          <w:rPr>
            <w:noProof/>
            <w:color w:val="FFFFFF"/>
            <w:sz w:val="10"/>
            <w:szCs w:val="10"/>
          </w:rPr>
          <w:t>Erftemeijer and Lewis 2006</w:t>
        </w:r>
        <w:r w:rsidR="00964A70" w:rsidRPr="00370E70">
          <w:rPr>
            <w:color w:val="FFFFFF"/>
            <w:sz w:val="10"/>
            <w:szCs w:val="10"/>
          </w:rPr>
          <w:fldChar w:fldCharType="end"/>
        </w:r>
      </w:hyperlink>
      <w:r w:rsidR="00EE0164" w:rsidRPr="00370E70">
        <w:rPr>
          <w:color w:val="FFFFFF"/>
          <w:sz w:val="10"/>
          <w:szCs w:val="10"/>
        </w:rPr>
        <w:t xml:space="preserve">, </w:t>
      </w:r>
      <w:hyperlink w:anchor="_ENREF_165" w:tooltip="Sabol, 2005 #973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&lt;EndNote&gt;&lt;Cite&gt;&lt;Author&gt;Sabol&lt;/Author&gt;&lt;Year&gt;2005&lt;/Year&gt;&lt;RecNum&gt;9735&lt;/RecNum&gt;&lt;DisplayText&gt;Sabol&lt;style face="italic"&gt; et al.&lt;/style&gt; 2005&lt;/DisplayText&gt;&lt;record&gt;&lt;rec-number&gt;9735&lt;/rec-number&gt;&lt;foreign-keys&gt;&lt;key app="EN" db-id="0eve55x9y5vfd6e9dacxtew4eatve2dzds9a"&gt;9735&lt;/key&gt;&lt;/foreign-keys&gt;&lt;ref-type name="Book"&gt;6&lt;/ref-type&gt;&lt;contributors&gt;&lt;authors&gt;&lt;author&gt;Sabol, B&lt;/author&gt;&lt;author&gt;Shafer, D&lt;/author&gt;&lt;author&gt;Lord, E&lt;/author&gt;&lt;/authors&gt;&lt;/contributors&gt;&lt;titles&gt;&lt;title&gt;&lt;style face="normal" font="default" size="100%"&gt;Dredging effects on eelgrass (&lt;/style&gt;&lt;style face="italic" font="default" size="100%"&gt;Zostera marina&lt;/style&gt;&lt;style face="normal" font="default" size="100%"&gt;) distribution in a New England small boat harbor, Technical Report ERDC/EL-TR-05-8.&lt;/style&gt;&lt;/title&gt;&lt;/titles&gt;&lt;dates&gt;&lt;year&gt;2005&lt;/year&gt;&lt;/dates&gt;&lt;pub-location&gt;Vicksburg, MS, USA.&lt;/pub-location&gt;&lt;publisher&gt;Army Engineer Waterways Experimental Station&lt;/publisher&gt;&lt;urls&gt;&lt;/urls&gt;&lt;/record&gt;&lt;/Cite&gt;&lt;/EndNote&gt;</w:instrText>
        </w:r>
        <w:r w:rsidR="00964A70" w:rsidRPr="00370E70">
          <w:rPr>
            <w:color w:val="FFFFFF"/>
            <w:sz w:val="10"/>
            <w:szCs w:val="10"/>
          </w:rPr>
          <w:fldChar w:fldCharType="separate"/>
        </w:r>
        <w:r w:rsidR="00964A70" w:rsidRPr="00370E70">
          <w:rPr>
            <w:noProof/>
            <w:color w:val="FFFFFF"/>
            <w:sz w:val="10"/>
            <w:szCs w:val="10"/>
          </w:rPr>
          <w:t>Sabol</w:t>
        </w:r>
        <w:r w:rsidR="00964A70" w:rsidRPr="00370E70">
          <w:rPr>
            <w:i/>
            <w:noProof/>
            <w:color w:val="FFFFFF"/>
            <w:sz w:val="10"/>
            <w:szCs w:val="10"/>
          </w:rPr>
          <w:t xml:space="preserve"> et al.</w:t>
        </w:r>
        <w:r w:rsidR="00964A70" w:rsidRPr="00370E70">
          <w:rPr>
            <w:noProof/>
            <w:color w:val="FFFFFF"/>
            <w:sz w:val="10"/>
            <w:szCs w:val="10"/>
          </w:rPr>
          <w:t xml:space="preserve"> 2005</w:t>
        </w:r>
        <w:r w:rsidR="00964A70" w:rsidRPr="00370E70">
          <w:rPr>
            <w:color w:val="FFFFFF"/>
            <w:sz w:val="10"/>
            <w:szCs w:val="10"/>
          </w:rPr>
          <w:fldChar w:fldCharType="end"/>
        </w:r>
      </w:hyperlink>
      <w:r w:rsidR="00EE0164" w:rsidRPr="00370E70">
        <w:rPr>
          <w:color w:val="FFFFFF"/>
          <w:sz w:val="10"/>
          <w:szCs w:val="10"/>
        </w:rPr>
        <w:t xml:space="preserve">, </w:t>
      </w:r>
      <w:hyperlink w:anchor="_ENREF_11" w:tooltip="Badalamenti, 2006 #9736"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&lt;EndNote&gt;&lt;Cite&gt;&lt;Author&gt;Badalamenti&lt;/Author&gt;&lt;Year&gt;2006&lt;/Year&gt;&lt;RecNum&gt;9736&lt;/RecNum&gt;&lt;DisplayText&gt;Badalamenti&lt;style face="italic"&gt; et al.&lt;/style&gt; 2006&lt;/DisplayText&gt;&lt;record&gt;&lt;rec-number&gt;9736&lt;/rec-number&gt;&lt;foreign-keys&gt;&lt;key app="EN" db-id="0eve55x9y5vfd6e9dacxtew4eatve2dzds9a"&gt;9736&lt;/key&gt;&lt;/foreign-keys&gt;&lt;ref-type name="Journal Article"&gt;17&lt;/ref-type&gt;&lt;contributors&gt;&lt;authors&gt;&lt;author&gt;Badalamenti, F&lt;/author&gt;&lt;author&gt;Di Carlo, G&lt;/author&gt;&lt;author&gt;D’Anna, G&lt;/author&gt;&lt;author&gt;Gristina, M&lt;/author&gt;&lt;author&gt;Toccaceli, M&lt;/author&gt;&lt;/authors&gt;&lt;/contributors&gt;&lt;titles&gt;&lt;title&gt;&lt;style face="normal" font="default" size="100%"&gt;Effects of dredging on population dynamics of &lt;/style&gt;&lt;style face="italic" font="default" size="100%"&gt;Posidonia oceanica&lt;/style&gt;&lt;style face="normal" font="default" size="100%"&gt; (L.) Delile in the Mediterranean Sea: The case study of Capo Feto (SW Sicily, Italy)&lt;/style&gt;&lt;/title&gt;&lt;secondary-title&gt;Hydrobiologia &lt;/secondary-title&gt;&lt;/titles&gt;&lt;periodical&gt;&lt;full-title&gt;Hydrobiologia&lt;/full-title&gt;&lt;/periodical&gt;&lt;pages&gt;253–261&lt;/pages&gt;&lt;volume&gt;555&lt;/volume&gt;&lt;dates&gt;&lt;year&gt;2006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Badalamenti</w:t>
        </w:r>
        <w:r w:rsidR="00964A70" w:rsidRPr="00370E70">
          <w:rPr>
            <w:i/>
            <w:noProof/>
            <w:color w:val="FFFFFF"/>
            <w:sz w:val="10"/>
            <w:szCs w:val="10"/>
          </w:rPr>
          <w:t xml:space="preserve"> et al.</w:t>
        </w:r>
        <w:r w:rsidR="00964A70" w:rsidRPr="00370E70">
          <w:rPr>
            <w:noProof/>
            <w:color w:val="FFFFFF"/>
            <w:sz w:val="10"/>
            <w:szCs w:val="10"/>
          </w:rPr>
          <w:t xml:space="preserve"> 2006</w:t>
        </w:r>
        <w:r w:rsidR="00964A70" w:rsidRPr="00370E70">
          <w:rPr>
            <w:color w:val="FFFFFF"/>
            <w:sz w:val="10"/>
            <w:szCs w:val="10"/>
          </w:rPr>
          <w:fldChar w:fldCharType="end"/>
        </w:r>
      </w:hyperlink>
      <w:r w:rsidR="00EE0164" w:rsidRPr="00370E70">
        <w:rPr>
          <w:color w:val="FFFFFF"/>
          <w:sz w:val="10"/>
          <w:szCs w:val="10"/>
        </w:rPr>
        <w:t xml:space="preserve">, </w:t>
      </w:r>
      <w:hyperlink w:anchor="_ENREF_120" w:tooltip="Lewis, 2009 #9737"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&lt;EndNote&gt;&lt;Cite&gt;&lt;Author&gt;Lewis&lt;/Author&gt;&lt;Year&gt;2009&lt;/Year&gt;&lt;RecNum&gt;9737&lt;/RecNum&gt;&lt;DisplayText&gt;Lewis and Devereux 2009&lt;/DisplayText&gt;&lt;record&gt;&lt;rec-number&gt;9737&lt;/rec-number&gt;&lt;foreign-keys&gt;&lt;key app="EN" db-id="0eve55x9y5vfd6e9dacxtew4eatve2dzds9a"&gt;9737&lt;/key&gt;&lt;/foreign-keys&gt;&lt;ref-type name="Journal Article"&gt;17&lt;/ref-type&gt;&lt;contributors&gt;&lt;authors&gt;&lt;author&gt;Lewis, M A&lt;/author&gt;&lt;author&gt;Devereux, R&lt;/author&gt;&lt;/authors&gt;&lt;/contributors&gt;&lt;titles&gt;&lt;title&gt;Non-nutrient anthropogenic chemicals in seagrass ecosystems: fate and effects&lt;/title&gt;&lt;secondary-title&gt;Environmental Toxicology and Chemistry&lt;/secondary-title&gt;&lt;/titles&gt;&lt;periodical&gt;&lt;full-title&gt;Environmental Toxicology and Chemistry&lt;/full-title&gt;&lt;/periodical&gt;&lt;pages&gt;644–661&lt;/pages&gt;&lt;volume&gt;28&lt;/volume&gt;&lt;number&gt;3&lt;/number&gt;&lt;dates&gt;&lt;year&gt;2009&lt;/year&gt;&lt;/dates&gt;&lt;urls&gt;&lt;/urls&gt;&lt;/record&gt;&lt;/Cite&gt;&lt;/EndNote&gt;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Lewis and Devereux 2009</w:t>
        </w:r>
        <w:r w:rsidR="00964A70" w:rsidRPr="00370E70">
          <w:rPr>
            <w:color w:val="FFFFFF"/>
            <w:sz w:val="10"/>
            <w:szCs w:val="10"/>
          </w:rPr>
          <w:fldChar w:fldCharType="end"/>
        </w:r>
      </w:hyperlink>
      <w:r w:rsidR="00EE0164" w:rsidRPr="00370E70">
        <w:rPr>
          <w:color w:val="FFFFFF"/>
          <w:sz w:val="10"/>
          <w:szCs w:val="10"/>
        </w:rPr>
        <w:t xml:space="preserve">, </w:t>
      </w:r>
      <w:hyperlink w:anchor="_ENREF_87" w:tooltip="González-Correa, 2009 #973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&lt;EndNote&gt;&lt;Cite&gt;&lt;Author&gt;González-Correa&lt;/Author&gt;&lt;Year&gt;2009&lt;/Year&gt;&lt;RecNum&gt;9738&lt;/RecNum&gt;&lt;DisplayText&gt;González-Correa&lt;style face="italic"&gt; et al.&lt;/style&gt; 2009&lt;/DisplayText&gt;&lt;record&gt;&lt;rec-number&gt;9738&lt;/rec-number&gt;&lt;foreign-keys&gt;&lt;key app="EN" db-id="0eve55x9y5vfd6e9dacxtew4eatve2dzds9a"&gt;9738&lt;/key&gt;&lt;/foreign-keys&gt;&lt;ref-type name="Journal Article"&gt;17&lt;/ref-type&gt;&lt;contributors&gt;&lt;authors&gt;&lt;author&gt;González-Correa, J M&lt;/author&gt;&lt;author&gt;Fernández-Torquemada, Y&lt;/author&gt;&lt;author&gt;Sánchez-Lizaso, J L&lt;/author&gt;&lt;/authors&gt;&lt;/contributors&gt;&lt;titles&gt;&lt;title&gt;&lt;style face="normal" font="default" size="100%"&gt;Short-term effect of beach replenishment on a shallow &lt;/style&gt;&lt;style face="italic" font="default" size="100%"&gt;Posidonia oceanica&lt;/style&gt;&lt;style face="normal" font="default" size="100%"&gt; meadow&lt;/style&gt;&lt;/title&gt;&lt;secondary-title&gt;Marine Environmental Research&lt;/secondary-title&gt;&lt;/titles&gt;&lt;periodical&gt;&lt;full-title&gt;Marine Environmental Research&lt;/full-title&gt;&lt;/periodical&gt;&lt;pages&gt;143–150&lt;/pages&gt;&lt;volume&gt;68&lt;/volume&gt;&lt;dates&gt;&lt;year&gt;2009&lt;/year&gt;&lt;/dates&gt;&lt;urls&gt;&lt;/urls&gt;&lt;/record&gt;&lt;/Cite&gt;&lt;/EndNote&gt;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González-Correa</w:t>
        </w:r>
        <w:r w:rsidR="00964A70" w:rsidRPr="00370E70">
          <w:rPr>
            <w:i/>
            <w:noProof/>
            <w:color w:val="FFFFFF"/>
            <w:sz w:val="10"/>
            <w:szCs w:val="10"/>
          </w:rPr>
          <w:t xml:space="preserve"> et al.</w:t>
        </w:r>
        <w:r w:rsidR="00964A70" w:rsidRPr="00370E70">
          <w:rPr>
            <w:noProof/>
            <w:color w:val="FFFFFF"/>
            <w:sz w:val="10"/>
            <w:szCs w:val="10"/>
          </w:rPr>
          <w:t xml:space="preserve"> 2009</w:t>
        </w:r>
        <w:r w:rsidR="00964A70" w:rsidRPr="00370E70">
          <w:rPr>
            <w:color w:val="FFFFFF"/>
            <w:sz w:val="10"/>
            <w:szCs w:val="10"/>
          </w:rPr>
          <w:fldChar w:fldCharType="end"/>
        </w:r>
      </w:hyperlink>
      <w:r w:rsidR="00EE0164" w:rsidRPr="00370E70">
        <w:rPr>
          <w:color w:val="FFFFFF"/>
          <w:sz w:val="10"/>
          <w:szCs w:val="10"/>
        </w:rPr>
        <w:t xml:space="preserve">, </w:t>
      </w:r>
      <w:hyperlink w:anchor="_ENREF_103" w:tooltip="Hoven, 1998 #9739"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&lt;EndNote&gt;&lt;Cite&gt;&lt;Author&gt;Hoven&lt;/Author&gt;&lt;Year&gt;1998&lt;/Year&gt;&lt;RecNum&gt;9739&lt;/RecNum&gt;&lt;DisplayText&gt;Hoven 1998&lt;/DisplayText&gt;&lt;record&gt;&lt;rec-number&gt;9739&lt;/rec-number&gt;&lt;foreign-keys&gt;&lt;key app="EN" db-id="0eve55x9y5vfd6e9dacxtew4eatve2dzds9a"&gt;9739&lt;/key&gt;&lt;/foreign-keys&gt;&lt;ref-type name="Journal Article"&gt;17&lt;/ref-type&gt;&lt;contributors&gt;&lt;authors&gt;&lt;author&gt;Hoven, H M&lt;/author&gt;&lt;/authors&gt;&lt;/contributors&gt;&lt;titles&gt;&lt;title&gt;&lt;style face="normal" font="default" size="100%"&gt;Eelgrass (&lt;/style&gt;&lt;style face="italic" font="default" size="100%"&gt;Zostera marina&lt;/style&gt;&lt;style face="normal" font="default" size="100%"&gt; L.) as a sentinel accumulator of lead in Portsmouth Harbor, New Hampshire – Maine.&lt;/style&gt;&lt;/title&gt;&lt;secondary-title&gt;Diss Abstr Int B Sci Eng&lt;/secondary-title&gt;&lt;/titles&gt;&lt;periodical&gt;&lt;full-title&gt;Diss Abstr Int B Sci Eng&lt;/full-title&gt;&lt;/periodical&gt;&lt;pages&gt;4600&lt;/pages&gt;&lt;volume&gt;59&lt;/volume&gt;&lt;dates&gt;&lt;year&gt;1998&lt;/year&gt;&lt;/dates&gt;&lt;urls&gt;&lt;/urls&gt;&lt;/record&gt;&lt;/Cite&gt;&lt;/EndNote&gt;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Hoven 1998</w:t>
        </w:r>
        <w:r w:rsidR="00964A70" w:rsidRPr="00370E70">
          <w:rPr>
            <w:color w:val="FFFFFF"/>
            <w:sz w:val="10"/>
            <w:szCs w:val="10"/>
          </w:rPr>
          <w:fldChar w:fldCharType="end"/>
        </w:r>
      </w:hyperlink>
      <w:r w:rsidR="00EE0164" w:rsidRPr="00370E70">
        <w:rPr>
          <w:color w:val="FFFFFF"/>
          <w:sz w:val="10"/>
          <w:szCs w:val="10"/>
        </w:rPr>
        <w:t xml:space="preserve">, </w:t>
      </w:r>
      <w:hyperlink w:anchor="_ENREF_82" w:tooltip="Freeman, 2008 #914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&lt;EndNote&gt;&lt;Cite&gt;&lt;Author&gt;Freeman&lt;/Author&gt;&lt;Year&gt;2008&lt;/Year&gt;&lt;RecNum&gt;9145&lt;/RecNum&gt;&lt;DisplayText&gt;Freeman&lt;style face="italic"&gt; et al.&lt;/style&gt; 2008&lt;/DisplayText&gt;&lt;record&gt;&lt;rec-number&gt;9145&lt;/rec-number&gt;&lt;foreign-keys&gt;&lt;key app="EN" db-id="0eve55x9y5vfd6e9dacxtew4eatve2dzds9a"&gt;9145&lt;/key&gt;&lt;/foreign-keys&gt;&lt;ref-type name="Journal Article"&gt;17&lt;/ref-type&gt;&lt;contributors&gt;&lt;authors&gt;&lt;author&gt;Freeman, A.S.&lt;/author&gt;&lt;author&gt;Short, F.T.&lt;/author&gt;&lt;author&gt;Isnain, I.&lt;/author&gt;&lt;author&gt;Rasak, F.A.&lt;/author&gt;&lt;author&gt;Coles, R.G.&lt;/author&gt;&lt;/authors&gt;&lt;/contributors&gt;&lt;titles&gt;&lt;title&gt;Seagrass on the edge: Land-use practices threaten coastal seagrass communities in Sabah, Malaysia&lt;/title&gt;&lt;secondary-title&gt;Biological Conservation&lt;/secondary-title&gt;&lt;/titles&gt;&lt;periodical&gt;&lt;full-title&gt;Biological Conservation&lt;/full-title&gt;&lt;/periodical&gt;&lt;pages&gt;2993-3005&lt;/pages&gt;&lt;volume&gt;141&lt;/volume&gt;&lt;dates&gt;&lt;year&gt;2008&lt;/year&gt;&lt;/dates&gt;&lt;urls&gt;&lt;/urls&gt;&lt;/record&gt;&lt;/Cite&gt;&lt;/EndNote&gt;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Freeman</w:t>
        </w:r>
        <w:r w:rsidR="00964A70" w:rsidRPr="00370E70">
          <w:rPr>
            <w:i/>
            <w:noProof/>
            <w:color w:val="FFFFFF"/>
            <w:sz w:val="10"/>
            <w:szCs w:val="10"/>
          </w:rPr>
          <w:t xml:space="preserve"> et al.</w:t>
        </w:r>
        <w:r w:rsidR="00964A70" w:rsidRPr="00370E70">
          <w:rPr>
            <w:noProof/>
            <w:color w:val="FFFFFF"/>
            <w:sz w:val="10"/>
            <w:szCs w:val="10"/>
          </w:rPr>
          <w:t xml:space="preserve"> 2008</w:t>
        </w:r>
        <w:r w:rsidR="00964A70" w:rsidRPr="00370E70">
          <w:rPr>
            <w:color w:val="FFFFFF"/>
            <w:sz w:val="10"/>
            <w:szCs w:val="10"/>
          </w:rPr>
          <w:fldChar w:fldCharType="end"/>
        </w:r>
      </w:hyperlink>
      <w:r w:rsidR="00EE0164" w:rsidRPr="00370E70">
        <w:rPr>
          <w:color w:val="FFFFFF"/>
          <w:sz w:val="10"/>
          <w:szCs w:val="10"/>
        </w:rPr>
        <w:t xml:space="preserve">, </w:t>
      </w:r>
      <w:hyperlink w:anchor="_ENREF_175" w:tooltip="Short, 1987 #126"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&lt;EndNote&gt;&lt;Cite&gt;&lt;Author&gt;Short&lt;/Author&gt;&lt;Year&gt;1987&lt;/Year&gt;&lt;RecNum&gt;126&lt;/RecNum&gt;&lt;DisplayText&gt;Short 1987&lt;/DisplayText&gt;&lt;record&gt;&lt;rec-number&gt;126&lt;/rec-number&gt;&lt;foreign-keys&gt;&lt;key app="EN" db-id="0eve55x9y5vfd6e9dacxtew4eatve2dzds9a"&gt;126&lt;/key&gt;&lt;/foreign-keys&gt;&lt;ref-type name="Journal Article"&gt;17&lt;/ref-type&gt;&lt;contributors&gt;&lt;authors&gt;&lt;author&gt;Short, F. T.&lt;/author&gt;&lt;/authors&gt;&lt;/contributors&gt;&lt;titles&gt;&lt;title&gt;Effects of sediment nutrients on seagrasses: Literature review and mesocosm experiment&lt;/title&gt;&lt;secondary-title&gt;Aquatic Botany&lt;/secondary-title&gt;&lt;alt-title&gt;Aquat. Bot.&lt;/alt-title&gt;&lt;/titles&gt;&lt;periodical&gt;&lt;full-title&gt;Aquatic Botany&lt;/full-title&gt;&lt;/periodical&gt;&lt;pages&gt;41-57&lt;/pages&gt;&lt;volume&gt;27&lt;/volume&gt;&lt;keywords&gt;&lt;keyword&gt;GIBIBLIO&lt;/keyword&gt;&lt;keyword&gt;SEAGRASS&lt;/keyword&gt;&lt;/keywords&gt;&lt;dates&gt;&lt;year&gt;1987&lt;/year&gt;&lt;/dates&gt;&lt;label&gt;78&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Short 1987</w:t>
        </w:r>
        <w:r w:rsidR="00964A70" w:rsidRPr="00370E70">
          <w:rPr>
            <w:color w:val="FFFFFF"/>
            <w:sz w:val="10"/>
            <w:szCs w:val="10"/>
          </w:rPr>
          <w:fldChar w:fldCharType="end"/>
        </w:r>
      </w:hyperlink>
      <w:r w:rsidR="00EE0164" w:rsidRPr="00370E70">
        <w:rPr>
          <w:color w:val="FFFFFF"/>
          <w:sz w:val="10"/>
          <w:szCs w:val="10"/>
        </w:rPr>
        <w:t xml:space="preserve">, </w:t>
      </w:r>
      <w:hyperlink w:anchor="_ENREF_183" w:tooltip="Tomasko, 1996 #974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&lt;EndNote&gt;&lt;Cite&gt;&lt;Author&gt;Tomasko&lt;/Author&gt;&lt;Year&gt;1996&lt;/Year&gt;&lt;RecNum&gt;9740&lt;/RecNum&gt;&lt;DisplayText&gt;Tomasko&lt;style face="italic"&gt;, et al.&lt;/style&gt; 1996&lt;/DisplayText&gt;&lt;record&gt;&lt;rec-number&gt;9740&lt;/rec-number&gt;&lt;foreign-keys&gt;&lt;key app="EN" db-id="0eve55x9y5vfd6e9dacxtew4eatve2dzds9a"&gt;9740&lt;/key&gt;&lt;/foreign-keys&gt;&lt;ref-type name="Journal Article"&gt;17&lt;/ref-type&gt;&lt;contributors&gt;&lt;authors&gt;&lt;author&gt;Tomasko, D A &lt;/author&gt;&lt;author&gt;Dawes, C J &lt;/author&gt;&lt;author&gt;Hall, M O&lt;/author&gt;&lt;/authors&gt;&lt;/contributors&gt;&lt;titles&gt;&lt;title&gt;&lt;style face="normal" font="default" size="100%"&gt;The effects of anthropogenic nutrient enrichment on turtle grass (&lt;/style&gt;&lt;style face="italic" font="default" size="100%"&gt;Thalassia testudinum&lt;/style&gt;&lt;style face="normal" font="default" size="100%"&gt;) in Sarasota Bay, Florida&lt;/style&gt;&lt;/title&gt;&lt;secondary-title&gt;Estuaries And Coasts&lt;/secondary-title&gt;&lt;/titles&gt;&lt;periodical&gt;&lt;full-title&gt;Estuaries And Coasts&lt;/full-title&gt;&lt;/periodical&gt;&lt;pages&gt;448–456&lt;/pages&gt;&lt;volume&gt;19&lt;/volume&gt;&lt;dates&gt;&lt;year&gt;1996&lt;/year&gt;&lt;/dates&gt;&lt;urls&gt;&lt;/urls&gt;&lt;/record&gt;&lt;/Cite&gt;&lt;/EndNote&gt;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Tomasko</w:t>
        </w:r>
        <w:r w:rsidR="00964A70" w:rsidRPr="00370E70">
          <w:rPr>
            <w:i/>
            <w:noProof/>
            <w:color w:val="FFFFFF"/>
            <w:sz w:val="10"/>
            <w:szCs w:val="10"/>
          </w:rPr>
          <w:t>, et al.</w:t>
        </w:r>
        <w:r w:rsidR="00964A70" w:rsidRPr="00370E70">
          <w:rPr>
            <w:noProof/>
            <w:color w:val="FFFFFF"/>
            <w:sz w:val="10"/>
            <w:szCs w:val="10"/>
          </w:rPr>
          <w:t xml:space="preserve"> 1996</w:t>
        </w:r>
        <w:r w:rsidR="00964A70" w:rsidRPr="00370E70">
          <w:rPr>
            <w:color w:val="FFFFFF"/>
            <w:sz w:val="10"/>
            <w:szCs w:val="10"/>
          </w:rPr>
          <w:fldChar w:fldCharType="end"/>
        </w:r>
      </w:hyperlink>
      <w:r w:rsidR="00EE0164" w:rsidRPr="00370E70">
        <w:rPr>
          <w:color w:val="FFFFFF"/>
          <w:sz w:val="10"/>
          <w:szCs w:val="10"/>
        </w:rPr>
        <w:t xml:space="preserve">, </w:t>
      </w:r>
      <w:hyperlink w:anchor="_ENREF_176" w:tooltip="Short, 1996 #974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&lt;EndNote&gt;&lt;Cite&gt;&lt;Author&gt;Short&lt;/Author&gt;&lt;Year&gt;1996&lt;/Year&gt;&lt;RecNum&gt;9741&lt;/RecNum&gt;&lt;DisplayText&gt;Short&lt;style face="italic"&gt; et al.&lt;/style&gt; 1996&lt;/DisplayText&gt;&lt;record&gt;&lt;rec-number&gt;9741&lt;/rec-number&gt;&lt;foreign-keys&gt;&lt;key app="EN" db-id="0eve55x9y5vfd6e9dacxtew4eatve2dzds9a"&gt;9741&lt;/key&gt;&lt;/foreign-keys&gt;&lt;ref-type name="Book Section"&gt;5&lt;/ref-type&gt;&lt;contributors&gt;&lt;authors&gt;&lt;author&gt;Short, F T&lt;/author&gt;&lt;author&gt;Burdick, D M &lt;/author&gt;&lt;author&gt;Granger, S &lt;/author&gt;&lt;author&gt;Nixon, S W&lt;/author&gt;&lt;/authors&gt;&lt;secondary-authors&gt;&lt;author&gt;J. Kuo, R.C. Phillips, D.I. Walker and H. Kirkman&lt;/author&gt;&lt;/secondary-authors&gt;&lt;/contributors&gt;&lt;titles&gt;&lt;title&gt;&lt;style face="normal" font="default" size="100%"&gt;Long-term decline in eelgrass, &lt;/style&gt;&lt;style face="italic" font="default" size="100%"&gt;Zostera marina&lt;/style&gt;&lt;style face="normal" font="default" size="100%"&gt; L., linked to increased housing development&lt;/style&gt;&lt;/title&gt;&lt;secondary-title&gt;Seagrass Biology Proceedings, International Workshop&lt;/secondary-title&gt;&lt;/titles&gt;&lt;pages&gt;291 - 298&lt;/pages&gt;&lt;dates&gt;&lt;year&gt;1996&lt;/year&gt;&lt;/dates&gt;&lt;pub-location&gt;Nedlands, Western Australia&lt;/pub-location&gt;&lt;publisher&gt;Sciences UWA&lt;/publisher&gt;&lt;urls&gt;&lt;/urls&gt;&lt;/record&gt;&lt;/Cite&gt;&lt;/EndNote&gt;</w:instrText>
        </w:r>
        <w:r w:rsidR="00964A70" w:rsidRPr="00370E70">
          <w:rPr>
            <w:color w:val="FFFFFF"/>
            <w:sz w:val="10"/>
            <w:szCs w:val="10"/>
          </w:rPr>
          <w:fldChar w:fldCharType="separate"/>
        </w:r>
        <w:r w:rsidR="00964A70" w:rsidRPr="00370E70">
          <w:rPr>
            <w:noProof/>
            <w:color w:val="FFFFFF"/>
            <w:sz w:val="10"/>
            <w:szCs w:val="10"/>
          </w:rPr>
          <w:t>Short</w:t>
        </w:r>
        <w:r w:rsidR="00964A70" w:rsidRPr="00370E70">
          <w:rPr>
            <w:i/>
            <w:noProof/>
            <w:color w:val="FFFFFF"/>
            <w:sz w:val="10"/>
            <w:szCs w:val="10"/>
          </w:rPr>
          <w:t xml:space="preserve"> et al.</w:t>
        </w:r>
        <w:r w:rsidR="00964A70" w:rsidRPr="00370E70">
          <w:rPr>
            <w:noProof/>
            <w:color w:val="FFFFFF"/>
            <w:sz w:val="10"/>
            <w:szCs w:val="10"/>
          </w:rPr>
          <w:t xml:space="preserve"> 1996</w:t>
        </w:r>
        <w:r w:rsidR="00964A70" w:rsidRPr="00370E70">
          <w:rPr>
            <w:color w:val="FFFFFF"/>
            <w:sz w:val="10"/>
            <w:szCs w:val="10"/>
          </w:rPr>
          <w:fldChar w:fldCharType="end"/>
        </w:r>
      </w:hyperlink>
      <w:r w:rsidR="00EE0164" w:rsidRPr="00370E70">
        <w:rPr>
          <w:color w:val="FFFFFF"/>
          <w:sz w:val="10"/>
          <w:szCs w:val="10"/>
        </w:rPr>
        <w:t xml:space="preserve">, </w:t>
      </w:r>
      <w:hyperlink w:anchor="_ENREF_57" w:tooltip="Deis, 2000 #9742"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&lt;EndNote&gt;&lt;Cite&gt;&lt;Author&gt;Deis&lt;/Author&gt;&lt;Year&gt;2000&lt;/Year&gt;&lt;RecNum&gt;9742&lt;/RecNum&gt;&lt;DisplayText&gt;Deis 2000&lt;/DisplayText&gt;&lt;record&gt;&lt;rec-number&gt;9742&lt;/rec-number&gt;&lt;foreign-keys&gt;&lt;key app="EN" db-id="0eve55x9y5vfd6e9dacxtew4eatve2dzds9a"&gt;9742&lt;/key&gt;&lt;/foreign-keys&gt;&lt;ref-type name="Book Section"&gt;5&lt;/ref-type&gt;&lt;contributors&gt;&lt;authors&gt;&lt;author&gt;Deis, D R&lt;/author&gt;&lt;/authors&gt;&lt;secondary-authors&gt;&lt;author&gt;Bortone, S A&lt;/author&gt;&lt;/secondary-authors&gt;&lt;/contributors&gt;&lt;titles&gt;&lt;title&gt;&lt;style face="normal" font="default" size="100%"&gt;Monitoring the effects of construction and operation of a marina on the seagrass &lt;/style&gt;&lt;style face="italic" font="default" size="100%"&gt;Halophila decipiens&lt;/style&gt;&lt;style face="normal" font="default" size="100%"&gt; in Ft. Lauderdale, Florida&lt;/style&gt;&lt;/title&gt;&lt;secondary-title&gt;Seagrasses: Monitoring, Ecology, Physiology and Management&lt;/secondary-title&gt;&lt;/titles&gt;&lt;pages&gt;147–155&lt;/pages&gt;&lt;dates&gt;&lt;year&gt;2000&lt;/year&gt;&lt;/dates&gt;&lt;pub-location&gt;Boca Raton, FL, USA&lt;/pub-location&gt;&lt;publisher&gt;CRC&lt;/publisher&gt;&lt;urls&gt;&lt;/urls&gt;&lt;/record&gt;&lt;/Cite&gt;&lt;/EndNote&gt;</w:instrText>
        </w:r>
        <w:r w:rsidR="00964A70" w:rsidRPr="00370E70">
          <w:rPr>
            <w:color w:val="FFFFFF"/>
            <w:sz w:val="10"/>
            <w:szCs w:val="10"/>
          </w:rPr>
          <w:fldChar w:fldCharType="separate"/>
        </w:r>
        <w:r w:rsidR="00964A70" w:rsidRPr="00370E70">
          <w:rPr>
            <w:noProof/>
            <w:color w:val="FFFFFF"/>
            <w:sz w:val="10"/>
            <w:szCs w:val="10"/>
          </w:rPr>
          <w:t>Deis 2000</w:t>
        </w:r>
        <w:r w:rsidR="00964A70" w:rsidRPr="00370E70">
          <w:rPr>
            <w:color w:val="FFFFFF"/>
            <w:sz w:val="10"/>
            <w:szCs w:val="10"/>
          </w:rPr>
          <w:fldChar w:fldCharType="end"/>
        </w:r>
      </w:hyperlink>
      <w:r w:rsidR="00EE0164" w:rsidRPr="00370E70">
        <w:rPr>
          <w:color w:val="FFFFFF"/>
          <w:sz w:val="10"/>
          <w:szCs w:val="10"/>
        </w:rPr>
        <w:t xml:space="preserve">, </w:t>
      </w:r>
      <w:hyperlink w:anchor="_ENREF_14" w:tooltip="Balestri, 2004 #974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&lt;EndNote&gt;&lt;Cite&gt;&lt;Author&gt;Balestri&lt;/Author&gt;&lt;Year&gt;2004&lt;/Year&gt;&lt;RecNum&gt;9743&lt;/RecNum&gt;&lt;DisplayText&gt;Balestri&lt;style face="italic"&gt; et al.&lt;/style&gt; 2004&lt;/DisplayText&gt;&lt;record&gt;&lt;rec-number&gt;9743&lt;/rec-number&gt;&lt;foreign-keys&gt;&lt;key app="EN" db-id="0eve55x9y5vfd6e9dacxtew4eatve2dzds9a"&gt;9743&lt;/key&gt;&lt;/foreign-keys&gt;&lt;ref-type name="Journal Article"&gt;17&lt;/ref-type&gt;&lt;contributors&gt;&lt;authors&gt;&lt;author&gt;Balestri, E&lt;/author&gt;&lt;author&gt;Benedetti-Cecchi, L&lt;/author&gt;&lt;author&gt;Lardicci, C&lt;/author&gt;&lt;/authors&gt;&lt;/contributors&gt;&lt;titles&gt;&lt;title&gt;&lt;style face="normal" font="default" size="100%"&gt;Variability in patterns of growth and morphology of &lt;/style&gt;&lt;style face="italic" font="default" size="100%"&gt;Posidonia oceanica &lt;/style&gt;&lt;style face="normal" font="default" size="100%"&gt;exposed to urban and industrial wastes: Contrasts with two reference location&lt;/style&gt;&lt;/title&gt;&lt;secondary-title&gt;Journal of  Experimental Marine Biology and Ecology&lt;/secondary-title&gt;&lt;/titles&gt;&lt;periodical&gt;&lt;full-title&gt;Journal of  Experimental Marine Biology and Ecology&lt;/full-title&gt;&lt;/periodical&gt;&lt;pages&gt;1–21&lt;/pages&gt;&lt;volume&gt;308&lt;/volume&gt;&lt;dates&gt;&lt;year&gt;2004&lt;/year&gt;&lt;/dates&gt;&lt;urls&gt;&lt;/urls&gt;&lt;/record&gt;&lt;/Cite&gt;&lt;/EndNote&gt;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Balestri</w:t>
        </w:r>
        <w:r w:rsidR="00964A70" w:rsidRPr="00370E70">
          <w:rPr>
            <w:i/>
            <w:noProof/>
            <w:color w:val="FFFFFF"/>
            <w:sz w:val="10"/>
            <w:szCs w:val="10"/>
          </w:rPr>
          <w:t xml:space="preserve"> et al.</w:t>
        </w:r>
        <w:r w:rsidR="00964A70" w:rsidRPr="00370E70">
          <w:rPr>
            <w:noProof/>
            <w:color w:val="FFFFFF"/>
            <w:sz w:val="10"/>
            <w:szCs w:val="10"/>
          </w:rPr>
          <w:t xml:space="preserve"> 2004</w:t>
        </w:r>
        <w:r w:rsidR="00964A70" w:rsidRPr="00370E70">
          <w:rPr>
            <w:color w:val="FFFFFF"/>
            <w:sz w:val="10"/>
            <w:szCs w:val="10"/>
          </w:rPr>
          <w:fldChar w:fldCharType="end"/>
        </w:r>
      </w:hyperlink>
      <w:r w:rsidR="00EE0164" w:rsidRPr="00370E70">
        <w:rPr>
          <w:color w:val="FFFFFF"/>
          <w:sz w:val="10"/>
          <w:szCs w:val="10"/>
        </w:rPr>
        <w:t xml:space="preserve">, </w:t>
      </w:r>
      <w:hyperlink w:anchor="_ENREF_158" w:tooltip="R, 1979 #974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&lt;EndNote&gt;&lt;Cite&gt;&lt;Author&gt;R&lt;/Author&gt;&lt;Year&gt;1979&lt;/Year&gt;&lt;RecNum&gt;9744&lt;/RecNum&gt;&lt;DisplayText&gt;R and T 1979&lt;/DisplayText&gt;&lt;record&gt;&lt;rec-number&gt;9744&lt;/rec-number&gt;&lt;foreign-keys&gt;&lt;key app="EN" db-id="0eve55x9y5vfd6e9dacxtew4eatve2dzds9a"&gt;9744&lt;/key&gt;&lt;/foreign-keys&gt;&lt;ref-type name="Journal Article"&gt;17&lt;/ref-type&gt;&lt;contributors&gt;&lt;authors&gt;&lt;author&gt;Montgomery J R&lt;/author&gt;&lt;author&gt;Price M T&lt;/author&gt;&lt;/authors&gt;&lt;/contributors&gt;&lt;titles&gt;&lt;title&gt;Release of trace metals by sewage sludge and the subsequent uptake by members of a turtle grass mangrove ecosystem&lt;/title&gt;&lt;secondary-title&gt;Environ Sci Technol&lt;/secondary-title&gt;&lt;/titles&gt;&lt;periodical&gt;&lt;full-title&gt;Environ Sci Technol&lt;/full-title&gt;&lt;/periodical&gt;&lt;pages&gt;546–549&lt;/pages&gt;&lt;volume&gt;13&lt;/volume&gt;&lt;dates&gt;&lt;year&gt;1979&lt;/year&gt;&lt;/dates&gt;&lt;urls&gt;&lt;/urls&gt;&lt;/record&gt;&lt;/Cite&gt;&lt;/EndNote&gt;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R and T 1979</w:t>
        </w:r>
        <w:r w:rsidR="00964A70" w:rsidRPr="00370E70">
          <w:rPr>
            <w:color w:val="FFFFFF"/>
            <w:sz w:val="10"/>
            <w:szCs w:val="10"/>
          </w:rPr>
          <w:fldChar w:fldCharType="end"/>
        </w:r>
      </w:hyperlink>
      <w:r w:rsidR="00EE0164" w:rsidRPr="00370E70">
        <w:rPr>
          <w:color w:val="FFFFFF"/>
          <w:sz w:val="10"/>
          <w:szCs w:val="10"/>
        </w:rPr>
        <w:t xml:space="preserve">, </w:t>
      </w:r>
      <w:hyperlink w:anchor="_ENREF_107" w:tooltip="Jacobs, 1980 #92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&lt;EndNote&gt;&lt;Cite&gt;&lt;Author&gt;Jacobs&lt;/Author&gt;&lt;Year&gt;1980&lt;/Year&gt;&lt;RecNum&gt;924&lt;/RecNum&gt;&lt;DisplayText&gt;Jacobs 1980&lt;/DisplayText&gt;&lt;record&gt;&lt;rec-number&gt;924&lt;/rec-number&gt;&lt;foreign-keys&gt;&lt;key app="EN" db-id="0eve55x9y5vfd6e9dacxtew4eatve2dzds9a"&gt;924&lt;/key&gt;&lt;/foreign-keys&gt;&lt;ref-type name="Journal Article"&gt;17&lt;/ref-type&gt;&lt;contributors&gt;&lt;authors&gt;&lt;author&gt;Jacobs, R. P. W. M.&lt;/author&gt;&lt;/authors&gt;&lt;/contributors&gt;&lt;titles&gt;&lt;title&gt;Effects of the `Amoco Cadiz&amp;apos; oil spill on the seagrass community at Roscoff with specil reference to the benthic infauna&lt;/title&gt;&lt;secondary-title&gt;Marine Ecology Progress Series&lt;/secondary-title&gt;&lt;alt-title&gt;Mar. Ecol. Prog. Ser.&lt;/alt-title&gt;&lt;/titles&gt;&lt;periodical&gt;&lt;full-title&gt;Marine Ecology Progress Series&lt;/full-title&gt;&lt;/periodical&gt;&lt;pages&gt;207-212&lt;/pages&gt;&lt;volume&gt;2&lt;/volume&gt;&lt;dates&gt;&lt;year&gt;1980&lt;/year&gt;&lt;pub-dates&gt;&lt;date&gt;April 30&lt;/date&gt;&lt;/pub-dates&gt;&lt;/dates&gt;&lt;label&gt;985&lt;/label&gt;&lt;urls&gt;&lt;/urls&gt;&lt;custom1&gt;Annex&lt;/custom1&gt;&lt;/record&gt;&lt;/Cite&gt;&lt;/EndNote&gt;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Jacobs 1980</w:t>
        </w:r>
        <w:r w:rsidR="00964A70" w:rsidRPr="00370E70">
          <w:rPr>
            <w:color w:val="FFFFFF"/>
            <w:sz w:val="10"/>
            <w:szCs w:val="10"/>
          </w:rPr>
          <w:fldChar w:fldCharType="end"/>
        </w:r>
      </w:hyperlink>
      <w:r w:rsidR="00EE0164" w:rsidRPr="00370E70">
        <w:rPr>
          <w:color w:val="FFFFFF"/>
          <w:sz w:val="10"/>
          <w:szCs w:val="10"/>
        </w:rPr>
        <w:t xml:space="preserve">, </w:t>
      </w:r>
      <w:hyperlink w:anchor="_ENREF_200" w:tooltip="Zieman, 1984 #974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&lt;EndNote&gt;&lt;Cite&gt;&lt;Author&gt;Zieman&lt;/Author&gt;&lt;Year&gt;1984&lt;/Year&gt;&lt;RecNum&gt;9745&lt;/RecNum&gt;&lt;DisplayText&gt;Zieman&lt;style face="italic"&gt; et al.&lt;/style&gt; 1984&lt;/DisplayText&gt;&lt;record&gt;&lt;rec-number&gt;9745&lt;/rec-number&gt;&lt;foreign-keys&gt;&lt;key app="EN" db-id="0eve55x9y5vfd6e9dacxtew4eatve2dzds9a"&gt;9745&lt;/key&gt;&lt;/foreign-keys&gt;&lt;ref-type name="Book Section"&gt;5&lt;/ref-type&gt;&lt;contributors&gt;&lt;authors&gt;&lt;author&gt;Zieman, J C&lt;/author&gt;&lt;author&gt;Orth, R&lt;/author&gt;&lt;author&gt;Phillips, R C&lt;/author&gt;&lt;author&gt;Thayer, G&lt;/author&gt;&lt;author&gt;Thoraug, A&lt;/author&gt;&lt;/authors&gt;&lt;secondary-authors&gt;&lt;author&gt;Cairns Jr, J&lt;/author&gt;&lt;author&gt;Buikema Jr, A L&lt;/author&gt;&lt;/secondary-authors&gt;&lt;/contributors&gt;&lt;titles&gt;&lt;title&gt;The effect of oil on seagrass ecosystems&lt;/title&gt;&lt;secondary-title&gt;Restoration of habitats impacted by oil spills&lt;/secondary-title&gt;&lt;/titles&gt;&lt;pages&gt;37-64&lt;/pages&gt;&lt;dates&gt;&lt;year&gt;1984&lt;/year&gt;&lt;/dates&gt;&lt;publisher&gt;Butterworth Publishers&lt;/publisher&gt;&lt;urls&gt;&lt;/urls&gt;&lt;/record&gt;&lt;/Cite&gt;&lt;/EndNote&gt;</w:instrText>
        </w:r>
        <w:r w:rsidR="00964A70" w:rsidRPr="00370E70">
          <w:rPr>
            <w:color w:val="FFFFFF"/>
            <w:sz w:val="10"/>
            <w:szCs w:val="10"/>
          </w:rPr>
          <w:fldChar w:fldCharType="separate"/>
        </w:r>
        <w:r w:rsidR="00964A70" w:rsidRPr="00370E70">
          <w:rPr>
            <w:noProof/>
            <w:color w:val="FFFFFF"/>
            <w:sz w:val="10"/>
            <w:szCs w:val="10"/>
          </w:rPr>
          <w:t>Zieman</w:t>
        </w:r>
        <w:r w:rsidR="00964A70" w:rsidRPr="00370E70">
          <w:rPr>
            <w:i/>
            <w:noProof/>
            <w:color w:val="FFFFFF"/>
            <w:sz w:val="10"/>
            <w:szCs w:val="10"/>
          </w:rPr>
          <w:t xml:space="preserve"> et al.</w:t>
        </w:r>
        <w:r w:rsidR="00964A70" w:rsidRPr="00370E70">
          <w:rPr>
            <w:noProof/>
            <w:color w:val="FFFFFF"/>
            <w:sz w:val="10"/>
            <w:szCs w:val="10"/>
          </w:rPr>
          <w:t xml:space="preserve"> 1984</w:t>
        </w:r>
        <w:r w:rsidR="00964A70" w:rsidRPr="00370E70">
          <w:rPr>
            <w:color w:val="FFFFFF"/>
            <w:sz w:val="10"/>
            <w:szCs w:val="10"/>
          </w:rPr>
          <w:fldChar w:fldCharType="end"/>
        </w:r>
      </w:hyperlink>
      <w:r w:rsidR="00EE0164" w:rsidRPr="00370E70">
        <w:rPr>
          <w:color w:val="FFFFFF"/>
          <w:sz w:val="10"/>
          <w:szCs w:val="10"/>
        </w:rPr>
        <w:t xml:space="preserve">, </w:t>
      </w:r>
      <w:hyperlink w:anchor="_ENREF_106" w:tooltip="Jackson, 1989 #22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&lt;EndNote&gt;&lt;Cite&gt;&lt;Author&gt;Jackson&lt;/Author&gt;&lt;Year&gt;1989&lt;/Year&gt;&lt;RecNum&gt;228&lt;/RecNum&gt;&lt;DisplayText&gt;Jackson&lt;style face="italic"&gt; et al.&lt;/style&gt; 1989&lt;/DisplayText&gt;&lt;record&gt;&lt;rec-number&gt;228&lt;/rec-number&gt;&lt;foreign-keys&gt;&lt;key app="EN" db-id="0eve55x9y5vfd6e9dacxtew4eatve2dzds9a"&gt;228&lt;/key&gt;&lt;/foreign-keys&gt;&lt;ref-type name="Journal Article"&gt;17&lt;/ref-type&gt;&lt;contributors&gt;&lt;authors&gt;&lt;author&gt;Jackson, J. B. C.&lt;/author&gt;&lt;author&gt;Cubit, J. D.&lt;/author&gt;&lt;author&gt;Keller, B. D.&lt;/author&gt;&lt;author&gt;Batista, V.&lt;/author&gt;&lt;author&gt;Burns, K.&lt;/author&gt;&lt;author&gt;Caffey, H. M.&lt;/author&gt;&lt;author&gt;Caldwell, R. L.&lt;/author&gt;&lt;author&gt;Garrity, S. D.&lt;/author&gt;&lt;author&gt;Getter, C. D.&lt;/author&gt;&lt;author&gt;Gonzalez, C.&lt;/author&gt;&lt;author&gt;Guzman, H. M.&lt;/author&gt;&lt;author&gt;Kaufmann, K. W.&lt;/author&gt;&lt;author&gt;Knap, A. H.&lt;/author&gt;&lt;author&gt;Levings, S. C.&lt;/author&gt;&lt;author&gt;Marshall, M. J.&lt;/author&gt;&lt;author&gt;Steger, R.&lt;/author&gt;&lt;author&gt;Thompson, R. C.&lt;/author&gt;&lt;author&gt;Weil, E.&lt;/author&gt;&lt;/authors&gt;&lt;/contributors&gt;&lt;titles&gt;&lt;title&gt;Ecological effects of a major oil spill on Panamanian coastal marine communities&lt;/title&gt;&lt;secondary-title&gt;Science&lt;/secondary-title&gt;&lt;alt-title&gt;Science&lt;/alt-title&gt;&lt;/titles&gt;&lt;periodical&gt;&lt;full-title&gt;Science&lt;/full-title&gt;&lt;/periodical&gt;&lt;alt-periodical&gt;&lt;full-title&gt;Science&lt;/full-title&gt;&lt;/alt-periodical&gt;&lt;pages&gt;37-44&lt;/pages&gt;&lt;volume&gt;243&lt;/volume&gt;&lt;dates&gt;&lt;year&gt;1989&lt;/year&gt;&lt;/dates&gt;&lt;label&gt;185&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Jackson</w:t>
        </w:r>
        <w:r w:rsidR="00964A70" w:rsidRPr="00370E70">
          <w:rPr>
            <w:i/>
            <w:noProof/>
            <w:color w:val="FFFFFF"/>
            <w:sz w:val="10"/>
            <w:szCs w:val="10"/>
          </w:rPr>
          <w:t xml:space="preserve"> et al.</w:t>
        </w:r>
        <w:r w:rsidR="00964A70" w:rsidRPr="00370E70">
          <w:rPr>
            <w:noProof/>
            <w:color w:val="FFFFFF"/>
            <w:sz w:val="10"/>
            <w:szCs w:val="10"/>
          </w:rPr>
          <w:t xml:space="preserve"> 1989</w:t>
        </w:r>
        <w:r w:rsidR="00964A70" w:rsidRPr="00370E70">
          <w:rPr>
            <w:color w:val="FFFFFF"/>
            <w:sz w:val="10"/>
            <w:szCs w:val="10"/>
          </w:rPr>
          <w:fldChar w:fldCharType="end"/>
        </w:r>
      </w:hyperlink>
      <w:r w:rsidR="00EE0164" w:rsidRPr="00370E70">
        <w:rPr>
          <w:color w:val="FFFFFF"/>
          <w:sz w:val="10"/>
          <w:szCs w:val="10"/>
        </w:rPr>
        <w:t xml:space="preserve">, </w:t>
      </w:r>
      <w:hyperlink w:anchor="_ENREF_10" w:tooltip="Baca, 1996 #9746"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&lt;EndNote&gt;&lt;Cite&gt;&lt;Author&gt;Baca&lt;/Author&gt;&lt;Year&gt;1996&lt;/Year&gt;&lt;RecNum&gt;9746&lt;/RecNum&gt;&lt;DisplayText&gt;Baca&lt;style face="italic"&gt; et al.&lt;/style&gt; 1996&lt;/DisplayText&gt;&lt;record&gt;&lt;rec-number&gt;9746&lt;/rec-number&gt;&lt;foreign-keys&gt;&lt;key app="EN" db-id="0eve55x9y5vfd6e9dacxtew4eatve2dzds9a"&gt;9746&lt;/key&gt;&lt;/foreign-keys&gt;&lt;ref-type name="Journal Article"&gt;17&lt;/ref-type&gt;&lt;contributors&gt;&lt;authors&gt;&lt;author&gt;Baca, B J&lt;/author&gt;&lt;author&gt;Snedaker, S C &lt;/author&gt;&lt;author&gt;Dodge, R E &lt;/author&gt;&lt;author&gt;Knap, A H&lt;/author&gt;&lt;author&gt;Sleeter, T D&lt;/author&gt;&lt;/authors&gt;&lt;/contributors&gt;&lt;titles&gt;&lt;title&gt;The effects of crude oil and dispersed crude oil on tropical ecosystems: Long-term seagrass, mangrove, and coral studies&lt;/title&gt;&lt;secondary-title&gt;Oceans Conference Record (IEEE)&lt;/secondary-title&gt;&lt;/titles&gt;&lt;periodical&gt;&lt;full-title&gt;Oceans Conference Record (IEEE)&lt;/full-title&gt;&lt;/periodical&gt;&lt;pages&gt;469-486&lt;/pages&gt;&lt;volume&gt;1&lt;/volume&gt;&lt;dates&gt;&lt;year&gt;1996&lt;/year&gt;&lt;/dates&gt;&lt;urls&gt;&lt;/urls&gt;&lt;/record&gt;&lt;/Cite&gt;&lt;/EndNote&gt;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Baca</w:t>
        </w:r>
        <w:r w:rsidR="00964A70" w:rsidRPr="00370E70">
          <w:rPr>
            <w:i/>
            <w:noProof/>
            <w:color w:val="FFFFFF"/>
            <w:sz w:val="10"/>
            <w:szCs w:val="10"/>
          </w:rPr>
          <w:t xml:space="preserve"> et al.</w:t>
        </w:r>
        <w:r w:rsidR="00964A70" w:rsidRPr="00370E70">
          <w:rPr>
            <w:noProof/>
            <w:color w:val="FFFFFF"/>
            <w:sz w:val="10"/>
            <w:szCs w:val="10"/>
          </w:rPr>
          <w:t xml:space="preserve"> 1996</w:t>
        </w:r>
        <w:r w:rsidR="00964A70" w:rsidRPr="00370E70">
          <w:rPr>
            <w:color w:val="FFFFFF"/>
            <w:sz w:val="10"/>
            <w:szCs w:val="10"/>
          </w:rPr>
          <w:fldChar w:fldCharType="end"/>
        </w:r>
      </w:hyperlink>
      <w:r w:rsidR="00EE0164" w:rsidRPr="00370E70">
        <w:rPr>
          <w:color w:val="FFFFFF"/>
          <w:sz w:val="10"/>
          <w:szCs w:val="10"/>
        </w:rPr>
        <w:t xml:space="preserve">, </w:t>
      </w:r>
      <w:hyperlink w:anchor="_ENREF_159" w:tooltip="Ralph, 1998 #729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&lt;EndNote&gt;&lt;Cite&gt;&lt;Author&gt;Ralph&lt;/Author&gt;&lt;Year&gt;1998&lt;/Year&gt;&lt;RecNum&gt;7291&lt;/RecNum&gt;&lt;DisplayText&gt;Ralph and Burchett 1998&lt;/DisplayText&gt;&lt;record&gt;&lt;rec-number&gt;7291&lt;/rec-number&gt;&lt;foreign-keys&gt;&lt;key app="EN" db-id="0eve55x9y5vfd6e9dacxtew4eatve2dzds9a"&gt;7291&lt;/key&gt;&lt;/foreign-keys&gt;&lt;ref-type name="Journal Article"&gt;17&lt;/ref-type&gt;&lt;contributors&gt;&lt;authors&gt;&lt;author&gt;Ralph, P. J.&lt;/author&gt;&lt;author&gt;Burchett, M. D.&lt;/author&gt;&lt;/authors&gt;&lt;/contributors&gt;&lt;auth-address&gt;Ralph, P. J.&amp;#xD;Univ Technol Sydney, Inst Coastal Resource Management, Westbourne St, Gore Hill, NSW 2065, Australia&amp;#xD;Univ Technol Sydney, Inst Coastal Resource Management, Gore Hill, NSW 2065, Australia&amp;#xD;Univ Technol Sydney, Dept Environm Biol &amp;amp; Hort, Gore Hill, NSW 2065, Australia&lt;/auth-address&gt;&lt;titles&gt;&lt;title&gt;Impact of petrochemicals on the photosynthesis of Halophila ovalis using chlorophyll fluorescence&lt;/title&gt;&lt;secondary-title&gt;Marine Pollution Bulletin&lt;/secondary-title&gt;&lt;alt-title&gt;Mar Pollut Bull&amp;#xD;Mar Pollut Bull&lt;/alt-title&gt;&lt;/titles&gt;&lt;periodical&gt;&lt;full-title&gt;Marine Pollution Bulletin&lt;/full-title&gt;&lt;/periodical&gt;&lt;pages&gt;429-436&lt;/pages&gt;&lt;volume&gt;36&lt;/volume&gt;&lt;number&gt;6&lt;/number&gt;&lt;keywords&gt;&lt;keyword&gt;seagrass&lt;/keyword&gt;&lt;keyword&gt;stress&lt;/keyword&gt;&lt;keyword&gt;petrochemical&lt;/keyword&gt;&lt;keyword&gt;photosynthesis&lt;/keyword&gt;&lt;keyword&gt;chlorophyll fluorescence&lt;/keyword&gt;&lt;/keywords&gt;&lt;dates&gt;&lt;year&gt;1998&lt;/year&gt;&lt;pub-dates&gt;&lt;date&gt;JUN&lt;/date&gt;&lt;/pub-dates&gt;&lt;/dates&gt;&lt;accession-num&gt;ISI:000074788600014&lt;/accession-num&gt;&lt;label&gt;Pergamon-Elsevier Science Ltd&lt;/label&gt;&lt;urls&gt;&lt;related-urls&gt;&lt;url&gt;&amp;lt;Go to ISI&amp;gt;://000074788600014&lt;/url&gt;&lt;/related-urls&gt;&lt;/urls&gt;&lt;/record&gt;&lt;/Cite&gt;&lt;/EndNote&gt;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Ralph and Burchett 1998</w:t>
        </w:r>
        <w:r w:rsidR="00964A70" w:rsidRPr="00370E70">
          <w:rPr>
            <w:color w:val="FFFFFF"/>
            <w:sz w:val="10"/>
            <w:szCs w:val="10"/>
          </w:rPr>
          <w:fldChar w:fldCharType="end"/>
        </w:r>
      </w:hyperlink>
      <w:r w:rsidR="00EE0164" w:rsidRPr="00370E70">
        <w:rPr>
          <w:color w:val="FFFFFF"/>
          <w:sz w:val="10"/>
          <w:szCs w:val="10"/>
        </w:rPr>
        <w:t xml:space="preserve">, </w:t>
      </w:r>
      <w:hyperlink w:anchor="_ENREF_180" w:tooltip="Thorhaug, 1987 #1549"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&lt;EndNote&gt;&lt;Cite&gt;&lt;Author&gt;Thorhaug&lt;/Author&gt;&lt;Year&gt;1987&lt;/Year&gt;&lt;RecNum&gt;1549&lt;/RecNum&gt;&lt;DisplayText&gt;Thorhaug and Marcus 1987&lt;/DisplayText&gt;&lt;record&gt;&lt;rec-number&gt;1549&lt;/rec-number&gt;&lt;foreign-keys&gt;&lt;key app="EN" db-id="0eve55x9y5vfd6e9dacxtew4eatve2dzds9a"&gt;1549&lt;/key&gt;&lt;/foreign-keys&gt;&lt;ref-type name="Journal Article"&gt;17&lt;/ref-type&gt;&lt;contributors&gt;&lt;authors&gt;&lt;author&gt;Thorhaug, A.&lt;/author&gt;&lt;author&gt;Marcus, J.&lt;/author&gt;&lt;/authors&gt;&lt;/contributors&gt;&lt;titles&gt;&lt;title&gt;Oil Spill Clean-up:  The effect of three Dispersants on three Subtropical/Tropical Seagrasses&lt;/title&gt;&lt;secondary-title&gt;Marine Pollution Bulletin&lt;/secondary-title&gt;&lt;alt-title&gt;Mar. Poll. Bull.&lt;/alt-title&gt;&lt;/titles&gt;&lt;periodical&gt;&lt;full-title&gt;Marine Pollution Bulletin&lt;/full-title&gt;&lt;/periodical&gt;&lt;pages&gt;124-126&lt;/pages&gt;&lt;volume&gt;18&lt;/volume&gt;&lt;number&gt;3&lt;/number&gt;&lt;keywords&gt;&lt;keyword&gt;OIL SPILL&lt;/keyword&gt;&lt;keyword&gt;SEAGRASS&lt;/keyword&gt;&lt;/keywords&gt;&lt;dates&gt;&lt;year&gt;1987&lt;/year&gt;&lt;/dates&gt;&lt;label&gt;1636&lt;/label&gt;&lt;urls&gt;&lt;/urls&gt;&lt;custom1&gt;Annex&lt;/custom1&gt;&lt;/record&gt;&lt;/Cite&gt;&lt;/EndNote&gt;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Thorhaug and Marcus 1987</w:t>
        </w:r>
        <w:r w:rsidR="00964A70" w:rsidRPr="00370E70">
          <w:rPr>
            <w:color w:val="FFFFFF"/>
            <w:sz w:val="10"/>
            <w:szCs w:val="10"/>
          </w:rPr>
          <w:fldChar w:fldCharType="end"/>
        </w:r>
      </w:hyperlink>
      <w:r w:rsidR="00EE0164" w:rsidRPr="00370E70">
        <w:rPr>
          <w:color w:val="FFFFFF"/>
          <w:sz w:val="10"/>
          <w:szCs w:val="10"/>
        </w:rPr>
        <w:t xml:space="preserve">, </w:t>
      </w:r>
      <w:hyperlink w:anchor="_ENREF_37" w:tooltip="Coles, 2009 #9367"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&lt;EndNote&gt;&lt;Cite&gt;&lt;Author&gt;Coles&lt;/Author&gt;&lt;Year&gt;2009&lt;/Year&gt;&lt;RecNum&gt;9367&lt;/RecNum&gt;&lt;DisplayText&gt;Coles&lt;style face="italic"&gt; et al.&lt;/style&gt; 2009b&lt;/DisplayText&gt;&lt;record&gt;&lt;rec-number&gt;9367&lt;/rec-number&gt;&lt;foreign-keys&gt;&lt;key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964A70" w:rsidRPr="00370E70">
          <w:rPr>
            <w:color w:val="FFFFFF"/>
            <w:sz w:val="10"/>
            <w:szCs w:val="10"/>
          </w:rPr>
          <w:fldChar w:fldCharType="separate"/>
        </w:r>
        <w:r w:rsidR="00964A70" w:rsidRPr="00370E70">
          <w:rPr>
            <w:noProof/>
            <w:color w:val="FFFFFF"/>
            <w:sz w:val="10"/>
            <w:szCs w:val="10"/>
          </w:rPr>
          <w:t>Coles</w:t>
        </w:r>
        <w:r w:rsidR="00964A70" w:rsidRPr="00370E70">
          <w:rPr>
            <w:i/>
            <w:noProof/>
            <w:color w:val="FFFFFF"/>
            <w:sz w:val="10"/>
            <w:szCs w:val="10"/>
          </w:rPr>
          <w:t xml:space="preserve"> et al.</w:t>
        </w:r>
        <w:r w:rsidR="00964A70" w:rsidRPr="00370E70">
          <w:rPr>
            <w:noProof/>
            <w:color w:val="FFFFFF"/>
            <w:sz w:val="10"/>
            <w:szCs w:val="10"/>
          </w:rPr>
          <w:t xml:space="preserve"> 2009b</w:t>
        </w:r>
        <w:r w:rsidR="00964A70" w:rsidRPr="00370E70">
          <w:rPr>
            <w:color w:val="FFFFFF"/>
            <w:sz w:val="10"/>
            <w:szCs w:val="10"/>
          </w:rPr>
          <w:fldChar w:fldCharType="end"/>
        </w:r>
      </w:hyperlink>
      <w:r w:rsidR="00EE0164" w:rsidRPr="00370E70">
        <w:rPr>
          <w:color w:val="FFFFFF"/>
          <w:sz w:val="10"/>
          <w:szCs w:val="10"/>
        </w:rPr>
        <w:t xml:space="preserve">, </w:t>
      </w:r>
      <w:hyperlink w:anchor="_ENREF_55" w:tooltip="Costanzo, 2005 #9747"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&lt;EndNote&gt;&lt;Cite&gt;&lt;Author&gt;Costanzo&lt;/Author&gt;&lt;Year&gt;2005&lt;/Year&gt;&lt;RecNum&gt;9747&lt;/RecNum&gt;&lt;DisplayText&gt;Costanzo&lt;style face="italic"&gt; et al.&lt;/style&gt; 2005&lt;/DisplayText&gt;&lt;record&gt;&lt;rec-number&gt;9747&lt;/rec-number&gt;&lt;foreign-keys&gt;&lt;key app="EN" db-id="0eve55x9y5vfd6e9dacxtew4eatve2dzds9a"&gt;9747&lt;/key&gt;&lt;/foreign-keys&gt;&lt;ref-type name="Journal Article"&gt;17&lt;/ref-type&gt;&lt;contributors&gt;&lt;authors&gt;&lt;author&gt;Costanzo, S D&lt;/author&gt;&lt;author&gt;Udy, J&lt;/author&gt;&lt;author&gt;Longstaff, B&lt;/author&gt;&lt;author&gt;Jones, A&lt;/author&gt;&lt;/authors&gt;&lt;/contributors&gt;&lt;titles&gt;&lt;title&gt;&lt;style face="normal" font="default" size="100%"&gt;Using nitrogen stable isotope ratios (&lt;/style&gt;&lt;style face="normal" font="default" charset="161" size="100%"&gt;δ&lt;/style&gt;&lt;style face="superscript" font="default" charset="161" size="100%"&gt;15&lt;/style&gt;&lt;style face="normal" font="default" charset="161" size="100%"&gt;N) of macroalgae to determine the effectiveness of sewage upgrades: changes in the extent of sewage plumes over four years in Moreton Bay, Australia&lt;/style&gt;&lt;/title&gt;&lt;secondary-title&gt;&lt;style face="normal" font="default" charset="161" size="100%"&gt;Marine Pollution Bulletin&lt;/style&gt;&lt;/secondary-title&gt;&lt;/titles&gt;&lt;periodical&gt;&lt;full-title&gt;Marine Pollution Bulletin&lt;/full-title&gt;&lt;/periodical&gt;&lt;pages&gt;&lt;style face="normal" font="default" charset="161" size="100%"&gt;212&lt;/style&gt;&lt;style face="normal" font="default" size="100%"&gt;–217&lt;/style&gt;&lt;/pages&gt;&lt;volume&gt;&lt;style face="normal" font="default" charset="161" size="100%"&gt;51&lt;/style&gt;&lt;/volume&gt;&lt;dates&gt;&lt;year&gt;2005&lt;/year&gt;&lt;/dates&gt;&lt;urls&gt;&lt;/urls&gt;&lt;/record&gt;&lt;/Cite&gt;&lt;/EndNote&gt;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Costanzo</w:t>
        </w:r>
        <w:r w:rsidR="00964A70" w:rsidRPr="00370E70">
          <w:rPr>
            <w:i/>
            <w:noProof/>
            <w:color w:val="FFFFFF"/>
            <w:sz w:val="10"/>
            <w:szCs w:val="10"/>
          </w:rPr>
          <w:t xml:space="preserve"> et al.</w:t>
        </w:r>
        <w:r w:rsidR="00964A70" w:rsidRPr="00370E70">
          <w:rPr>
            <w:noProof/>
            <w:color w:val="FFFFFF"/>
            <w:sz w:val="10"/>
            <w:szCs w:val="10"/>
          </w:rPr>
          <w:t xml:space="preserve"> 2005</w:t>
        </w:r>
        <w:r w:rsidR="00964A70" w:rsidRPr="00370E70">
          <w:rPr>
            <w:color w:val="FFFFFF"/>
            <w:sz w:val="10"/>
            <w:szCs w:val="10"/>
          </w:rPr>
          <w:fldChar w:fldCharType="end"/>
        </w:r>
      </w:hyperlink>
      <w:r w:rsidR="00EE0164" w:rsidRPr="00370E70">
        <w:rPr>
          <w:color w:val="FFFFFF"/>
          <w:sz w:val="10"/>
          <w:szCs w:val="10"/>
        </w:rPr>
        <w:t xml:space="preserve">, </w:t>
      </w:r>
      <w:hyperlink w:anchor="_ENREF_146" w:tooltip="Meysman, 2006 #974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&lt;EndNote&gt;&lt;Cite&gt;&lt;Author&gt;Meysman&lt;/Author&gt;&lt;Year&gt;2006&lt;/Year&gt;&lt;RecNum&gt;9748&lt;/RecNum&gt;&lt;DisplayText&gt;Meysman&lt;style face="italic"&gt; et al.&lt;/style&gt; 2006&lt;/DisplayText&gt;&lt;record&gt;&lt;rec-number&gt;9748&lt;/rec-number&gt;&lt;foreign-keys&gt;&lt;key app="EN" db-id="0eve55x9y5vfd6e9dacxtew4eatve2dzds9a"&gt;9748&lt;/key&gt;&lt;/foreign-keys&gt;&lt;ref-type name="Journal Article"&gt;17&lt;/ref-type&gt;&lt;contributors&gt;&lt;authors&gt;&lt;author&gt;Meysman, F J R&lt;/author&gt;&lt;author&gt;Middelburg, J J&lt;/author&gt;&lt;author&gt;Heip, C H R&lt;/author&gt;&lt;/authors&gt;&lt;/contributors&gt;&lt;titles&gt;&lt;title&gt;Bioturbation: a fresh look at Darwin’s last idea&lt;/title&gt;&lt;secondary-title&gt;Trends in Ecology &amp;amp; Evolution&lt;/secondary-title&gt;&lt;/titles&gt;&lt;periodical&gt;&lt;full-title&gt;Trends in Ecology &amp;amp; Evolution&lt;/full-title&gt;&lt;/periodical&gt;&lt;pages&gt;688-695&lt;/pages&gt;&lt;volume&gt;21&lt;/volume&gt;&lt;number&gt;12&lt;/number&gt;&lt;dates&gt;&lt;year&gt;2006&lt;/year&gt;&lt;/dates&gt;&lt;urls&gt;&lt;/urls&gt;&lt;/record&gt;&lt;/Cite&gt;&lt;/EndNote&gt;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Meysman</w:t>
        </w:r>
        <w:r w:rsidR="00964A70" w:rsidRPr="00370E70">
          <w:rPr>
            <w:i/>
            <w:noProof/>
            <w:color w:val="FFFFFF"/>
            <w:sz w:val="10"/>
            <w:szCs w:val="10"/>
          </w:rPr>
          <w:t xml:space="preserve"> et al.</w:t>
        </w:r>
        <w:r w:rsidR="00964A70" w:rsidRPr="00370E70">
          <w:rPr>
            <w:noProof/>
            <w:color w:val="FFFFFF"/>
            <w:sz w:val="10"/>
            <w:szCs w:val="10"/>
          </w:rPr>
          <w:t xml:space="preserve"> 2006</w:t>
        </w:r>
        <w:r w:rsidR="00964A70" w:rsidRPr="00370E70">
          <w:rPr>
            <w:color w:val="FFFFFF"/>
            <w:sz w:val="10"/>
            <w:szCs w:val="10"/>
          </w:rPr>
          <w:fldChar w:fldCharType="end"/>
        </w:r>
      </w:hyperlink>
      <w:r w:rsidR="00EE0164" w:rsidRPr="00370E70">
        <w:rPr>
          <w:color w:val="FFFFFF"/>
          <w:sz w:val="10"/>
          <w:szCs w:val="10"/>
        </w:rPr>
        <w:t xml:space="preserve">, </w:t>
      </w:r>
      <w:hyperlink w:anchor="_ENREF_105" w:tooltip="Inglis, 2000 #5408"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&lt;EndNote&gt;&lt;Cite&gt;&lt;Author&gt;Inglis&lt;/Author&gt;&lt;Year&gt;2000&lt;/Year&gt;&lt;RecNum&gt;5408&lt;/RecNum&gt;&lt;DisplayText&gt;Inglis 2000&lt;/DisplayText&gt;&lt;record&gt;&lt;rec-number&gt;5408&lt;/rec-number&gt;&lt;foreign-keys&gt;&lt;key app="EN" db-id="0eve55x9y5vfd6e9dacxtew4eatve2dzds9a"&gt;5408&lt;/key&gt;&lt;/foreign-keys&gt;&lt;ref-type name="Journal Article"&gt;17&lt;/ref-type&gt;&lt;contributors&gt;&lt;authors&gt;&lt;author&gt;Inglis, G J&lt;/author&gt;&lt;/authors&gt;&lt;/contributors&gt;&lt;titles&gt;&lt;title&gt;Variation in the recruitment behaviour of seagrass seeds: implications for population dynamics and resource management&lt;/title&gt;&lt;secondary-title&gt;Pacific Conservation Biology&lt;/secondary-title&gt;&lt;/titles&gt;&lt;periodical&gt;&lt;full-title&gt;Pacific Conservation Biology&lt;/full-title&gt;&lt;/periodical&gt;&lt;pages&gt;251-259&lt;/pages&gt;&lt;volume&gt;5&lt;/volume&gt;&lt;dates&gt;&lt;year&gt;2000&lt;/year&gt;&lt;/dates&gt;&lt;urls&gt;&lt;/urls&gt;&lt;/record&gt;&lt;/Cite&gt;&lt;/EndNote&gt;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Inglis 2000</w:t>
        </w:r>
        <w:r w:rsidR="00964A70" w:rsidRPr="00370E70">
          <w:rPr>
            <w:color w:val="FFFFFF"/>
            <w:sz w:val="10"/>
            <w:szCs w:val="10"/>
          </w:rPr>
          <w:fldChar w:fldCharType="end"/>
        </w:r>
      </w:hyperlink>
      <w:r w:rsidR="00EE0164" w:rsidRPr="00370E70">
        <w:rPr>
          <w:color w:val="FFFFFF"/>
          <w:sz w:val="10"/>
          <w:szCs w:val="10"/>
        </w:rPr>
        <w:t xml:space="preserve">, </w:t>
      </w:r>
      <w:hyperlink w:anchor="_ENREF_190" w:tooltip="Unsworth, 2007 #9142"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&lt;EndNote&gt;&lt;Cite&gt;&lt;Author&gt;Unsworth&lt;/Author&gt;&lt;Year&gt;2007&lt;/Year&gt;&lt;RecNum&gt;9142&lt;/RecNum&gt;&lt;DisplayText&gt;Unsworth&lt;style face="italic"&gt; et al.&lt;/style&gt; 2007&lt;/DisplayText&gt;&lt;record&gt;&lt;rec-number&gt;9142&lt;/rec-number&gt;&lt;foreign-keys&gt;&lt;key app="EN" db-id="0eve55x9y5vfd6e9dacxtew4eatve2dzds9a"&gt;9142&lt;/key&gt;&lt;/foreign-keys&gt;&lt;ref-type name="Journal Article"&gt;17&lt;/ref-type&gt;&lt;contributors&gt;&lt;authors&gt;&lt;author&gt;Unsworth, R.K.F. &lt;/author&gt;&lt;author&gt;Taylor, J.D. &lt;/author&gt;&lt;author&gt;Powell, A. &lt;/author&gt;&lt;author&gt;Bell, J.J. &lt;/author&gt;&lt;author&gt;Smith, D.J.&lt;/author&gt;&lt;/authors&gt;&lt;/contributors&gt;&lt;titles&gt;&lt;title&gt;The contribution of parrotfish (scarid) herbivory to seagrass ecosystem dynamics in the Indo-Pacific&lt;/title&gt;&lt;secondary-title&gt;Estuarine, Coastal and Shelf Science&lt;/secondary-title&gt;&lt;/titles&gt;&lt;periodical&gt;&lt;full-title&gt;Estuarine, Coastal and Shelf Science&lt;/full-title&gt;&lt;/periodical&gt;&lt;pages&gt;53-62 &lt;/pages&gt;&lt;volume&gt;74&lt;/volume&gt;&lt;dates&gt;&lt;year&gt;2007&lt;/year&gt;&lt;/dates&gt;&lt;urls&gt;&lt;/urls&gt;&lt;/record&gt;&lt;/Cite&gt;&lt;/EndNote&gt;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Unsworth</w:t>
        </w:r>
        <w:r w:rsidR="00964A70" w:rsidRPr="00370E70">
          <w:rPr>
            <w:i/>
            <w:noProof/>
            <w:color w:val="FFFFFF"/>
            <w:sz w:val="10"/>
            <w:szCs w:val="10"/>
          </w:rPr>
          <w:t xml:space="preserve"> et al.</w:t>
        </w:r>
        <w:r w:rsidR="00964A70" w:rsidRPr="00370E70">
          <w:rPr>
            <w:noProof/>
            <w:color w:val="FFFFFF"/>
            <w:sz w:val="10"/>
            <w:szCs w:val="10"/>
          </w:rPr>
          <w:t xml:space="preserve"> 2007</w:t>
        </w:r>
        <w:r w:rsidR="00964A70" w:rsidRPr="00370E70">
          <w:rPr>
            <w:color w:val="FFFFFF"/>
            <w:sz w:val="10"/>
            <w:szCs w:val="10"/>
          </w:rPr>
          <w:fldChar w:fldCharType="end"/>
        </w:r>
      </w:hyperlink>
      <w:r w:rsidR="00EE0164" w:rsidRPr="00370E70">
        <w:rPr>
          <w:color w:val="FFFFFF"/>
          <w:sz w:val="10"/>
          <w:szCs w:val="10"/>
        </w:rPr>
        <w:t xml:space="preserve">, </w:t>
      </w:r>
      <w:hyperlink w:anchor="_ENREF_8" w:tooltip="Armitage, 2006 #373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&lt;EndNote&gt;&lt;Cite&gt;&lt;Author&gt;Armitage&lt;/Author&gt;&lt;Year&gt;2006&lt;/Year&gt;&lt;RecNum&gt;3730&lt;/RecNum&gt;&lt;DisplayText&gt;Armitage and Fourqurean 2006&lt;/DisplayText&gt;&lt;record&gt;&lt;rec-number&gt;3730&lt;/rec-number&gt;&lt;foreign-keys&gt;&lt;key app="EN" db-id="0eve55x9y5vfd6e9dacxtew4eatve2dzds9a"&gt;3730&lt;/key&gt;&lt;/foreign-keys&gt;&lt;ref-type name="Journal Article"&gt;17&lt;/ref-type&gt;&lt;contributors&gt;&lt;authors&gt;&lt;author&gt;Armitage, Anna R.&lt;/author&gt;&lt;author&gt;Fourqurean, James W.&lt;/author&gt;&lt;/authors&gt;&lt;/contributors&gt;&lt;titles&gt;&lt;title&gt;The short-term influence of herbivory near patch reefs varies between seagrass species&lt;/title&gt;&lt;secondary-title&gt;Journal of Experimental Marine Biology and Ecology&lt;/secondary-title&gt;&lt;/titles&gt;&lt;periodical&gt;&lt;full-title&gt;Journal of Experimental Marine Biology and Ecology&lt;/full-title&gt;&lt;/periodical&gt;&lt;pages&gt;65-74&lt;/pages&gt;&lt;volume&gt;339&lt;/volume&gt;&lt;dates&gt;&lt;year&gt;2006&lt;/year&gt;&lt;/dates&gt;&lt;urls&gt;&lt;/urls&gt;&lt;/record&gt;&lt;/Cite&gt;&lt;/EndNote&gt;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Armitage and Fourqurean 2006</w:t>
        </w:r>
        <w:r w:rsidR="00964A70" w:rsidRPr="00370E70">
          <w:rPr>
            <w:color w:val="FFFFFF"/>
            <w:sz w:val="10"/>
            <w:szCs w:val="10"/>
          </w:rPr>
          <w:fldChar w:fldCharType="end"/>
        </w:r>
      </w:hyperlink>
      <w:r w:rsidR="00EE0164" w:rsidRPr="00370E70">
        <w:rPr>
          <w:color w:val="FFFFFF"/>
          <w:sz w:val="10"/>
          <w:szCs w:val="10"/>
        </w:rPr>
        <w:t xml:space="preserve">, </w:t>
      </w:r>
      <w:hyperlink w:anchor="_ENREF_70" w:tooltip="Eklof, 2008 #926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&lt;EndNote&gt;&lt;Cite&gt;&lt;Author&gt;Eklof&lt;/Author&gt;&lt;Year&gt;2008&lt;/Year&gt;&lt;RecNum&gt;9265&lt;/RecNum&gt;&lt;DisplayText&gt;Eklof&lt;style face="italic"&gt; et al.&lt;/style&gt; 2008&lt;/DisplayText&gt;&lt;record&gt;&lt;rec-number&gt;9265&lt;/rec-number&gt;&lt;foreign-keys&gt;&lt;key app="EN" db-id="0eve55x9y5vfd6e9dacxtew4eatve2dzds9a"&gt;9265&lt;/key&gt;&lt;/foreign-keys&gt;&lt;ref-type name="Journal Article"&gt;17&lt;/ref-type&gt;&lt;contributors&gt;&lt;authors&gt;&lt;author&gt;Eklof, J. S.&lt;/author&gt;&lt;author&gt;de la Torre-Castro, M.&lt;/author&gt;&lt;author&gt;Gullstrom, M.&lt;/author&gt;&lt;author&gt;Uku, J.&lt;/author&gt;&lt;author&gt;Muthiga, N.&lt;/author&gt;&lt;author&gt;Lyimo, T.&lt;/author&gt;&lt;author&gt;Bandeira, S. O.&lt;/author&gt;&lt;/authors&gt;&lt;/contributors&gt;&lt;titles&gt;&lt;title&gt;Sea urchin overgrazing of seagrasses: A review of current knowledge on causes, consequences, and management&lt;/title&gt;&lt;secondary-title&gt;Estuarine Coastal and Shelf Science&lt;/secondary-title&gt;&lt;/titles&gt;&lt;periodical&gt;&lt;full-title&gt;Estuarine Coastal And Shelf Science&lt;/full-title&gt;&lt;/periodical&gt;&lt;pages&gt;569-580&lt;/pages&gt;&lt;volume&gt;79&lt;/volume&gt;&lt;number&gt;4&lt;/number&gt;&lt;dates&gt;&lt;year&gt;2008&lt;/year&gt;&lt;pub-dates&gt;&lt;date&gt;Sep&lt;/date&gt;&lt;/pub-dates&gt;&lt;/dates&gt;&lt;isbn&gt;0272-7714&lt;/isbn&gt;&lt;accession-num&gt;WOS:000259951400001&lt;/accession-num&gt;&lt;urls&gt;&lt;related-urls&gt;&lt;url&gt;&amp;lt;Go to ISI&amp;gt;://WOS:000259951400001&lt;/url&gt;&lt;/related-urls&gt;&lt;/urls&gt;&lt;electronic-resource-num&gt;10.1016/j.ecss.2008.05.005&lt;/electronic-resource-num&gt;&lt;/record&gt;&lt;/Cite&gt;&lt;/EndNote&gt;</w:instrText>
        </w:r>
        <w:r w:rsidR="00964A70" w:rsidRPr="00370E70">
          <w:rPr>
            <w:color w:val="FFFFFF"/>
            <w:sz w:val="10"/>
            <w:szCs w:val="10"/>
          </w:rPr>
          <w:fldChar w:fldCharType="separate"/>
        </w:r>
        <w:r w:rsidR="00964A70" w:rsidRPr="00370E70">
          <w:rPr>
            <w:noProof/>
            <w:color w:val="FFFFFF"/>
            <w:sz w:val="10"/>
            <w:szCs w:val="10"/>
          </w:rPr>
          <w:t>Eklof</w:t>
        </w:r>
        <w:r w:rsidR="00964A70" w:rsidRPr="00370E70">
          <w:rPr>
            <w:i/>
            <w:noProof/>
            <w:color w:val="FFFFFF"/>
            <w:sz w:val="10"/>
            <w:szCs w:val="10"/>
          </w:rPr>
          <w:t xml:space="preserve"> et al.</w:t>
        </w:r>
        <w:r w:rsidR="00964A70" w:rsidRPr="00370E70">
          <w:rPr>
            <w:noProof/>
            <w:color w:val="FFFFFF"/>
            <w:sz w:val="10"/>
            <w:szCs w:val="10"/>
          </w:rPr>
          <w:t xml:space="preserve"> 2008</w:t>
        </w:r>
        <w:r w:rsidR="00964A70" w:rsidRPr="00370E70">
          <w:rPr>
            <w:color w:val="FFFFFF"/>
            <w:sz w:val="10"/>
            <w:szCs w:val="10"/>
          </w:rPr>
          <w:fldChar w:fldCharType="end"/>
        </w:r>
      </w:hyperlink>
      <w:r w:rsidR="00EE0164" w:rsidRPr="00370E70">
        <w:rPr>
          <w:color w:val="FFFFFF"/>
          <w:sz w:val="10"/>
          <w:szCs w:val="10"/>
        </w:rPr>
        <w:t xml:space="preserve">, </w:t>
      </w:r>
      <w:hyperlink w:anchor="_ENREF_104" w:tooltip="Howard, 1986 #629"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&lt;EndNote&gt;&lt;Cite&gt;&lt;Author&gt;Howard&lt;/Author&gt;&lt;Year&gt;1986&lt;/Year&gt;&lt;RecNum&gt;629&lt;/RecNum&gt;&lt;DisplayText&gt;Howard and Short 1986&lt;/DisplayText&gt;&lt;record&gt;&lt;rec-number&gt;629&lt;/rec-number&gt;&lt;foreign-keys&gt;&lt;key app="EN" db-id="0eve55x9y5vfd6e9dacxtew4eatve2dzds9a"&gt;629&lt;/key&gt;&lt;/foreign-keys&gt;&lt;ref-type name="Journal Article"&gt;17&lt;/ref-type&gt;&lt;contributors&gt;&lt;authors&gt;&lt;author&gt;Howard, Robert K.&lt;/author&gt;&lt;author&gt;Short, Frederick T.&lt;/author&gt;&lt;/authors&gt;&lt;/contributors&gt;&lt;titles&gt;&lt;title&gt;Seagrass growth and survivorship under the influence of epiphytic grazers&lt;/title&gt;&lt;secondary-title&gt;Aquatic Botany&lt;/secondary-title&gt;&lt;alt-title&gt;Aquat. Bot.&lt;/alt-title&gt;&lt;/titles&gt;&lt;periodical&gt;&lt;full-title&gt;Aquatic Botany&lt;/full-title&gt;&lt;/periodical&gt;&lt;pages&gt;287-302&lt;/pages&gt;&lt;volume&gt;24&lt;/volume&gt;&lt;keywords&gt;&lt;keyword&gt;LEN&amp;apos;S REFERENCES&lt;/keyword&gt;&lt;keyword&gt;MCKENZIE 1996&lt;/keyword&gt;&lt;/keywords&gt;&lt;dates&gt;&lt;year&gt;1986&lt;/year&gt;&lt;/dates&gt;&lt;label&gt;618&lt;/label&gt;&lt;urls&gt;&lt;/urls&gt;&lt;custom1&gt;Annex&lt;/custom1&gt;&lt;/record&gt;&lt;/Cite&gt;&lt;/EndNote&gt;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Howard and Short 1986</w:t>
        </w:r>
        <w:r w:rsidR="00964A70" w:rsidRPr="00370E70">
          <w:rPr>
            <w:color w:val="FFFFFF"/>
            <w:sz w:val="10"/>
            <w:szCs w:val="10"/>
          </w:rPr>
          <w:fldChar w:fldCharType="end"/>
        </w:r>
      </w:hyperlink>
      <w:r w:rsidR="00EE0164" w:rsidRPr="00370E70">
        <w:rPr>
          <w:color w:val="FFFFFF"/>
          <w:sz w:val="10"/>
          <w:szCs w:val="10"/>
        </w:rPr>
        <w:t xml:space="preserve">, </w:t>
      </w:r>
      <w:hyperlink w:anchor="_ENREF_151" w:tooltip="Ogden, 1982 #73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&lt;EndNote&gt;&lt;Cite&gt;&lt;Author&gt;Ogden&lt;/Author&gt;&lt;Year&gt;1982&lt;/Year&gt;&lt;RecNum&gt;731&lt;/RecNum&gt;&lt;DisplayText&gt;Ogden and Ogden 1982&lt;/DisplayText&gt;&lt;record&gt;&lt;rec-number&gt;731&lt;/rec-number&gt;&lt;foreign-keys&gt;&lt;key app="EN" db-id="0eve55x9y5vfd6e9dacxtew4eatve2dzds9a"&gt;731&lt;/key&gt;&lt;/foreign-keys&gt;&lt;ref-type name="Journal Article"&gt;17&lt;/ref-type&gt;&lt;contributors&gt;&lt;authors&gt;&lt;author&gt;Ogden, John C.&lt;/author&gt;&lt;author&gt;Ogden, Nancy B.&lt;/author&gt;&lt;/authors&gt;&lt;/contributors&gt;&lt;titles&gt;&lt;title&gt;A preliminary study of two representative seagrass communities in Palau, Western Caroline Islands (Micronesia)&lt;/title&gt;&lt;secondary-title&gt;Aquatic Botany&lt;/secondary-title&gt;&lt;alt-title&gt;Aquat. Bot.&lt;/alt-title&gt;&lt;/titles&gt;&lt;periodical&gt;&lt;full-title&gt;Aquatic Botany&lt;/full-title&gt;&lt;/periodical&gt;&lt;pages&gt;229-244&lt;/pages&gt;&lt;volume&gt;12&lt;/volume&gt;&lt;keywords&gt;&lt;keyword&gt;LEN&amp;apos;S REFERENCES&lt;/keyword&gt;&lt;keyword&gt;MCKENZIE 1996&lt;/keyword&gt;&lt;/keywords&gt;&lt;dates&gt;&lt;year&gt;1982&lt;/year&gt;&lt;/dates&gt;&lt;label&gt;746&lt;/label&gt;&lt;urls&gt;&lt;/urls&gt;&lt;custom1&gt;Annex&lt;/custom1&gt;&lt;/record&gt;&lt;/Cite&gt;&lt;/EndNote&gt;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Ogden and Ogden 1982</w:t>
        </w:r>
        <w:r w:rsidR="00964A70" w:rsidRPr="00370E70">
          <w:rPr>
            <w:color w:val="FFFFFF"/>
            <w:sz w:val="10"/>
            <w:szCs w:val="10"/>
          </w:rPr>
          <w:fldChar w:fldCharType="end"/>
        </w:r>
      </w:hyperlink>
      <w:r w:rsidR="00EE0164" w:rsidRPr="00370E70">
        <w:rPr>
          <w:color w:val="FFFFFF"/>
          <w:sz w:val="10"/>
          <w:szCs w:val="10"/>
        </w:rPr>
        <w:t xml:space="preserve">, </w:t>
      </w:r>
      <w:hyperlink w:anchor="_ENREF_156" w:tooltip="Preen, 1995 #107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&lt;EndNote&gt;&lt;Cite&gt;&lt;Author&gt;Preen&lt;/Author&gt;&lt;Year&gt;1995&lt;/Year&gt;&lt;RecNum&gt;1074&lt;/RecNum&gt;&lt;DisplayText&gt;Preen 1995&lt;/DisplayText&gt;&lt;record&gt;&lt;rec-number&gt;1074&lt;/rec-number&gt;&lt;foreign-keys&gt;&lt;key app="EN" db-id="0eve55x9y5vfd6e9dacxtew4eatve2dzds9a"&gt;1074&lt;/key&gt;&lt;/foreign-keys&gt;&lt;ref-type name="Journal Article"&gt;17&lt;/ref-type&gt;&lt;contributors&gt;&lt;authors&gt;&lt;author&gt;Preen, Anthony R.&lt;/author&gt;&lt;/authors&gt;&lt;/contributors&gt;&lt;titles&gt;&lt;title&gt;Impacts of dugong foraging on seagrass habitats: observational and experimental evidence for cultivation grazing&lt;/title&gt;&lt;secondary-title&gt;Marine Ecology Progress Series&lt;/secondary-title&gt;&lt;alt-title&gt;Mar. Ecol. Prog. Ser.&lt;/alt-title&gt;&lt;/titles&gt;&lt;periodical&gt;&lt;full-title&gt;Marine Ecology Progress Series&lt;/full-title&gt;&lt;/periodical&gt;&lt;pages&gt;201-213&lt;/pages&gt;&lt;volume&gt;124&lt;/volume&gt;&lt;keywords&gt;&lt;keyword&gt;DUGONG&lt;/keyword&gt;&lt;keyword&gt;MCKENZIE 1996&lt;/keyword&gt;&lt;/keywords&gt;&lt;dates&gt;&lt;year&gt;1995&lt;/year&gt;&lt;/dates&gt;&lt;label&gt;1151&lt;/label&gt;&lt;urls&gt;&lt;/urls&gt;&lt;custom1&gt;Annex&lt;/custom1&gt;&lt;/record&gt;&lt;/Cite&gt;&lt;/EndNote&gt;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Preen 1995</w:t>
        </w:r>
        <w:r w:rsidR="00964A70" w:rsidRPr="00370E70">
          <w:rPr>
            <w:color w:val="FFFFFF"/>
            <w:sz w:val="10"/>
            <w:szCs w:val="10"/>
          </w:rPr>
          <w:fldChar w:fldCharType="end"/>
        </w:r>
      </w:hyperlink>
      <w:r w:rsidR="00EE0164" w:rsidRPr="00370E70">
        <w:rPr>
          <w:color w:val="FFFFFF"/>
          <w:sz w:val="10"/>
          <w:szCs w:val="10"/>
        </w:rPr>
        <w:t xml:space="preserve">, </w:t>
      </w:r>
      <w:hyperlink w:anchor="_ENREF_7" w:tooltip="Aragones, 2000 #789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&lt;EndNote&gt;&lt;Cite&gt;&lt;Author&gt;Aragones&lt;/Author&gt;&lt;Year&gt;2000&lt;/Year&gt;&lt;RecNum&gt;7894&lt;/RecNum&gt;&lt;DisplayText&gt;Aragones and Marsh 2000&lt;/DisplayText&gt;&lt;record&gt;&lt;rec-number&gt;7894&lt;/rec-number&gt;&lt;foreign-keys&gt;&lt;key app="EN" db-id="0eve55x9y5vfd6e9dacxtew4eatve2dzds9a"&gt;7894&lt;/key&gt;&lt;/foreign-keys&gt;&lt;ref-type name="Journal Article"&gt;17&lt;/ref-type&gt;&lt;contributors&gt;&lt;authors&gt;&lt;author&gt;Aragones, Lemnuel. V.&lt;/author&gt;&lt;author&gt;Marsh, Helene&lt;/author&gt;&lt;/authors&gt;&lt;/contributors&gt;&lt;titles&gt;&lt;title&gt;Impact of dugong grazing and turtle cropping on tropical seagrass communities&lt;/title&gt;&lt;secondary-title&gt;Pacific Conservation Biology&lt;/secondary-title&gt;&lt;/titles&gt;&lt;periodical&gt;&lt;full-title&gt;Pacific Conservation Biology&lt;/full-title&gt;&lt;/periodical&gt;&lt;pages&gt;277-288&lt;/pages&gt;&lt;volume&gt;5&lt;/volume&gt;&lt;dates&gt;&lt;year&gt;2000&lt;/year&gt;&lt;/dates&gt;&lt;label&gt;Dugong, Turtle, Grazing&lt;/label&gt;&lt;urls&gt;&lt;/urls&gt;&lt;/record&gt;&lt;/Cite&gt;&lt;/EndNote&gt;</w:instrText>
        </w:r>
        <w:r w:rsidR="00964A70" w:rsidRPr="00370E70">
          <w:rPr>
            <w:color w:val="FFFFFF"/>
            <w:sz w:val="10"/>
            <w:szCs w:val="10"/>
          </w:rPr>
          <w:fldChar w:fldCharType="separate"/>
        </w:r>
        <w:r w:rsidR="00964A70" w:rsidRPr="00370E70">
          <w:rPr>
            <w:noProof/>
            <w:color w:val="FFFFFF"/>
            <w:sz w:val="10"/>
            <w:szCs w:val="10"/>
          </w:rPr>
          <w:t>Aragones and Marsh 2000</w:t>
        </w:r>
        <w:r w:rsidR="00964A70" w:rsidRPr="00370E70">
          <w:rPr>
            <w:color w:val="FFFFFF"/>
            <w:sz w:val="10"/>
            <w:szCs w:val="10"/>
          </w:rPr>
          <w:fldChar w:fldCharType="end"/>
        </w:r>
      </w:hyperlink>
      <w:r w:rsidR="00EE0164" w:rsidRPr="00370E70">
        <w:rPr>
          <w:color w:val="FFFFFF"/>
          <w:sz w:val="10"/>
          <w:szCs w:val="10"/>
        </w:rPr>
        <w:t xml:space="preserve">, </w:t>
      </w:r>
      <w:hyperlink w:anchor="_ENREF_113" w:tooltip="Lanyon, 1989 #1247"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&lt;EndNote&gt;&lt;Cite&gt;&lt;Author&gt;Lanyon&lt;/Author&gt;&lt;Year&gt;1989&lt;/Year&gt;&lt;RecNum&gt;1247&lt;/RecNum&gt;&lt;DisplayText&gt;Lanyon&lt;style face="italic"&gt; et al.&lt;/style&gt; 1989&lt;/DisplayText&gt;&lt;record&gt;&lt;rec-number&gt;1247&lt;/rec-number&gt;&lt;foreign-keys&gt;&lt;key app="EN" db-id="0eve55x9y5vfd6e9dacxtew4eatve2dzds9a"&gt;1247&lt;/key&gt;&lt;/foreign-keys&gt;&lt;ref-type name="Book Section"&gt;5&lt;/ref-type&gt;&lt;contributors&gt;&lt;authors&gt;&lt;author&gt;Lanyon, Janet&lt;/author&gt;&lt;author&gt;Limpus, Col J.&lt;/author&gt;&lt;author&gt;Marsh, Helene&lt;/author&gt;&lt;/authors&gt;&lt;secondary-authors&gt;&lt;author&gt;Larkum, A. W. D.&lt;/author&gt;&lt;author&gt;McComb, A. J.&lt;/author&gt;&lt;author&gt;Shepherd, S. A.&lt;/author&gt;&lt;/secondary-authors&gt;&lt;/contributors&gt;&lt;titles&gt;&lt;title&gt;Dugongs and turtles: grazers in the seagrass system&lt;/title&gt;&lt;secondary-title&gt;Biology of Seagrasses: A treatise on the biology of seagrasses with special reference to the Australian region&lt;/secondary-title&gt;&lt;/titles&gt;&lt;pages&gt;610-634&lt;/pages&gt;&lt;keywords&gt;&lt;keyword&gt;MCKENZIE 1996&lt;/keyword&gt;&lt;/keywords&gt;&lt;dates&gt;&lt;year&gt;1989&lt;/year&gt;&lt;/dates&gt;&lt;pub-location&gt;New York&lt;/pub-location&gt;&lt;publisher&gt;Elsevier&lt;/publisher&gt;&lt;label&gt;1330&lt;/label&gt;&lt;urls&gt;&lt;/urls&gt;&lt;custom1&gt;Annex&lt;/custom1&gt;&lt;/record&gt;&lt;/Cite&gt;&lt;/EndNote&gt;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Lanyon</w:t>
        </w:r>
        <w:r w:rsidR="00964A70" w:rsidRPr="00370E70">
          <w:rPr>
            <w:i/>
            <w:noProof/>
            <w:color w:val="FFFFFF"/>
            <w:sz w:val="10"/>
            <w:szCs w:val="10"/>
          </w:rPr>
          <w:t xml:space="preserve"> et al.</w:t>
        </w:r>
        <w:r w:rsidR="00964A70" w:rsidRPr="00370E70">
          <w:rPr>
            <w:noProof/>
            <w:color w:val="FFFFFF"/>
            <w:sz w:val="10"/>
            <w:szCs w:val="10"/>
          </w:rPr>
          <w:t xml:space="preserve"> 1989</w:t>
        </w:r>
        <w:r w:rsidR="00964A70" w:rsidRPr="00370E70">
          <w:rPr>
            <w:color w:val="FFFFFF"/>
            <w:sz w:val="10"/>
            <w:szCs w:val="10"/>
          </w:rPr>
          <w:fldChar w:fldCharType="end"/>
        </w:r>
      </w:hyperlink>
      <w:r w:rsidR="00EE0164" w:rsidRPr="00370E70">
        <w:rPr>
          <w:color w:val="FFFFFF"/>
          <w:sz w:val="10"/>
          <w:szCs w:val="10"/>
        </w:rPr>
        <w:t xml:space="preserve">, </w:t>
      </w:r>
      <w:hyperlink w:anchor="_ENREF_16" w:tooltip="Birch, 1984 #177"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&lt;EndNote&gt;&lt;Cite&gt;&lt;Author&gt;Birch&lt;/Author&gt;&lt;Year&gt;1984&lt;/Year&gt;&lt;RecNum&gt;177&lt;/RecNum&gt;&lt;DisplayText&gt;Birch and Birch 1984&lt;/DisplayText&gt;&lt;record&gt;&lt;rec-number&gt;177&lt;/rec-number&gt;&lt;foreign-keys&gt;&lt;key app="EN" db-id="0eve55x9y5vfd6e9dacxtew4eatve2dzds9a"&gt;177&lt;/key&gt;&lt;/foreign-keys&gt;&lt;ref-type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Birch and Birch 1984</w:t>
        </w:r>
        <w:r w:rsidR="00964A70" w:rsidRPr="00370E70">
          <w:rPr>
            <w:color w:val="FFFFFF"/>
            <w:sz w:val="10"/>
            <w:szCs w:val="10"/>
          </w:rPr>
          <w:fldChar w:fldCharType="end"/>
        </w:r>
      </w:hyperlink>
      <w:r w:rsidR="00EE0164" w:rsidRPr="00370E70">
        <w:rPr>
          <w:color w:val="FFFFFF"/>
          <w:sz w:val="10"/>
          <w:szCs w:val="10"/>
        </w:rPr>
        <w:t xml:space="preserve">, </w:t>
      </w:r>
      <w:hyperlink w:anchor="_ENREF_157" w:tooltip="Preen, 1995 #95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&lt;EndNote&gt;&lt;Cite&gt;&lt;Author&gt;Preen&lt;/Author&gt;&lt;Year&gt;1995&lt;/Year&gt;&lt;RecNum&gt;950&lt;/RecNum&gt;&lt;DisplayText&gt;Preen&lt;style face="italic"&gt;, et al.&lt;/style&gt; 1995&lt;/DisplayText&gt;&lt;record&gt;&lt;rec-number&gt;950&lt;/rec-number&gt;&lt;foreign-keys&gt;&lt;key app="EN" db-id="0eve55x9y5vfd6e9dacxtew4eatve2dzds9a"&gt;950&lt;/key&gt;&lt;/foreign-keys&gt;&lt;ref-type name="Journal Article"&gt;17&lt;/ref-type&gt;&lt;contributors&gt;&lt;authors&gt;&lt;author&gt;Preen, Anthony R.&lt;/author&gt;&lt;author&gt;Lee Long, Warren J.&lt;/author&gt;&lt;author&gt;Coles, Robert G.&lt;/author&gt;&lt;/authors&gt;&lt;/contributors&gt;&lt;titles&gt;&lt;title&gt;&lt;style face="normal" font="default" size="100%"&gt;Flood and cyclone related loss, and partial recovery, of more than 1,000 km&lt;/style&gt;&lt;style face="superscript" font="default" size="100%"&gt;2&lt;/style&gt;&lt;style face="normal" font="default" size="100%"&gt; of seagrass in Hervey Bay, Queensland,Australia&lt;/style&gt;&lt;/title&gt;&lt;secondary-title&gt;Aquatic Botany&lt;/secondary-title&gt;&lt;alt-title&gt;Aquat. Bot.&lt;/alt-title&gt;&lt;/titles&gt;&lt;periodical&gt;&lt;full-title&gt;Aquatic Botany&lt;/full-title&gt;&lt;/periodical&gt;&lt;pages&gt;3-17&lt;/pages&gt;&lt;volume&gt;52&lt;/volume&gt;&lt;keywords&gt;&lt;keyword&gt;Seagrass, Die off, CycloneRecovery&lt;/keyword&gt;&lt;/keywords&gt;&lt;dates&gt;&lt;year&gt;1995&lt;/year&gt;&lt;/dates&gt;&lt;urls&gt;&lt;/urls&gt;&lt;custom1&gt;Annex. Len McKenzie Collection&lt;/custom1&gt;&lt;/record&gt;&lt;/Cite&gt;&lt;/EndNote&gt;</w:instrText>
        </w:r>
        <w:r w:rsidR="00964A70" w:rsidRPr="00370E70">
          <w:rPr>
            <w:color w:val="FFFFFF"/>
            <w:sz w:val="10"/>
            <w:szCs w:val="10"/>
          </w:rPr>
          <w:fldChar w:fldCharType="separate"/>
        </w:r>
        <w:r w:rsidR="00964A70" w:rsidRPr="00370E70">
          <w:rPr>
            <w:noProof/>
            <w:color w:val="FFFFFF"/>
            <w:sz w:val="10"/>
            <w:szCs w:val="10"/>
          </w:rPr>
          <w:t>Preen</w:t>
        </w:r>
        <w:r w:rsidR="00964A70" w:rsidRPr="00370E70">
          <w:rPr>
            <w:i/>
            <w:noProof/>
            <w:color w:val="FFFFFF"/>
            <w:sz w:val="10"/>
            <w:szCs w:val="10"/>
          </w:rPr>
          <w:t>, et al.</w:t>
        </w:r>
        <w:r w:rsidR="00964A70" w:rsidRPr="00370E70">
          <w:rPr>
            <w:noProof/>
            <w:color w:val="FFFFFF"/>
            <w:sz w:val="10"/>
            <w:szCs w:val="10"/>
          </w:rPr>
          <w:t xml:space="preserve"> 1995</w:t>
        </w:r>
        <w:r w:rsidR="00964A70" w:rsidRPr="00370E70">
          <w:rPr>
            <w:color w:val="FFFFFF"/>
            <w:sz w:val="10"/>
            <w:szCs w:val="10"/>
          </w:rPr>
          <w:fldChar w:fldCharType="end"/>
        </w:r>
      </w:hyperlink>
      <w:r w:rsidR="00EE0164" w:rsidRPr="00370E70">
        <w:rPr>
          <w:color w:val="FFFFFF"/>
          <w:sz w:val="10"/>
          <w:szCs w:val="10"/>
        </w:rPr>
        <w:t xml:space="preserve">, </w:t>
      </w:r>
      <w:hyperlink w:anchor="_ENREF_129" w:tooltip="McKenzie, 1994 #914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&lt;EndNote&gt;&lt;Cite&gt;&lt;Author&gt;McKenzie&lt;/Author&gt;&lt;Year&gt;1994&lt;/Year&gt;&lt;RecNum&gt;9140&lt;/RecNum&gt;&lt;DisplayText&gt;McKenzie 1994&lt;/DisplayText&gt;&lt;record&gt;&lt;rec-number&gt;9140&lt;/rec-number&gt;&lt;foreign-keys&gt;&lt;key app="EN" db-id="0eve55x9y5vfd6e9dacxtew4eatve2dzds9a"&gt;9140&lt;/key&gt;&lt;/foreign-keys&gt;&lt;ref-type name="Journal Article"&gt;17&lt;/ref-type&gt;&lt;contributors&gt;&lt;authors&gt;&lt;author&gt;McKenzie, Len J&lt;/author&gt;&lt;/authors&gt;&lt;/contributors&gt;&lt;titles&gt;&lt;title&gt;&lt;style face="normal" font="default" size="100%"&gt;Seasonal changes in biomass and shoot characteristics of a &lt;/style&gt;&lt;style face="italic" font="default" size="100%"&gt;Zostera capricorn&lt;/style&gt;&lt;style face="normal" font="default" size="100%"&gt; Aschers. dominant meadow in Cairns Harbour, northern Queensland&lt;/style&gt;&lt;/title&gt;&lt;secondary-title&gt;Australian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Research&lt;/abbr-1&gt;&lt;/alt-periodical&gt;&lt;pages&gt;1337-1352&lt;/pages&gt;&lt;volume&gt;45&lt;/volume&gt;&lt;keywords&gt;&lt;keyword&gt;MCKENZIE 1996&lt;/keyword&gt;&lt;keyword&gt;SEAGRASS&lt;/keyword&gt;&lt;keyword&gt;SEAGRASS MAPPING&lt;/keyword&gt;&lt;keyword&gt;TEMP&lt;/keyword&gt;&lt;/keywords&gt;&lt;dates&gt;&lt;year&gt;1994&lt;/year&gt;&lt;/dates&gt;&lt;urls&gt;&lt;/urls&gt;&lt;custom1&gt;Annex. Len McKenzie Collection&lt;/custom1&gt;&lt;/record&gt;&lt;/Cite&gt;&lt;/EndNote&gt;</w:instrText>
        </w:r>
        <w:r w:rsidR="00964A70" w:rsidRPr="00370E70">
          <w:rPr>
            <w:color w:val="FFFFFF"/>
            <w:sz w:val="10"/>
            <w:szCs w:val="10"/>
          </w:rPr>
          <w:fldChar w:fldCharType="separate"/>
        </w:r>
        <w:r w:rsidR="00964A70" w:rsidRPr="00370E70">
          <w:rPr>
            <w:noProof/>
            <w:color w:val="FFFFFF"/>
            <w:sz w:val="10"/>
            <w:szCs w:val="10"/>
          </w:rPr>
          <w:t>McKenzie 1994</w:t>
        </w:r>
        <w:r w:rsidR="00964A70" w:rsidRPr="00370E70">
          <w:rPr>
            <w:color w:val="FFFFFF"/>
            <w:sz w:val="10"/>
            <w:szCs w:val="10"/>
          </w:rPr>
          <w:fldChar w:fldCharType="end"/>
        </w:r>
      </w:hyperlink>
      <w:r w:rsidR="00EE0164" w:rsidRPr="00370E70">
        <w:rPr>
          <w:color w:val="FFFFFF"/>
          <w:sz w:val="10"/>
          <w:szCs w:val="10"/>
        </w:rPr>
        <w:t xml:space="preserve">, </w:t>
      </w:r>
      <w:hyperlink w:anchor="_ENREF_94" w:tooltip="Hamilton, 1994 #91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&lt;EndNote&gt;&lt;Cite&gt;&lt;Author&gt;Hamilton&lt;/Author&gt;&lt;Year&gt;1994&lt;/Year&gt;&lt;RecNum&gt;911&lt;/RecNum&gt;&lt;DisplayText&gt;Hamilton 1994&lt;/DisplayText&gt;&lt;record&gt;&lt;rec-number&gt;911&lt;/rec-number&gt;&lt;foreign-keys&gt;&lt;key app="EN" db-id="0eve55x9y5vfd6e9dacxtew4eatve2dzds9a"&gt;911&lt;/key&gt;&lt;/foreign-keys&gt;&lt;ref-type name="Journal Article"&gt;17&lt;/ref-type&gt;&lt;contributors&gt;&lt;authors&gt;&lt;author&gt;Hamilton, L. J.&lt;/author&gt;&lt;/authors&gt;&lt;/contributors&gt;&lt;titles&gt;&lt;title&gt;Turbidity in the northern Great Barrier Reef lagoon in the wet season, March 1989&lt;/title&gt;&lt;secondary-title&gt;Australian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Research&lt;/abbr-1&gt;&lt;/alt-periodical&gt;&lt;pages&gt;585-615&lt;/pages&gt;&lt;volume&gt;45&lt;/volume&gt;&lt;keywords&gt;&lt;keyword&gt;SEAGRASS&lt;/keyword&gt;&lt;keyword&gt;SEAGRASS MAPPING&lt;/keyword&gt;&lt;/keywords&gt;&lt;dates&gt;&lt;year&gt;1994&lt;/year&gt;&lt;/dates&gt;&lt;label&gt;955&lt;/label&gt;&lt;urls&gt;&lt;/urls&gt;&lt;custom1&gt;Annex&lt;/custom1&gt;&lt;/record&gt;&lt;/Cite&gt;&lt;/EndNote&gt;</w:instrText>
        </w:r>
        <w:r w:rsidR="00964A70" w:rsidRPr="00370E70">
          <w:rPr>
            <w:color w:val="FFFFFF"/>
            <w:sz w:val="10"/>
            <w:szCs w:val="10"/>
          </w:rPr>
          <w:fldChar w:fldCharType="separate"/>
        </w:r>
        <w:r w:rsidR="00964A70" w:rsidRPr="00370E70">
          <w:rPr>
            <w:noProof/>
            <w:color w:val="FFFFFF"/>
            <w:sz w:val="10"/>
            <w:szCs w:val="10"/>
          </w:rPr>
          <w:t>Hamilton 1994</w:t>
        </w:r>
        <w:r w:rsidR="00964A70" w:rsidRPr="00370E70">
          <w:rPr>
            <w:color w:val="FFFFFF"/>
            <w:sz w:val="10"/>
            <w:szCs w:val="10"/>
          </w:rPr>
          <w:fldChar w:fldCharType="end"/>
        </w:r>
      </w:hyperlink>
      <w:r w:rsidR="00EE0164" w:rsidRPr="00370E70">
        <w:rPr>
          <w:color w:val="FFFFFF"/>
          <w:sz w:val="10"/>
          <w:szCs w:val="10"/>
        </w:rPr>
        <w:t xml:space="preserve">, </w:t>
      </w:r>
      <w:hyperlink w:anchor="_ENREF_85" w:tooltip="Garel, 2008 #9749"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&lt;EndNote&gt;&lt;Cite&gt;&lt;Author&gt;Garel&lt;/Author&gt;&lt;Year&gt;2008&lt;/Year&gt;&lt;RecNum&gt;9749&lt;/RecNum&gt;&lt;DisplayText&gt;Garel&lt;style face="italic"&gt; et al.&lt;/style&gt; 2008&lt;/DisplayText&gt;&lt;record&gt;&lt;rec-number&gt;9749&lt;/rec-number&gt;&lt;foreign-keys&gt;&lt;key app="EN" db-id="0eve55x9y5vfd6e9dacxtew4eatve2dzds9a"&gt;9749&lt;/key&gt;&lt;/foreign-keys&gt;&lt;ref-type name="Journal Article"&gt;17&lt;/ref-type&gt;&lt;contributors&gt;&lt;authors&gt;&lt;author&gt;Garel, E&lt;/author&gt;&lt;author&gt;López Fernández, L&lt;/author&gt;&lt;author&gt;Collins, M&lt;/author&gt;&lt;/authors&gt;&lt;/contributors&gt;&lt;titles&gt;&lt;title&gt;Sediment resuspension events induced by the wake wash of deep-draft vessels&lt;/title&gt;&lt;secondary-title&gt;Geo-Marine Letters&lt;/secondary-title&gt;&lt;/titles&gt;&lt;periodical&gt;&lt;full-title&gt;Geo-Marine Letters&lt;/full-title&gt;&lt;/periodical&gt;&lt;pages&gt;205-211&lt;/pages&gt;&lt;volume&gt;28&lt;/volume&gt;&lt;number&gt;4&lt;/number&gt;&lt;dates&gt;&lt;year&gt;2008&lt;/year&gt;&lt;/dates&gt;&lt;urls&gt;&lt;/urls&gt;&lt;/record&gt;&lt;/Cite&gt;&lt;/EndNote&gt;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Garel</w:t>
        </w:r>
        <w:r w:rsidR="00964A70" w:rsidRPr="00370E70">
          <w:rPr>
            <w:i/>
            <w:noProof/>
            <w:color w:val="FFFFFF"/>
            <w:sz w:val="10"/>
            <w:szCs w:val="10"/>
          </w:rPr>
          <w:t xml:space="preserve"> et al.</w:t>
        </w:r>
        <w:r w:rsidR="00964A70" w:rsidRPr="00370E70">
          <w:rPr>
            <w:noProof/>
            <w:color w:val="FFFFFF"/>
            <w:sz w:val="10"/>
            <w:szCs w:val="10"/>
          </w:rPr>
          <w:t xml:space="preserve"> 2008</w:t>
        </w:r>
        <w:r w:rsidR="00964A70" w:rsidRPr="00370E70">
          <w:rPr>
            <w:color w:val="FFFFFF"/>
            <w:sz w:val="10"/>
            <w:szCs w:val="10"/>
          </w:rPr>
          <w:fldChar w:fldCharType="end"/>
        </w:r>
      </w:hyperlink>
      <w:r w:rsidR="00EE0164" w:rsidRPr="00370E70">
        <w:rPr>
          <w:color w:val="FFFFFF"/>
          <w:sz w:val="10"/>
          <w:szCs w:val="10"/>
        </w:rPr>
        <w:t xml:space="preserve">, </w:t>
      </w:r>
      <w:hyperlink w:anchor="_ENREF_172" w:tooltip="Schoellhamer, 1996 #975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&lt;EndNote&gt;&lt;Cite&gt;&lt;Author&gt;Schoellhamer&lt;/Author&gt;&lt;Year&gt;1996&lt;/Year&gt;&lt;RecNum&gt;9750&lt;/RecNum&gt;&lt;DisplayText&gt;Schoellhamer 1996&lt;/DisplayText&gt;&lt;record&gt;&lt;rec-number&gt;9750&lt;/rec-number&gt;&lt;foreign-keys&gt;&lt;key app="EN" db-id="0eve55x9y5vfd6e9dacxtew4eatve2dzds9a"&gt;9750&lt;/key&gt;&lt;/foreign-keys&gt;&lt;ref-type name="Journal Article"&gt;17&lt;/ref-type&gt;&lt;contributors&gt;&lt;authors&gt;&lt;author&gt;Schoellhamer, D H&lt;/author&gt;&lt;/authors&gt;&lt;/contributors&gt;&lt;titles&gt;&lt;title&gt;Anthropogenic sediment resuspension mechanisms in a shallow microtidal estuary&lt;/title&gt;&lt;secondary-title&gt;Estuarine and Coastal Shelf Science&lt;/secondary-title&gt;&lt;/titles&gt;&lt;periodical&gt;&lt;full-title&gt;Estuarine and Coastal Shelf Science&lt;/full-title&gt;&lt;/periodical&gt;&lt;pages&gt;533-548&lt;/pages&gt;&lt;volume&gt;43&lt;/volume&gt;&lt;number&gt;5&lt;/number&gt;&lt;dates&gt;&lt;year&gt;1996&lt;/year&gt;&lt;/dates&gt;&lt;urls&gt;&lt;/urls&gt;&lt;/record&gt;&lt;/Cite&gt;&lt;/EndNote&gt;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Schoellhamer 1996</w:t>
        </w:r>
        <w:r w:rsidR="00964A70" w:rsidRPr="00370E70">
          <w:rPr>
            <w:color w:val="FFFFFF"/>
            <w:sz w:val="10"/>
            <w:szCs w:val="10"/>
          </w:rPr>
          <w:fldChar w:fldCharType="end"/>
        </w:r>
      </w:hyperlink>
      <w:r w:rsidR="00EE0164" w:rsidRPr="00370E70">
        <w:rPr>
          <w:color w:val="FFFFFF"/>
          <w:sz w:val="10"/>
          <w:szCs w:val="10"/>
        </w:rPr>
        <w:t xml:space="preserve">, </w:t>
      </w:r>
      <w:hyperlink w:anchor="_ENREF_29" w:tooltip="Campbell, 2006 #2896"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Campbell</w:t>
        </w:r>
        <w:r w:rsidR="00964A70" w:rsidRPr="00370E70">
          <w:rPr>
            <w:i/>
            <w:noProof/>
            <w:color w:val="FFFFFF"/>
            <w:sz w:val="10"/>
            <w:szCs w:val="10"/>
          </w:rPr>
          <w:t xml:space="preserve"> et al.</w:t>
        </w:r>
        <w:r w:rsidR="00964A70" w:rsidRPr="00370E70">
          <w:rPr>
            <w:noProof/>
            <w:color w:val="FFFFFF"/>
            <w:sz w:val="10"/>
            <w:szCs w:val="10"/>
          </w:rPr>
          <w:t xml:space="preserve"> 2006</w:t>
        </w:r>
        <w:r w:rsidR="00964A70" w:rsidRPr="00370E70">
          <w:rPr>
            <w:color w:val="FFFFFF"/>
            <w:sz w:val="10"/>
            <w:szCs w:val="10"/>
          </w:rPr>
          <w:fldChar w:fldCharType="end"/>
        </w:r>
      </w:hyperlink>
      <w:r w:rsidR="00EE0164" w:rsidRPr="00370E70">
        <w:rPr>
          <w:color w:val="FFFFFF"/>
          <w:sz w:val="10"/>
          <w:szCs w:val="10"/>
        </w:rPr>
        <w:t xml:space="preserve">, </w:t>
      </w:r>
      <w:hyperlink w:anchor="_ENREF_1" w:tooltip="Abal, 1996 #2570"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&lt;EndNote&gt;&lt;Cite&gt;&lt;Author&gt;Abal&lt;/Author&gt;&lt;Year&gt;1996&lt;/Year&gt;&lt;RecNum&gt;2570&lt;/RecNum&gt;&lt;DisplayText&gt;Abal and Dennison 1996&lt;/DisplayText&gt;&lt;record&gt;&lt;rec-number&gt;2570&lt;/rec-number&gt;&lt;foreign-keys&gt;&lt;key app="EN" db-id="0eve55x9y5vfd6e9dacxtew4eatve2dzds9a"&gt;2570&lt;/key&gt;&lt;/foreign-keys&gt;&lt;ref-type name="Journal Article"&gt;17&lt;/ref-type&gt;&lt;contributors&gt;&lt;authors&gt;&lt;author&gt;Abal, E.G.&lt;/author&gt;&lt;author&gt;Dennison, W.C.&lt;/author&gt;&lt;/authors&gt;&lt;/contributors&gt;&lt;titles&gt;&lt;title&gt;Seagrass depth range and water quality in southern Moreton Bay, Queensland, Australia&lt;/title&gt;&lt;secondary-title&gt;Marine and Freshwater Research&lt;/secondary-title&gt;&lt;/titles&gt;&lt;periodical&gt;&lt;full-title&gt;Marine and Freshwater Research&lt;/full-title&gt;&lt;/periodical&gt;&lt;pages&gt;763-771&lt;/pages&gt;&lt;volume&gt;47&lt;/volume&gt;&lt;number&gt;6&lt;/number&gt;&lt;dates&gt;&lt;year&gt;1996&lt;/year&gt;&lt;/dates&gt;&lt;label&gt;Stew&lt;/label&gt;&lt;urls&gt;&lt;related-urls&gt;&lt;url&gt;http://www.sciencedirect.com/science/article/B6WS1-3XRF3RX-1XM/1/cbcd06507788f404156793e9c83ea04e&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Abal and Dennison 1996</w:t>
        </w:r>
        <w:r w:rsidR="00964A70" w:rsidRPr="00370E70">
          <w:rPr>
            <w:color w:val="FFFFFF"/>
            <w:sz w:val="10"/>
            <w:szCs w:val="10"/>
          </w:rPr>
          <w:fldChar w:fldCharType="end"/>
        </w:r>
      </w:hyperlink>
      <w:r w:rsidR="00EE0164" w:rsidRPr="00370E70">
        <w:rPr>
          <w:color w:val="FFFFFF"/>
          <w:sz w:val="10"/>
          <w:szCs w:val="10"/>
        </w:rPr>
        <w:t xml:space="preserve">, </w:t>
      </w:r>
      <w:hyperlink w:anchor="_ENREF_185" w:tooltip="Touchette, 2000 #9751"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&lt;EndNote&gt;&lt;Cite&gt;&lt;Author&gt;Touchette&lt;/Author&gt;&lt;Year&gt;2000&lt;/Year&gt;&lt;RecNum&gt;9751&lt;/RecNum&gt;&lt;DisplayText&gt;Touchette 2000&lt;/DisplayText&gt;&lt;record&gt;&lt;rec-number&gt;9751&lt;/rec-number&gt;&lt;foreign-keys&gt;&lt;key app="EN" db-id="0eve55x9y5vfd6e9dacxtew4eatve2dzds9a"&gt;9751&lt;/key&gt;&lt;/foreign-keys&gt;&lt;ref-type name="Journal Article"&gt;17&lt;/ref-type&gt;&lt;contributors&gt;&lt;authors&gt;&lt;author&gt;Touchette, B W&lt;/author&gt;&lt;/authors&gt;&lt;/contributors&gt;&lt;titles&gt;&lt;title&gt;Review of nitrogen and phosphorous metabolism in seagrasses&lt;/title&gt;&lt;secondary-title&gt;Journal of Experimental Marine Biology and Ecology&lt;/secondary-title&gt;&lt;/titles&gt;&lt;periodical&gt;&lt;full-title&gt;Journal of Experimental Marine Biology and Ecology&lt;/full-title&gt;&lt;/periodical&gt;&lt;pages&gt;133-167&lt;/pages&gt;&lt;volume&gt;250&lt;/volume&gt;&lt;dates&gt;&lt;year&gt;2000&lt;/year&gt;&lt;/dates&gt;&lt;urls&gt;&lt;/urls&gt;&lt;/record&gt;&lt;/Cite&gt;&lt;/EndNote&gt;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Touchette 2000</w:t>
        </w:r>
        <w:r w:rsidR="00964A70" w:rsidRPr="00370E70">
          <w:rPr>
            <w:color w:val="FFFFFF"/>
            <w:sz w:val="10"/>
            <w:szCs w:val="10"/>
          </w:rPr>
          <w:fldChar w:fldCharType="end"/>
        </w:r>
      </w:hyperlink>
      <w:r w:rsidR="00EE0164" w:rsidRPr="00370E70">
        <w:rPr>
          <w:color w:val="FFFFFF"/>
          <w:sz w:val="10"/>
          <w:szCs w:val="10"/>
        </w:rPr>
        <w:t xml:space="preserve">, </w:t>
      </w:r>
      <w:hyperlink w:anchor="_ENREF_181" w:tooltip="Thorhaug, 2006 #7326"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&lt;EndNote&gt;&lt;Cite&gt;&lt;Author&gt;Thorhaug&lt;/Author&gt;&lt;Year&gt;2006&lt;/Year&gt;&lt;RecNum&gt;7326&lt;/RecNum&gt;&lt;DisplayText&gt;Thorhaug&lt;style face="italic"&gt; et al.&lt;/style&gt; 2006&lt;/DisplayText&gt;&lt;record&gt;&lt;rec-number&gt;7326&lt;/rec-number&gt;&lt;foreign-keys&gt;&lt;key app="EN" db-id="0eve55x9y5vfd6e9dacxtew4eatve2dzds9a"&gt;7326&lt;/key&gt;&lt;/foreign-keys&gt;&lt;ref-type name="Journal Article"&gt;17&lt;/ref-type&gt;&lt;contributors&gt;&lt;authors&gt;&lt;author&gt;Thorhaug, A.&lt;/author&gt;&lt;author&gt;Richardson, A.D.&lt;/author&gt;&lt;author&gt;Berlyn, G.P.&lt;/author&gt;&lt;/authors&gt;&lt;/contributors&gt;&lt;titles&gt;&lt;title&gt;&lt;style face="normal" font="default" size="100%"&gt;Spectral reflectance of &lt;/style&gt;&lt;style face="italic" font="default" size="100%"&gt;Thalassia testudinum&lt;/style&gt;&lt;style face="normal" font="default" size="100%"&gt; (Hydrocharitaceae) seagrass: low salinity effects&lt;/style&gt;&lt;/title&gt;&lt;secondary-title&gt;American Journal of Botany&lt;/secondary-title&gt;&lt;/titles&gt;&lt;pages&gt;110-117&lt;/pages&gt;&lt;volume&gt;93&lt;/volume&gt;&lt;number&gt;1&lt;/number&gt;&lt;dates&gt;&lt;year&gt;2006&lt;/year&gt;&lt;/dates&gt;&lt;urls&gt;&lt;/urls&gt;&lt;/record&gt;&lt;/Cite&gt;&lt;/EndNote&gt;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Thorhaug</w:t>
        </w:r>
        <w:r w:rsidR="00964A70" w:rsidRPr="00370E70">
          <w:rPr>
            <w:i/>
            <w:noProof/>
            <w:color w:val="FFFFFF"/>
            <w:sz w:val="10"/>
            <w:szCs w:val="10"/>
          </w:rPr>
          <w:t xml:space="preserve"> et al.</w:t>
        </w:r>
        <w:r w:rsidR="00964A70" w:rsidRPr="00370E70">
          <w:rPr>
            <w:noProof/>
            <w:color w:val="FFFFFF"/>
            <w:sz w:val="10"/>
            <w:szCs w:val="10"/>
          </w:rPr>
          <w:t xml:space="preserve"> 2006</w:t>
        </w:r>
        <w:r w:rsidR="00964A70" w:rsidRPr="00370E70">
          <w:rPr>
            <w:color w:val="FFFFFF"/>
            <w:sz w:val="10"/>
            <w:szCs w:val="10"/>
          </w:rPr>
          <w:fldChar w:fldCharType="end"/>
        </w:r>
      </w:hyperlink>
      <w:r w:rsidR="00EE0164" w:rsidRPr="00370E70">
        <w:rPr>
          <w:color w:val="FFFFFF"/>
          <w:sz w:val="10"/>
          <w:szCs w:val="10"/>
        </w:rPr>
        <w:t xml:space="preserve">, </w:t>
      </w:r>
      <w:hyperlink w:anchor="_ENREF_51" w:tooltip="Connolly, 1999 #545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&lt;EndNote&gt;&lt;Cite&gt;&lt;Author&gt;Connolly&lt;/Author&gt;&lt;Year&gt;1999&lt;/Year&gt;&lt;RecNum&gt;5454&lt;/RecNum&gt;&lt;DisplayText&gt;Connolly&lt;style face="italic"&gt; et al.&lt;/style&gt; 1999&lt;/DisplayText&gt;&lt;record&gt;&lt;rec-number&gt;5454&lt;/rec-number&gt;&lt;foreign-keys&gt;&lt;key app="EN" db-id="0eve55x9y5vfd6e9dacxtew4eatve2dzds9a"&gt;5454&lt;/key&gt;&lt;/foreign-keys&gt;&lt;ref-type name="Book Section"&gt;5&lt;/ref-type&gt;&lt;contributors&gt;&lt;authors&gt;&lt;author&gt;Connolly, R&lt;/author&gt;&lt;author&gt;Jenkins, G&lt;/author&gt;&lt;author&gt;Loneragan, N&lt;/author&gt;&lt;/authors&gt;&lt;secondary-authors&gt;&lt;author&gt;Butler, A&lt;/author&gt;&lt;author&gt;Jernacoff, P&lt;/author&gt;&lt;/secondary-authors&gt;&lt;/contributors&gt;&lt;titles&gt;&lt;title&gt;Seagrass Dynamics and fisheries sustainability&lt;/title&gt;&lt;secondary-title&gt;Seagrasses in Australia&lt;/secondary-title&gt;&lt;/titles&gt;&lt;pages&gt;25-64&lt;/pages&gt;&lt;dates&gt;&lt;year&gt;1999&lt;/year&gt;&lt;/dates&gt;&lt;pub-location&gt;Melbourne&lt;/pub-location&gt;&lt;publisher&gt;CSIRO&lt;/publisher&gt;&lt;label&gt;XF&lt;/label&gt;&lt;urls&gt;&lt;/urls&gt;&lt;/record&gt;&lt;/Cite&gt;&lt;/EndNote&gt;</w:instrText>
        </w:r>
        <w:r w:rsidR="00964A70" w:rsidRPr="00370E70">
          <w:rPr>
            <w:color w:val="FFFFFF"/>
            <w:sz w:val="10"/>
            <w:szCs w:val="10"/>
          </w:rPr>
          <w:fldChar w:fldCharType="separate"/>
        </w:r>
        <w:r w:rsidR="00964A70" w:rsidRPr="00370E70">
          <w:rPr>
            <w:noProof/>
            <w:color w:val="FFFFFF"/>
            <w:sz w:val="10"/>
            <w:szCs w:val="10"/>
          </w:rPr>
          <w:t>Connolly</w:t>
        </w:r>
        <w:r w:rsidR="00964A70" w:rsidRPr="00370E70">
          <w:rPr>
            <w:i/>
            <w:noProof/>
            <w:color w:val="FFFFFF"/>
            <w:sz w:val="10"/>
            <w:szCs w:val="10"/>
          </w:rPr>
          <w:t xml:space="preserve"> et al.</w:t>
        </w:r>
        <w:r w:rsidR="00964A70" w:rsidRPr="00370E70">
          <w:rPr>
            <w:noProof/>
            <w:color w:val="FFFFFF"/>
            <w:sz w:val="10"/>
            <w:szCs w:val="10"/>
          </w:rPr>
          <w:t xml:space="preserve"> 1999</w:t>
        </w:r>
        <w:r w:rsidR="00964A70" w:rsidRPr="00370E70">
          <w:rPr>
            <w:color w:val="FFFFFF"/>
            <w:sz w:val="10"/>
            <w:szCs w:val="10"/>
          </w:rPr>
          <w:fldChar w:fldCharType="end"/>
        </w:r>
      </w:hyperlink>
      <w:r w:rsidR="00EE0164" w:rsidRPr="00370E70">
        <w:rPr>
          <w:color w:val="FFFFFF"/>
          <w:sz w:val="10"/>
          <w:szCs w:val="10"/>
        </w:rPr>
        <w:t xml:space="preserve">, </w:t>
      </w:r>
      <w:hyperlink w:anchor="_ENREF_160" w:tooltip="Ralph, 2007 #785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&lt;EndNote&gt;&lt;Cite&gt;&lt;Author&gt;Ralph&lt;/Author&gt;&lt;Year&gt;2007&lt;/Year&gt;&lt;RecNum&gt;7855&lt;/RecNum&gt;&lt;DisplayText&gt;Ralph&lt;style face="italic"&gt; et al.&lt;/style&gt; 2007&lt;/DisplayText&gt;&lt;record&gt;&lt;rec-number&gt;7855&lt;/rec-number&gt;&lt;foreign-keys&gt;&lt;key app="EN" db-id="0eve55x9y5vfd6e9dacxtew4eatve2dzds9a"&gt;7855&lt;/key&gt;&lt;/foreign-keys&gt;&lt;ref-type name="Journal Article"&gt;17&lt;/ref-type&gt;&lt;contributors&gt;&lt;authors&gt;&lt;author&gt;Ralph, P. J.&lt;/author&gt;&lt;author&gt;Durako, M. J.&lt;/author&gt;&lt;author&gt;Enriquez, S.&lt;/author&gt;&lt;author&gt;Collier, C. J.&lt;/author&gt;&lt;author&gt;Doblin, M. A.&lt;/author&gt;&lt;/authors&gt;&lt;/contributors&gt;&lt;titles&gt;&lt;title&gt;Impact of light limitation on seagrasses&lt;/title&gt;&lt;secondary-title&gt;Journal of Experimental Marine Biology and Ecology&lt;/secondary-title&gt;&lt;/titles&gt;&lt;periodical&gt;&lt;full-title&gt;Journal of Experimental Marine Biology and Ecology&lt;/full-title&gt;&lt;/periodical&gt;&lt;pages&gt;176-193&lt;/pages&gt;&lt;volume&gt;350&lt;/volume&gt;&lt;number&gt;1-2&lt;/number&gt;&lt;keywords&gt;&lt;keyword&gt;Light attenuation&lt;/keyword&gt;&lt;keyword&gt;Photosynthesis&lt;/keyword&gt;&lt;keyword&gt;Seagrass&lt;/keyword&gt;&lt;/keywords&gt;&lt;dates&gt;&lt;year&gt;2007&lt;/year&gt;&lt;/dates&gt;&lt;urls&gt;&lt;related-urls&gt;&lt;url&gt;http://www.sciencedirect.com/science/article/B6T8F-4PGPM42-1/2/0557564941b443849b320f2258d984c3 &lt;/url&gt;&lt;/related-urls&gt;&lt;/urls&gt;&lt;/record&gt;&lt;/Cite&gt;&lt;/EndNote&gt;</w:instrText>
        </w:r>
        <w:r w:rsidR="00964A70" w:rsidRPr="00370E70">
          <w:rPr>
            <w:color w:val="FFFFFF"/>
            <w:sz w:val="10"/>
            <w:szCs w:val="10"/>
          </w:rPr>
          <w:fldChar w:fldCharType="separate"/>
        </w:r>
        <w:r w:rsidR="00964A70" w:rsidRPr="00370E70">
          <w:rPr>
            <w:noProof/>
            <w:color w:val="FFFFFF"/>
            <w:sz w:val="10"/>
            <w:szCs w:val="10"/>
          </w:rPr>
          <w:t>Ralph</w:t>
        </w:r>
        <w:r w:rsidR="00964A70" w:rsidRPr="00370E70">
          <w:rPr>
            <w:i/>
            <w:noProof/>
            <w:color w:val="FFFFFF"/>
            <w:sz w:val="10"/>
            <w:szCs w:val="10"/>
          </w:rPr>
          <w:t xml:space="preserve"> et al.</w:t>
        </w:r>
        <w:r w:rsidR="00964A70" w:rsidRPr="00370E70">
          <w:rPr>
            <w:noProof/>
            <w:color w:val="FFFFFF"/>
            <w:sz w:val="10"/>
            <w:szCs w:val="10"/>
          </w:rPr>
          <w:t xml:space="preserve"> 2007</w:t>
        </w:r>
        <w:r w:rsidR="00964A70" w:rsidRPr="00370E70">
          <w:rPr>
            <w:color w:val="FFFFFF"/>
            <w:sz w:val="10"/>
            <w:szCs w:val="10"/>
          </w:rPr>
          <w:fldChar w:fldCharType="end"/>
        </w:r>
      </w:hyperlink>
      <w:r w:rsidR="00EE0164" w:rsidRPr="00370E70">
        <w:rPr>
          <w:color w:val="FFFFFF"/>
          <w:sz w:val="10"/>
          <w:szCs w:val="10"/>
        </w:rPr>
        <w:t xml:space="preserve">, </w:t>
      </w:r>
      <w:hyperlink w:anchor="_ENREF_173" w:tooltip="Shafer, 2007 #9752"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&lt;EndNote&gt;&lt;Cite&gt;&lt;Author&gt;Shafer&lt;/Author&gt;&lt;Year&gt;2007&lt;/Year&gt;&lt;RecNum&gt;9752&lt;/RecNum&gt;&lt;DisplayText&gt;Shafer&lt;style face="italic"&gt; et al.&lt;/style&gt; 2007&lt;/DisplayText&gt;&lt;record&gt;&lt;rec-number&gt;9752&lt;/rec-number&gt;&lt;foreign-keys&gt;&lt;key app="EN" db-id="0eve55x9y5vfd6e9dacxtew4eatve2dzds9a"&gt;9752&lt;/key&gt;&lt;/foreign-keys&gt;&lt;ref-type name="Journal Article"&gt;17&lt;/ref-type&gt;&lt;contributors&gt;&lt;authors&gt;&lt;author&gt;Shafer, D J&lt;/author&gt;&lt;author&gt;Sherman, T D&lt;/author&gt;&lt;author&gt;Wyllie-Echeverria, S&lt;/author&gt;&lt;/authors&gt;&lt;/contributors&gt;&lt;titles&gt;&lt;title&gt;Do desiccation tolerances control the vertical distribution of intertidal seagrasses?&lt;/title&gt;&lt;secondary-title&gt;Aquatic Botany&lt;/secondary-title&gt;&lt;/titles&gt;&lt;periodical&gt;&lt;full-title&gt;Aquatic Botany&lt;/full-title&gt;&lt;/periodical&gt;&lt;pages&gt;161–166&lt;/pages&gt;&lt;volume&gt;87&lt;/volume&gt;&lt;dates&gt;&lt;year&gt;2007&lt;/year&gt;&lt;/dates&gt;&lt;urls&gt;&lt;/urls&gt;&lt;/record&gt;&lt;/Cite&gt;&lt;/EndNote&gt;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Shafer</w:t>
        </w:r>
        <w:r w:rsidR="00964A70" w:rsidRPr="00370E70">
          <w:rPr>
            <w:i/>
            <w:noProof/>
            <w:color w:val="FFFFFF"/>
            <w:sz w:val="10"/>
            <w:szCs w:val="10"/>
          </w:rPr>
          <w:t xml:space="preserve"> et al.</w:t>
        </w:r>
        <w:r w:rsidR="00964A70" w:rsidRPr="00370E70">
          <w:rPr>
            <w:noProof/>
            <w:color w:val="FFFFFF"/>
            <w:sz w:val="10"/>
            <w:szCs w:val="10"/>
          </w:rPr>
          <w:t xml:space="preserve"> 2007</w:t>
        </w:r>
        <w:r w:rsidR="00964A70" w:rsidRPr="00370E70">
          <w:rPr>
            <w:color w:val="FFFFFF"/>
            <w:sz w:val="10"/>
            <w:szCs w:val="10"/>
          </w:rPr>
          <w:fldChar w:fldCharType="end"/>
        </w:r>
      </w:hyperlink>
      <w:r w:rsidR="00EE0164" w:rsidRPr="00370E70">
        <w:rPr>
          <w:color w:val="FFFFFF"/>
          <w:sz w:val="10"/>
          <w:szCs w:val="10"/>
        </w:rPr>
        <w:t xml:space="preserve">, </w:t>
      </w:r>
      <w:hyperlink w:anchor="_ENREF_32" w:tooltip="Carruthers, 2005 #802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&lt;EndNote&gt;&lt;Cite&gt;&lt;Author&gt;Carruthers&lt;/Author&gt;&lt;Year&gt;2005&lt;/Year&gt;&lt;RecNum&gt;8024&lt;/RecNum&gt;&lt;DisplayText&gt;Carruthers&lt;style face="italic"&gt; et al.&lt;/style&gt; 2005&lt;/DisplayText&gt;&lt;record&gt;&lt;rec-number&gt;8024&lt;/rec-number&gt;&lt;foreign-keys&gt;&lt;key app="EN" db-id="0eve55x9y5vfd6e9dacxtew4eatve2dzds9a"&gt;8024&lt;/key&gt;&lt;/foreign-keys&gt;&lt;ref-type name="Journal Article"&gt;17&lt;/ref-type&gt;&lt;contributors&gt;&lt;authors&gt;&lt;author&gt;Carruthers, T.J.B.&lt;/author&gt;&lt;author&gt;van Tussenbroek, B.I.&lt;/author&gt;&lt;author&gt;Dennison, W.C.&lt;/author&gt;&lt;/authors&gt;&lt;/contributors&gt;&lt;titles&gt;&lt;title&gt;Influence of submarine springs and wastewater on nutrient dynamics of Caribbean seagrass meadows&lt;/title&gt;&lt;secondary-title&gt;Estuarine , Coastal and Shelf Science&lt;/secondary-title&gt;&lt;/titles&gt;&lt;pages&gt;191-199&lt;/pages&gt;&lt;volume&gt;64&lt;/volume&gt;&lt;dates&gt;&lt;year&gt;2005&lt;/year&gt;&lt;/dates&gt;&lt;urls&gt;&lt;/urls&gt;&lt;/record&gt;&lt;/Cite&gt;&lt;/EndNote&gt;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Carruthers</w:t>
        </w:r>
        <w:r w:rsidR="00964A70" w:rsidRPr="00370E70">
          <w:rPr>
            <w:i/>
            <w:noProof/>
            <w:color w:val="FFFFFF"/>
            <w:sz w:val="10"/>
            <w:szCs w:val="10"/>
          </w:rPr>
          <w:t xml:space="preserve"> et al.</w:t>
        </w:r>
        <w:r w:rsidR="00964A70" w:rsidRPr="00370E70">
          <w:rPr>
            <w:noProof/>
            <w:color w:val="FFFFFF"/>
            <w:sz w:val="10"/>
            <w:szCs w:val="10"/>
          </w:rPr>
          <w:t xml:space="preserve"> 2005</w:t>
        </w:r>
        <w:r w:rsidR="00964A70" w:rsidRPr="00370E70">
          <w:rPr>
            <w:color w:val="FFFFFF"/>
            <w:sz w:val="10"/>
            <w:szCs w:val="10"/>
          </w:rPr>
          <w:fldChar w:fldCharType="end"/>
        </w:r>
      </w:hyperlink>
      <w:r w:rsidR="00EE0164" w:rsidRPr="00370E70">
        <w:rPr>
          <w:color w:val="FFFFFF"/>
          <w:sz w:val="10"/>
          <w:szCs w:val="10"/>
        </w:rPr>
        <w:t xml:space="preserve">, </w:t>
      </w:r>
      <w:hyperlink w:anchor="_ENREF_59" w:tooltip="Dennison, 1999 #6992"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&lt;EndNote&gt;&lt;Cite&gt;&lt;Author&gt;Dennison&lt;/Author&gt;&lt;Year&gt;1999&lt;/Year&gt;&lt;RecNum&gt;6992&lt;/RecNum&gt;&lt;DisplayText&gt;Dennison and Abal 1999&lt;/DisplayText&gt;&lt;record&gt;&lt;rec-number&gt;6992&lt;/rec-number&gt;&lt;foreign-keys&gt;&lt;key app="EN" db-id="0eve55x9y5vfd6e9dacxtew4eatve2dzds9a"&gt;6992&lt;/key&gt;&lt;/foreign-keys&gt;&lt;ref-type name="Book"&gt;6&lt;/ref-type&gt;&lt;contributors&gt;&lt;authors&gt;&lt;author&gt;Dennison, W. C.&lt;/author&gt;&lt;author&gt;Abal, E. G.&lt;/author&gt;&lt;/authors&gt;&lt;/contributors&gt;&lt;titles&gt;&lt;title&gt;Moreton Bay Study: a scientific basis for the healthy waterways campaign&lt;/title&gt;&lt;/titles&gt;&lt;pages&gt;245&lt;/pages&gt;&lt;dates&gt;&lt;year&gt;1999&lt;/year&gt;&lt;/dates&gt;&lt;pub-location&gt;Brisbane&lt;/pub-location&gt;&lt;publisher&gt;South East Queensland Regional Water Quality Management Team&lt;/publisher&gt;&lt;isbn&gt;0 9586368 1 8&lt;/isbn&gt;&lt;urls&gt;&lt;/urls&gt;&lt;/record&gt;&lt;/Cite&gt;&lt;/EndNote&gt;</w:instrText>
        </w:r>
        <w:r w:rsidR="00964A70" w:rsidRPr="00370E70">
          <w:rPr>
            <w:color w:val="FFFFFF"/>
            <w:sz w:val="10"/>
            <w:szCs w:val="10"/>
          </w:rPr>
          <w:fldChar w:fldCharType="separate"/>
        </w:r>
        <w:r w:rsidR="00964A70" w:rsidRPr="00370E70">
          <w:rPr>
            <w:noProof/>
            <w:color w:val="FFFFFF"/>
            <w:sz w:val="10"/>
            <w:szCs w:val="10"/>
          </w:rPr>
          <w:t>Dennison and Abal 1999</w:t>
        </w:r>
        <w:r w:rsidR="00964A70" w:rsidRPr="00370E70">
          <w:rPr>
            <w:color w:val="FFFFFF"/>
            <w:sz w:val="10"/>
            <w:szCs w:val="10"/>
          </w:rPr>
          <w:fldChar w:fldCharType="end"/>
        </w:r>
      </w:hyperlink>
      <w:r w:rsidR="00EE0164" w:rsidRPr="00370E70">
        <w:rPr>
          <w:color w:val="FFFFFF"/>
          <w:sz w:val="10"/>
          <w:szCs w:val="10"/>
        </w:rPr>
        <w:t xml:space="preserve">, </w:t>
      </w:r>
      <w:hyperlink w:anchor="_ENREF_53" w:tooltip="Costanzo, 2003 #9753"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&lt;EndNote&gt;&lt;Cite&gt;&lt;Author&gt;Costanzo&lt;/Author&gt;&lt;Year&gt;2003&lt;/Year&gt;&lt;RecNum&gt;9753&lt;/RecNum&gt;&lt;DisplayText&gt;Costanzo&lt;style face="italic"&gt; et al.&lt;/style&gt; 2003&lt;/DisplayText&gt;&lt;record&gt;&lt;rec-number&gt;9753&lt;/rec-number&gt;&lt;foreign-keys&gt;&lt;key app="EN" db-id="0eve55x9y5vfd6e9dacxtew4eatve2dzds9a"&gt;9753&lt;/key&gt;&lt;/foreign-keys&gt;&lt;ref-type name="Journal Article"&gt;17&lt;/ref-type&gt;&lt;contributors&gt;&lt;authors&gt;&lt;author&gt;Costanzo, S D&lt;/author&gt;&lt;author&gt;O&amp;apos;Donnohue, M K&lt;/author&gt;&lt;author&gt;Dennison, W C&lt;/author&gt;&lt;/authors&gt;&lt;/contributors&gt;&lt;titles&gt;&lt;title&gt;Assessing the seasonal influence of sewage and agricultural nutrient inputs in a subtropical river estuary.&lt;/title&gt;&lt;secondary-title&gt;Estuaries And Coasts&lt;/secondary-title&gt;&lt;/titles&gt;&lt;periodical&gt;&lt;full-title&gt;Estuaries And Coasts&lt;/full-title&gt;&lt;/periodical&gt;&lt;pages&gt;857–865&lt;/pages&gt;&lt;volume&gt;26&lt;/volume&gt;&lt;number&gt;4A&lt;/number&gt;&lt;dates&gt;&lt;year&gt;2003&lt;/year&gt;&lt;/dates&gt;&lt;urls&gt;&lt;/urls&gt;&lt;/record&gt;&lt;/Cite&gt;&lt;/EndNote&gt;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Costanzo</w:t>
        </w:r>
        <w:r w:rsidR="00964A70" w:rsidRPr="00370E70">
          <w:rPr>
            <w:i/>
            <w:noProof/>
            <w:color w:val="FFFFFF"/>
            <w:sz w:val="10"/>
            <w:szCs w:val="10"/>
          </w:rPr>
          <w:t xml:space="preserve"> et al.</w:t>
        </w:r>
        <w:r w:rsidR="00964A70" w:rsidRPr="00370E70">
          <w:rPr>
            <w:noProof/>
            <w:color w:val="FFFFFF"/>
            <w:sz w:val="10"/>
            <w:szCs w:val="10"/>
          </w:rPr>
          <w:t xml:space="preserve"> 2003</w:t>
        </w:r>
        <w:r w:rsidR="00964A70" w:rsidRPr="00370E70">
          <w:rPr>
            <w:color w:val="FFFFFF"/>
            <w:sz w:val="10"/>
            <w:szCs w:val="10"/>
          </w:rPr>
          <w:fldChar w:fldCharType="end"/>
        </w:r>
      </w:hyperlink>
      <w:r w:rsidR="00EE0164" w:rsidRPr="00370E70">
        <w:rPr>
          <w:color w:val="FFFFFF"/>
          <w:sz w:val="10"/>
          <w:szCs w:val="10"/>
        </w:rPr>
        <w:t xml:space="preserve">, </w:t>
      </w:r>
      <w:hyperlink w:anchor="_ENREF_179" w:tooltip="Stieglitz, 2005 #9754"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&lt;EndNote&gt;&lt;Cite&gt;&lt;Author&gt;Stieglitz&lt;/Author&gt;&lt;Year&gt;2005&lt;/Year&gt;&lt;RecNum&gt;9754&lt;/RecNum&gt;&lt;DisplayText&gt;Stieglitz 2005&lt;/DisplayText&gt;&lt;record&gt;&lt;rec-number&gt;9754&lt;/rec-number&gt;&lt;foreign-keys&gt;&lt;key app="EN" db-id="0eve55x9y5vfd6e9dacxtew4eatve2dzds9a"&gt;9754&lt;/key&gt;&lt;/foreign-keys&gt;&lt;ref-type name="Journal Article"&gt;17&lt;/ref-type&gt;&lt;contributors&gt;&lt;authors&gt;&lt;author&gt;Stieglitz, T&lt;/author&gt;&lt;/authors&gt;&lt;/contributors&gt;&lt;titles&gt;&lt;title&gt;Submarine groundwater discharge into the near-shore zone of the Great Barrier Reef, Australia.&lt;/title&gt;&lt;secondary-title&gt;Marine Pollution Bulletin&lt;/secondary-title&gt;&lt;/titles&gt;&lt;periodical&gt;&lt;full-title&gt;Marine Pollution Bulletin&lt;/full-title&gt;&lt;/periodical&gt;&lt;pages&gt;51-59&lt;/pages&gt;&lt;volume&gt;51&lt;/volume&gt;&lt;number&gt;1-4&lt;/number&gt;&lt;dates&gt;&lt;year&gt;2005&lt;/year&gt;&lt;/dates&gt;&lt;urls&gt;&lt;/urls&gt;&lt;/record&gt;&lt;/Cite&gt;&lt;/EndNote&gt;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Stieglitz 2005</w:t>
        </w:r>
        <w:r w:rsidR="00964A70" w:rsidRPr="00370E70">
          <w:rPr>
            <w:color w:val="FFFFFF"/>
            <w:sz w:val="10"/>
            <w:szCs w:val="10"/>
          </w:rPr>
          <w:fldChar w:fldCharType="end"/>
        </w:r>
      </w:hyperlink>
      <w:r w:rsidR="00EE0164" w:rsidRPr="00370E70">
        <w:rPr>
          <w:color w:val="FFFFFF"/>
          <w:sz w:val="10"/>
          <w:szCs w:val="10"/>
        </w:rPr>
        <w:t xml:space="preserve">, </w:t>
      </w:r>
      <w:hyperlink w:anchor="_ENREF_84" w:tooltip="Gagan, 2002 #9755" w:history="1">
        <w:r w:rsidR="00964A70" w:rsidRPr="00370E70">
          <w:rPr>
            <w:color w:val="FFFFFF"/>
            <w:sz w:val="10"/>
            <w:szCs w:val="10"/>
          </w:rPr>
          <w:fldChar w:fldCharType="begin"/>
        </w:r>
        <w:r w:rsidR="00964A70" w:rsidRPr="00370E70">
          <w:rPr>
            <w:color w:val="FFFFFF"/>
            <w:sz w:val="10"/>
            <w:szCs w:val="10"/>
          </w:rPr>
          <w:instrText xml:space="preserve"> ADDIN EN.CITE &lt;EndNote&gt;&lt;Cite&gt;&lt;Author&gt;Gagan&lt;/Author&gt;&lt;Year&gt;2002&lt;/Year&gt;&lt;RecNum&gt;9755&lt;/RecNum&gt;&lt;DisplayText&gt;Gagan&lt;style face="italic"&gt; et al.&lt;/style&gt; 2002&lt;/DisplayText&gt;&lt;record&gt;&lt;rec-number&gt;9755&lt;/rec-number&gt;&lt;foreign-keys&gt;&lt;key app="EN" db-id="0eve55x9y5vfd6e9dacxtew4eatve2dzds9a"&gt;9755&lt;/key&gt;&lt;/foreign-keys&gt;&lt;ref-type name="Journal Article"&gt;17&lt;/ref-type&gt;&lt;contributors&gt;&lt;authors&gt;&lt;author&gt;Gagan, M K&lt;/author&gt;&lt;author&gt;Ayliffe, L K&lt;/author&gt;&lt;author&gt;Opdyke, B N&lt;/author&gt;&lt;author&gt;Hopley, D&lt;/author&gt;&lt;author&gt;Scott-Gagan, H&lt;/author&gt;&lt;author&gt;Cowley, J&lt;/author&gt;&lt;/authors&gt;&lt;/contributors&gt;&lt;titles&gt;&lt;title&gt;Coral oxygen isotope evidence for recent groundwater fluxes to the Australian Great Barrier Reef&lt;/title&gt;&lt;secondary-title&gt;Geophysical Research Letters&lt;/secondary-title&gt;&lt;/titles&gt;&lt;periodical&gt;&lt;full-title&gt;Geophysical Research Letters&lt;/full-title&gt;&lt;/periodical&gt;&lt;pages&gt;1982&lt;/pages&gt;&lt;volume&gt;29&lt;/volume&gt;&lt;number&gt;20&lt;/number&gt;&lt;dates&gt;&lt;year&gt;2002&lt;/year&gt;&lt;/dates&gt;&lt;urls&gt;&lt;/urls&gt;&lt;/record&gt;&lt;/Cite&gt;&lt;/EndNote&gt;</w:instrText>
        </w:r>
        <w:r w:rsidR="00964A70" w:rsidRPr="00370E70">
          <w:rPr>
            <w:color w:val="FFFFFF"/>
            <w:sz w:val="10"/>
            <w:szCs w:val="10"/>
          </w:rPr>
          <w:fldChar w:fldCharType="separate"/>
        </w:r>
        <w:r w:rsidR="00964A70" w:rsidRPr="00370E70">
          <w:rPr>
            <w:noProof/>
            <w:color w:val="FFFFFF"/>
            <w:sz w:val="10"/>
            <w:szCs w:val="10"/>
          </w:rPr>
          <w:t>Gagan</w:t>
        </w:r>
        <w:r w:rsidR="00964A70" w:rsidRPr="00370E70">
          <w:rPr>
            <w:i/>
            <w:noProof/>
            <w:color w:val="FFFFFF"/>
            <w:sz w:val="10"/>
            <w:szCs w:val="10"/>
          </w:rPr>
          <w:t xml:space="preserve"> et al.</w:t>
        </w:r>
        <w:r w:rsidR="00964A70" w:rsidRPr="00370E70">
          <w:rPr>
            <w:noProof/>
            <w:color w:val="FFFFFF"/>
            <w:sz w:val="10"/>
            <w:szCs w:val="10"/>
          </w:rPr>
          <w:t xml:space="preserve"> 2002</w:t>
        </w:r>
        <w:r w:rsidR="00964A70" w:rsidRPr="00370E70">
          <w:rPr>
            <w:color w:val="FFFFFF"/>
            <w:sz w:val="10"/>
            <w:szCs w:val="10"/>
          </w:rPr>
          <w:fldChar w:fldCharType="end"/>
        </w:r>
      </w:hyperlink>
      <w:r w:rsidR="00EE0164" w:rsidRPr="00370E70">
        <w:rPr>
          <w:color w:val="FFFFFF"/>
          <w:sz w:val="10"/>
          <w:szCs w:val="10"/>
        </w:rPr>
        <w:t>,</w:t>
      </w:r>
    </w:p>
    <w:p w:rsidR="005132EF" w:rsidRPr="00370E70" w:rsidRDefault="005132EF" w:rsidP="008C62F5">
      <w:pPr>
        <w:pStyle w:val="Heading2"/>
        <w:rPr>
          <w:rFonts w:ascii="Century Gothic" w:hAnsi="Century Gothic"/>
          <w:color w:val="000000"/>
        </w:rPr>
      </w:pPr>
      <w:bookmarkStart w:id="95" w:name="_Toc384196117"/>
      <w:r w:rsidRPr="00370E70">
        <w:rPr>
          <w:rFonts w:ascii="Century Gothic" w:hAnsi="Century Gothic"/>
          <w:color w:val="000000"/>
        </w:rPr>
        <w:lastRenderedPageBreak/>
        <w:t>Report card</w:t>
      </w:r>
      <w:bookmarkEnd w:id="95"/>
    </w:p>
    <w:p w:rsidR="00EE0164" w:rsidRPr="00370E70" w:rsidRDefault="00EE0164" w:rsidP="00EE0164">
      <w:pPr>
        <w:rPr>
          <w:color w:val="000000"/>
          <w:szCs w:val="22"/>
        </w:rPr>
      </w:pPr>
      <w:r w:rsidRPr="00370E70">
        <w:rPr>
          <w:color w:val="000000"/>
          <w:szCs w:val="22"/>
        </w:rPr>
        <w:t xml:space="preserve">Three indicators (presented as indexed scores) were selected by the GBRMPA, using advice from expert working groups and the Paddock to Reef Integration Team, for the seagrass report card: </w:t>
      </w:r>
    </w:p>
    <w:p w:rsidR="00EE0164" w:rsidRPr="00370E70" w:rsidRDefault="00EE0164" w:rsidP="00EE0164">
      <w:pPr>
        <w:numPr>
          <w:ilvl w:val="0"/>
          <w:numId w:val="41"/>
        </w:numPr>
        <w:spacing w:before="0" w:after="0"/>
        <w:rPr>
          <w:color w:val="000000"/>
          <w:szCs w:val="22"/>
        </w:rPr>
      </w:pPr>
      <w:r w:rsidRPr="00370E70">
        <w:rPr>
          <w:color w:val="000000"/>
          <w:szCs w:val="22"/>
        </w:rPr>
        <w:t>seagrass abundance</w:t>
      </w:r>
    </w:p>
    <w:p w:rsidR="00EE0164" w:rsidRPr="00370E70" w:rsidRDefault="00EE0164" w:rsidP="00EE0164">
      <w:pPr>
        <w:numPr>
          <w:ilvl w:val="0"/>
          <w:numId w:val="41"/>
        </w:numPr>
        <w:spacing w:before="0" w:after="0"/>
        <w:rPr>
          <w:color w:val="000000"/>
          <w:szCs w:val="22"/>
        </w:rPr>
      </w:pPr>
      <w:r w:rsidRPr="00370E70">
        <w:rPr>
          <w:color w:val="000000"/>
          <w:szCs w:val="22"/>
        </w:rPr>
        <w:t>reproductive effort</w:t>
      </w:r>
    </w:p>
    <w:p w:rsidR="00EE0164" w:rsidRPr="00370E70" w:rsidRDefault="00EE0164" w:rsidP="00EE0164">
      <w:pPr>
        <w:numPr>
          <w:ilvl w:val="0"/>
          <w:numId w:val="41"/>
        </w:numPr>
        <w:spacing w:before="0"/>
        <w:rPr>
          <w:color w:val="000000"/>
          <w:szCs w:val="22"/>
        </w:rPr>
      </w:pPr>
      <w:r w:rsidRPr="00370E70">
        <w:rPr>
          <w:color w:val="000000"/>
          <w:szCs w:val="22"/>
        </w:rPr>
        <w:t>nutrient status (seagrass tissue C:N ratio)</w:t>
      </w:r>
    </w:p>
    <w:p w:rsidR="00EE0164" w:rsidRPr="00370E70" w:rsidRDefault="00EE0164" w:rsidP="00EE0164">
      <w:pPr>
        <w:rPr>
          <w:szCs w:val="22"/>
        </w:rPr>
      </w:pPr>
      <w:r w:rsidRPr="00370E70">
        <w:rPr>
          <w:szCs w:val="22"/>
        </w:rPr>
        <w:t>Seagrass abundance is used to indicate the state of the seagrass to resist stressors, reproductive effort to indicate the potential for the seagrass to recover from loss, and the nutrient status to indicate the condition of the environment in which the seagrass are growing in recognition of seagrass' role as a bioindicator.</w:t>
      </w:r>
    </w:p>
    <w:p w:rsidR="00EE0164" w:rsidRPr="00370E70" w:rsidRDefault="00EE0164" w:rsidP="00EE0164">
      <w:pPr>
        <w:rPr>
          <w:color w:val="000000"/>
          <w:szCs w:val="22"/>
        </w:rPr>
      </w:pPr>
      <w:r w:rsidRPr="00370E70">
        <w:rPr>
          <w:szCs w:val="22"/>
        </w:rPr>
        <w:t xml:space="preserve">The molar ratios of seagrass tissue carbon relative to nitrogen (C:N) were chosen as the indicator for seagrass nutrient status as </w:t>
      </w:r>
      <w:r w:rsidRPr="00370E70">
        <w:rPr>
          <w:color w:val="000000"/>
          <w:szCs w:val="22"/>
        </w:rPr>
        <w:t xml:space="preserve">an atomic C:N ratio of less than 20, may suggest either reduced light availability or nitrogen enrichment. Both of these deviations may indicate reduced water quality. </w:t>
      </w:r>
      <w:r w:rsidRPr="00370E70">
        <w:rPr>
          <w:szCs w:val="22"/>
        </w:rPr>
        <w:t xml:space="preserve">Examination of the molar ratios of seagrass tissue carbon relative to nitrogen (C:N) between 2005 and 2008 explained 58% of the variance of the inter-site seagrass cover/abundance (McKenzie and Unsworth 2009). </w:t>
      </w:r>
    </w:p>
    <w:p w:rsidR="005132EF" w:rsidRPr="00370E70" w:rsidRDefault="005132EF" w:rsidP="00D73671">
      <w:pPr>
        <w:pStyle w:val="Heading3"/>
      </w:pPr>
      <w:bookmarkStart w:id="96" w:name="_Toc384196118"/>
      <w:r w:rsidRPr="00370E70">
        <w:t>Seagrass abundance</w:t>
      </w:r>
      <w:bookmarkEnd w:id="96"/>
    </w:p>
    <w:p w:rsidR="00EE0164" w:rsidRPr="00370E70" w:rsidRDefault="00EE0164" w:rsidP="00EE0164">
      <w:pPr>
        <w:spacing w:before="240"/>
        <w:rPr>
          <w:color w:val="000000"/>
          <w:szCs w:val="22"/>
        </w:rPr>
      </w:pPr>
      <w:bookmarkStart w:id="97" w:name="_Ref271182817"/>
      <w:bookmarkStart w:id="98" w:name="_Ref271182809"/>
      <w:r w:rsidRPr="00370E70">
        <w:rPr>
          <w:color w:val="000000"/>
          <w:szCs w:val="22"/>
        </w:rPr>
        <w:t>The status of seagrass abundance was determined using the seagrass abundance guidelines developed by McKenzie (</w:t>
      </w:r>
      <w:hyperlink w:anchor="_ENREF_132" w:tooltip="McKenzie, 2009 #9756" w:history="1">
        <w:r w:rsidR="00964A70">
          <w:rPr>
            <w:color w:val="000000"/>
            <w:szCs w:val="22"/>
          </w:rPr>
          <w:fldChar w:fldCharType="begin"/>
        </w:r>
        <w:r w:rsidR="00964A70">
          <w:rPr>
            <w:color w:val="000000"/>
            <w:szCs w:val="22"/>
          </w:rPr>
          <w:instrText xml:space="preserve"> ADDIN EN.CITE &lt;EndNote&gt;&lt;Cite ExcludeAuth="1"&gt;&lt;Author&gt;McKenzie&lt;/Author&gt;&lt;Year&gt;2009&lt;/Year&gt;&lt;RecNum&gt;9756&lt;/RecNum&gt;&lt;DisplayText&gt;2009&lt;/DisplayText&gt;&lt;record&gt;&lt;rec-number&gt;9756&lt;/rec-number&gt;&lt;foreign-keys&gt;&lt;key app="EN" db-id="0eve55x9y5vfd6e9dacxtew4eatve2dzds9a"&gt;9756&lt;/key&gt;&lt;/foreign-keys&gt;&lt;ref-type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 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http://www.rrrc.org.au/publications/downloads/113-QDPIF-McKenzie-L-2009-June-Milestone-Report.pdf  accessed 27 August 2010.&lt;/secondary-title&gt;&lt;/titles&gt;&lt;pages&gt;7-1&lt;/pages&gt;&lt;dates&gt;&lt;year&gt;2009&lt;/year&gt;&lt;/dates&gt;&lt;pub-location&gt;Cairns&lt;/pub-location&gt;&lt;publisher&gt;RRRC&lt;/publisher&gt;&lt;urls&gt;&lt;/urls&gt;&lt;/record&gt;&lt;/Cite&gt;&lt;/EndNote&gt;</w:instrText>
        </w:r>
        <w:r w:rsidR="00964A70">
          <w:rPr>
            <w:color w:val="000000"/>
            <w:szCs w:val="22"/>
          </w:rPr>
          <w:fldChar w:fldCharType="separate"/>
        </w:r>
        <w:r w:rsidR="00964A70">
          <w:rPr>
            <w:noProof/>
            <w:color w:val="000000"/>
            <w:szCs w:val="22"/>
          </w:rPr>
          <w:t>2009</w:t>
        </w:r>
        <w:r w:rsidR="00964A70">
          <w:rPr>
            <w:color w:val="000000"/>
            <w:szCs w:val="22"/>
          </w:rPr>
          <w:fldChar w:fldCharType="end"/>
        </w:r>
      </w:hyperlink>
      <w:r w:rsidRPr="00370E70">
        <w:rPr>
          <w:color w:val="000000"/>
          <w:szCs w:val="22"/>
        </w:rPr>
        <w:t>). Individual site and subregional (habitat type within each NRM region) seagrass abundance guidelines were developed based on abundance data collected from individual sites and/or reference sites (</w:t>
      </w:r>
      <w:hyperlink w:anchor="_ENREF_132" w:tooltip="McKenzie, 2009 #9756"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 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http://www.rrrc.org.au/publications/downloads/113-QDPIF-McKenzie-L-2009-June-Milestone-Report.pdf  accessed 27 August 2010.&lt;/secondary-title&gt;&lt;/titles&gt;&lt;pages&gt;7-1&lt;/pages&gt;&lt;dates&gt;&lt;year&gt;2009&lt;/year&gt;&lt;/dates&gt;&lt;pub-location&gt;Cairns&lt;/pub-location&gt;&lt;publisher&gt;RRRC&lt;/publisher&gt;&lt;urls&gt;&lt;/urls&gt;&lt;/record&gt;&lt;/Cite&gt;&lt;/EndNote&gt;</w:instrText>
        </w:r>
        <w:r w:rsidR="00964A70" w:rsidRPr="00370E70">
          <w:rPr>
            <w:color w:val="000000"/>
            <w:szCs w:val="22"/>
          </w:rPr>
          <w:fldChar w:fldCharType="separate"/>
        </w:r>
        <w:r w:rsidR="00964A70" w:rsidRPr="00370E70">
          <w:rPr>
            <w:noProof/>
            <w:color w:val="000000"/>
            <w:szCs w:val="22"/>
          </w:rPr>
          <w:t>McKenzie 2009</w:t>
        </w:r>
        <w:r w:rsidR="00964A70" w:rsidRPr="00370E70">
          <w:rPr>
            <w:color w:val="000000"/>
            <w:szCs w:val="22"/>
          </w:rPr>
          <w:fldChar w:fldCharType="end"/>
        </w:r>
      </w:hyperlink>
      <w:r w:rsidRPr="00370E70">
        <w:rPr>
          <w:color w:val="000000"/>
          <w:szCs w:val="22"/>
        </w:rPr>
        <w:t>). Guidelines for individual sites were only applied if the conditions of the site aligned with reference site conditions.</w:t>
      </w:r>
    </w:p>
    <w:p w:rsidR="00EE0164" w:rsidRPr="00370E70" w:rsidRDefault="00EE0164" w:rsidP="00EE0164">
      <w:pPr>
        <w:spacing w:before="240"/>
        <w:rPr>
          <w:color w:val="000000"/>
          <w:szCs w:val="22"/>
        </w:rPr>
      </w:pPr>
      <w:r w:rsidRPr="00370E70">
        <w:rPr>
          <w:color w:val="000000"/>
          <w:szCs w:val="22"/>
        </w:rPr>
        <w:t>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w:t>
      </w:r>
      <w:hyperlink w:anchor="_ENREF_28" w:tooltip="Campbell, 2004 #2838" w:history="1">
        <w:r w:rsidR="00964A70" w:rsidRPr="00370E70">
          <w:rPr>
            <w:color w:val="000000"/>
            <w:szCs w:val="22"/>
          </w:rPr>
          <w:fldChar w:fldCharType="begin"/>
        </w:r>
        <w:r w:rsidR="00964A70" w:rsidRPr="00370E70">
          <w:rPr>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964A70" w:rsidRPr="00370E70">
          <w:rPr>
            <w:color w:val="000000"/>
            <w:szCs w:val="22"/>
          </w:rPr>
          <w:fldChar w:fldCharType="separate"/>
        </w:r>
        <w:r w:rsidR="00964A70" w:rsidRPr="00370E70">
          <w:rPr>
            <w:noProof/>
            <w:color w:val="000000"/>
            <w:szCs w:val="22"/>
          </w:rPr>
          <w:t>Campbell and McKenzie 2004</w:t>
        </w:r>
        <w:r w:rsidR="00964A70" w:rsidRPr="00370E70">
          <w:rPr>
            <w:color w:val="000000"/>
            <w:szCs w:val="22"/>
          </w:rPr>
          <w:fldChar w:fldCharType="end"/>
        </w:r>
      </w:hyperlink>
      <w:r w:rsidRPr="00370E70">
        <w:rPr>
          <w:color w:val="000000"/>
          <w:szCs w:val="22"/>
        </w:rPr>
        <w:t xml:space="preserve">). </w:t>
      </w:r>
    </w:p>
    <w:p w:rsidR="00EE0164" w:rsidRPr="00370E70" w:rsidRDefault="00EE0164" w:rsidP="00EE0164">
      <w:pPr>
        <w:spacing w:before="240"/>
        <w:rPr>
          <w:color w:val="000000"/>
          <w:szCs w:val="22"/>
        </w:rPr>
      </w:pPr>
      <w:r w:rsidRPr="00370E70">
        <w:rPr>
          <w:color w:val="000000"/>
          <w:szCs w:val="22"/>
        </w:rPr>
        <w:t xml:space="preserve">No rigorous protocol is possible for the selection of reference sites and the process is ultimately iterative. The criteria for defining a minimally/least disturbed seagrass reference site is based on </w:t>
      </w:r>
      <w:hyperlink w:anchor="_ENREF_148" w:tooltip="Monitoring River Health Initiative, 1994 #9713" w:history="1">
        <w:r w:rsidR="00964A70" w:rsidRPr="00370E70">
          <w:rPr>
            <w:color w:val="000000"/>
            <w:szCs w:val="22"/>
          </w:rPr>
          <w:fldChar w:fldCharType="begin"/>
        </w:r>
        <w:r w:rsidR="00964A70">
          <w:rPr>
            <w:color w:val="000000"/>
            <w:szCs w:val="22"/>
          </w:rPr>
          <w:instrText xml:space="preserve"> ADDIN EN.CITE &lt;EndNote&gt;&lt;Cite ExcludeYear="1"&gt;&lt;Author&gt;Monitoring River Health Initiative&lt;/Author&gt;&lt;Year&gt;1994&lt;/Year&gt;&lt;RecNum&gt;9713&lt;/RecNum&gt;&lt;DisplayText&gt;Monitoring River Health Initiative &lt;/DisplayText&gt;&lt;record&gt;&lt;rec-number&gt;9713&lt;/rec-number&gt;&lt;foreign-keys&gt;&lt;key app="EN" db-id="0eve55x9y5vfd6e9dacxtew4eatve2dzds9a"&gt;9713&lt;/key&gt;&lt;/foreign-keys&gt;&lt;ref-type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964A70" w:rsidRPr="00370E70">
          <w:rPr>
            <w:color w:val="000000"/>
            <w:szCs w:val="22"/>
          </w:rPr>
          <w:fldChar w:fldCharType="separate"/>
        </w:r>
        <w:r w:rsidR="00964A70">
          <w:rPr>
            <w:noProof/>
            <w:color w:val="000000"/>
            <w:szCs w:val="22"/>
          </w:rPr>
          <w:t xml:space="preserve">Monitoring River Health Initiative </w:t>
        </w:r>
        <w:r w:rsidR="00964A70" w:rsidRPr="00370E70">
          <w:rPr>
            <w:color w:val="000000"/>
            <w:szCs w:val="22"/>
          </w:rPr>
          <w:fldChar w:fldCharType="end"/>
        </w:r>
      </w:hyperlink>
      <w:r w:rsidR="00964A70">
        <w:rPr>
          <w:color w:val="000000"/>
          <w:szCs w:val="22"/>
        </w:rPr>
        <w:t>(</w:t>
      </w:r>
      <w:hyperlink w:anchor="_ENREF_148" w:tooltip="Monitoring River Health Initiative, 1994 #9713" w:history="1">
        <w:r w:rsidR="00964A70" w:rsidRPr="00370E70">
          <w:rPr>
            <w:color w:val="000000"/>
            <w:szCs w:val="22"/>
          </w:rPr>
          <w:fldChar w:fldCharType="begin"/>
        </w:r>
        <w:r w:rsidR="00964A70">
          <w:rPr>
            <w:color w:val="000000"/>
            <w:szCs w:val="22"/>
          </w:rPr>
          <w:instrText xml:space="preserve"> ADDIN EN.CITE &lt;EndNote&gt;&lt;Cite ExcludeAuth="1"&gt;&lt;Author&gt;Monitoring River Health Initiative&lt;/Author&gt;&lt;Year&gt;1994&lt;/Year&gt;&lt;RecNum&gt;9713&lt;/RecNum&gt;&lt;DisplayText&gt;1994&lt;/DisplayText&gt;&lt;record&gt;&lt;rec-number&gt;9713&lt;/rec-number&gt;&lt;foreign-keys&gt;&lt;key app="EN" db-id="0eve55x9y5vfd6e9dacxtew4eatve2dzds9a"&gt;9713&lt;/key&gt;&lt;/foreign-keys&gt;&lt;ref-type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964A70" w:rsidRPr="00370E70">
          <w:rPr>
            <w:color w:val="000000"/>
            <w:szCs w:val="22"/>
          </w:rPr>
          <w:fldChar w:fldCharType="separate"/>
        </w:r>
        <w:r w:rsidR="00964A70">
          <w:rPr>
            <w:noProof/>
            <w:color w:val="000000"/>
            <w:szCs w:val="22"/>
          </w:rPr>
          <w:t>1994</w:t>
        </w:r>
        <w:r w:rsidR="00964A70" w:rsidRPr="00370E70">
          <w:rPr>
            <w:color w:val="000000"/>
            <w:szCs w:val="22"/>
          </w:rPr>
          <w:fldChar w:fldCharType="end"/>
        </w:r>
      </w:hyperlink>
      <w:r w:rsidR="00964A70">
        <w:rPr>
          <w:color w:val="000000"/>
          <w:szCs w:val="22"/>
        </w:rPr>
        <w:t>)</w:t>
      </w:r>
      <w:r w:rsidRPr="00370E70">
        <w:rPr>
          <w:color w:val="000000"/>
          <w:szCs w:val="22"/>
        </w:rPr>
        <w:t xml:space="preserve"> and includes some or all of the following:</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beyond 10km of a major river: as most suspended solids and particulate nutrients are deposited within a few kilometres of river mouths (</w:t>
      </w:r>
      <w:r w:rsidRPr="00370E70">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RU4iIGRiLWlkPSIwZXZlNTV4OXk1dmZkNmU5ZGFjeHRldzRlYXR2ZTJkemRzOWEiPjkwNDM8L2tl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RU4iIGRiLWlkPSIwZXZlNTV4OXk1dmZkNmU5ZGFjeHRldzRlYXR2ZTJkemRzOWEiPjkwNDM8L2tl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128" w:tooltip="McCulloch, 2003 #9043" w:history="1">
        <w:r w:rsidR="00964A70" w:rsidRPr="00370E70">
          <w:rPr>
            <w:noProof/>
            <w:color w:val="000000"/>
            <w:szCs w:val="22"/>
          </w:rPr>
          <w:t>McCulloch</w:t>
        </w:r>
        <w:r w:rsidR="00964A70" w:rsidRPr="00370E70">
          <w:rPr>
            <w:i/>
            <w:noProof/>
            <w:color w:val="000000"/>
            <w:szCs w:val="22"/>
          </w:rPr>
          <w:t xml:space="preserve"> et al.</w:t>
        </w:r>
        <w:r w:rsidR="00964A70" w:rsidRPr="00370E70">
          <w:rPr>
            <w:noProof/>
            <w:color w:val="000000"/>
            <w:szCs w:val="22"/>
          </w:rPr>
          <w:t xml:space="preserve"> 2003</w:t>
        </w:r>
      </w:hyperlink>
      <w:r w:rsidR="00126051" w:rsidRPr="00370E70">
        <w:rPr>
          <w:noProof/>
          <w:color w:val="000000"/>
          <w:szCs w:val="22"/>
        </w:rPr>
        <w:t xml:space="preserve">; </w:t>
      </w:r>
      <w:hyperlink w:anchor="_ENREF_198" w:tooltip="Webster, 2010 #9775" w:history="1">
        <w:r w:rsidR="00964A70" w:rsidRPr="00370E70">
          <w:rPr>
            <w:noProof/>
            <w:color w:val="000000"/>
            <w:szCs w:val="22"/>
          </w:rPr>
          <w:t>Webster and Ford 2010</w:t>
        </w:r>
      </w:hyperlink>
      <w:r w:rsidR="00126051" w:rsidRPr="00370E70">
        <w:rPr>
          <w:noProof/>
          <w:color w:val="000000"/>
          <w:szCs w:val="22"/>
        </w:rPr>
        <w:t xml:space="preserve">; </w:t>
      </w:r>
      <w:hyperlink w:anchor="_ENREF_12" w:tooltip="Bainbridge, 2012 #9776" w:history="1">
        <w:r w:rsidR="00964A70" w:rsidRPr="00370E70">
          <w:rPr>
            <w:noProof/>
            <w:color w:val="000000"/>
            <w:szCs w:val="22"/>
          </w:rPr>
          <w:t>Bainbridge</w:t>
        </w:r>
        <w:r w:rsidR="00964A70" w:rsidRPr="00370E70">
          <w:rPr>
            <w:i/>
            <w:noProof/>
            <w:color w:val="000000"/>
            <w:szCs w:val="22"/>
          </w:rPr>
          <w:t xml:space="preserve"> et al.</w:t>
        </w:r>
        <w:r w:rsidR="00964A70" w:rsidRPr="00370E70">
          <w:rPr>
            <w:noProof/>
            <w:color w:val="000000"/>
            <w:szCs w:val="22"/>
          </w:rPr>
          <w:t xml:space="preserve"> 2012</w:t>
        </w:r>
      </w:hyperlink>
      <w:r w:rsidR="00126051" w:rsidRPr="00370E70">
        <w:rPr>
          <w:noProof/>
          <w:color w:val="000000"/>
          <w:szCs w:val="22"/>
        </w:rPr>
        <w:t xml:space="preserve">; </w:t>
      </w:r>
      <w:hyperlink w:anchor="_ENREF_23" w:tooltip="Brodie, 2012 #9319" w:history="1">
        <w:r w:rsidR="00964A70" w:rsidRPr="00370E70">
          <w:rPr>
            <w:noProof/>
            <w:color w:val="000000"/>
            <w:szCs w:val="22"/>
          </w:rPr>
          <w:t>Brodie</w:t>
        </w:r>
        <w:r w:rsidR="00964A70" w:rsidRPr="00370E70">
          <w:rPr>
            <w:i/>
            <w:noProof/>
            <w:color w:val="000000"/>
            <w:szCs w:val="22"/>
          </w:rPr>
          <w:t xml:space="preserve"> et al.</w:t>
        </w:r>
        <w:r w:rsidR="00964A70" w:rsidRPr="00370E70">
          <w:rPr>
            <w:noProof/>
            <w:color w:val="000000"/>
            <w:szCs w:val="22"/>
          </w:rPr>
          <w:t xml:space="preserve"> 2012</w:t>
        </w:r>
      </w:hyperlink>
      <w:r w:rsidRPr="00370E70">
        <w:rPr>
          <w:color w:val="000000"/>
          <w:szCs w:val="22"/>
        </w:rPr>
        <w:fldChar w:fldCharType="end"/>
      </w:r>
      <w:r w:rsidRPr="00370E70">
        <w:rPr>
          <w:color w:val="000000"/>
          <w:szCs w:val="22"/>
        </w:rPr>
        <w:t>).</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no major urban area/development (&gt;5000 population) within 10km upstream (prevailing current)</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no significant point source wastewater discharge within the estuary</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 xml:space="preserve">has not been impacted by an event (anthropogenic or extreme climate) in the last 3-5 years </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where the species composition is dominated by the foundation species expected for the habitats (</w:t>
      </w:r>
      <w:hyperlink w:anchor="_ENREF_31" w:tooltip="Carruthers, 2002 #8021" w:history="1">
        <w:r w:rsidR="00964A70" w:rsidRPr="00370E70">
          <w:rPr>
            <w:color w:val="000000"/>
            <w:szCs w:val="22"/>
          </w:rPr>
          <w:fldChar w:fldCharType="begin"/>
        </w:r>
        <w:r w:rsidR="00964A70" w:rsidRPr="00370E70">
          <w:rPr>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 J.&lt;/author&gt;&lt;author&gt;Lee Long, W. 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964A70" w:rsidRPr="00370E70">
          <w:rPr>
            <w:color w:val="000000"/>
            <w:szCs w:val="22"/>
          </w:rPr>
          <w:fldChar w:fldCharType="separate"/>
        </w:r>
        <w:r w:rsidR="00964A70" w:rsidRPr="00370E70">
          <w:rPr>
            <w:noProof/>
            <w:color w:val="000000"/>
            <w:szCs w:val="22"/>
          </w:rPr>
          <w:t>Carruthers</w:t>
        </w:r>
        <w:r w:rsidR="00964A70" w:rsidRPr="00370E70">
          <w:rPr>
            <w:i/>
            <w:noProof/>
            <w:color w:val="000000"/>
            <w:szCs w:val="22"/>
          </w:rPr>
          <w:t>, et al.</w:t>
        </w:r>
        <w:r w:rsidR="00964A70" w:rsidRPr="00370E70">
          <w:rPr>
            <w:noProof/>
            <w:color w:val="000000"/>
            <w:szCs w:val="22"/>
          </w:rPr>
          <w:t xml:space="preserve"> 2002</w:t>
        </w:r>
        <w:r w:rsidR="00964A70" w:rsidRPr="00370E70">
          <w:rPr>
            <w:color w:val="000000"/>
            <w:szCs w:val="22"/>
          </w:rPr>
          <w:fldChar w:fldCharType="end"/>
        </w:r>
      </w:hyperlink>
      <w:r w:rsidRPr="00370E70">
        <w:rPr>
          <w:color w:val="000000"/>
          <w:szCs w:val="22"/>
        </w:rPr>
        <w:t xml:space="preserve">), and </w:t>
      </w:r>
    </w:p>
    <w:p w:rsidR="00EE0164" w:rsidRPr="00370E70" w:rsidRDefault="00EE0164" w:rsidP="00EE0164">
      <w:pPr>
        <w:numPr>
          <w:ilvl w:val="0"/>
          <w:numId w:val="40"/>
        </w:numPr>
        <w:tabs>
          <w:tab w:val="clear" w:pos="360"/>
          <w:tab w:val="num" w:pos="709"/>
        </w:tabs>
        <w:spacing w:before="0" w:after="0"/>
        <w:ind w:left="709" w:hanging="349"/>
        <w:rPr>
          <w:color w:val="000000"/>
          <w:szCs w:val="22"/>
        </w:rPr>
      </w:pPr>
      <w:r w:rsidRPr="00370E70">
        <w:rPr>
          <w:color w:val="000000"/>
          <w:szCs w:val="22"/>
        </w:rPr>
        <w:t>does not suggest the meadow is in recovery (i.e. dominated by early colonising).</w:t>
      </w:r>
    </w:p>
    <w:p w:rsidR="00EE0164" w:rsidRPr="00370E70" w:rsidRDefault="00EE0164" w:rsidP="00EE0164">
      <w:pPr>
        <w:spacing w:before="240"/>
        <w:rPr>
          <w:color w:val="000000"/>
          <w:szCs w:val="22"/>
        </w:rPr>
      </w:pPr>
      <w:r w:rsidRPr="00370E70">
        <w:rPr>
          <w:color w:val="000000"/>
          <w:szCs w:val="22"/>
        </w:rPr>
        <w:t>The 80</w:t>
      </w:r>
      <w:r w:rsidRPr="00370E70">
        <w:rPr>
          <w:color w:val="000000"/>
          <w:szCs w:val="22"/>
          <w:vertAlign w:val="superscript"/>
        </w:rPr>
        <w:t>th</w:t>
      </w:r>
      <w:r w:rsidRPr="00370E70">
        <w:rPr>
          <w:color w:val="000000"/>
          <w:szCs w:val="22"/>
        </w:rPr>
        <w:t>, 50</w:t>
      </w:r>
      <w:r w:rsidRPr="00370E70">
        <w:rPr>
          <w:color w:val="000000"/>
          <w:szCs w:val="22"/>
          <w:vertAlign w:val="superscript"/>
        </w:rPr>
        <w:t>th</w:t>
      </w:r>
      <w:r w:rsidRPr="00370E70">
        <w:rPr>
          <w:color w:val="000000"/>
          <w:szCs w:val="22"/>
        </w:rPr>
        <w:t xml:space="preserve"> and 20</w:t>
      </w:r>
      <w:r w:rsidRPr="00370E70">
        <w:rPr>
          <w:color w:val="000000"/>
          <w:szCs w:val="22"/>
          <w:vertAlign w:val="superscript"/>
        </w:rPr>
        <w:t>th</w:t>
      </w:r>
      <w:r w:rsidRPr="00370E70">
        <w:rPr>
          <w:color w:val="000000"/>
          <w:szCs w:val="22"/>
        </w:rPr>
        <w:t xml:space="preserve"> percentiles were used to define the guideline values as these are recommended for water quality guidelines (</w:t>
      </w:r>
      <w:hyperlink w:anchor="_ENREF_62" w:tooltip="Department of Environment and Resource Management, 2009 #9777" w:history="1">
        <w:r w:rsidR="00964A70" w:rsidRPr="00370E70">
          <w:rPr>
            <w:color w:val="000000"/>
            <w:szCs w:val="22"/>
          </w:rPr>
          <w:fldChar w:fldCharType="begin"/>
        </w:r>
        <w:r w:rsidR="00964A70" w:rsidRPr="00370E70">
          <w:rPr>
            <w:color w:val="000000"/>
            <w:szCs w:val="22"/>
          </w:rPr>
          <w:instrText xml:space="preserve"> ADDIN EN.CITE &lt;EndNote&gt;&lt;Cite&gt;&lt;Author&gt;Department of Environment and Resource Management&lt;/Author&gt;&lt;Year&gt;2009&lt;/Year&gt;&lt;RecNum&gt;9777&lt;/RecNum&gt;&lt;DisplayText&gt;Department of Environment and Resource Management 2009&lt;/DisplayText&gt;&lt;record&gt;&lt;rec-number&gt;9777&lt;/rec-number&gt;&lt;foreign-keys&gt;&lt;key app="EN" db-id="0eve55x9y5vfd6e9dacxtew4eatve2dzds9a"&gt;9777&lt;/key&gt;&lt;/foreign-keys&gt;&lt;ref-type name="Book"&gt;6&lt;/ref-type&gt;&lt;contributors&gt;&lt;authors&gt;&lt;author&gt;Department of Environment and Resource Management,&lt;/author&gt;&lt;/authors&gt;&lt;/contributors&gt;&lt;titles&gt;&lt;title&gt;Queensland Water Quality Guidelines, Version 3. ISBN 978-0-9806986-0-2&lt;/title&gt;&lt;/titles&gt;&lt;dates&gt;&lt;year&gt;2009&lt;/year&gt;&lt;/dates&gt;&lt;urls&gt;&lt;/urls&gt;&lt;/record&gt;&lt;/Cite&gt;&lt;/EndNote&gt;</w:instrText>
        </w:r>
        <w:r w:rsidR="00964A70" w:rsidRPr="00370E70">
          <w:rPr>
            <w:color w:val="000000"/>
            <w:szCs w:val="22"/>
          </w:rPr>
          <w:fldChar w:fldCharType="separate"/>
        </w:r>
        <w:r w:rsidR="00964A70" w:rsidRPr="00370E70">
          <w:rPr>
            <w:noProof/>
            <w:color w:val="000000"/>
            <w:szCs w:val="22"/>
          </w:rPr>
          <w:t>Department of Environment and Resource Management 2009</w:t>
        </w:r>
        <w:r w:rsidR="00964A70" w:rsidRPr="00370E70">
          <w:rPr>
            <w:color w:val="000000"/>
            <w:szCs w:val="22"/>
          </w:rPr>
          <w:fldChar w:fldCharType="end"/>
        </w:r>
      </w:hyperlink>
      <w:r w:rsidRPr="00370E70">
        <w:rPr>
          <w:color w:val="000000"/>
          <w:szCs w:val="22"/>
        </w:rPr>
        <w:t xml:space="preserve">), and there is no evidence that this approach would not be appropriate for seagrass meadows </w:t>
      </w:r>
      <w:r w:rsidRPr="00370E70">
        <w:rPr>
          <w:color w:val="000000"/>
          <w:szCs w:val="22"/>
        </w:rPr>
        <w:lastRenderedPageBreak/>
        <w:t xml:space="preserve">in the GBR. By plotting the percentile estimates with increasing sample size, the reduction in error becomes apparent as it moves towards the true value (e.g. </w:t>
      </w:r>
      <w:r w:rsidRPr="00370E70">
        <w:fldChar w:fldCharType="begin"/>
      </w:r>
      <w:r w:rsidRPr="00370E70">
        <w:instrText xml:space="preserve"> REF _Ref316226853 \h  \* MERGEFORMAT </w:instrText>
      </w:r>
      <w:r w:rsidRPr="00370E70">
        <w:fldChar w:fldCharType="separate"/>
      </w:r>
      <w:r w:rsidR="005B5FD6" w:rsidRPr="005B5FD6">
        <w:rPr>
          <w:color w:val="000000"/>
          <w:szCs w:val="22"/>
        </w:rPr>
        <w:t>Figure 5</w:t>
      </w:r>
      <w:r w:rsidRPr="00370E70">
        <w:fldChar w:fldCharType="end"/>
      </w:r>
      <w:r w:rsidRPr="00370E70">
        <w:rPr>
          <w:color w:val="000000"/>
          <w:szCs w:val="22"/>
        </w:rPr>
        <w:t xml:space="preserve">). </w:t>
      </w:r>
    </w:p>
    <w:p w:rsidR="00EE0164" w:rsidRPr="00370E70" w:rsidRDefault="00EE0164" w:rsidP="00EE0164">
      <w:pPr>
        <w:spacing w:before="240"/>
        <w:rPr>
          <w:color w:val="000000"/>
          <w:szCs w:val="22"/>
        </w:rPr>
      </w:pPr>
      <w:r w:rsidRPr="00370E70">
        <w:rPr>
          <w:color w:val="000000"/>
          <w:szCs w:val="22"/>
        </w:rPr>
        <w:t>Across the majority of reference sites, variance for the 50</w:t>
      </w:r>
      <w:r w:rsidRPr="00370E70">
        <w:rPr>
          <w:color w:val="000000"/>
          <w:szCs w:val="22"/>
          <w:vertAlign w:val="superscript"/>
        </w:rPr>
        <w:t>th</w:t>
      </w:r>
      <w:r w:rsidRPr="00370E70">
        <w:rPr>
          <w:color w:val="000000"/>
          <w:szCs w:val="22"/>
        </w:rPr>
        <w:t xml:space="preserve"> and 20</w:t>
      </w:r>
      <w:r w:rsidRPr="00370E70">
        <w:rPr>
          <w:color w:val="000000"/>
          <w:szCs w:val="22"/>
          <w:vertAlign w:val="superscript"/>
        </w:rPr>
        <w:t>th</w:t>
      </w:r>
      <w:r w:rsidRPr="00370E70">
        <w:rPr>
          <w:color w:val="000000"/>
          <w:szCs w:val="22"/>
        </w:rPr>
        <w:t xml:space="preserve"> percentiles was found to level off at around 15–20 samples (i.e. sampling events), suggesting this number of samples was sufficient to provide a reasonable estimate of the true percentile value.  This sample size is reasonably close to the </w:t>
      </w:r>
      <w:hyperlink w:anchor="_ENREF_6" w:tooltip="ANZECC, 2000 #7891" w:history="1">
        <w:r w:rsidR="00964A70" w:rsidRPr="00370E70">
          <w:rPr>
            <w:color w:val="000000"/>
            <w:szCs w:val="22"/>
          </w:rPr>
          <w:fldChar w:fldCharType="begin"/>
        </w:r>
        <w:r w:rsidR="00964A70" w:rsidRPr="00370E70">
          <w:rPr>
            <w:color w:val="000000"/>
            <w:szCs w:val="22"/>
          </w:rPr>
          <w:instrText xml:space="preserve"> ADDIN EN.CITE &lt;EndNote&gt;&lt;Cite&gt;&lt;Author&gt;ANZECC&lt;/Author&gt;&lt;Year&gt;2000&lt;/Year&gt;&lt;RecNum&gt;7891&lt;/RecNum&gt;&lt;DisplayText&gt;ANZECC 2000&lt;/DisplayText&gt;&lt;record&gt;&lt;rec-number&gt;7891&lt;/rec-number&gt;&lt;foreign-keys&gt;&lt;key app="EN" db-id="0eve55x9y5vfd6e9dacxtew4eatve2dzds9a"&gt;7891&lt;/key&gt;&lt;/foreign-keys&gt;&lt;ref-type name="Report"&gt;27&lt;/ref-type&gt;&lt;contributors&gt;&lt;authors&gt;&lt;author&gt;ANZECC&lt;/author&gt;&lt;/authors&gt;&lt;/contributors&gt;&lt;titles&gt;&lt;title&gt;Australian and New Zealand guidelines for fresh and marine water quality&lt;/title&gt;&lt;/titles&gt;&lt;dates&gt;&lt;year&gt;2000&lt;/year&gt;&lt;/dates&gt;&lt;pub-location&gt;Canberra&lt;/pub-location&gt;&lt;publisher&gt;Australian and New Zealand Environment and Conservation Council and Agriculture and Resource Management Council of Australia and New Zealand&lt;/publisher&gt;&lt;urls&gt;&lt;/urls&gt;&lt;/record&gt;&lt;/Cite&gt;&lt;/EndNote&gt;</w:instrText>
        </w:r>
        <w:r w:rsidR="00964A70" w:rsidRPr="00370E70">
          <w:rPr>
            <w:color w:val="000000"/>
            <w:szCs w:val="22"/>
          </w:rPr>
          <w:fldChar w:fldCharType="separate"/>
        </w:r>
        <w:r w:rsidR="00964A70" w:rsidRPr="00370E70">
          <w:rPr>
            <w:noProof/>
            <w:color w:val="000000"/>
            <w:szCs w:val="22"/>
          </w:rPr>
          <w:t>ANZECC 2000</w:t>
        </w:r>
        <w:r w:rsidR="00964A70" w:rsidRPr="00370E70">
          <w:rPr>
            <w:color w:val="000000"/>
            <w:szCs w:val="22"/>
          </w:rPr>
          <w:fldChar w:fldCharType="end"/>
        </w:r>
      </w:hyperlink>
      <w:r w:rsidRPr="00370E70">
        <w:rPr>
          <w:color w:val="000000"/>
          <w:szCs w:val="22"/>
        </w:rPr>
        <w:t xml:space="preserve"> Guidelines recommendation of 24 data values. </w:t>
      </w:r>
    </w:p>
    <w:p w:rsidR="00EE0164" w:rsidRPr="00370E70" w:rsidRDefault="00EE0164" w:rsidP="00EE0164">
      <w:pPr>
        <w:spacing w:before="240"/>
        <w:rPr>
          <w:color w:val="000000"/>
          <w:szCs w:val="22"/>
        </w:rPr>
      </w:pPr>
      <w:r w:rsidRPr="00370E70">
        <w:rPr>
          <w:color w:val="000000"/>
          <w:szCs w:val="22"/>
        </w:rPr>
        <w:t xml:space="preserve">Nonlinear regressions (exponential rise to maximum, two parameter) were then fitted to percent cover percentile values at each number of sampling events using the following model: </w:t>
      </w:r>
    </w:p>
    <w:p w:rsidR="00EE0164" w:rsidRPr="00370E70" w:rsidRDefault="007B15AB" w:rsidP="00EE0164">
      <w:pPr>
        <w:spacing w:before="240"/>
        <w:jc w:val="center"/>
        <w:rPr>
          <w:color w:val="000000"/>
          <w:szCs w:val="22"/>
        </w:rPr>
      </w:pPr>
      <w:r>
        <w:rPr>
          <w:noProof/>
          <w:color w:val="000000"/>
          <w:position w:val="-10"/>
          <w:szCs w:val="22"/>
          <w:lang w:eastAsia="en-AU"/>
        </w:rPr>
        <w:drawing>
          <wp:inline distT="0" distB="0" distL="0" distR="0">
            <wp:extent cx="850265" cy="219075"/>
            <wp:effectExtent l="0" t="0" r="6985" b="9525"/>
            <wp:docPr id="9" name="Picture 9"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50265" cy="219075"/>
                    </a:xfrm>
                    <a:prstGeom prst="rect">
                      <a:avLst/>
                    </a:prstGeom>
                    <a:noFill/>
                    <a:ln>
                      <a:noFill/>
                    </a:ln>
                  </pic:spPr>
                </pic:pic>
              </a:graphicData>
            </a:graphic>
          </wp:inline>
        </w:drawing>
      </w:r>
    </w:p>
    <w:p w:rsidR="00EE0164" w:rsidRPr="00370E70" w:rsidRDefault="00EE0164" w:rsidP="00EE0164">
      <w:pPr>
        <w:spacing w:before="240"/>
        <w:rPr>
          <w:color w:val="000000"/>
          <w:szCs w:val="22"/>
        </w:rPr>
      </w:pPr>
      <w:r w:rsidRPr="00370E70">
        <w:rPr>
          <w:color w:val="000000"/>
          <w:szCs w:val="22"/>
        </w:rPr>
        <w:t xml:space="preserve">where </w:t>
      </w:r>
      <w:r w:rsidRPr="00370E70">
        <w:rPr>
          <w:i/>
          <w:color w:val="000000"/>
          <w:szCs w:val="22"/>
        </w:rPr>
        <w:t>y</w:t>
      </w:r>
      <w:r w:rsidRPr="00370E70">
        <w:rPr>
          <w:color w:val="000000"/>
          <w:szCs w:val="22"/>
        </w:rPr>
        <w:t xml:space="preserve"> is the seagrass cover percentile at each number of sampling events (</w:t>
      </w:r>
      <w:r w:rsidRPr="00370E70">
        <w:rPr>
          <w:i/>
          <w:color w:val="000000"/>
          <w:szCs w:val="22"/>
        </w:rPr>
        <w:t>x</w:t>
      </w:r>
      <w:r w:rsidRPr="00370E70">
        <w:rPr>
          <w:color w:val="000000"/>
          <w:szCs w:val="22"/>
        </w:rPr>
        <w:t xml:space="preserve">), </w:t>
      </w:r>
      <w:r w:rsidRPr="00370E70">
        <w:rPr>
          <w:i/>
          <w:color w:val="000000"/>
          <w:szCs w:val="22"/>
        </w:rPr>
        <w:t>a</w:t>
      </w:r>
      <w:r w:rsidRPr="00370E70">
        <w:rPr>
          <w:color w:val="000000"/>
          <w:szCs w:val="22"/>
        </w:rPr>
        <w:t xml:space="preserve"> is the asymptotic average of the seagrass cover percentile, and </w:t>
      </w:r>
      <w:r w:rsidRPr="00370E70">
        <w:rPr>
          <w:i/>
          <w:color w:val="000000"/>
          <w:szCs w:val="22"/>
        </w:rPr>
        <w:t>b</w:t>
      </w:r>
      <w:r w:rsidRPr="00370E70">
        <w:rPr>
          <w:color w:val="000000"/>
          <w:szCs w:val="22"/>
        </w:rPr>
        <w:t xml:space="preserve"> is the rate coefficient that determines how quickly (or slowly) the maximum is attained (i.e., the slope). The asymptotic average was then used as the guideline value for each percentile (</w:t>
      </w:r>
      <w:r w:rsidRPr="00370E70">
        <w:rPr>
          <w:color w:val="000000"/>
          <w:szCs w:val="22"/>
        </w:rPr>
        <w:fldChar w:fldCharType="begin"/>
      </w:r>
      <w:r w:rsidRPr="00370E70">
        <w:rPr>
          <w:color w:val="000000"/>
          <w:szCs w:val="22"/>
        </w:rPr>
        <w:instrText xml:space="preserve"> REF _Ref316226853 \h </w:instrText>
      </w:r>
      <w:r w:rsidRPr="00370E70">
        <w:rPr>
          <w:color w:val="000000"/>
          <w:szCs w:val="22"/>
        </w:rPr>
      </w:r>
      <w:r w:rsidRPr="00370E70">
        <w:rPr>
          <w:color w:val="000000"/>
          <w:szCs w:val="22"/>
        </w:rPr>
        <w:fldChar w:fldCharType="separate"/>
      </w:r>
      <w:r w:rsidR="005B5FD6" w:rsidRPr="00370E70">
        <w:t xml:space="preserve">Figure </w:t>
      </w:r>
      <w:r w:rsidR="005B5FD6">
        <w:rPr>
          <w:noProof/>
        </w:rPr>
        <w:t>5</w:t>
      </w:r>
      <w:r w:rsidRPr="00370E70">
        <w:rPr>
          <w:color w:val="000000"/>
          <w:szCs w:val="22"/>
        </w:rPr>
        <w:fldChar w:fldCharType="end"/>
      </w:r>
      <w:r w:rsidRPr="00370E70">
        <w:rPr>
          <w:color w:val="000000"/>
          <w:szCs w:val="22"/>
        </w:rPr>
        <w:t>).</w:t>
      </w:r>
    </w:p>
    <w:p w:rsidR="00EE0164" w:rsidRPr="00370E70" w:rsidRDefault="007B15AB" w:rsidP="00EE0164">
      <w:pPr>
        <w:jc w:val="center"/>
      </w:pPr>
      <w:r>
        <w:rPr>
          <w:noProof/>
          <w:lang w:eastAsia="en-AU"/>
        </w:rPr>
        <w:drawing>
          <wp:inline distT="0" distB="0" distL="0" distR="0">
            <wp:extent cx="2769235" cy="2099310"/>
            <wp:effectExtent l="0" t="0" r="0" b="0"/>
            <wp:docPr id="10" name="Picture 10" descr="Figure showing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ure showing relationship between sample size and the error in estimation of percentile values for seagrass abundance (% cover) in coastal seagrass habitats in the Wet Tropics NRM."/>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69235" cy="2099310"/>
                    </a:xfrm>
                    <a:prstGeom prst="rect">
                      <a:avLst/>
                    </a:prstGeom>
                    <a:noFill/>
                    <a:ln>
                      <a:noFill/>
                    </a:ln>
                  </pic:spPr>
                </pic:pic>
              </a:graphicData>
            </a:graphic>
          </wp:inline>
        </w:drawing>
      </w:r>
      <w:r w:rsidR="00EE0164" w:rsidRPr="00370E70">
        <w:t xml:space="preserve"> </w:t>
      </w:r>
      <w:r>
        <w:rPr>
          <w:noProof/>
          <w:sz w:val="18"/>
          <w:szCs w:val="18"/>
          <w:lang w:eastAsia="en-AU"/>
        </w:rPr>
        <w:drawing>
          <wp:inline distT="0" distB="0" distL="0" distR="0">
            <wp:extent cx="2769235" cy="2099310"/>
            <wp:effectExtent l="0" t="0" r="0" b="0"/>
            <wp:docPr id="11" name="Picture 11" descr="Figure showing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e showing relationship between sample size and the error in estimation of percentile values for seagrass abundance (% cover) in reef seagrass habitats in the Wet Tropics NRM."/>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69235" cy="2099310"/>
                    </a:xfrm>
                    <a:prstGeom prst="rect">
                      <a:avLst/>
                    </a:prstGeom>
                    <a:noFill/>
                    <a:ln>
                      <a:noFill/>
                    </a:ln>
                  </pic:spPr>
                </pic:pic>
              </a:graphicData>
            </a:graphic>
          </wp:inline>
        </w:drawing>
      </w:r>
    </w:p>
    <w:p w:rsidR="0033652B" w:rsidRPr="00370E70" w:rsidRDefault="00EE0164" w:rsidP="0033652B">
      <w:pPr>
        <w:pStyle w:val="Caption"/>
        <w:rPr>
          <w:i/>
          <w:vanish/>
          <w:szCs w:val="22"/>
          <w:lang w:val="en-AU"/>
          <w:specVanish/>
        </w:rPr>
      </w:pPr>
      <w:bookmarkStart w:id="99" w:name="_Ref316226853"/>
      <w:bookmarkStart w:id="100" w:name="_Toc384196352"/>
      <w:bookmarkStart w:id="101" w:name="_Toc382217220"/>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w:t>
      </w:r>
      <w:r w:rsidRPr="00370E70">
        <w:rPr>
          <w:lang w:val="en-AU"/>
        </w:rPr>
        <w:fldChar w:fldCharType="end"/>
      </w:r>
      <w:bookmarkEnd w:id="99"/>
      <w:r w:rsidRPr="00370E70">
        <w:rPr>
          <w:lang w:val="en-AU"/>
        </w:rPr>
        <w:t xml:space="preserve">. </w:t>
      </w:r>
      <w:r w:rsidRPr="00370E70">
        <w:rPr>
          <w:i/>
          <w:lang w:val="en-AU"/>
        </w:rPr>
        <w:t>Relationship between sample size and the error in estimation of percentile values for seagrass abundance (% cover) in coastal and reef seagrass habitats in the Wet Tropics NRM</w:t>
      </w:r>
      <w:bookmarkEnd w:id="100"/>
    </w:p>
    <w:p w:rsidR="0033652B" w:rsidRPr="00370E70" w:rsidRDefault="00EE0164" w:rsidP="0033652B">
      <w:pPr>
        <w:pStyle w:val="Caption"/>
        <w:rPr>
          <w:i/>
          <w:lang w:val="en-AU"/>
        </w:rPr>
      </w:pPr>
      <w:r w:rsidRPr="00370E70">
        <w:rPr>
          <w:i/>
          <w:lang w:val="en-AU"/>
        </w:rPr>
        <w:t xml:space="preserve">. </w:t>
      </w:r>
      <w:r w:rsidRPr="00370E70">
        <w:rPr>
          <w:i/>
          <w:sz w:val="18"/>
          <w:szCs w:val="18"/>
          <w:lang w:val="en-AU"/>
        </w:rPr>
        <w:sym w:font="Wingdings 3" w:char="F071"/>
      </w:r>
      <w:r w:rsidRPr="00370E70">
        <w:rPr>
          <w:i/>
          <w:lang w:val="en-AU"/>
        </w:rPr>
        <w:t xml:space="preserve"> = 75</w:t>
      </w:r>
      <w:r w:rsidRPr="00370E70">
        <w:rPr>
          <w:i/>
          <w:vertAlign w:val="superscript"/>
          <w:lang w:val="en-AU"/>
        </w:rPr>
        <w:t>th</w:t>
      </w:r>
      <w:r w:rsidRPr="00370E70">
        <w:rPr>
          <w:i/>
          <w:lang w:val="en-AU"/>
        </w:rPr>
        <w:t xml:space="preserve"> percentile, ○ = 50</w:t>
      </w:r>
      <w:r w:rsidRPr="00370E70">
        <w:rPr>
          <w:i/>
          <w:vertAlign w:val="superscript"/>
          <w:lang w:val="en-AU"/>
        </w:rPr>
        <w:t>th</w:t>
      </w:r>
      <w:r w:rsidRPr="00370E70">
        <w:rPr>
          <w:i/>
          <w:lang w:val="en-AU"/>
        </w:rPr>
        <w:t xml:space="preserve"> percentile,● = 20</w:t>
      </w:r>
      <w:r w:rsidRPr="00370E70">
        <w:rPr>
          <w:i/>
          <w:vertAlign w:val="superscript"/>
          <w:lang w:val="en-AU"/>
        </w:rPr>
        <w:t>th</w:t>
      </w:r>
      <w:r w:rsidRPr="00370E70">
        <w:rPr>
          <w:i/>
          <w:lang w:val="en-AU"/>
        </w:rPr>
        <w:t xml:space="preserve"> percentile. Dashed lines are asymptotic averages for each percentile plot.</w:t>
      </w:r>
      <w:bookmarkEnd w:id="101"/>
      <w:r w:rsidR="0033652B" w:rsidRPr="00370E70">
        <w:rPr>
          <w:i/>
          <w:lang w:val="en-AU"/>
        </w:rPr>
        <w:t xml:space="preserve"> </w:t>
      </w:r>
    </w:p>
    <w:p w:rsidR="00EE0164" w:rsidRPr="00370E70" w:rsidRDefault="00EE0164" w:rsidP="00EE0164">
      <w:pPr>
        <w:rPr>
          <w:szCs w:val="22"/>
        </w:rPr>
      </w:pPr>
      <w:r w:rsidRPr="00370E70">
        <w:rPr>
          <w:szCs w:val="22"/>
        </w:rPr>
        <w:t>As sampling events occur every 3-6 months depending on the site, this is equivalent to 3-10 years of monitoring to establish percentile values. Based on the analyses, it was recommended that estimates of the 20</w:t>
      </w:r>
      <w:r w:rsidRPr="00370E70">
        <w:rPr>
          <w:szCs w:val="22"/>
          <w:vertAlign w:val="superscript"/>
        </w:rPr>
        <w:t>th</w:t>
      </w:r>
      <w:r w:rsidRPr="00370E70">
        <w:rPr>
          <w:szCs w:val="22"/>
        </w:rPr>
        <w:t xml:space="preserve"> percentile at a reference site should be based on a minimum of 18 samples collected over at least three years. For the </w:t>
      </w:r>
      <w:r w:rsidRPr="00370E70">
        <w:rPr>
          <w:color w:val="000000"/>
          <w:szCs w:val="22"/>
        </w:rPr>
        <w:t>50</w:t>
      </w:r>
      <w:r w:rsidRPr="00370E70">
        <w:rPr>
          <w:color w:val="000000"/>
          <w:szCs w:val="22"/>
          <w:vertAlign w:val="superscript"/>
        </w:rPr>
        <w:t>th</w:t>
      </w:r>
      <w:r w:rsidRPr="00370E70">
        <w:rPr>
          <w:color w:val="000000"/>
          <w:szCs w:val="22"/>
        </w:rPr>
        <w:t xml:space="preserve"> </w:t>
      </w:r>
      <w:r w:rsidRPr="00370E70">
        <w:rPr>
          <w:szCs w:val="22"/>
        </w:rPr>
        <w:t xml:space="preserve">percentile a smaller minimum number of samples (approximately 10–12) would be adequate but in most situations it would be necessary to collect sufficient data for the </w:t>
      </w:r>
      <w:r w:rsidRPr="00370E70">
        <w:rPr>
          <w:color w:val="000000"/>
          <w:szCs w:val="22"/>
        </w:rPr>
        <w:t>20</w:t>
      </w:r>
      <w:r w:rsidRPr="00370E70">
        <w:rPr>
          <w:color w:val="000000"/>
          <w:szCs w:val="22"/>
          <w:vertAlign w:val="superscript"/>
        </w:rPr>
        <w:t>th</w:t>
      </w:r>
      <w:r w:rsidRPr="00370E70">
        <w:rPr>
          <w:color w:val="000000"/>
          <w:szCs w:val="22"/>
        </w:rPr>
        <w:t xml:space="preserve"> </w:t>
      </w:r>
      <w:r w:rsidRPr="00370E70">
        <w:rPr>
          <w:szCs w:val="22"/>
        </w:rPr>
        <w:t>percentile anyway. For seagrass habitats with low variability, a more appropriate guideline was the 10</w:t>
      </w:r>
      <w:r w:rsidRPr="00370E70">
        <w:rPr>
          <w:color w:val="000000"/>
          <w:szCs w:val="22"/>
          <w:vertAlign w:val="superscript"/>
        </w:rPr>
        <w:t>th</w:t>
      </w:r>
      <w:r w:rsidRPr="00370E70">
        <w:rPr>
          <w:color w:val="000000"/>
          <w:szCs w:val="22"/>
        </w:rPr>
        <w:t xml:space="preserve"> </w:t>
      </w:r>
      <w:r w:rsidRPr="00370E70">
        <w:rPr>
          <w:szCs w:val="22"/>
        </w:rPr>
        <w:t xml:space="preserve">percentile primarily the result of seasonal fluctuations (as nearly every seasonal low would fall below the </w:t>
      </w:r>
      <w:r w:rsidRPr="00370E70">
        <w:rPr>
          <w:color w:val="000000"/>
          <w:szCs w:val="22"/>
        </w:rPr>
        <w:t>20</w:t>
      </w:r>
      <w:r w:rsidRPr="00370E70">
        <w:rPr>
          <w:color w:val="000000"/>
          <w:szCs w:val="22"/>
          <w:vertAlign w:val="superscript"/>
        </w:rPr>
        <w:t>th</w:t>
      </w:r>
      <w:r w:rsidRPr="00370E70">
        <w:rPr>
          <w:color w:val="000000"/>
          <w:szCs w:val="22"/>
        </w:rPr>
        <w:t xml:space="preserve"> </w:t>
      </w:r>
      <w:r w:rsidRPr="00370E70">
        <w:rPr>
          <w:szCs w:val="22"/>
        </w:rPr>
        <w:t>percentile). Percentile variability was further reduced within a habitat type of each region by pooling at least two (preferably more) reference sites to derive guidelines. The subregional guideline is calculated from the mean of all reference sites within a habitat type within a region.</w:t>
      </w:r>
    </w:p>
    <w:p w:rsidR="00EE0164" w:rsidRPr="00370E70" w:rsidRDefault="00EE0164" w:rsidP="00EE0164">
      <w:pPr>
        <w:rPr>
          <w:szCs w:val="22"/>
        </w:rPr>
      </w:pPr>
      <w:r w:rsidRPr="00370E70">
        <w:rPr>
          <w:szCs w:val="22"/>
        </w:rPr>
        <w:t xml:space="preserve">Using the seagrass guidelines, seagrass state can be determined for each monitoring event at each site and allocated as good (median abundance at or above </w:t>
      </w:r>
      <w:r w:rsidRPr="00370E70">
        <w:rPr>
          <w:color w:val="000000"/>
          <w:szCs w:val="22"/>
        </w:rPr>
        <w:t>50</w:t>
      </w:r>
      <w:r w:rsidRPr="00370E70">
        <w:rPr>
          <w:color w:val="000000"/>
          <w:szCs w:val="22"/>
          <w:vertAlign w:val="superscript"/>
        </w:rPr>
        <w:t>th</w:t>
      </w:r>
      <w:r w:rsidRPr="00370E70">
        <w:rPr>
          <w:color w:val="000000"/>
          <w:szCs w:val="22"/>
        </w:rPr>
        <w:t xml:space="preserve"> </w:t>
      </w:r>
      <w:r w:rsidRPr="00370E70">
        <w:rPr>
          <w:szCs w:val="22"/>
        </w:rPr>
        <w:t xml:space="preserve">percentile), moderate (median abundance below </w:t>
      </w:r>
      <w:r w:rsidRPr="00370E70">
        <w:rPr>
          <w:color w:val="000000"/>
          <w:szCs w:val="22"/>
        </w:rPr>
        <w:t>50</w:t>
      </w:r>
      <w:r w:rsidRPr="00370E70">
        <w:rPr>
          <w:color w:val="000000"/>
          <w:szCs w:val="22"/>
          <w:vertAlign w:val="superscript"/>
        </w:rPr>
        <w:t>th</w:t>
      </w:r>
      <w:r w:rsidRPr="00370E70">
        <w:rPr>
          <w:color w:val="000000"/>
          <w:szCs w:val="22"/>
        </w:rPr>
        <w:t xml:space="preserve"> </w:t>
      </w:r>
      <w:r w:rsidRPr="00370E70">
        <w:rPr>
          <w:szCs w:val="22"/>
        </w:rPr>
        <w:t xml:space="preserve">percentile and at or above </w:t>
      </w:r>
      <w:r w:rsidRPr="00370E70">
        <w:rPr>
          <w:color w:val="000000"/>
          <w:szCs w:val="22"/>
        </w:rPr>
        <w:t>20</w:t>
      </w:r>
      <w:r w:rsidRPr="00370E70">
        <w:rPr>
          <w:color w:val="000000"/>
          <w:szCs w:val="22"/>
          <w:vertAlign w:val="superscript"/>
        </w:rPr>
        <w:t>th</w:t>
      </w:r>
      <w:r w:rsidRPr="00370E70">
        <w:rPr>
          <w:color w:val="000000"/>
          <w:szCs w:val="22"/>
        </w:rPr>
        <w:t xml:space="preserve"> </w:t>
      </w:r>
      <w:r w:rsidRPr="00370E70">
        <w:rPr>
          <w:szCs w:val="22"/>
        </w:rPr>
        <w:t xml:space="preserve">percentile), poor (median abundance below </w:t>
      </w:r>
      <w:r w:rsidRPr="00370E70">
        <w:rPr>
          <w:color w:val="000000"/>
          <w:szCs w:val="22"/>
        </w:rPr>
        <w:t>20</w:t>
      </w:r>
      <w:r w:rsidRPr="00370E70">
        <w:rPr>
          <w:color w:val="000000"/>
          <w:szCs w:val="22"/>
          <w:vertAlign w:val="superscript"/>
        </w:rPr>
        <w:t>th</w:t>
      </w:r>
      <w:r w:rsidRPr="00370E70">
        <w:rPr>
          <w:color w:val="000000"/>
          <w:szCs w:val="22"/>
        </w:rPr>
        <w:t xml:space="preserve"> </w:t>
      </w:r>
      <w:r w:rsidRPr="00370E70">
        <w:rPr>
          <w:szCs w:val="22"/>
        </w:rPr>
        <w:t>or 10</w:t>
      </w:r>
      <w:r w:rsidRPr="00370E70">
        <w:rPr>
          <w:color w:val="000000"/>
          <w:szCs w:val="22"/>
          <w:vertAlign w:val="superscript"/>
        </w:rPr>
        <w:t>th</w:t>
      </w:r>
      <w:r w:rsidRPr="00370E70">
        <w:rPr>
          <w:color w:val="000000"/>
          <w:szCs w:val="22"/>
        </w:rPr>
        <w:t xml:space="preserve"> </w:t>
      </w:r>
      <w:r w:rsidRPr="00370E70">
        <w:rPr>
          <w:szCs w:val="22"/>
        </w:rPr>
        <w:t xml:space="preserve">percentile).  For example, when the median seagrass abundance for Yule Point is plotted against the </w:t>
      </w:r>
      <w:r w:rsidRPr="00370E70">
        <w:rPr>
          <w:color w:val="000000"/>
          <w:szCs w:val="22"/>
        </w:rPr>
        <w:t>20</w:t>
      </w:r>
      <w:r w:rsidRPr="00370E70">
        <w:rPr>
          <w:color w:val="000000"/>
          <w:szCs w:val="22"/>
          <w:vertAlign w:val="superscript"/>
        </w:rPr>
        <w:t>th</w:t>
      </w:r>
      <w:r w:rsidRPr="00370E70">
        <w:rPr>
          <w:color w:val="000000"/>
          <w:szCs w:val="22"/>
        </w:rPr>
        <w:t xml:space="preserve"> </w:t>
      </w:r>
      <w:r w:rsidRPr="00370E70">
        <w:rPr>
          <w:szCs w:val="22"/>
        </w:rPr>
        <w:t>and 50</w:t>
      </w:r>
      <w:r w:rsidRPr="00370E70">
        <w:rPr>
          <w:color w:val="000000"/>
          <w:szCs w:val="22"/>
          <w:vertAlign w:val="superscript"/>
        </w:rPr>
        <w:t>th</w:t>
      </w:r>
      <w:r w:rsidRPr="00370E70">
        <w:rPr>
          <w:color w:val="000000"/>
          <w:szCs w:val="22"/>
        </w:rPr>
        <w:t xml:space="preserve"> </w:t>
      </w:r>
      <w:r w:rsidRPr="00370E70">
        <w:rPr>
          <w:szCs w:val="22"/>
        </w:rPr>
        <w:t>percentiles for coastal habitats in the Wet Tropics (</w:t>
      </w:r>
      <w:r w:rsidRPr="00370E70">
        <w:fldChar w:fldCharType="begin"/>
      </w:r>
      <w:r w:rsidRPr="00370E70">
        <w:instrText xml:space="preserve"> REF _Ref316226955 \h  \* MERGEFORMAT </w:instrText>
      </w:r>
      <w:r w:rsidRPr="00370E70">
        <w:fldChar w:fldCharType="separate"/>
      </w:r>
      <w:r w:rsidR="005B5FD6" w:rsidRPr="00370E70">
        <w:rPr>
          <w:szCs w:val="22"/>
        </w:rPr>
        <w:t xml:space="preserve">Figure </w:t>
      </w:r>
      <w:r w:rsidR="005B5FD6">
        <w:rPr>
          <w:noProof/>
          <w:szCs w:val="22"/>
        </w:rPr>
        <w:t>6</w:t>
      </w:r>
      <w:r w:rsidRPr="00370E70">
        <w:fldChar w:fldCharType="end"/>
      </w:r>
      <w:r w:rsidRPr="00370E70">
        <w:rPr>
          <w:szCs w:val="22"/>
        </w:rPr>
        <w:t>), it indicates that the meadows were in a poor condition in mid 2000, mid 2001 and mid 2006 (based on abundance).</w:t>
      </w:r>
    </w:p>
    <w:p w:rsidR="00EE0164" w:rsidRPr="00370E70" w:rsidRDefault="007B15AB" w:rsidP="00EE0164">
      <w:pPr>
        <w:jc w:val="center"/>
        <w:rPr>
          <w:szCs w:val="22"/>
        </w:rPr>
      </w:pPr>
      <w:r>
        <w:rPr>
          <w:noProof/>
          <w:lang w:eastAsia="en-AU"/>
        </w:rPr>
        <w:lastRenderedPageBreak/>
        <w:drawing>
          <wp:inline distT="0" distB="0" distL="0" distR="0">
            <wp:extent cx="3606165" cy="2189480"/>
            <wp:effectExtent l="0" t="0" r="0" b="1270"/>
            <wp:docPr id="12" name="Picture 12" descr="Figure showing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gure showing median seagrass abundance (% cover) at Yule Point plotted against the 50th and 20th percentiles for coastal seagrass habitat in the Wet Tropic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06165" cy="2189480"/>
                    </a:xfrm>
                    <a:prstGeom prst="rect">
                      <a:avLst/>
                    </a:prstGeom>
                    <a:noFill/>
                    <a:ln>
                      <a:noFill/>
                    </a:ln>
                  </pic:spPr>
                </pic:pic>
              </a:graphicData>
            </a:graphic>
          </wp:inline>
        </w:drawing>
      </w:r>
    </w:p>
    <w:p w:rsidR="00EE0164" w:rsidRPr="00370E70" w:rsidRDefault="00EE0164" w:rsidP="00EE0164">
      <w:pPr>
        <w:pStyle w:val="Caption"/>
        <w:rPr>
          <w:i/>
          <w:szCs w:val="22"/>
          <w:lang w:val="en-AU"/>
        </w:rPr>
      </w:pPr>
      <w:bookmarkStart w:id="102" w:name="_Ref316226955"/>
      <w:bookmarkStart w:id="103" w:name="_Toc382217221"/>
      <w:bookmarkStart w:id="104" w:name="_Toc384196353"/>
      <w:r w:rsidRPr="00370E70">
        <w:rPr>
          <w:szCs w:val="22"/>
          <w:lang w:val="en-AU"/>
        </w:rPr>
        <w:t xml:space="preserve">Figure </w:t>
      </w:r>
      <w:r w:rsidRPr="00370E70">
        <w:rPr>
          <w:szCs w:val="22"/>
          <w:lang w:val="en-AU"/>
        </w:rPr>
        <w:fldChar w:fldCharType="begin"/>
      </w:r>
      <w:r w:rsidRPr="00370E70">
        <w:rPr>
          <w:szCs w:val="22"/>
          <w:lang w:val="en-AU"/>
        </w:rPr>
        <w:instrText xml:space="preserve"> SEQ Figure \* ARABIC </w:instrText>
      </w:r>
      <w:r w:rsidRPr="00370E70">
        <w:rPr>
          <w:szCs w:val="22"/>
          <w:lang w:val="en-AU"/>
        </w:rPr>
        <w:fldChar w:fldCharType="separate"/>
      </w:r>
      <w:r w:rsidR="005B5FD6">
        <w:rPr>
          <w:noProof/>
          <w:szCs w:val="22"/>
          <w:lang w:val="en-AU"/>
        </w:rPr>
        <w:t>6</w:t>
      </w:r>
      <w:r w:rsidRPr="00370E70">
        <w:rPr>
          <w:szCs w:val="22"/>
          <w:lang w:val="en-AU"/>
        </w:rPr>
        <w:fldChar w:fldCharType="end"/>
      </w:r>
      <w:bookmarkEnd w:id="102"/>
      <w:r w:rsidRPr="00370E70">
        <w:rPr>
          <w:szCs w:val="22"/>
          <w:lang w:val="en-AU"/>
        </w:rPr>
        <w:t>.</w:t>
      </w:r>
      <w:r w:rsidRPr="00370E70">
        <w:rPr>
          <w:i/>
          <w:szCs w:val="22"/>
          <w:lang w:val="en-AU"/>
        </w:rPr>
        <w:t xml:space="preserve"> Median seagrass abundance (% cover) at Yule Point plotted against the 50</w:t>
      </w:r>
      <w:r w:rsidRPr="00370E70">
        <w:rPr>
          <w:i/>
          <w:szCs w:val="22"/>
          <w:vertAlign w:val="superscript"/>
          <w:lang w:val="en-AU"/>
        </w:rPr>
        <w:t>th</w:t>
      </w:r>
      <w:r w:rsidRPr="00370E70">
        <w:rPr>
          <w:i/>
          <w:szCs w:val="22"/>
          <w:lang w:val="en-AU"/>
        </w:rPr>
        <w:t xml:space="preserve"> and 20</w:t>
      </w:r>
      <w:r w:rsidRPr="00370E70">
        <w:rPr>
          <w:i/>
          <w:szCs w:val="22"/>
          <w:vertAlign w:val="superscript"/>
          <w:lang w:val="en-AU"/>
        </w:rPr>
        <w:t>th</w:t>
      </w:r>
      <w:r w:rsidRPr="00370E70">
        <w:rPr>
          <w:i/>
          <w:szCs w:val="22"/>
          <w:lang w:val="en-AU"/>
        </w:rPr>
        <w:t xml:space="preserve"> percentiles for coastal seagrass habitat in the Wet Tropics.</w:t>
      </w:r>
      <w:bookmarkEnd w:id="103"/>
      <w:bookmarkEnd w:id="104"/>
    </w:p>
    <w:p w:rsidR="00EE0164" w:rsidRPr="00370E70" w:rsidRDefault="00EE0164" w:rsidP="00EE0164">
      <w:pPr>
        <w:rPr>
          <w:szCs w:val="22"/>
        </w:rPr>
      </w:pPr>
      <w:r w:rsidRPr="00370E70">
        <w:rPr>
          <w:szCs w:val="22"/>
        </w:rPr>
        <w:t xml:space="preserve">Similarly, when the median seagrass abundance for </w:t>
      </w:r>
      <w:smartTag w:uri="urn:schemas-microsoft-com:office:smarttags" w:element="place">
        <w:smartTag w:uri="urn:schemas-microsoft-com:office:smarttags" w:element="PlaceName">
          <w:r w:rsidRPr="00370E70">
            <w:rPr>
              <w:szCs w:val="22"/>
            </w:rPr>
            <w:t>Green</w:t>
          </w:r>
        </w:smartTag>
        <w:r w:rsidRPr="00370E70">
          <w:rPr>
            <w:szCs w:val="22"/>
          </w:rPr>
          <w:t xml:space="preserve"> </w:t>
        </w:r>
        <w:smartTag w:uri="urn:schemas-microsoft-com:office:smarttags" w:element="PlaceType">
          <w:r w:rsidRPr="00370E70">
            <w:rPr>
              <w:szCs w:val="22"/>
            </w:rPr>
            <w:t>Island</w:t>
          </w:r>
        </w:smartTag>
      </w:smartTag>
      <w:r w:rsidRPr="00370E70">
        <w:rPr>
          <w:szCs w:val="22"/>
        </w:rPr>
        <w:t xml:space="preserve"> is plotted against the 20</w:t>
      </w:r>
      <w:r w:rsidRPr="00370E70">
        <w:rPr>
          <w:szCs w:val="22"/>
          <w:vertAlign w:val="superscript"/>
        </w:rPr>
        <w:t>th</w:t>
      </w:r>
      <w:r w:rsidRPr="00370E70">
        <w:rPr>
          <w:szCs w:val="22"/>
        </w:rPr>
        <w:t xml:space="preserve"> and 50</w:t>
      </w:r>
      <w:r w:rsidRPr="00370E70">
        <w:rPr>
          <w:szCs w:val="22"/>
          <w:vertAlign w:val="superscript"/>
        </w:rPr>
        <w:t>th</w:t>
      </w:r>
      <w:r w:rsidRPr="00370E70">
        <w:rPr>
          <w:szCs w:val="22"/>
        </w:rPr>
        <w:t xml:space="preserve"> percentiles for intertidal reef habitats in the Wet Tropics, it indicates that the meadows were in a poor condition in the middle of most years (based on abundance). However, the poor rating is most likely a consequence of seasonal lows in abundance. Therefore, in this instance, it was more appropriate to set the guideline at the 10</w:t>
      </w:r>
      <w:r w:rsidRPr="00370E70">
        <w:rPr>
          <w:szCs w:val="22"/>
          <w:vertAlign w:val="superscript"/>
        </w:rPr>
        <w:t>th</w:t>
      </w:r>
      <w:r w:rsidRPr="00370E70">
        <w:rPr>
          <w:szCs w:val="22"/>
        </w:rPr>
        <w:t xml:space="preserve"> rather than the 20</w:t>
      </w:r>
      <w:r w:rsidRPr="00370E70">
        <w:rPr>
          <w:szCs w:val="22"/>
          <w:vertAlign w:val="superscript"/>
        </w:rPr>
        <w:t>th</w:t>
      </w:r>
      <w:r w:rsidRPr="00370E70">
        <w:rPr>
          <w:szCs w:val="22"/>
        </w:rPr>
        <w:t xml:space="preserve"> percentile.</w:t>
      </w:r>
    </w:p>
    <w:p w:rsidR="00EE0164" w:rsidRPr="00370E70" w:rsidRDefault="007B15AB" w:rsidP="00EE0164">
      <w:pPr>
        <w:jc w:val="center"/>
        <w:rPr>
          <w:szCs w:val="22"/>
        </w:rPr>
      </w:pPr>
      <w:r>
        <w:rPr>
          <w:noProof/>
          <w:lang w:eastAsia="en-AU"/>
        </w:rPr>
        <w:drawing>
          <wp:inline distT="0" distB="0" distL="0" distR="0">
            <wp:extent cx="3606165" cy="2189480"/>
            <wp:effectExtent l="0" t="0" r="0" b="1270"/>
            <wp:docPr id="13" name="Picture 13" descr="Figure showing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ure showing median seagrass abundance (% cover) at Green Island plotted against the 50th and 10th percentiles for intertidal reef seagrass habitat in the Wet Tropic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606165" cy="2189480"/>
                    </a:xfrm>
                    <a:prstGeom prst="rect">
                      <a:avLst/>
                    </a:prstGeom>
                    <a:noFill/>
                    <a:ln>
                      <a:noFill/>
                    </a:ln>
                  </pic:spPr>
                </pic:pic>
              </a:graphicData>
            </a:graphic>
          </wp:inline>
        </w:drawing>
      </w:r>
    </w:p>
    <w:p w:rsidR="00EE0164" w:rsidRPr="00370E70" w:rsidRDefault="00EE0164" w:rsidP="00EE0164">
      <w:pPr>
        <w:pStyle w:val="Caption"/>
        <w:rPr>
          <w:i/>
          <w:szCs w:val="22"/>
          <w:lang w:val="en-AU"/>
        </w:rPr>
      </w:pPr>
      <w:bookmarkStart w:id="105" w:name="_Toc382217222"/>
      <w:bookmarkStart w:id="106" w:name="_Toc384196354"/>
      <w:r w:rsidRPr="00370E70">
        <w:rPr>
          <w:szCs w:val="22"/>
          <w:lang w:val="en-AU"/>
        </w:rPr>
        <w:t xml:space="preserve">Figure </w:t>
      </w:r>
      <w:bookmarkStart w:id="107" w:name="_Ref316227016"/>
      <w:r w:rsidRPr="00370E70">
        <w:rPr>
          <w:szCs w:val="22"/>
          <w:lang w:val="en-AU"/>
        </w:rPr>
        <w:fldChar w:fldCharType="begin"/>
      </w:r>
      <w:r w:rsidRPr="00370E70">
        <w:rPr>
          <w:szCs w:val="22"/>
          <w:lang w:val="en-AU"/>
        </w:rPr>
        <w:instrText xml:space="preserve"> SEQ Figure \* ARABIC </w:instrText>
      </w:r>
      <w:r w:rsidRPr="00370E70">
        <w:rPr>
          <w:szCs w:val="22"/>
          <w:lang w:val="en-AU"/>
        </w:rPr>
        <w:fldChar w:fldCharType="separate"/>
      </w:r>
      <w:r w:rsidR="005B5FD6">
        <w:rPr>
          <w:noProof/>
          <w:szCs w:val="22"/>
          <w:lang w:val="en-AU"/>
        </w:rPr>
        <w:t>7</w:t>
      </w:r>
      <w:r w:rsidRPr="00370E70">
        <w:rPr>
          <w:szCs w:val="22"/>
          <w:lang w:val="en-AU"/>
        </w:rPr>
        <w:fldChar w:fldCharType="end"/>
      </w:r>
      <w:bookmarkEnd w:id="107"/>
      <w:r w:rsidRPr="00370E70">
        <w:rPr>
          <w:szCs w:val="22"/>
          <w:lang w:val="en-AU"/>
        </w:rPr>
        <w:t>.</w:t>
      </w:r>
      <w:r w:rsidRPr="00370E70">
        <w:rPr>
          <w:i/>
          <w:szCs w:val="22"/>
          <w:lang w:val="en-AU"/>
        </w:rPr>
        <w:t xml:space="preserve"> Median seagrass abundance (% cover) at </w:t>
      </w:r>
      <w:smartTag w:uri="urn:schemas-microsoft-com:office:smarttags" w:element="place">
        <w:smartTag w:uri="urn:schemas-microsoft-com:office:smarttags" w:element="PlaceName">
          <w:r w:rsidRPr="00370E70">
            <w:rPr>
              <w:i/>
              <w:szCs w:val="22"/>
              <w:lang w:val="en-AU"/>
            </w:rPr>
            <w:t>Green</w:t>
          </w:r>
        </w:smartTag>
        <w:r w:rsidRPr="00370E70">
          <w:rPr>
            <w:i/>
            <w:szCs w:val="22"/>
            <w:lang w:val="en-AU"/>
          </w:rPr>
          <w:t xml:space="preserve"> </w:t>
        </w:r>
        <w:smartTag w:uri="urn:schemas-microsoft-com:office:smarttags" w:element="PlaceType">
          <w:r w:rsidRPr="00370E70">
            <w:rPr>
              <w:i/>
              <w:szCs w:val="22"/>
              <w:lang w:val="en-AU"/>
            </w:rPr>
            <w:t>Island</w:t>
          </w:r>
        </w:smartTag>
      </w:smartTag>
      <w:r w:rsidRPr="00370E70">
        <w:rPr>
          <w:i/>
          <w:szCs w:val="22"/>
          <w:lang w:val="en-AU"/>
        </w:rPr>
        <w:t xml:space="preserve"> plotted against the 50</w:t>
      </w:r>
      <w:r w:rsidRPr="00370E70">
        <w:rPr>
          <w:i/>
          <w:szCs w:val="22"/>
          <w:vertAlign w:val="superscript"/>
          <w:lang w:val="en-AU"/>
        </w:rPr>
        <w:t>th</w:t>
      </w:r>
      <w:r w:rsidRPr="00370E70">
        <w:rPr>
          <w:i/>
          <w:szCs w:val="22"/>
          <w:lang w:val="en-AU"/>
        </w:rPr>
        <w:t xml:space="preserve"> and 10</w:t>
      </w:r>
      <w:r w:rsidRPr="00370E70">
        <w:rPr>
          <w:i/>
          <w:szCs w:val="22"/>
          <w:vertAlign w:val="superscript"/>
          <w:lang w:val="en-AU"/>
        </w:rPr>
        <w:t>th</w:t>
      </w:r>
      <w:r w:rsidRPr="00370E70">
        <w:rPr>
          <w:i/>
          <w:szCs w:val="22"/>
          <w:lang w:val="en-AU"/>
        </w:rPr>
        <w:t xml:space="preserve"> percentiles for intertidal reef seagrass habitat in the Wet Tropics.</w:t>
      </w:r>
      <w:bookmarkEnd w:id="105"/>
      <w:bookmarkEnd w:id="106"/>
    </w:p>
    <w:p w:rsidR="00EE0164" w:rsidRPr="00370E70" w:rsidRDefault="00EE0164" w:rsidP="00EE0164">
      <w:pPr>
        <w:spacing w:before="240"/>
        <w:rPr>
          <w:color w:val="000000"/>
          <w:szCs w:val="22"/>
        </w:rPr>
      </w:pPr>
      <w:r w:rsidRPr="00370E70">
        <w:rPr>
          <w:color w:val="000000"/>
          <w:szCs w:val="22"/>
        </w:rPr>
        <w:t>Using this approach, subregional seagrass abundance guidelines (hereafter known as “the seagrass guidelines”) were developed for each seagrass habitat types where possible (</w:t>
      </w:r>
      <w:r w:rsidRPr="00370E70">
        <w:rPr>
          <w:color w:val="000000"/>
          <w:szCs w:val="22"/>
        </w:rPr>
        <w:fldChar w:fldCharType="begin"/>
      </w:r>
      <w:r w:rsidRPr="00370E70">
        <w:rPr>
          <w:color w:val="000000"/>
          <w:szCs w:val="22"/>
        </w:rPr>
        <w:instrText xml:space="preserve"> REF _Ref340344284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7</w:t>
      </w:r>
      <w:r w:rsidRPr="00370E70">
        <w:rPr>
          <w:color w:val="000000"/>
          <w:szCs w:val="22"/>
        </w:rPr>
        <w:fldChar w:fldCharType="end"/>
      </w:r>
      <w:r w:rsidRPr="00370E70">
        <w:rPr>
          <w:color w:val="000000"/>
          <w:szCs w:val="22"/>
        </w:rPr>
        <w:t>). If an individual site had 18 or more sampling events and no identified impacts (e.g., major loss from cyclone), an abundance guideline was determined at the site or location level rather than then using the subregional guideline from the reference sites (i.e. as more guidelines are developed at the sites level, they contribute to the subregional guideline).</w:t>
      </w:r>
    </w:p>
    <w:p w:rsidR="00EE0164" w:rsidRPr="00370E70" w:rsidRDefault="00EE0164" w:rsidP="00EE0164">
      <w:pPr>
        <w:spacing w:before="240"/>
      </w:pPr>
      <w:r w:rsidRPr="00370E70">
        <w:rPr>
          <w:color w:val="000000"/>
          <w:szCs w:val="22"/>
        </w:rPr>
        <w:t>After discussions with GBRMPA scientists and the Paddock to Reef integration team, the seagrass guidelines were further refined by allocating the additional categories of very good (median abundance at or above 75</w:t>
      </w:r>
      <w:r w:rsidRPr="00370E70">
        <w:rPr>
          <w:color w:val="000000"/>
          <w:szCs w:val="22"/>
          <w:vertAlign w:val="superscript"/>
        </w:rPr>
        <w:t>th</w:t>
      </w:r>
      <w:r w:rsidRPr="00370E70">
        <w:rPr>
          <w:color w:val="000000"/>
          <w:szCs w:val="22"/>
        </w:rPr>
        <w:t xml:space="preserve"> percentile), and very poor (median abundance below 20</w:t>
      </w:r>
      <w:r w:rsidRPr="00370E70">
        <w:rPr>
          <w:color w:val="000000"/>
          <w:szCs w:val="22"/>
          <w:vertAlign w:val="superscript"/>
        </w:rPr>
        <w:t>th</w:t>
      </w:r>
      <w:r w:rsidRPr="00370E70">
        <w:rPr>
          <w:color w:val="000000"/>
          <w:szCs w:val="22"/>
        </w:rPr>
        <w:t xml:space="preserve"> or 10</w:t>
      </w:r>
      <w:r w:rsidRPr="00370E70">
        <w:rPr>
          <w:color w:val="000000"/>
          <w:szCs w:val="22"/>
          <w:vertAlign w:val="superscript"/>
        </w:rPr>
        <w:t>th</w:t>
      </w:r>
      <w:r w:rsidRPr="00370E70">
        <w:rPr>
          <w:color w:val="000000"/>
          <w:szCs w:val="22"/>
        </w:rPr>
        <w:t xml:space="preserve"> percentile and declined by &gt;20% since previous sampling event). Seagrass state was then rescaled to a five point scale from 0 to 100 to allow integration with other components of the Paddock to Reef report card (</w:t>
      </w:r>
      <w:r w:rsidRPr="00370E70">
        <w:rPr>
          <w:color w:val="000000"/>
          <w:szCs w:val="22"/>
        </w:rPr>
        <w:fldChar w:fldCharType="begin"/>
      </w:r>
      <w:r w:rsidRPr="00370E70">
        <w:rPr>
          <w:color w:val="000000"/>
          <w:szCs w:val="22"/>
        </w:rPr>
        <w:instrText xml:space="preserve"> REF _Ref316227159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color w:val="000000"/>
          <w:szCs w:val="22"/>
        </w:rPr>
        <w:t>8</w:t>
      </w:r>
      <w:r w:rsidRPr="00370E70">
        <w:rPr>
          <w:color w:val="000000"/>
          <w:szCs w:val="22"/>
        </w:rPr>
        <w:fldChar w:fldCharType="end"/>
      </w:r>
      <w:r w:rsidRPr="00370E70">
        <w:rPr>
          <w:color w:val="000000"/>
          <w:szCs w:val="22"/>
        </w:rPr>
        <w:t xml:space="preserve">). </w:t>
      </w:r>
    </w:p>
    <w:p w:rsidR="0033652B" w:rsidRPr="00370E70" w:rsidRDefault="005132EF" w:rsidP="0033652B">
      <w:pPr>
        <w:pStyle w:val="Caption"/>
        <w:keepNext/>
        <w:ind w:left="454"/>
        <w:jc w:val="center"/>
        <w:rPr>
          <w:i/>
          <w:vanish/>
          <w:color w:val="000000"/>
          <w:szCs w:val="22"/>
          <w:lang w:val="en-AU"/>
          <w:specVanish/>
        </w:rPr>
      </w:pPr>
      <w:bookmarkStart w:id="108" w:name="_Ref340344284"/>
      <w:bookmarkStart w:id="109" w:name="_Toc384196543"/>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7</w:t>
      </w:r>
      <w:r w:rsidRPr="00370E70">
        <w:rPr>
          <w:lang w:val="en-AU"/>
        </w:rPr>
        <w:fldChar w:fldCharType="end"/>
      </w:r>
      <w:bookmarkEnd w:id="108"/>
      <w:r w:rsidRPr="00370E70">
        <w:rPr>
          <w:rStyle w:val="StyleCaptionCaptionCharCharLatinCalibri11ptBlackChar"/>
          <w:lang w:val="en-AU"/>
        </w:rPr>
        <w:t xml:space="preserve">. </w:t>
      </w:r>
      <w:r w:rsidRPr="00370E70">
        <w:rPr>
          <w:i/>
          <w:lang w:val="en-AU"/>
        </w:rPr>
        <w:t xml:space="preserve">Seagrass percentage cover guidelines (“the seagrass guidelines”) for each site and the subregional </w:t>
      </w:r>
      <w:r w:rsidR="002C6536" w:rsidRPr="00370E70">
        <w:rPr>
          <w:i/>
          <w:lang w:val="en-AU"/>
        </w:rPr>
        <w:t>guidelines</w:t>
      </w:r>
      <w:r w:rsidRPr="00370E70">
        <w:rPr>
          <w:i/>
          <w:lang w:val="en-AU"/>
        </w:rPr>
        <w:t xml:space="preserve"> (bold) for each NRM habitat</w:t>
      </w:r>
      <w:bookmarkEnd w:id="109"/>
    </w:p>
    <w:p w:rsidR="0033652B" w:rsidRPr="00370E70" w:rsidRDefault="005132EF" w:rsidP="0033652B">
      <w:pPr>
        <w:pStyle w:val="Caption"/>
        <w:keepNext/>
        <w:ind w:left="454"/>
        <w:jc w:val="center"/>
        <w:rPr>
          <w:i/>
          <w:lang w:val="en-AU"/>
        </w:rPr>
      </w:pPr>
      <w:r w:rsidRPr="00370E70">
        <w:rPr>
          <w:i/>
          <w:lang w:val="en-AU"/>
        </w:rPr>
        <w:t>. Values in light grey not used. ^ denotes regional reference site, * from nearest adjacent region.</w:t>
      </w:r>
      <w:r w:rsidR="0033652B" w:rsidRPr="00370E70">
        <w:rPr>
          <w:i/>
          <w:lang w:val="en-AU"/>
        </w:rPr>
        <w:t xml:space="preserve"> </w:t>
      </w:r>
    </w:p>
    <w:tbl>
      <w:tblPr>
        <w:tblpPr w:leftFromText="180" w:rightFromText="180" w:vertAnchor="text" w:horzAnchor="margin" w:tblpXSpec="center" w:tblpY="56"/>
        <w:tblW w:w="8733" w:type="dxa"/>
        <w:jc w:val="center"/>
        <w:tblLook w:val="0000" w:firstRow="0" w:lastRow="0" w:firstColumn="0" w:lastColumn="0" w:noHBand="0" w:noVBand="0"/>
      </w:tblPr>
      <w:tblGrid>
        <w:gridCol w:w="2071"/>
        <w:gridCol w:w="851"/>
        <w:gridCol w:w="2117"/>
        <w:gridCol w:w="923"/>
        <w:gridCol w:w="924"/>
        <w:gridCol w:w="923"/>
        <w:gridCol w:w="924"/>
      </w:tblGrid>
      <w:tr w:rsidR="005132EF" w:rsidRPr="00370E70" w:rsidTr="00135E53">
        <w:trPr>
          <w:trHeight w:val="260"/>
          <w:jc w:val="center"/>
        </w:trPr>
        <w:tc>
          <w:tcPr>
            <w:tcW w:w="2071" w:type="dxa"/>
            <w:vMerge w:val="restart"/>
            <w:tcBorders>
              <w:top w:val="single" w:sz="4" w:space="0" w:color="auto"/>
              <w:left w:val="nil"/>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NRM region</w:t>
            </w:r>
          </w:p>
        </w:tc>
        <w:tc>
          <w:tcPr>
            <w:tcW w:w="851" w:type="dxa"/>
            <w:vMerge w:val="restart"/>
            <w:tcBorders>
              <w:top w:val="single" w:sz="4" w:space="0" w:color="auto"/>
              <w:left w:val="nil"/>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Site</w:t>
            </w:r>
          </w:p>
        </w:tc>
        <w:tc>
          <w:tcPr>
            <w:tcW w:w="2117" w:type="dxa"/>
            <w:vMerge w:val="restart"/>
            <w:tcBorders>
              <w:top w:val="single" w:sz="4" w:space="0" w:color="auto"/>
              <w:left w:val="nil"/>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Habitat</w:t>
            </w:r>
          </w:p>
        </w:tc>
        <w:tc>
          <w:tcPr>
            <w:tcW w:w="3694" w:type="dxa"/>
            <w:gridSpan w:val="4"/>
            <w:tcBorders>
              <w:top w:val="single" w:sz="4" w:space="0" w:color="auto"/>
              <w:left w:val="nil"/>
              <w:bottom w:val="nil"/>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percentile guideline</w:t>
            </w:r>
          </w:p>
        </w:tc>
      </w:tr>
      <w:tr w:rsidR="005132EF" w:rsidRPr="00370E70" w:rsidTr="00135E53">
        <w:trPr>
          <w:trHeight w:val="260"/>
          <w:jc w:val="center"/>
        </w:trPr>
        <w:tc>
          <w:tcPr>
            <w:tcW w:w="2071" w:type="dxa"/>
            <w:vMerge/>
            <w:tcBorders>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p>
        </w:tc>
        <w:tc>
          <w:tcPr>
            <w:tcW w:w="851" w:type="dxa"/>
            <w:vMerge/>
            <w:tcBorders>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p>
        </w:tc>
        <w:tc>
          <w:tcPr>
            <w:tcW w:w="2117" w:type="dxa"/>
            <w:vMerge/>
            <w:tcBorders>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p>
        </w:tc>
        <w:tc>
          <w:tcPr>
            <w:tcW w:w="923" w:type="dxa"/>
            <w:tcBorders>
              <w:top w:val="nil"/>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10th</w:t>
            </w:r>
          </w:p>
        </w:tc>
        <w:tc>
          <w:tcPr>
            <w:tcW w:w="924" w:type="dxa"/>
            <w:tcBorders>
              <w:top w:val="nil"/>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20th</w:t>
            </w:r>
          </w:p>
        </w:tc>
        <w:tc>
          <w:tcPr>
            <w:tcW w:w="923" w:type="dxa"/>
            <w:tcBorders>
              <w:top w:val="nil"/>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50th</w:t>
            </w:r>
          </w:p>
        </w:tc>
        <w:tc>
          <w:tcPr>
            <w:tcW w:w="924" w:type="dxa"/>
            <w:tcBorders>
              <w:top w:val="nil"/>
              <w:left w:val="nil"/>
              <w:bottom w:val="single" w:sz="4" w:space="0" w:color="auto"/>
              <w:right w:val="nil"/>
            </w:tcBorders>
            <w:shd w:val="clear" w:color="auto" w:fill="BBE0E3"/>
            <w:noWrap/>
            <w:vAlign w:val="center"/>
          </w:tcPr>
          <w:p w:rsidR="005132EF" w:rsidRPr="00370E70" w:rsidRDefault="005132EF" w:rsidP="0087343E">
            <w:pPr>
              <w:spacing w:before="0" w:after="0"/>
              <w:jc w:val="center"/>
              <w:rPr>
                <w:rFonts w:cs="Arial"/>
                <w:b/>
                <w:bCs/>
                <w:color w:val="000000"/>
              </w:rPr>
            </w:pPr>
            <w:r w:rsidRPr="00370E70">
              <w:rPr>
                <w:rFonts w:cs="Arial"/>
                <w:b/>
                <w:bCs/>
                <w:color w:val="000000"/>
                <w:szCs w:val="22"/>
              </w:rPr>
              <w:t>75th</w:t>
            </w:r>
          </w:p>
        </w:tc>
      </w:tr>
      <w:tr w:rsidR="005132EF" w:rsidRPr="00370E70" w:rsidTr="00135E53">
        <w:trPr>
          <w:trHeight w:val="250"/>
          <w:jc w:val="center"/>
        </w:trPr>
        <w:tc>
          <w:tcPr>
            <w:tcW w:w="2071" w:type="dxa"/>
            <w:tcBorders>
              <w:top w:val="single" w:sz="4" w:space="0" w:color="auto"/>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smartTag w:uri="urn:schemas-microsoft-com:office:smarttags" w:element="place">
              <w:r w:rsidRPr="00370E70">
                <w:rPr>
                  <w:rFonts w:cs="Arial"/>
                  <w:color w:val="000000"/>
                  <w:sz w:val="20"/>
                  <w:szCs w:val="20"/>
                </w:rPr>
                <w:t>Cape York</w:t>
              </w:r>
            </w:smartTag>
          </w:p>
        </w:tc>
        <w:tc>
          <w:tcPr>
            <w:tcW w:w="851" w:type="dxa"/>
            <w:tcBorders>
              <w:top w:val="single" w:sz="4" w:space="0" w:color="auto"/>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AP1^</w:t>
            </w:r>
          </w:p>
        </w:tc>
        <w:tc>
          <w:tcPr>
            <w:tcW w:w="2117" w:type="dxa"/>
            <w:tcBorders>
              <w:top w:val="single" w:sz="4" w:space="0" w:color="auto"/>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single" w:sz="4" w:space="0" w:color="auto"/>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11</w:t>
            </w:r>
          </w:p>
        </w:tc>
        <w:tc>
          <w:tcPr>
            <w:tcW w:w="924" w:type="dxa"/>
            <w:tcBorders>
              <w:top w:val="single" w:sz="4" w:space="0" w:color="auto"/>
              <w:left w:val="nil"/>
              <w:bottom w:val="nil"/>
              <w:right w:val="nil"/>
            </w:tcBorders>
            <w:shd w:val="clear" w:color="auto" w:fill="F3F9FA"/>
            <w:noWrap/>
            <w:vAlign w:val="center"/>
          </w:tcPr>
          <w:p w:rsidR="005132EF" w:rsidRPr="00964A70" w:rsidRDefault="005132EF" w:rsidP="00D73671">
            <w:pPr>
              <w:spacing w:before="0" w:after="0"/>
              <w:jc w:val="center"/>
              <w:rPr>
                <w:rFonts w:cs="Arial"/>
                <w:color w:val="999999"/>
                <w:sz w:val="20"/>
                <w:szCs w:val="20"/>
              </w:rPr>
            </w:pPr>
            <w:r w:rsidRPr="00964A70">
              <w:rPr>
                <w:rFonts w:cs="Arial"/>
                <w:color w:val="999999"/>
                <w:sz w:val="20"/>
                <w:szCs w:val="20"/>
              </w:rPr>
              <w:t>16.8</w:t>
            </w:r>
          </w:p>
        </w:tc>
        <w:tc>
          <w:tcPr>
            <w:tcW w:w="923" w:type="dxa"/>
            <w:tcBorders>
              <w:top w:val="single" w:sz="4" w:space="0" w:color="auto"/>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18.9</w:t>
            </w:r>
          </w:p>
        </w:tc>
        <w:tc>
          <w:tcPr>
            <w:tcW w:w="924" w:type="dxa"/>
            <w:tcBorders>
              <w:top w:val="single" w:sz="4" w:space="0" w:color="auto"/>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23.7</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AP2</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18.9</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23.7</w:t>
            </w:r>
          </w:p>
        </w:tc>
      </w:tr>
      <w:tr w:rsidR="005132EF" w:rsidRPr="00370E70"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 </w:t>
            </w: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11</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16.8</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18.9</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23.7</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Wet Tropics</w:t>
            </w: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LB</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6.6</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12.9</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14.8</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YP1^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4.3</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7</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14</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15.4</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YP2^</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5.7</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6.2</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11.8</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14.2</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coastal intertidal</w:t>
            </w:r>
          </w:p>
        </w:tc>
        <w:tc>
          <w:tcPr>
            <w:tcW w:w="923"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5</w:t>
            </w:r>
          </w:p>
        </w:tc>
        <w:tc>
          <w:tcPr>
            <w:tcW w:w="924"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6.6</w:t>
            </w:r>
          </w:p>
        </w:tc>
        <w:tc>
          <w:tcPr>
            <w:tcW w:w="923"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12.9</w:t>
            </w:r>
          </w:p>
        </w:tc>
        <w:tc>
          <w:tcPr>
            <w:tcW w:w="924"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14.8</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DI</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27.5</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37.7</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41</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GI1^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32.5</w:t>
            </w:r>
          </w:p>
        </w:tc>
        <w:tc>
          <w:tcPr>
            <w:tcW w:w="924"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38.2</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42.7</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45.5</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GI2^</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22.5</w:t>
            </w:r>
          </w:p>
        </w:tc>
        <w:tc>
          <w:tcPr>
            <w:tcW w:w="924"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25.6</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32.7</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36.7</w:t>
            </w:r>
          </w:p>
        </w:tc>
      </w:tr>
      <w:tr w:rsidR="005132EF" w:rsidRPr="00370E70" w:rsidTr="00135E53">
        <w:trPr>
          <w:trHeight w:val="25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 </w:t>
            </w: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27.5</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31.9</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37.7</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41.1</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Burdekin</w:t>
            </w: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BB1^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964A70" w:rsidRDefault="005132EF" w:rsidP="00D73671">
            <w:pPr>
              <w:spacing w:before="0" w:after="0"/>
              <w:jc w:val="center"/>
              <w:rPr>
                <w:rFonts w:cs="Arial"/>
                <w:color w:val="999999"/>
                <w:sz w:val="20"/>
                <w:szCs w:val="20"/>
              </w:rPr>
            </w:pPr>
            <w:r w:rsidRPr="00964A70">
              <w:rPr>
                <w:rFonts w:cs="Arial"/>
                <w:color w:val="999999"/>
                <w:sz w:val="20"/>
                <w:szCs w:val="20"/>
              </w:rPr>
              <w:t>16.3</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21.4</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25.4</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35.2</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SB1^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964A70" w:rsidRDefault="005132EF" w:rsidP="00D73671">
            <w:pPr>
              <w:spacing w:before="0" w:after="0"/>
              <w:jc w:val="center"/>
              <w:rPr>
                <w:rFonts w:cs="Arial"/>
                <w:color w:val="999999"/>
                <w:sz w:val="20"/>
                <w:szCs w:val="20"/>
              </w:rPr>
            </w:pPr>
            <w:r w:rsidRPr="00964A70">
              <w:rPr>
                <w:rFonts w:cs="Arial"/>
                <w:color w:val="999999"/>
                <w:sz w:val="20"/>
                <w:szCs w:val="20"/>
              </w:rPr>
              <w:t>7.5</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10</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16.8</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22</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coastal intertidal</w:t>
            </w:r>
          </w:p>
        </w:tc>
        <w:tc>
          <w:tcPr>
            <w:tcW w:w="923"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11.9</w:t>
            </w:r>
          </w:p>
        </w:tc>
        <w:tc>
          <w:tcPr>
            <w:tcW w:w="924"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15.7</w:t>
            </w:r>
          </w:p>
        </w:tc>
        <w:tc>
          <w:tcPr>
            <w:tcW w:w="923"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21.1</w:t>
            </w:r>
          </w:p>
        </w:tc>
        <w:tc>
          <w:tcPr>
            <w:tcW w:w="924" w:type="dxa"/>
            <w:tcBorders>
              <w:top w:val="nil"/>
              <w:left w:val="nil"/>
              <w:bottom w:val="nil"/>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28.6</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MI1^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23</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26</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33.4</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37</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MI2^</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21.3</w:t>
            </w:r>
          </w:p>
        </w:tc>
        <w:tc>
          <w:tcPr>
            <w:tcW w:w="924"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26.5</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35.6</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41</w:t>
            </w:r>
          </w:p>
        </w:tc>
      </w:tr>
      <w:tr w:rsidR="005132EF" w:rsidRPr="00370E70"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 </w:t>
            </w: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22.2</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26.3</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34.5</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39</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Mackay Whitsunday</w:t>
            </w: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SI</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estuarine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54</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estuarine intertidal</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10.8*</w:t>
            </w:r>
          </w:p>
        </w:tc>
        <w:tc>
          <w:tcPr>
            <w:tcW w:w="924"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18*</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34.1*</w:t>
            </w:r>
          </w:p>
        </w:tc>
        <w:tc>
          <w:tcPr>
            <w:tcW w:w="924" w:type="dxa"/>
            <w:tcBorders>
              <w:top w:val="nil"/>
              <w:left w:val="nil"/>
              <w:bottom w:val="nil"/>
              <w:right w:val="nil"/>
            </w:tcBorders>
            <w:shd w:val="clear" w:color="auto" w:fill="E7F3F4"/>
            <w:noWrap/>
            <w:vAlign w:val="center"/>
          </w:tcPr>
          <w:p w:rsidR="005132EF" w:rsidRPr="00C85682" w:rsidRDefault="00C44CE7" w:rsidP="00D73671">
            <w:pPr>
              <w:spacing w:before="0" w:after="0"/>
              <w:jc w:val="center"/>
              <w:rPr>
                <w:rFonts w:cs="Arial"/>
                <w:b/>
                <w:color w:val="000000"/>
                <w:sz w:val="20"/>
                <w:szCs w:val="20"/>
              </w:rPr>
            </w:pPr>
            <w:r>
              <w:rPr>
                <w:rFonts w:cs="Arial"/>
                <w:b/>
                <w:color w:val="000000"/>
                <w:sz w:val="20"/>
                <w:szCs w:val="20"/>
              </w:rPr>
              <w:t>54*</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PI2^</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18.1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18.7</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25.1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27.6</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PI3^</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6.1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7.6</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13.1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16.8</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coastal intertidal</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12.1</w:t>
            </w:r>
          </w:p>
        </w:tc>
        <w:tc>
          <w:tcPr>
            <w:tcW w:w="924"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13.15</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19.1</w:t>
            </w:r>
          </w:p>
        </w:tc>
        <w:tc>
          <w:tcPr>
            <w:tcW w:w="924" w:type="dxa"/>
            <w:tcBorders>
              <w:top w:val="nil"/>
              <w:left w:val="nil"/>
              <w:bottom w:val="nil"/>
              <w:right w:val="nil"/>
            </w:tcBorders>
            <w:shd w:val="clear" w:color="auto" w:fill="E7F3F4"/>
            <w:noWrap/>
            <w:vAlign w:val="center"/>
          </w:tcPr>
          <w:p w:rsidR="005132EF" w:rsidRPr="00C85682" w:rsidRDefault="00C44CE7" w:rsidP="00D73671">
            <w:pPr>
              <w:spacing w:before="0" w:after="0"/>
              <w:jc w:val="center"/>
              <w:rPr>
                <w:rFonts w:cs="Arial"/>
                <w:b/>
                <w:color w:val="000000"/>
                <w:sz w:val="20"/>
                <w:szCs w:val="20"/>
              </w:rPr>
            </w:pPr>
            <w:r>
              <w:rPr>
                <w:rFonts w:cs="Arial"/>
                <w:b/>
                <w:color w:val="000000"/>
                <w:sz w:val="20"/>
                <w:szCs w:val="20"/>
              </w:rPr>
              <w:t>22.2</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HM</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22.2</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34.5</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39</w:t>
            </w:r>
          </w:p>
        </w:tc>
      </w:tr>
      <w:tr w:rsidR="005132EF" w:rsidRPr="00370E70"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 </w:t>
            </w: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22.2*</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26.2*</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34.5*</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39*</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Fitzroy</w:t>
            </w: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GH</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estuarine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54</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estuarine intertidal</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10.8*</w:t>
            </w:r>
          </w:p>
        </w:tc>
        <w:tc>
          <w:tcPr>
            <w:tcW w:w="924"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18*</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34.1*</w:t>
            </w:r>
          </w:p>
        </w:tc>
        <w:tc>
          <w:tcPr>
            <w:tcW w:w="924" w:type="dxa"/>
            <w:tcBorders>
              <w:top w:val="nil"/>
              <w:left w:val="nil"/>
              <w:bottom w:val="nil"/>
              <w:right w:val="nil"/>
            </w:tcBorders>
            <w:shd w:val="clear" w:color="auto" w:fill="E7F3F4"/>
            <w:noWrap/>
            <w:vAlign w:val="center"/>
          </w:tcPr>
          <w:p w:rsidR="005132EF" w:rsidRPr="00C85682" w:rsidRDefault="00C44CE7" w:rsidP="00D73671">
            <w:pPr>
              <w:spacing w:before="0" w:after="0"/>
              <w:jc w:val="center"/>
              <w:rPr>
                <w:rFonts w:cs="Arial"/>
                <w:b/>
                <w:color w:val="000000"/>
                <w:sz w:val="20"/>
                <w:szCs w:val="20"/>
              </w:rPr>
            </w:pPr>
            <w:r>
              <w:rPr>
                <w:rFonts w:cs="Arial"/>
                <w:b/>
                <w:color w:val="000000"/>
                <w:sz w:val="20"/>
                <w:szCs w:val="20"/>
              </w:rPr>
              <w:t>54*</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RC1^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370E70" w:rsidRDefault="00C85682" w:rsidP="00D73671">
            <w:pPr>
              <w:spacing w:before="0" w:after="0"/>
              <w:jc w:val="center"/>
              <w:rPr>
                <w:rFonts w:cs="Arial"/>
                <w:color w:val="000000"/>
                <w:sz w:val="20"/>
                <w:szCs w:val="20"/>
              </w:rPr>
            </w:pPr>
            <w:r>
              <w:rPr>
                <w:rFonts w:cs="Arial"/>
                <w:color w:val="000000"/>
                <w:sz w:val="20"/>
                <w:szCs w:val="20"/>
              </w:rPr>
              <w:t>17.3</w:t>
            </w:r>
          </w:p>
        </w:tc>
        <w:tc>
          <w:tcPr>
            <w:tcW w:w="924"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20.6</w:t>
            </w:r>
          </w:p>
        </w:tc>
        <w:tc>
          <w:tcPr>
            <w:tcW w:w="923" w:type="dxa"/>
            <w:tcBorders>
              <w:top w:val="nil"/>
              <w:left w:val="nil"/>
              <w:bottom w:val="nil"/>
              <w:right w:val="nil"/>
            </w:tcBorders>
            <w:shd w:val="clear" w:color="auto" w:fill="F3F9FA"/>
            <w:noWrap/>
            <w:vAlign w:val="center"/>
          </w:tcPr>
          <w:p w:rsidR="005132EF" w:rsidRPr="00370E70" w:rsidRDefault="00C85682" w:rsidP="00D73671">
            <w:pPr>
              <w:spacing w:before="0" w:after="0"/>
              <w:jc w:val="center"/>
              <w:rPr>
                <w:rFonts w:cs="Arial"/>
                <w:color w:val="000000"/>
                <w:sz w:val="20"/>
                <w:szCs w:val="20"/>
              </w:rPr>
            </w:pPr>
            <w:r>
              <w:rPr>
                <w:rFonts w:cs="Arial"/>
                <w:color w:val="000000"/>
                <w:sz w:val="20"/>
                <w:szCs w:val="20"/>
              </w:rPr>
              <w:t>21.8</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34.5</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WH1^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coastal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13.1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14.4</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18.8</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22.3</w:t>
            </w:r>
          </w:p>
        </w:tc>
      </w:tr>
      <w:tr w:rsidR="005132EF" w:rsidRPr="00370E70" w:rsidTr="00135E53">
        <w:trPr>
          <w:trHeight w:val="260"/>
          <w:jc w:val="center"/>
        </w:trPr>
        <w:tc>
          <w:tcPr>
            <w:tcW w:w="207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nil"/>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coastal intertidal</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15.85</w:t>
            </w:r>
          </w:p>
        </w:tc>
        <w:tc>
          <w:tcPr>
            <w:tcW w:w="924"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17.5</w:t>
            </w:r>
          </w:p>
        </w:tc>
        <w:tc>
          <w:tcPr>
            <w:tcW w:w="923"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21.6</w:t>
            </w:r>
          </w:p>
        </w:tc>
        <w:tc>
          <w:tcPr>
            <w:tcW w:w="924" w:type="dxa"/>
            <w:tcBorders>
              <w:top w:val="nil"/>
              <w:left w:val="nil"/>
              <w:bottom w:val="nil"/>
              <w:right w:val="nil"/>
            </w:tcBorders>
            <w:shd w:val="clear" w:color="auto" w:fill="E7F3F4"/>
            <w:noWrap/>
            <w:vAlign w:val="center"/>
          </w:tcPr>
          <w:p w:rsidR="005132EF" w:rsidRPr="00C85682" w:rsidRDefault="005132EF" w:rsidP="00D73671">
            <w:pPr>
              <w:spacing w:before="0" w:after="0"/>
              <w:jc w:val="center"/>
              <w:rPr>
                <w:rFonts w:cs="Arial"/>
                <w:b/>
                <w:color w:val="000000"/>
                <w:sz w:val="20"/>
                <w:szCs w:val="20"/>
              </w:rPr>
            </w:pPr>
            <w:r w:rsidRPr="00C85682">
              <w:rPr>
                <w:rFonts w:cs="Arial"/>
                <w:b/>
                <w:color w:val="000000"/>
                <w:sz w:val="20"/>
                <w:szCs w:val="20"/>
              </w:rPr>
              <w:t>28.4</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GK</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reef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22.2</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34.5</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39</w:t>
            </w:r>
          </w:p>
        </w:tc>
      </w:tr>
      <w:tr w:rsidR="005132EF" w:rsidRPr="00370E70"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 </w:t>
            </w: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22.2*</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26.2*</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34.5*</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39*</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Burnett Mary</w:t>
            </w: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RD</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estuarine intertidal</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54</w:t>
            </w:r>
          </w:p>
        </w:tc>
      </w:tr>
      <w:tr w:rsidR="005132EF" w:rsidRPr="00370E70" w:rsidTr="00135E53">
        <w:trPr>
          <w:trHeight w:val="250"/>
          <w:jc w:val="center"/>
        </w:trPr>
        <w:tc>
          <w:tcPr>
            <w:tcW w:w="2071"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UG1^</w:t>
            </w:r>
          </w:p>
        </w:tc>
        <w:tc>
          <w:tcPr>
            <w:tcW w:w="2117" w:type="dxa"/>
            <w:tcBorders>
              <w:top w:val="nil"/>
              <w:left w:val="nil"/>
              <w:bottom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estuarine intertidal</w:t>
            </w:r>
          </w:p>
        </w:tc>
        <w:tc>
          <w:tcPr>
            <w:tcW w:w="923" w:type="dxa"/>
            <w:tcBorders>
              <w:top w:val="nil"/>
              <w:left w:val="nil"/>
              <w:bottom w:val="nil"/>
              <w:right w:val="nil"/>
            </w:tcBorders>
            <w:shd w:val="clear" w:color="auto" w:fill="F3F9FA"/>
            <w:noWrap/>
            <w:vAlign w:val="center"/>
          </w:tcPr>
          <w:p w:rsidR="005132EF" w:rsidRPr="00C85682" w:rsidRDefault="005132EF" w:rsidP="00D73671">
            <w:pPr>
              <w:spacing w:before="0" w:after="0"/>
              <w:jc w:val="center"/>
              <w:rPr>
                <w:rFonts w:cs="Arial"/>
                <w:color w:val="999999"/>
                <w:sz w:val="20"/>
                <w:szCs w:val="20"/>
              </w:rPr>
            </w:pPr>
            <w:r w:rsidRPr="00C85682">
              <w:rPr>
                <w:rFonts w:cs="Arial"/>
                <w:color w:val="999999"/>
                <w:sz w:val="20"/>
                <w:szCs w:val="20"/>
              </w:rPr>
              <w:t>10.8</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w:t>
            </w:r>
          </w:p>
        </w:tc>
        <w:tc>
          <w:tcPr>
            <w:tcW w:w="923"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34.1</w:t>
            </w:r>
          </w:p>
        </w:tc>
        <w:tc>
          <w:tcPr>
            <w:tcW w:w="924" w:type="dxa"/>
            <w:tcBorders>
              <w:top w:val="nil"/>
              <w:left w:val="nil"/>
              <w:bottom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54</w:t>
            </w:r>
          </w:p>
        </w:tc>
      </w:tr>
      <w:tr w:rsidR="005132EF" w:rsidRPr="00370E70" w:rsidTr="00135E53">
        <w:trPr>
          <w:trHeight w:val="250"/>
          <w:jc w:val="center"/>
        </w:trPr>
        <w:tc>
          <w:tcPr>
            <w:tcW w:w="2071" w:type="dxa"/>
            <w:tcBorders>
              <w:top w:val="nil"/>
              <w:left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right w:val="nil"/>
            </w:tcBorders>
            <w:shd w:val="clear" w:color="auto" w:fill="F3F9FA"/>
            <w:noWrap/>
            <w:vAlign w:val="bottom"/>
          </w:tcPr>
          <w:p w:rsidR="005132EF" w:rsidRPr="00370E70" w:rsidRDefault="005132EF" w:rsidP="00D73671">
            <w:pPr>
              <w:spacing w:before="0" w:after="0"/>
              <w:jc w:val="right"/>
              <w:rPr>
                <w:rFonts w:cs="Arial"/>
                <w:color w:val="000000"/>
                <w:sz w:val="20"/>
                <w:szCs w:val="20"/>
              </w:rPr>
            </w:pPr>
            <w:r w:rsidRPr="00370E70">
              <w:rPr>
                <w:rFonts w:cs="Arial"/>
                <w:color w:val="000000"/>
                <w:sz w:val="20"/>
                <w:szCs w:val="20"/>
              </w:rPr>
              <w:t>UG2</w:t>
            </w:r>
          </w:p>
        </w:tc>
        <w:tc>
          <w:tcPr>
            <w:tcW w:w="2117" w:type="dxa"/>
            <w:tcBorders>
              <w:top w:val="nil"/>
              <w:left w:val="nil"/>
              <w:right w:val="nil"/>
            </w:tcBorders>
            <w:shd w:val="clear" w:color="auto" w:fill="F3F9FA"/>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estuarine intertidal</w:t>
            </w:r>
          </w:p>
        </w:tc>
        <w:tc>
          <w:tcPr>
            <w:tcW w:w="923" w:type="dxa"/>
            <w:tcBorders>
              <w:top w:val="nil"/>
              <w:left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p>
        </w:tc>
        <w:tc>
          <w:tcPr>
            <w:tcW w:w="924" w:type="dxa"/>
            <w:tcBorders>
              <w:top w:val="nil"/>
              <w:left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18</w:t>
            </w:r>
          </w:p>
        </w:tc>
        <w:tc>
          <w:tcPr>
            <w:tcW w:w="923" w:type="dxa"/>
            <w:tcBorders>
              <w:top w:val="nil"/>
              <w:left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34.1</w:t>
            </w:r>
          </w:p>
        </w:tc>
        <w:tc>
          <w:tcPr>
            <w:tcW w:w="924" w:type="dxa"/>
            <w:tcBorders>
              <w:top w:val="nil"/>
              <w:left w:val="nil"/>
              <w:right w:val="nil"/>
            </w:tcBorders>
            <w:shd w:val="clear" w:color="auto" w:fill="F3F9FA"/>
            <w:noWrap/>
            <w:vAlign w:val="center"/>
          </w:tcPr>
          <w:p w:rsidR="005132EF" w:rsidRPr="00370E70" w:rsidRDefault="005132EF" w:rsidP="00D73671">
            <w:pPr>
              <w:spacing w:before="0" w:after="0"/>
              <w:jc w:val="center"/>
              <w:rPr>
                <w:rFonts w:cs="Arial"/>
                <w:color w:val="000000"/>
                <w:sz w:val="20"/>
                <w:szCs w:val="20"/>
              </w:rPr>
            </w:pPr>
            <w:r w:rsidRPr="00370E70">
              <w:rPr>
                <w:rFonts w:cs="Arial"/>
                <w:color w:val="000000"/>
                <w:sz w:val="20"/>
                <w:szCs w:val="20"/>
              </w:rPr>
              <w:t>54</w:t>
            </w:r>
          </w:p>
        </w:tc>
      </w:tr>
      <w:tr w:rsidR="005132EF" w:rsidRPr="00370E70"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p>
        </w:tc>
        <w:tc>
          <w:tcPr>
            <w:tcW w:w="851"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color w:val="000000"/>
                <w:sz w:val="20"/>
                <w:szCs w:val="20"/>
              </w:rPr>
            </w:pPr>
            <w:r w:rsidRPr="00370E70">
              <w:rPr>
                <w:rFonts w:cs="Arial"/>
                <w:color w:val="000000"/>
                <w:sz w:val="20"/>
                <w:szCs w:val="20"/>
              </w:rPr>
              <w:t>NRM</w:t>
            </w:r>
          </w:p>
        </w:tc>
        <w:tc>
          <w:tcPr>
            <w:tcW w:w="2117" w:type="dxa"/>
            <w:tcBorders>
              <w:top w:val="nil"/>
              <w:left w:val="nil"/>
              <w:bottom w:val="single" w:sz="4" w:space="0" w:color="auto"/>
              <w:right w:val="nil"/>
            </w:tcBorders>
            <w:shd w:val="clear" w:color="auto" w:fill="E7F3F4"/>
            <w:noWrap/>
            <w:vAlign w:val="bottom"/>
          </w:tcPr>
          <w:p w:rsidR="005132EF" w:rsidRPr="00370E70" w:rsidRDefault="005132EF" w:rsidP="00D73671">
            <w:pPr>
              <w:spacing w:before="0" w:after="0"/>
              <w:rPr>
                <w:rFonts w:cs="Arial"/>
                <w:b/>
                <w:bCs/>
                <w:i/>
                <w:iCs/>
                <w:color w:val="000000"/>
                <w:sz w:val="20"/>
                <w:szCs w:val="20"/>
              </w:rPr>
            </w:pPr>
            <w:r w:rsidRPr="00370E70">
              <w:rPr>
                <w:rFonts w:cs="Arial"/>
                <w:b/>
                <w:bCs/>
                <w:i/>
                <w:iCs/>
                <w:color w:val="000000"/>
                <w:sz w:val="20"/>
                <w:szCs w:val="20"/>
              </w:rPr>
              <w:t>estuarine intertidal</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10.8</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18</w:t>
            </w:r>
          </w:p>
        </w:tc>
        <w:tc>
          <w:tcPr>
            <w:tcW w:w="923"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34.1</w:t>
            </w:r>
          </w:p>
        </w:tc>
        <w:tc>
          <w:tcPr>
            <w:tcW w:w="924" w:type="dxa"/>
            <w:tcBorders>
              <w:top w:val="nil"/>
              <w:left w:val="nil"/>
              <w:bottom w:val="single" w:sz="4" w:space="0" w:color="auto"/>
              <w:right w:val="nil"/>
            </w:tcBorders>
            <w:shd w:val="clear" w:color="auto" w:fill="E7F3F4"/>
            <w:noWrap/>
            <w:vAlign w:val="center"/>
          </w:tcPr>
          <w:p w:rsidR="005132EF" w:rsidRPr="00370E70" w:rsidRDefault="005132EF" w:rsidP="00D73671">
            <w:pPr>
              <w:spacing w:before="0" w:after="0"/>
              <w:jc w:val="center"/>
              <w:rPr>
                <w:rFonts w:cs="Arial"/>
                <w:b/>
                <w:bCs/>
                <w:i/>
                <w:iCs/>
                <w:color w:val="000000"/>
                <w:sz w:val="20"/>
                <w:szCs w:val="20"/>
              </w:rPr>
            </w:pPr>
            <w:r w:rsidRPr="00370E70">
              <w:rPr>
                <w:rFonts w:cs="Arial"/>
                <w:b/>
                <w:bCs/>
                <w:i/>
                <w:iCs/>
                <w:color w:val="000000"/>
                <w:sz w:val="20"/>
                <w:szCs w:val="20"/>
              </w:rPr>
              <w:t>54</w:t>
            </w:r>
          </w:p>
        </w:tc>
      </w:tr>
    </w:tbl>
    <w:p w:rsidR="005132EF" w:rsidRPr="00370E70" w:rsidRDefault="005132EF" w:rsidP="00B4456F">
      <w:pPr>
        <w:rPr>
          <w:color w:val="000000"/>
          <w:szCs w:val="22"/>
        </w:rPr>
      </w:pPr>
    </w:p>
    <w:p w:rsidR="005132EF" w:rsidRPr="0007231A" w:rsidRDefault="005132EF" w:rsidP="0007231A">
      <w:pPr>
        <w:pStyle w:val="Caption"/>
        <w:jc w:val="center"/>
        <w:rPr>
          <w:rFonts w:cs="Arial"/>
          <w:i/>
          <w:vanish/>
          <w:color w:val="000000"/>
          <w:szCs w:val="22"/>
          <w:lang w:val="en-AU"/>
          <w:specVanish/>
        </w:rPr>
      </w:pPr>
      <w:bookmarkStart w:id="110" w:name="_Ref316227159"/>
      <w:bookmarkStart w:id="111" w:name="_Toc384196544"/>
      <w:r w:rsidRPr="00370E70">
        <w:rPr>
          <w:rStyle w:val="StyleCaptionCaptionCharCharLatinCalibri11ptBlackChar"/>
          <w:lang w:val="en-AU"/>
        </w:rPr>
        <w:t xml:space="preserve">Table </w:t>
      </w:r>
      <w:r w:rsidRPr="00370E70">
        <w:rPr>
          <w:color w:val="000000"/>
          <w:szCs w:val="22"/>
          <w:lang w:val="en-AU"/>
        </w:rPr>
        <w:fldChar w:fldCharType="begin"/>
      </w:r>
      <w:r w:rsidRPr="00370E70">
        <w:rPr>
          <w:color w:val="000000"/>
          <w:szCs w:val="22"/>
          <w:lang w:val="en-AU"/>
        </w:rPr>
        <w:instrText xml:space="preserve"> SEQ Table \* ARABIC </w:instrText>
      </w:r>
      <w:r w:rsidRPr="00370E70">
        <w:rPr>
          <w:color w:val="000000"/>
          <w:szCs w:val="22"/>
          <w:lang w:val="en-AU"/>
        </w:rPr>
        <w:fldChar w:fldCharType="separate"/>
      </w:r>
      <w:r w:rsidR="005B5FD6">
        <w:rPr>
          <w:noProof/>
          <w:color w:val="000000"/>
          <w:szCs w:val="22"/>
          <w:lang w:val="en-AU"/>
        </w:rPr>
        <w:t>8</w:t>
      </w:r>
      <w:r w:rsidRPr="00370E70">
        <w:rPr>
          <w:color w:val="000000"/>
          <w:szCs w:val="22"/>
          <w:lang w:val="en-AU"/>
        </w:rPr>
        <w:fldChar w:fldCharType="end"/>
      </w:r>
      <w:bookmarkEnd w:id="97"/>
      <w:bookmarkEnd w:id="110"/>
      <w:r w:rsidRPr="00370E70">
        <w:rPr>
          <w:rStyle w:val="StyleCaptionCaptionCharCharLatinCalibri11ptBlackChar"/>
          <w:lang w:val="en-AU"/>
        </w:rPr>
        <w:t xml:space="preserve">. </w:t>
      </w:r>
      <w:r w:rsidRPr="00370E70">
        <w:rPr>
          <w:rFonts w:cs="Arial"/>
          <w:i/>
          <w:color w:val="000000"/>
          <w:szCs w:val="22"/>
          <w:lang w:val="en-AU"/>
        </w:rPr>
        <w:t>Scoring threshold table to determine seagrass abundance status.</w:t>
      </w:r>
      <w:bookmarkEnd w:id="98"/>
      <w:bookmarkEnd w:id="111"/>
    </w:p>
    <w:p w:rsidR="0007231A" w:rsidRPr="0007231A" w:rsidRDefault="0007231A" w:rsidP="0007231A">
      <w:pPr>
        <w:jc w:val="center"/>
        <w:rPr>
          <w:i/>
        </w:rPr>
      </w:pPr>
      <w:proofErr w:type="gramStart"/>
      <w:r w:rsidRPr="0007231A">
        <w:rPr>
          <w:i/>
        </w:rPr>
        <w:t>low</w:t>
      </w:r>
      <w:proofErr w:type="gramEnd"/>
      <w:r w:rsidRPr="0007231A">
        <w:rPr>
          <w:i/>
        </w:rPr>
        <w:t xml:space="preserve"> = 10</w:t>
      </w:r>
      <w:r w:rsidRPr="0007231A">
        <w:rPr>
          <w:i/>
          <w:vertAlign w:val="superscript"/>
        </w:rPr>
        <w:t>th</w:t>
      </w:r>
      <w:r w:rsidRPr="0007231A">
        <w:rPr>
          <w:i/>
        </w:rPr>
        <w:t xml:space="preserve"> or 20</w:t>
      </w:r>
      <w:r w:rsidRPr="0007231A">
        <w:rPr>
          <w:i/>
          <w:vertAlign w:val="superscript"/>
        </w:rPr>
        <w:t>th</w:t>
      </w:r>
      <w:r w:rsidRPr="0007231A">
        <w:rPr>
          <w:i/>
        </w:rPr>
        <w:t xml:space="preserve"> percentile guideline (</w:t>
      </w:r>
      <w:r w:rsidRPr="0007231A">
        <w:rPr>
          <w:i/>
        </w:rPr>
        <w:fldChar w:fldCharType="begin"/>
      </w:r>
      <w:r w:rsidRPr="0007231A">
        <w:rPr>
          <w:i/>
        </w:rPr>
        <w:instrText xml:space="preserve"> REF _Ref340344284 \h </w:instrText>
      </w:r>
      <w:r>
        <w:rPr>
          <w:i/>
        </w:rPr>
        <w:instrText xml:space="preserve"> \* MERGEFORMAT </w:instrText>
      </w:r>
      <w:r w:rsidRPr="0007231A">
        <w:rPr>
          <w:i/>
        </w:rPr>
      </w:r>
      <w:r w:rsidRPr="0007231A">
        <w:rPr>
          <w:i/>
        </w:rPr>
        <w:fldChar w:fldCharType="separate"/>
      </w:r>
      <w:r w:rsidR="005B5FD6" w:rsidRPr="005B5FD6">
        <w:rPr>
          <w:rStyle w:val="StyleCaptionCaptionCharCharLatinCalibri11ptBlackChar"/>
          <w:i/>
          <w:lang w:val="en-AU"/>
        </w:rPr>
        <w:t xml:space="preserve">Table </w:t>
      </w:r>
      <w:r w:rsidR="005B5FD6" w:rsidRPr="005B5FD6">
        <w:rPr>
          <w:i/>
          <w:noProof/>
        </w:rPr>
        <w:t>7</w:t>
      </w:r>
      <w:r w:rsidRPr="0007231A">
        <w:rPr>
          <w:i/>
        </w:rPr>
        <w:fldChar w:fldCharType="end"/>
      </w:r>
      <w:r w:rsidRPr="0007231A">
        <w:rPr>
          <w:i/>
        </w:rPr>
        <w:t>)</w:t>
      </w:r>
    </w:p>
    <w:tbl>
      <w:tblPr>
        <w:tblW w:w="6200" w:type="dxa"/>
        <w:jc w:val="center"/>
        <w:tblLook w:val="0000" w:firstRow="0" w:lastRow="0" w:firstColumn="0" w:lastColumn="0" w:noHBand="0" w:noVBand="0"/>
      </w:tblPr>
      <w:tblGrid>
        <w:gridCol w:w="1370"/>
        <w:gridCol w:w="1650"/>
        <w:gridCol w:w="1560"/>
        <w:gridCol w:w="1620"/>
      </w:tblGrid>
      <w:tr w:rsidR="005132EF" w:rsidRPr="00370E70">
        <w:trPr>
          <w:trHeight w:val="290"/>
          <w:jc w:val="center"/>
        </w:trPr>
        <w:tc>
          <w:tcPr>
            <w:tcW w:w="1370" w:type="dxa"/>
            <w:tcBorders>
              <w:top w:val="single" w:sz="4" w:space="0" w:color="auto"/>
              <w:left w:val="nil"/>
              <w:bottom w:val="single" w:sz="4" w:space="0" w:color="auto"/>
              <w:right w:val="nil"/>
            </w:tcBorders>
            <w:noWrap/>
            <w:vAlign w:val="bottom"/>
          </w:tcPr>
          <w:p w:rsidR="005132EF" w:rsidRPr="00370E70" w:rsidRDefault="005132EF" w:rsidP="00034AD4">
            <w:pPr>
              <w:spacing w:before="0" w:after="0"/>
              <w:jc w:val="center"/>
              <w:rPr>
                <w:b/>
                <w:color w:val="000000"/>
              </w:rPr>
            </w:pPr>
            <w:r w:rsidRPr="00370E70">
              <w:rPr>
                <w:b/>
                <w:color w:val="000000"/>
                <w:szCs w:val="22"/>
              </w:rPr>
              <w:t>description</w:t>
            </w:r>
          </w:p>
        </w:tc>
        <w:tc>
          <w:tcPr>
            <w:tcW w:w="1650" w:type="dxa"/>
            <w:tcBorders>
              <w:top w:val="single" w:sz="4" w:space="0" w:color="auto"/>
              <w:left w:val="nil"/>
              <w:bottom w:val="single" w:sz="4" w:space="0" w:color="auto"/>
              <w:right w:val="nil"/>
            </w:tcBorders>
            <w:noWrap/>
            <w:vAlign w:val="bottom"/>
          </w:tcPr>
          <w:p w:rsidR="005132EF" w:rsidRPr="00370E70" w:rsidRDefault="005132EF" w:rsidP="00034AD4">
            <w:pPr>
              <w:spacing w:before="0" w:after="0"/>
              <w:jc w:val="center"/>
              <w:rPr>
                <w:b/>
                <w:color w:val="000000"/>
              </w:rPr>
            </w:pPr>
            <w:r w:rsidRPr="00370E70">
              <w:rPr>
                <w:b/>
                <w:color w:val="000000"/>
                <w:szCs w:val="22"/>
              </w:rPr>
              <w:t>category</w:t>
            </w:r>
          </w:p>
        </w:tc>
        <w:tc>
          <w:tcPr>
            <w:tcW w:w="1560" w:type="dxa"/>
            <w:tcBorders>
              <w:top w:val="single" w:sz="4" w:space="0" w:color="auto"/>
              <w:left w:val="nil"/>
              <w:bottom w:val="single" w:sz="4" w:space="0" w:color="auto"/>
              <w:right w:val="nil"/>
            </w:tcBorders>
            <w:noWrap/>
            <w:vAlign w:val="bottom"/>
          </w:tcPr>
          <w:p w:rsidR="005132EF" w:rsidRPr="00370E70" w:rsidRDefault="005132EF" w:rsidP="00034AD4">
            <w:pPr>
              <w:spacing w:before="0" w:after="0"/>
              <w:jc w:val="center"/>
              <w:rPr>
                <w:b/>
                <w:color w:val="000000"/>
              </w:rPr>
            </w:pPr>
            <w:r w:rsidRPr="00370E70">
              <w:rPr>
                <w:b/>
                <w:color w:val="000000"/>
                <w:szCs w:val="22"/>
              </w:rPr>
              <w:t>score</w:t>
            </w:r>
          </w:p>
        </w:tc>
        <w:tc>
          <w:tcPr>
            <w:tcW w:w="1620" w:type="dxa"/>
            <w:tcBorders>
              <w:top w:val="single" w:sz="4" w:space="0" w:color="auto"/>
              <w:left w:val="nil"/>
              <w:bottom w:val="single" w:sz="4" w:space="0" w:color="auto"/>
              <w:right w:val="nil"/>
            </w:tcBorders>
            <w:noWrap/>
            <w:vAlign w:val="bottom"/>
          </w:tcPr>
          <w:p w:rsidR="005132EF" w:rsidRPr="00370E70" w:rsidRDefault="005132EF" w:rsidP="00034AD4">
            <w:pPr>
              <w:spacing w:before="0" w:after="0"/>
              <w:jc w:val="center"/>
              <w:rPr>
                <w:b/>
                <w:color w:val="000000"/>
              </w:rPr>
            </w:pPr>
            <w:r w:rsidRPr="00370E70">
              <w:rPr>
                <w:b/>
                <w:color w:val="000000"/>
                <w:szCs w:val="22"/>
              </w:rPr>
              <w:t>status</w:t>
            </w:r>
          </w:p>
        </w:tc>
      </w:tr>
      <w:tr w:rsidR="005132EF" w:rsidRPr="00370E70">
        <w:trPr>
          <w:trHeight w:val="290"/>
          <w:jc w:val="center"/>
        </w:trPr>
        <w:tc>
          <w:tcPr>
            <w:tcW w:w="1370" w:type="dxa"/>
            <w:tcBorders>
              <w:top w:val="nil"/>
              <w:left w:val="nil"/>
              <w:bottom w:val="nil"/>
              <w:right w:val="nil"/>
            </w:tcBorders>
            <w:noWrap/>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very good</w:t>
            </w:r>
          </w:p>
        </w:tc>
        <w:tc>
          <w:tcPr>
            <w:tcW w:w="165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75-100</w:t>
            </w:r>
          </w:p>
        </w:tc>
        <w:tc>
          <w:tcPr>
            <w:tcW w:w="156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100</w:t>
            </w:r>
          </w:p>
        </w:tc>
        <w:tc>
          <w:tcPr>
            <w:tcW w:w="1620" w:type="dxa"/>
            <w:tcBorders>
              <w:top w:val="nil"/>
              <w:left w:val="nil"/>
              <w:bottom w:val="nil"/>
              <w:right w:val="nil"/>
            </w:tcBorders>
            <w:shd w:val="clear" w:color="auto" w:fill="008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80 - 100</w:t>
            </w:r>
          </w:p>
        </w:tc>
      </w:tr>
      <w:tr w:rsidR="005132EF" w:rsidRPr="00370E70">
        <w:trPr>
          <w:trHeight w:val="290"/>
          <w:jc w:val="center"/>
        </w:trPr>
        <w:tc>
          <w:tcPr>
            <w:tcW w:w="1370" w:type="dxa"/>
            <w:tcBorders>
              <w:top w:val="nil"/>
              <w:left w:val="nil"/>
              <w:bottom w:val="nil"/>
              <w:right w:val="nil"/>
            </w:tcBorders>
            <w:noWrap/>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good</w:t>
            </w:r>
          </w:p>
        </w:tc>
        <w:tc>
          <w:tcPr>
            <w:tcW w:w="165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50-75</w:t>
            </w:r>
          </w:p>
        </w:tc>
        <w:tc>
          <w:tcPr>
            <w:tcW w:w="156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75</w:t>
            </w:r>
          </w:p>
        </w:tc>
        <w:tc>
          <w:tcPr>
            <w:tcW w:w="1620" w:type="dxa"/>
            <w:tcBorders>
              <w:top w:val="nil"/>
              <w:left w:val="nil"/>
              <w:bottom w:val="nil"/>
              <w:right w:val="nil"/>
            </w:tcBorders>
            <w:shd w:val="clear" w:color="auto" w:fill="92D05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60 - &lt;80</w:t>
            </w:r>
          </w:p>
        </w:tc>
      </w:tr>
      <w:tr w:rsidR="005132EF" w:rsidRPr="00370E70">
        <w:trPr>
          <w:trHeight w:val="290"/>
          <w:jc w:val="center"/>
        </w:trPr>
        <w:tc>
          <w:tcPr>
            <w:tcW w:w="1370" w:type="dxa"/>
            <w:tcBorders>
              <w:top w:val="nil"/>
              <w:left w:val="nil"/>
              <w:bottom w:val="nil"/>
              <w:right w:val="nil"/>
            </w:tcBorders>
            <w:noWrap/>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moderate</w:t>
            </w:r>
          </w:p>
        </w:tc>
        <w:tc>
          <w:tcPr>
            <w:tcW w:w="165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low-50</w:t>
            </w:r>
          </w:p>
        </w:tc>
        <w:tc>
          <w:tcPr>
            <w:tcW w:w="1560"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50</w:t>
            </w:r>
          </w:p>
        </w:tc>
        <w:tc>
          <w:tcPr>
            <w:tcW w:w="1620" w:type="dxa"/>
            <w:tcBorders>
              <w:top w:val="nil"/>
              <w:left w:val="nil"/>
              <w:bottom w:val="nil"/>
              <w:right w:val="nil"/>
            </w:tcBorders>
            <w:shd w:val="clear" w:color="auto" w:fill="FFFF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40 - &lt;60</w:t>
            </w:r>
          </w:p>
        </w:tc>
      </w:tr>
      <w:tr w:rsidR="005132EF" w:rsidRPr="00370E70">
        <w:trPr>
          <w:trHeight w:val="290"/>
          <w:jc w:val="center"/>
        </w:trPr>
        <w:tc>
          <w:tcPr>
            <w:tcW w:w="1370" w:type="dxa"/>
            <w:tcBorders>
              <w:top w:val="nil"/>
              <w:left w:val="nil"/>
              <w:right w:val="nil"/>
            </w:tcBorders>
            <w:noWrap/>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poor</w:t>
            </w:r>
          </w:p>
        </w:tc>
        <w:tc>
          <w:tcPr>
            <w:tcW w:w="1650" w:type="dxa"/>
            <w:tcBorders>
              <w:top w:val="nil"/>
              <w:left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&lt;low</w:t>
            </w:r>
          </w:p>
        </w:tc>
        <w:tc>
          <w:tcPr>
            <w:tcW w:w="1560" w:type="dxa"/>
            <w:tcBorders>
              <w:top w:val="nil"/>
              <w:left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25</w:t>
            </w:r>
          </w:p>
        </w:tc>
        <w:tc>
          <w:tcPr>
            <w:tcW w:w="1620" w:type="dxa"/>
            <w:tcBorders>
              <w:top w:val="nil"/>
              <w:left w:val="nil"/>
              <w:right w:val="nil"/>
            </w:tcBorders>
            <w:shd w:val="clear" w:color="auto" w:fill="FFC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20 - &lt;40</w:t>
            </w:r>
          </w:p>
        </w:tc>
      </w:tr>
      <w:tr w:rsidR="005132EF" w:rsidRPr="00370E70">
        <w:trPr>
          <w:trHeight w:val="290"/>
          <w:jc w:val="center"/>
        </w:trPr>
        <w:tc>
          <w:tcPr>
            <w:tcW w:w="1370" w:type="dxa"/>
            <w:tcBorders>
              <w:top w:val="nil"/>
              <w:left w:val="nil"/>
              <w:bottom w:val="single" w:sz="4" w:space="0" w:color="auto"/>
              <w:right w:val="nil"/>
            </w:tcBorders>
            <w:noWrap/>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very poor</w:t>
            </w:r>
          </w:p>
        </w:tc>
        <w:tc>
          <w:tcPr>
            <w:tcW w:w="1650" w:type="dxa"/>
            <w:tcBorders>
              <w:top w:val="nil"/>
              <w:left w:val="nil"/>
              <w:bottom w:val="single" w:sz="4" w:space="0" w:color="auto"/>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&lt;low by &gt;20%</w:t>
            </w:r>
          </w:p>
        </w:tc>
        <w:tc>
          <w:tcPr>
            <w:tcW w:w="1560" w:type="dxa"/>
            <w:tcBorders>
              <w:top w:val="nil"/>
              <w:left w:val="nil"/>
              <w:bottom w:val="single" w:sz="4" w:space="0" w:color="auto"/>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0 - &lt;20</w:t>
            </w:r>
          </w:p>
        </w:tc>
      </w:tr>
    </w:tbl>
    <w:p w:rsidR="005132EF" w:rsidRPr="00370E70" w:rsidRDefault="005132EF" w:rsidP="00034AD4">
      <w:pPr>
        <w:pStyle w:val="Heading3"/>
        <w:rPr>
          <w:color w:val="000000"/>
        </w:rPr>
      </w:pPr>
      <w:bookmarkStart w:id="112" w:name="_Toc184101956"/>
      <w:bookmarkStart w:id="113" w:name="_Toc384196119"/>
      <w:r w:rsidRPr="00370E70">
        <w:rPr>
          <w:color w:val="000000"/>
        </w:rPr>
        <w:lastRenderedPageBreak/>
        <w:t>Seagrass reproductive effort</w:t>
      </w:r>
      <w:bookmarkEnd w:id="112"/>
      <w:bookmarkEnd w:id="113"/>
    </w:p>
    <w:p w:rsidR="00EE0164" w:rsidRPr="00370E70" w:rsidRDefault="00EE0164" w:rsidP="00EE0164">
      <w:pPr>
        <w:rPr>
          <w:color w:val="000000"/>
          <w:szCs w:val="22"/>
        </w:rPr>
      </w:pPr>
      <w:bookmarkStart w:id="114" w:name="_Ref271192830"/>
      <w:r w:rsidRPr="00370E70">
        <w:rPr>
          <w:color w:val="000000"/>
          <w:szCs w:val="22"/>
        </w:rPr>
        <w:t xml:space="preserve">The reproductive effort of seagrasses provides an indication of the capacity of seagrasses to recover from the loss of an area of seagrass through the recruitment of new plants, i.e. the resilience of the population </w:t>
      </w:r>
      <w:r w:rsidRPr="00370E70">
        <w:rPr>
          <w:noProof/>
          <w:color w:val="000000"/>
          <w:szCs w:val="22"/>
        </w:rPr>
        <w:t>(</w:t>
      </w:r>
      <w:hyperlink w:anchor="_ENREF_42" w:tooltip="Collier, 2009 #9285"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964A70" w:rsidRPr="00370E70">
          <w:rPr>
            <w:noProof/>
            <w:color w:val="000000"/>
            <w:szCs w:val="22"/>
          </w:rPr>
          <w:fldChar w:fldCharType="separate"/>
        </w:r>
        <w:r w:rsidR="00964A70" w:rsidRPr="00370E70">
          <w:rPr>
            <w:noProof/>
            <w:color w:val="000000"/>
            <w:szCs w:val="22"/>
          </w:rPr>
          <w:t>Collier and Waycott 2009</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Given the high diversity of seagrass species that occur in the GBR coastal zone </w:t>
      </w:r>
      <w:r w:rsidRPr="00370E70">
        <w:rPr>
          <w:noProof/>
          <w:color w:val="000000"/>
          <w:szCs w:val="22"/>
        </w:rPr>
        <w:t>(</w:t>
      </w:r>
      <w:hyperlink w:anchor="_ENREF_192" w:tooltip="Waycott, 2007 #9133"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964A70" w:rsidRPr="00370E70">
          <w:rPr>
            <w:noProof/>
            <w:color w:val="000000"/>
            <w:szCs w:val="22"/>
          </w:rPr>
          <w:fldChar w:fldCharType="separate"/>
        </w:r>
        <w:r w:rsidR="00964A70" w:rsidRPr="00370E70">
          <w:rPr>
            <w:noProof/>
            <w:color w:val="000000"/>
            <w:szCs w:val="22"/>
          </w:rPr>
          <w:t>Waycott</w:t>
        </w:r>
        <w:r w:rsidR="00964A70" w:rsidRPr="00370E70">
          <w:rPr>
            <w:i/>
            <w:noProof/>
            <w:color w:val="000000"/>
            <w:szCs w:val="22"/>
          </w:rPr>
          <w:t>, et al.</w:t>
        </w:r>
        <w:r w:rsidR="00964A70" w:rsidRPr="00370E70">
          <w:rPr>
            <w:noProof/>
            <w:color w:val="000000"/>
            <w:szCs w:val="22"/>
          </w:rPr>
          <w:t xml:space="preserve"> 2007</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their variability in production of reproductive structures </w:t>
      </w:r>
      <w:r w:rsidRPr="00370E70">
        <w:rPr>
          <w:noProof/>
          <w:color w:val="000000"/>
          <w:szCs w:val="22"/>
        </w:rPr>
        <w:t xml:space="preserve">(e.g. </w:t>
      </w:r>
      <w:hyperlink w:anchor="_ENREF_153" w:tooltip="Orth, 2006 #7350"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&lt;EndNote&gt;&lt;Cite&gt;&lt;Author&gt;Orth&lt;/Author&gt;&lt;Year&gt;2006&lt;/Year&gt;&lt;RecNum&gt;7350&lt;/RecNum&gt;&lt;DisplayText&gt;Orth&lt;style face="italic"&gt; et al.&lt;/style&gt; 2006b&lt;/DisplayText&gt;&lt;record&gt;&lt;rec-number&gt;7350&lt;/rec-number&gt;&lt;foreign-keys&gt;&lt;key app="EN" db-id="0eve55x9y5vfd6e9dacxtew4eatve2dzds9a"&gt;7350&lt;/key&gt;&lt;/foreign-keys&gt;&lt;ref-type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964A70" w:rsidRPr="00370E70">
          <w:rPr>
            <w:noProof/>
            <w:color w:val="000000"/>
            <w:szCs w:val="22"/>
          </w:rPr>
          <w:fldChar w:fldCharType="separate"/>
        </w:r>
        <w:r w:rsidR="00964A70" w:rsidRPr="00370E70">
          <w:rPr>
            <w:noProof/>
            <w:color w:val="000000"/>
            <w:szCs w:val="22"/>
          </w:rPr>
          <w:t>Orth</w:t>
        </w:r>
        <w:r w:rsidR="00964A70" w:rsidRPr="00370E70">
          <w:rPr>
            <w:i/>
            <w:noProof/>
            <w:color w:val="000000"/>
            <w:szCs w:val="22"/>
          </w:rPr>
          <w:t xml:space="preserve"> et al.</w:t>
        </w:r>
        <w:r w:rsidR="00964A70" w:rsidRPr="00370E70">
          <w:rPr>
            <w:noProof/>
            <w:color w:val="000000"/>
            <w:szCs w:val="22"/>
          </w:rPr>
          <w:t xml:space="preserve"> 2006b</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a metric that incorporates all available information on the production of flowers and fruits per unit area is the most useful. </w:t>
      </w:r>
    </w:p>
    <w:p w:rsidR="00EE0164" w:rsidRPr="00370E70" w:rsidRDefault="00EE0164" w:rsidP="00EE0164">
      <w:pPr>
        <w:rPr>
          <w:color w:val="000000"/>
          <w:szCs w:val="22"/>
        </w:rPr>
      </w:pPr>
      <w:r w:rsidRPr="00370E70">
        <w:rPr>
          <w:color w:val="000000"/>
          <w:szCs w:val="22"/>
        </w:rPr>
        <w:t xml:space="preserve">The production of seeds also reflects a simple measure of the capacity of a seagrass meadow to recover following large scale impacts </w:t>
      </w:r>
      <w:r w:rsidRPr="00370E70">
        <w:rPr>
          <w:noProof/>
          <w:color w:val="000000"/>
          <w:szCs w:val="22"/>
        </w:rPr>
        <w:t>(</w:t>
      </w:r>
      <w:hyperlink w:anchor="_ENREF_42" w:tooltip="Collier, 2009 #9285"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964A70" w:rsidRPr="00370E70">
          <w:rPr>
            <w:noProof/>
            <w:color w:val="000000"/>
            <w:szCs w:val="22"/>
          </w:rPr>
          <w:fldChar w:fldCharType="separate"/>
        </w:r>
        <w:r w:rsidR="00964A70" w:rsidRPr="00370E70">
          <w:rPr>
            <w:noProof/>
            <w:color w:val="000000"/>
            <w:szCs w:val="22"/>
          </w:rPr>
          <w:t>Collier and Waycott 2009</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As it is well recognized that coastal seagrasses are prone to small scale disturbances that cause local losses </w:t>
      </w:r>
      <w:r w:rsidRPr="00370E70">
        <w:rPr>
          <w:noProof/>
          <w:color w:val="000000"/>
          <w:szCs w:val="22"/>
        </w:rPr>
        <w:t>(</w:t>
      </w:r>
      <w:hyperlink w:anchor="_ENREF_42" w:tooltip="Collier, 2009 #9285" w:history="1">
        <w:r w:rsidR="00964A70" w:rsidRPr="00370E70">
          <w:rPr>
            <w:noProof/>
            <w:color w:val="000000"/>
            <w:szCs w:val="22"/>
          </w:rPr>
          <w:fldChar w:fldCharType="begin"/>
        </w:r>
        <w:r w:rsidR="00964A70" w:rsidRPr="00370E70">
          <w:rPr>
            <w:noProof/>
            <w:color w:val="000000"/>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964A70" w:rsidRPr="00370E70">
          <w:rPr>
            <w:noProof/>
            <w:color w:val="000000"/>
            <w:szCs w:val="22"/>
          </w:rPr>
          <w:fldChar w:fldCharType="separate"/>
        </w:r>
        <w:r w:rsidR="00964A70" w:rsidRPr="00370E70">
          <w:rPr>
            <w:noProof/>
            <w:color w:val="000000"/>
            <w:szCs w:val="22"/>
          </w:rPr>
          <w:t>Collier and Waycott 2009</w:t>
        </w:r>
        <w:r w:rsidR="00964A70" w:rsidRPr="00370E70">
          <w:rPr>
            <w:noProof/>
            <w:color w:val="000000"/>
            <w:szCs w:val="22"/>
          </w:rPr>
          <w:fldChar w:fldCharType="end"/>
        </w:r>
      </w:hyperlink>
      <w:r w:rsidRPr="00370E70">
        <w:rPr>
          <w:noProof/>
          <w:color w:val="000000"/>
          <w:szCs w:val="22"/>
        </w:rPr>
        <w:t>)</w:t>
      </w:r>
      <w:r w:rsidRPr="00370E70">
        <w:rPr>
          <w:color w:val="000000"/>
          <w:szCs w:val="22"/>
        </w:rPr>
        <w:t xml:space="preserve"> and then recover in relatively short periods of time, the need for a local seed source is considerable. In the GBR, the production of seeds comes in numerous forms and seed banks examined at MMP sites are limited to foundational seagrass species (seeds &gt;0.5mm diameter). At this time, seed banks have not been included in the metric for reproductive effort, but methods for future incorporation are currently being explored.</w:t>
      </w:r>
    </w:p>
    <w:p w:rsidR="00EE0164" w:rsidRPr="00370E70" w:rsidRDefault="00EE0164" w:rsidP="00EE0164">
      <w:pPr>
        <w:spacing w:before="240"/>
        <w:rPr>
          <w:color w:val="000000"/>
          <w:szCs w:val="22"/>
        </w:rPr>
      </w:pPr>
      <w:r w:rsidRPr="00370E70">
        <w:rPr>
          <w:color w:val="000000"/>
          <w:szCs w:val="22"/>
        </w:rPr>
        <w:t>Using the annual mean of all species pooled in the late dry and comparing with the long-term (2005-2010) average for GBR habitat (coastal intertidal = 8.22±0.71, estuarine intertidal = 5.07±0.41, reef intertidal = 1.32±0.14), the reproductive effort was scored as the number of reproductive structures per core and the overall status determined (</w:t>
      </w:r>
      <w:r w:rsidR="00A57E66" w:rsidRPr="00370E70">
        <w:rPr>
          <w:color w:val="000000"/>
          <w:szCs w:val="22"/>
        </w:rPr>
        <w:fldChar w:fldCharType="begin"/>
      </w:r>
      <w:r w:rsidR="00A57E66" w:rsidRPr="00370E70">
        <w:rPr>
          <w:color w:val="000000"/>
          <w:szCs w:val="22"/>
        </w:rPr>
        <w:instrText xml:space="preserve"> REF _Ref382667450 \h </w:instrText>
      </w:r>
      <w:r w:rsidR="00A57E66" w:rsidRPr="00370E70">
        <w:rPr>
          <w:color w:val="000000"/>
          <w:szCs w:val="22"/>
        </w:rPr>
      </w:r>
      <w:r w:rsidR="00A57E66"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color w:val="000000"/>
          <w:szCs w:val="22"/>
        </w:rPr>
        <w:t>9</w:t>
      </w:r>
      <w:r w:rsidR="00A57E66" w:rsidRPr="00370E70">
        <w:rPr>
          <w:color w:val="000000"/>
          <w:szCs w:val="22"/>
        </w:rPr>
        <w:fldChar w:fldCharType="end"/>
      </w:r>
      <w:r w:rsidRPr="00370E70">
        <w:rPr>
          <w:color w:val="000000"/>
          <w:szCs w:val="22"/>
        </w:rPr>
        <w:t>) as the ratio of the average number observed divided by the long term average.</w:t>
      </w:r>
    </w:p>
    <w:p w:rsidR="005132EF" w:rsidRPr="00370E70" w:rsidRDefault="005132EF" w:rsidP="00034AD4">
      <w:pPr>
        <w:pStyle w:val="Caption"/>
        <w:keepNext/>
        <w:jc w:val="center"/>
        <w:rPr>
          <w:rStyle w:val="StyleCaptionCaptionCharCharLatinCalibri11ptBlackChar"/>
          <w:lang w:val="en-AU"/>
        </w:rPr>
      </w:pPr>
      <w:bookmarkStart w:id="115" w:name="_Ref382667450"/>
      <w:bookmarkStart w:id="116" w:name="_Toc384196545"/>
      <w:r w:rsidRPr="00370E70">
        <w:rPr>
          <w:rStyle w:val="StyleCaptionCaptionCharCharLatinCalibri11ptBlackChar"/>
          <w:lang w:val="en-AU"/>
        </w:rPr>
        <w:t xml:space="preserve">Table </w:t>
      </w:r>
      <w:r w:rsidRPr="00370E70">
        <w:rPr>
          <w:color w:val="000000"/>
          <w:szCs w:val="22"/>
          <w:lang w:val="en-AU"/>
        </w:rPr>
        <w:fldChar w:fldCharType="begin"/>
      </w:r>
      <w:r w:rsidRPr="00370E70">
        <w:rPr>
          <w:color w:val="000000"/>
          <w:szCs w:val="22"/>
          <w:lang w:val="en-AU"/>
        </w:rPr>
        <w:instrText xml:space="preserve"> SEQ Table \* ARABIC </w:instrText>
      </w:r>
      <w:r w:rsidRPr="00370E70">
        <w:rPr>
          <w:color w:val="000000"/>
          <w:szCs w:val="22"/>
          <w:lang w:val="en-AU"/>
        </w:rPr>
        <w:fldChar w:fldCharType="separate"/>
      </w:r>
      <w:r w:rsidR="005B5FD6">
        <w:rPr>
          <w:noProof/>
          <w:color w:val="000000"/>
          <w:szCs w:val="22"/>
          <w:lang w:val="en-AU"/>
        </w:rPr>
        <w:t>9</w:t>
      </w:r>
      <w:r w:rsidRPr="00370E70">
        <w:rPr>
          <w:color w:val="000000"/>
          <w:szCs w:val="22"/>
          <w:lang w:val="en-AU"/>
        </w:rPr>
        <w:fldChar w:fldCharType="end"/>
      </w:r>
      <w:bookmarkEnd w:id="114"/>
      <w:bookmarkEnd w:id="115"/>
      <w:r w:rsidRPr="00370E70">
        <w:rPr>
          <w:rStyle w:val="StyleCaptionCaptionCharCharLatinCalibri11ptBlackChar"/>
          <w:lang w:val="en-AU"/>
        </w:rPr>
        <w:t xml:space="preserve">. </w:t>
      </w:r>
      <w:r w:rsidRPr="00370E70">
        <w:rPr>
          <w:rFonts w:cs="Arial"/>
          <w:i/>
          <w:color w:val="000000"/>
          <w:szCs w:val="22"/>
          <w:lang w:val="en-AU"/>
        </w:rPr>
        <w:t xml:space="preserve">Scores for </w:t>
      </w:r>
      <w:r w:rsidRPr="00370E70">
        <w:rPr>
          <w:i/>
          <w:iCs/>
          <w:color w:val="000000"/>
          <w:szCs w:val="22"/>
          <w:lang w:val="en-AU" w:eastAsia="en-AU"/>
        </w:rPr>
        <w:t xml:space="preserve">late dry </w:t>
      </w:r>
      <w:r w:rsidRPr="00370E70">
        <w:rPr>
          <w:rFonts w:cs="Arial"/>
          <w:i/>
          <w:color w:val="000000"/>
          <w:szCs w:val="22"/>
          <w:lang w:val="en-AU"/>
        </w:rPr>
        <w:t>monitoring period reproductive effort average against long-term (2005-2009) GBR habitat average.</w:t>
      </w:r>
      <w:bookmarkEnd w:id="116"/>
    </w:p>
    <w:tbl>
      <w:tblPr>
        <w:tblW w:w="8279" w:type="dxa"/>
        <w:jc w:val="center"/>
        <w:tblLook w:val="0000" w:firstRow="0" w:lastRow="0" w:firstColumn="0" w:lastColumn="0" w:noHBand="0" w:noVBand="0"/>
      </w:tblPr>
      <w:tblGrid>
        <w:gridCol w:w="1337"/>
        <w:gridCol w:w="2953"/>
        <w:gridCol w:w="766"/>
        <w:gridCol w:w="805"/>
        <w:gridCol w:w="1368"/>
        <w:gridCol w:w="1050"/>
      </w:tblGrid>
      <w:tr w:rsidR="005132EF" w:rsidRPr="00370E70">
        <w:trPr>
          <w:trHeight w:val="290"/>
          <w:jc w:val="center"/>
        </w:trPr>
        <w:tc>
          <w:tcPr>
            <w:tcW w:w="1337" w:type="dxa"/>
            <w:tcBorders>
              <w:top w:val="single" w:sz="4" w:space="0" w:color="auto"/>
              <w:left w:val="nil"/>
              <w:bottom w:val="single" w:sz="4" w:space="0" w:color="auto"/>
              <w:right w:val="nil"/>
            </w:tcBorders>
            <w:vAlign w:val="center"/>
          </w:tcPr>
          <w:p w:rsidR="005132EF" w:rsidRPr="00370E70" w:rsidRDefault="005132EF" w:rsidP="00034AD4">
            <w:pPr>
              <w:keepNext/>
              <w:spacing w:before="0" w:after="0"/>
              <w:jc w:val="center"/>
              <w:rPr>
                <w:b/>
                <w:i/>
                <w:iCs/>
                <w:color w:val="000000"/>
              </w:rPr>
            </w:pPr>
            <w:r w:rsidRPr="00370E70">
              <w:rPr>
                <w:b/>
                <w:i/>
                <w:iCs/>
                <w:color w:val="000000"/>
                <w:szCs w:val="22"/>
              </w:rPr>
              <w:t>description</w:t>
            </w:r>
          </w:p>
        </w:tc>
        <w:tc>
          <w:tcPr>
            <w:tcW w:w="2953" w:type="dxa"/>
            <w:tcBorders>
              <w:top w:val="single" w:sz="4" w:space="0" w:color="auto"/>
              <w:left w:val="nil"/>
              <w:bottom w:val="single" w:sz="4" w:space="0" w:color="auto"/>
              <w:right w:val="nil"/>
            </w:tcBorders>
            <w:noWrap/>
            <w:vAlign w:val="center"/>
          </w:tcPr>
          <w:p w:rsidR="005132EF" w:rsidRPr="00370E70" w:rsidRDefault="005132EF" w:rsidP="00034AD4">
            <w:pPr>
              <w:keepNext/>
              <w:spacing w:before="0" w:after="0"/>
              <w:jc w:val="center"/>
              <w:rPr>
                <w:b/>
                <w:i/>
                <w:iCs/>
                <w:color w:val="000000"/>
              </w:rPr>
            </w:pPr>
            <w:r w:rsidRPr="00370E70">
              <w:rPr>
                <w:b/>
                <w:i/>
                <w:iCs/>
                <w:color w:val="000000"/>
                <w:szCs w:val="22"/>
              </w:rPr>
              <w:t>Reproductive Effort</w:t>
            </w:r>
          </w:p>
          <w:p w:rsidR="005132EF" w:rsidRPr="00370E70" w:rsidRDefault="005132EF" w:rsidP="00034AD4">
            <w:pPr>
              <w:keepNext/>
              <w:spacing w:before="0" w:after="0"/>
              <w:jc w:val="center"/>
              <w:rPr>
                <w:b/>
                <w:i/>
                <w:iCs/>
                <w:color w:val="000000"/>
              </w:rPr>
            </w:pPr>
            <w:r w:rsidRPr="00370E70">
              <w:rPr>
                <w:b/>
                <w:i/>
                <w:iCs/>
                <w:color w:val="000000"/>
                <w:szCs w:val="22"/>
              </w:rPr>
              <w:t>monitoring period / long-term</w:t>
            </w:r>
          </w:p>
        </w:tc>
        <w:tc>
          <w:tcPr>
            <w:tcW w:w="766" w:type="dxa"/>
            <w:tcBorders>
              <w:top w:val="single" w:sz="4" w:space="0" w:color="auto"/>
              <w:left w:val="nil"/>
              <w:bottom w:val="single" w:sz="4" w:space="0" w:color="auto"/>
              <w:right w:val="nil"/>
            </w:tcBorders>
            <w:vAlign w:val="center"/>
          </w:tcPr>
          <w:p w:rsidR="005132EF" w:rsidRPr="00370E70" w:rsidRDefault="005132EF" w:rsidP="00034AD4">
            <w:pPr>
              <w:keepNext/>
              <w:spacing w:before="0" w:after="0"/>
              <w:jc w:val="center"/>
              <w:rPr>
                <w:b/>
                <w:i/>
                <w:iCs/>
                <w:color w:val="000000"/>
              </w:rPr>
            </w:pPr>
            <w:r w:rsidRPr="00370E70">
              <w:rPr>
                <w:b/>
                <w:i/>
                <w:iCs/>
                <w:color w:val="000000"/>
                <w:szCs w:val="22"/>
              </w:rPr>
              <w:t>ratio</w:t>
            </w:r>
          </w:p>
        </w:tc>
        <w:tc>
          <w:tcPr>
            <w:tcW w:w="805" w:type="dxa"/>
            <w:tcBorders>
              <w:top w:val="single" w:sz="4" w:space="0" w:color="auto"/>
              <w:left w:val="nil"/>
              <w:bottom w:val="single" w:sz="4" w:space="0" w:color="auto"/>
              <w:right w:val="nil"/>
            </w:tcBorders>
            <w:noWrap/>
            <w:vAlign w:val="center"/>
          </w:tcPr>
          <w:p w:rsidR="005132EF" w:rsidRPr="00370E70" w:rsidRDefault="005132EF" w:rsidP="00034AD4">
            <w:pPr>
              <w:keepNext/>
              <w:spacing w:before="0" w:after="0"/>
              <w:jc w:val="center"/>
              <w:rPr>
                <w:b/>
                <w:i/>
                <w:iCs/>
                <w:color w:val="000000"/>
              </w:rPr>
            </w:pPr>
            <w:r w:rsidRPr="00370E70">
              <w:rPr>
                <w:b/>
                <w:i/>
                <w:iCs/>
                <w:color w:val="000000"/>
                <w:szCs w:val="22"/>
              </w:rPr>
              <w:t>score</w:t>
            </w:r>
          </w:p>
        </w:tc>
        <w:tc>
          <w:tcPr>
            <w:tcW w:w="1368" w:type="dxa"/>
            <w:tcBorders>
              <w:top w:val="single" w:sz="4" w:space="0" w:color="auto"/>
              <w:left w:val="nil"/>
              <w:bottom w:val="single" w:sz="4" w:space="0" w:color="auto"/>
              <w:right w:val="nil"/>
            </w:tcBorders>
            <w:noWrap/>
            <w:vAlign w:val="center"/>
          </w:tcPr>
          <w:p w:rsidR="005132EF" w:rsidRPr="00370E70" w:rsidRDefault="005132EF" w:rsidP="00034AD4">
            <w:pPr>
              <w:keepNext/>
              <w:spacing w:before="0" w:after="0"/>
              <w:jc w:val="center"/>
              <w:rPr>
                <w:b/>
                <w:i/>
                <w:iCs/>
                <w:color w:val="000000"/>
              </w:rPr>
            </w:pPr>
            <w:r w:rsidRPr="00370E70">
              <w:rPr>
                <w:b/>
                <w:i/>
                <w:iCs/>
                <w:color w:val="000000"/>
                <w:szCs w:val="22"/>
              </w:rPr>
              <w:t>0-100 score</w:t>
            </w:r>
          </w:p>
        </w:tc>
        <w:tc>
          <w:tcPr>
            <w:tcW w:w="1050" w:type="dxa"/>
            <w:tcBorders>
              <w:top w:val="single" w:sz="4" w:space="0" w:color="auto"/>
              <w:left w:val="nil"/>
              <w:bottom w:val="single" w:sz="4" w:space="0" w:color="auto"/>
              <w:right w:val="nil"/>
            </w:tcBorders>
            <w:noWrap/>
            <w:vAlign w:val="center"/>
          </w:tcPr>
          <w:p w:rsidR="005132EF" w:rsidRPr="00370E70" w:rsidRDefault="005132EF" w:rsidP="00034AD4">
            <w:pPr>
              <w:keepNext/>
              <w:spacing w:before="0" w:after="0"/>
              <w:jc w:val="center"/>
              <w:rPr>
                <w:b/>
                <w:i/>
                <w:iCs/>
                <w:color w:val="000000"/>
              </w:rPr>
            </w:pPr>
            <w:r w:rsidRPr="00370E70">
              <w:rPr>
                <w:b/>
                <w:i/>
                <w:iCs/>
                <w:color w:val="000000"/>
                <w:szCs w:val="22"/>
              </w:rPr>
              <w:t>status</w:t>
            </w:r>
          </w:p>
        </w:tc>
      </w:tr>
      <w:tr w:rsidR="005132EF" w:rsidRPr="00370E70">
        <w:trPr>
          <w:trHeight w:val="290"/>
          <w:jc w:val="center"/>
        </w:trPr>
        <w:tc>
          <w:tcPr>
            <w:tcW w:w="1337" w:type="dxa"/>
            <w:tcBorders>
              <w:top w:val="nil"/>
              <w:left w:val="nil"/>
              <w:bottom w:val="nil"/>
              <w:right w:val="nil"/>
            </w:tcBorders>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very good</w:t>
            </w:r>
          </w:p>
        </w:tc>
        <w:tc>
          <w:tcPr>
            <w:tcW w:w="2953"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≥4</w:t>
            </w:r>
          </w:p>
        </w:tc>
        <w:tc>
          <w:tcPr>
            <w:tcW w:w="766" w:type="dxa"/>
            <w:tcBorders>
              <w:top w:val="nil"/>
              <w:left w:val="nil"/>
              <w:bottom w:val="nil"/>
              <w:right w:val="nil"/>
            </w:tcBorders>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4.0</w:t>
            </w:r>
          </w:p>
        </w:tc>
        <w:tc>
          <w:tcPr>
            <w:tcW w:w="805"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4</w:t>
            </w:r>
          </w:p>
        </w:tc>
        <w:tc>
          <w:tcPr>
            <w:tcW w:w="1368"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100</w:t>
            </w:r>
          </w:p>
        </w:tc>
        <w:tc>
          <w:tcPr>
            <w:tcW w:w="1050" w:type="dxa"/>
            <w:tcBorders>
              <w:top w:val="nil"/>
              <w:left w:val="nil"/>
              <w:bottom w:val="nil"/>
              <w:right w:val="nil"/>
            </w:tcBorders>
            <w:shd w:val="clear" w:color="auto" w:fill="008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80 - 100</w:t>
            </w:r>
          </w:p>
        </w:tc>
      </w:tr>
      <w:tr w:rsidR="005132EF" w:rsidRPr="00370E70">
        <w:trPr>
          <w:trHeight w:val="290"/>
          <w:jc w:val="center"/>
        </w:trPr>
        <w:tc>
          <w:tcPr>
            <w:tcW w:w="1337" w:type="dxa"/>
            <w:tcBorders>
              <w:top w:val="nil"/>
              <w:left w:val="nil"/>
              <w:bottom w:val="nil"/>
              <w:right w:val="nil"/>
            </w:tcBorders>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good</w:t>
            </w:r>
          </w:p>
        </w:tc>
        <w:tc>
          <w:tcPr>
            <w:tcW w:w="2953"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 to &lt;4</w:t>
            </w:r>
          </w:p>
        </w:tc>
        <w:tc>
          <w:tcPr>
            <w:tcW w:w="766" w:type="dxa"/>
            <w:tcBorders>
              <w:top w:val="nil"/>
              <w:left w:val="nil"/>
              <w:bottom w:val="nil"/>
              <w:right w:val="nil"/>
            </w:tcBorders>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2.0</w:t>
            </w:r>
          </w:p>
        </w:tc>
        <w:tc>
          <w:tcPr>
            <w:tcW w:w="805"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3</w:t>
            </w:r>
          </w:p>
        </w:tc>
        <w:tc>
          <w:tcPr>
            <w:tcW w:w="1368"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75</w:t>
            </w:r>
          </w:p>
        </w:tc>
        <w:tc>
          <w:tcPr>
            <w:tcW w:w="1050" w:type="dxa"/>
            <w:tcBorders>
              <w:top w:val="nil"/>
              <w:left w:val="nil"/>
              <w:bottom w:val="nil"/>
              <w:right w:val="nil"/>
            </w:tcBorders>
            <w:shd w:val="clear" w:color="auto" w:fill="92D05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60 - &lt;80</w:t>
            </w:r>
          </w:p>
        </w:tc>
      </w:tr>
      <w:tr w:rsidR="005132EF" w:rsidRPr="00370E70">
        <w:trPr>
          <w:trHeight w:val="290"/>
          <w:jc w:val="center"/>
        </w:trPr>
        <w:tc>
          <w:tcPr>
            <w:tcW w:w="1337" w:type="dxa"/>
            <w:tcBorders>
              <w:top w:val="nil"/>
              <w:left w:val="nil"/>
              <w:bottom w:val="nil"/>
              <w:right w:val="nil"/>
            </w:tcBorders>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moderate</w:t>
            </w:r>
          </w:p>
        </w:tc>
        <w:tc>
          <w:tcPr>
            <w:tcW w:w="2953"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 to &lt;2</w:t>
            </w:r>
          </w:p>
        </w:tc>
        <w:tc>
          <w:tcPr>
            <w:tcW w:w="766" w:type="dxa"/>
            <w:tcBorders>
              <w:top w:val="nil"/>
              <w:left w:val="nil"/>
              <w:bottom w:val="nil"/>
              <w:right w:val="nil"/>
            </w:tcBorders>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1.0</w:t>
            </w:r>
          </w:p>
        </w:tc>
        <w:tc>
          <w:tcPr>
            <w:tcW w:w="805"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w:t>
            </w:r>
          </w:p>
        </w:tc>
        <w:tc>
          <w:tcPr>
            <w:tcW w:w="1368" w:type="dxa"/>
            <w:tcBorders>
              <w:top w:val="nil"/>
              <w:left w:val="nil"/>
              <w:bottom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50</w:t>
            </w:r>
          </w:p>
        </w:tc>
        <w:tc>
          <w:tcPr>
            <w:tcW w:w="1050" w:type="dxa"/>
            <w:tcBorders>
              <w:top w:val="nil"/>
              <w:left w:val="nil"/>
              <w:bottom w:val="nil"/>
              <w:right w:val="nil"/>
            </w:tcBorders>
            <w:shd w:val="clear" w:color="auto" w:fill="FFFF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40 - &lt;60</w:t>
            </w:r>
          </w:p>
        </w:tc>
      </w:tr>
      <w:tr w:rsidR="005132EF" w:rsidRPr="00370E70">
        <w:trPr>
          <w:trHeight w:val="290"/>
          <w:jc w:val="center"/>
        </w:trPr>
        <w:tc>
          <w:tcPr>
            <w:tcW w:w="1337" w:type="dxa"/>
            <w:tcBorders>
              <w:top w:val="nil"/>
              <w:left w:val="nil"/>
              <w:right w:val="nil"/>
            </w:tcBorders>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poor</w:t>
            </w:r>
          </w:p>
        </w:tc>
        <w:tc>
          <w:tcPr>
            <w:tcW w:w="2953" w:type="dxa"/>
            <w:tcBorders>
              <w:top w:val="nil"/>
              <w:left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0.5 to &lt;1</w:t>
            </w:r>
          </w:p>
        </w:tc>
        <w:tc>
          <w:tcPr>
            <w:tcW w:w="766" w:type="dxa"/>
            <w:tcBorders>
              <w:top w:val="nil"/>
              <w:left w:val="nil"/>
              <w:right w:val="nil"/>
            </w:tcBorders>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0.5</w:t>
            </w:r>
          </w:p>
        </w:tc>
        <w:tc>
          <w:tcPr>
            <w:tcW w:w="805" w:type="dxa"/>
            <w:tcBorders>
              <w:top w:val="nil"/>
              <w:left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w:t>
            </w:r>
          </w:p>
        </w:tc>
        <w:tc>
          <w:tcPr>
            <w:tcW w:w="1368" w:type="dxa"/>
            <w:tcBorders>
              <w:top w:val="nil"/>
              <w:left w:val="nil"/>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25</w:t>
            </w:r>
          </w:p>
        </w:tc>
        <w:tc>
          <w:tcPr>
            <w:tcW w:w="1050" w:type="dxa"/>
            <w:tcBorders>
              <w:top w:val="nil"/>
              <w:left w:val="nil"/>
              <w:right w:val="nil"/>
            </w:tcBorders>
            <w:shd w:val="clear" w:color="auto" w:fill="FFC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20 - &lt;40</w:t>
            </w:r>
          </w:p>
        </w:tc>
      </w:tr>
      <w:tr w:rsidR="005132EF" w:rsidRPr="00370E70">
        <w:trPr>
          <w:trHeight w:val="290"/>
          <w:jc w:val="center"/>
        </w:trPr>
        <w:tc>
          <w:tcPr>
            <w:tcW w:w="1337" w:type="dxa"/>
            <w:tcBorders>
              <w:top w:val="nil"/>
              <w:left w:val="nil"/>
              <w:bottom w:val="single" w:sz="4" w:space="0" w:color="auto"/>
              <w:right w:val="nil"/>
            </w:tcBorders>
            <w:vAlign w:val="bottom"/>
          </w:tcPr>
          <w:p w:rsidR="005132EF" w:rsidRPr="00370E70" w:rsidRDefault="005132EF" w:rsidP="00034AD4">
            <w:pPr>
              <w:spacing w:before="0" w:after="0"/>
              <w:rPr>
                <w:i/>
                <w:iCs/>
                <w:color w:val="000000"/>
                <w:lang w:eastAsia="en-AU"/>
              </w:rPr>
            </w:pPr>
            <w:r w:rsidRPr="00370E70">
              <w:rPr>
                <w:i/>
                <w:iCs/>
                <w:color w:val="000000"/>
                <w:szCs w:val="22"/>
                <w:lang w:eastAsia="en-AU"/>
              </w:rPr>
              <w:t>very poor</w:t>
            </w:r>
          </w:p>
        </w:tc>
        <w:tc>
          <w:tcPr>
            <w:tcW w:w="2953" w:type="dxa"/>
            <w:tcBorders>
              <w:top w:val="nil"/>
              <w:left w:val="nil"/>
              <w:bottom w:val="single" w:sz="4" w:space="0" w:color="auto"/>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&lt;0.5</w:t>
            </w:r>
          </w:p>
        </w:tc>
        <w:tc>
          <w:tcPr>
            <w:tcW w:w="766" w:type="dxa"/>
            <w:tcBorders>
              <w:top w:val="nil"/>
              <w:left w:val="nil"/>
              <w:bottom w:val="single" w:sz="4" w:space="0" w:color="auto"/>
              <w:right w:val="nil"/>
            </w:tcBorders>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0.0</w:t>
            </w:r>
          </w:p>
        </w:tc>
        <w:tc>
          <w:tcPr>
            <w:tcW w:w="805" w:type="dxa"/>
            <w:tcBorders>
              <w:top w:val="nil"/>
              <w:left w:val="nil"/>
              <w:bottom w:val="single" w:sz="4" w:space="0" w:color="auto"/>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w:t>
            </w:r>
          </w:p>
        </w:tc>
        <w:tc>
          <w:tcPr>
            <w:tcW w:w="1368" w:type="dxa"/>
            <w:tcBorders>
              <w:top w:val="nil"/>
              <w:left w:val="nil"/>
              <w:bottom w:val="single" w:sz="4" w:space="0" w:color="auto"/>
              <w:right w:val="nil"/>
            </w:tcBorders>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0 - &lt;20</w:t>
            </w:r>
          </w:p>
        </w:tc>
      </w:tr>
    </w:tbl>
    <w:p w:rsidR="005132EF" w:rsidRPr="00370E70" w:rsidRDefault="005132EF" w:rsidP="00034AD4">
      <w:pPr>
        <w:pStyle w:val="Heading3"/>
      </w:pPr>
      <w:bookmarkStart w:id="117" w:name="_Toc184101957"/>
      <w:bookmarkStart w:id="118" w:name="_Toc384196120"/>
      <w:r w:rsidRPr="00370E70">
        <w:t>Seagrass nutrient status.</w:t>
      </w:r>
      <w:bookmarkEnd w:id="117"/>
      <w:bookmarkEnd w:id="118"/>
    </w:p>
    <w:p w:rsidR="00EE0164" w:rsidRPr="00370E70" w:rsidRDefault="00EE0164" w:rsidP="00EE0164">
      <w:pPr>
        <w:pStyle w:val="NormalWeb"/>
        <w:rPr>
          <w:color w:val="000000"/>
          <w:szCs w:val="22"/>
        </w:rPr>
      </w:pPr>
      <w:r w:rsidRPr="00370E70">
        <w:rPr>
          <w:color w:val="000000"/>
          <w:szCs w:val="22"/>
        </w:rPr>
        <w:t>As changing leaf C:N ratios have been found in a number of experiments and field surveys to be related to available nutrient and light levels (</w:t>
      </w:r>
      <w:r w:rsidRPr="00370E70">
        <w:rPr>
          <w:color w:val="000000"/>
          <w:szCs w:val="22"/>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cnM+PGF1dGhvcnM+PGF1dGhvcj5HcmljZSwgQS4gTS48L2F1dGhvcj48YXV0aG9yPkxvbmVyYWdh
biwgTi4gUi48L2F1dGhvcj48YXV0aG9yPkRlbm5pc29uLCBXLiBDLjwvYXV0aG9yPjwvYXV0aG9y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cmVjb3JkPjwvQ2l0ZT48Q2l0ZT48QXV0aG9yPkNhYmHDp288L0F1dGhvcj48WWVhcj4yMDA3PC9Z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eSBhbmQgRWNvbG9neTwvZnVsbC10aXRsZT48L3BlcmlvZGljYWw+PHBhZ2VzPjg5LTEwMzwvcGFn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cnM+PGF1dGhvcnM+PGF1dGhvcj5HcmljZSwgQS4gTS48L2F1dGhvcj48YXV0aG9yPkxvbmVyYWdh
biwgTi4gUi48L2F1dGhvcj48YXV0aG9yPkRlbm5pc29uLCBXLiBDLjwvYXV0aG9yPjwvYXV0aG9y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cmVjb3JkPjwvQ2l0ZT48Q2l0ZT48QXV0aG9yPkNhYmHDp288L0F1dGhvcj48WWVhcj4yMDA3PC9Z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eSBhbmQgRWNvbG9neTwvZnVsbC10aXRsZT48L3BlcmlvZGljYWw+PHBhZ2VzPjg5LTEwMzwvcGFn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3" w:tooltip="Abal, 1994 #7405" w:history="1">
        <w:r w:rsidR="00964A70" w:rsidRPr="00370E70">
          <w:rPr>
            <w:noProof/>
            <w:color w:val="000000"/>
            <w:szCs w:val="22"/>
          </w:rPr>
          <w:t>Abal</w:t>
        </w:r>
        <w:r w:rsidR="00964A70" w:rsidRPr="00370E70">
          <w:rPr>
            <w:i/>
            <w:noProof/>
            <w:color w:val="000000"/>
            <w:szCs w:val="22"/>
          </w:rPr>
          <w:t>, et al.</w:t>
        </w:r>
        <w:r w:rsidR="00964A70" w:rsidRPr="00370E70">
          <w:rPr>
            <w:noProof/>
            <w:color w:val="000000"/>
            <w:szCs w:val="22"/>
          </w:rPr>
          <w:t xml:space="preserve"> 1994</w:t>
        </w:r>
      </w:hyperlink>
      <w:r w:rsidR="00126051" w:rsidRPr="00370E70">
        <w:rPr>
          <w:noProof/>
          <w:color w:val="000000"/>
          <w:szCs w:val="22"/>
        </w:rPr>
        <w:t xml:space="preserve">; </w:t>
      </w:r>
      <w:hyperlink w:anchor="_ENREF_93" w:tooltip="Grice, 1996 #1346" w:history="1">
        <w:r w:rsidR="00964A70" w:rsidRPr="00370E70">
          <w:rPr>
            <w:noProof/>
            <w:color w:val="000000"/>
            <w:szCs w:val="22"/>
          </w:rPr>
          <w:t>Grice</w:t>
        </w:r>
        <w:r w:rsidR="00964A70" w:rsidRPr="00370E70">
          <w:rPr>
            <w:i/>
            <w:noProof/>
            <w:color w:val="000000"/>
            <w:szCs w:val="22"/>
          </w:rPr>
          <w:t>, et al.</w:t>
        </w:r>
        <w:r w:rsidR="00964A70" w:rsidRPr="00370E70">
          <w:rPr>
            <w:noProof/>
            <w:color w:val="000000"/>
            <w:szCs w:val="22"/>
          </w:rPr>
          <w:t xml:space="preserve"> 1996</w:t>
        </w:r>
      </w:hyperlink>
      <w:r w:rsidR="00126051" w:rsidRPr="00370E70">
        <w:rPr>
          <w:noProof/>
          <w:color w:val="000000"/>
          <w:szCs w:val="22"/>
        </w:rPr>
        <w:t xml:space="preserve">; </w:t>
      </w:r>
      <w:hyperlink w:anchor="_ENREF_25" w:tooltip="Cabaço, 2007 #9489" w:history="1">
        <w:r w:rsidR="00964A70" w:rsidRPr="00370E70">
          <w:rPr>
            <w:noProof/>
            <w:color w:val="000000"/>
            <w:szCs w:val="22"/>
          </w:rPr>
          <w:t>Cabaço and Santos 2007</w:t>
        </w:r>
      </w:hyperlink>
      <w:r w:rsidR="00126051" w:rsidRPr="00370E70">
        <w:rPr>
          <w:noProof/>
          <w:color w:val="000000"/>
          <w:szCs w:val="22"/>
        </w:rPr>
        <w:t xml:space="preserve">; </w:t>
      </w:r>
      <w:hyperlink w:anchor="_ENREF_43" w:tooltip="Collier, 2009 #9490" w:history="1">
        <w:r w:rsidR="00964A70" w:rsidRPr="00370E70">
          <w:rPr>
            <w:noProof/>
            <w:color w:val="000000"/>
            <w:szCs w:val="22"/>
          </w:rPr>
          <w:t>Collier</w:t>
        </w:r>
        <w:r w:rsidR="00964A70" w:rsidRPr="00370E70">
          <w:rPr>
            <w:i/>
            <w:noProof/>
            <w:color w:val="000000"/>
            <w:szCs w:val="22"/>
          </w:rPr>
          <w:t>, et al.</w:t>
        </w:r>
        <w:r w:rsidR="00964A70" w:rsidRPr="00370E70">
          <w:rPr>
            <w:noProof/>
            <w:color w:val="000000"/>
            <w:szCs w:val="22"/>
          </w:rPr>
          <w:t xml:space="preserve"> 2009</w:t>
        </w:r>
      </w:hyperlink>
      <w:r w:rsidRPr="00370E70">
        <w:rPr>
          <w:color w:val="000000"/>
          <w:szCs w:val="22"/>
        </w:rPr>
        <w:fldChar w:fldCharType="end"/>
      </w:r>
      <w:r w:rsidRPr="00370E70">
        <w:rPr>
          <w:color w:val="000000"/>
          <w:szCs w:val="22"/>
        </w:rPr>
        <w:t xml:space="preserve">) they can be used as an indicator of the light that the plant is receiving relative to nitrogen availability or N surplus to light. With light limitation, seagrass plants are unable to build structure, hence the proportion of carbon in the leaves decreases relative to nitrogen. Experiments on seagrasses in Queensland have reported that </w:t>
      </w:r>
      <w:r w:rsidR="006D1394" w:rsidRPr="00370E70">
        <w:rPr>
          <w:color w:val="000000"/>
          <w:szCs w:val="22"/>
        </w:rPr>
        <w:t>a</w:t>
      </w:r>
      <w:r w:rsidRPr="00370E70">
        <w:rPr>
          <w:color w:val="000000"/>
          <w:szCs w:val="22"/>
        </w:rPr>
        <w:t xml:space="preserve"> C:N ratio of less than 20, may suggest reduced light availability relative to nitrogen availability (</w:t>
      </w:r>
      <w:hyperlink w:anchor="_ENREF_3" w:tooltip="Abal, 1994 #7405" w:history="1">
        <w:r w:rsidR="00964A70" w:rsidRPr="00370E70">
          <w:rPr>
            <w:color w:val="000000"/>
            <w:szCs w:val="22"/>
          </w:rPr>
          <w:fldChar w:fldCharType="begin"/>
        </w:r>
        <w:r w:rsidR="00964A70" w:rsidRPr="00370E70">
          <w:rPr>
            <w:color w:val="000000"/>
            <w:szCs w:val="22"/>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964A70" w:rsidRPr="00370E70">
          <w:rPr>
            <w:color w:val="000000"/>
            <w:szCs w:val="22"/>
          </w:rPr>
          <w:fldChar w:fldCharType="separate"/>
        </w:r>
        <w:r w:rsidR="00964A70" w:rsidRPr="00370E70">
          <w:rPr>
            <w:noProof/>
            <w:color w:val="000000"/>
            <w:szCs w:val="22"/>
          </w:rPr>
          <w:t>Abal</w:t>
        </w:r>
        <w:r w:rsidR="00964A70" w:rsidRPr="00370E70">
          <w:rPr>
            <w:i/>
            <w:noProof/>
            <w:color w:val="000000"/>
            <w:szCs w:val="22"/>
          </w:rPr>
          <w:t>, et al.</w:t>
        </w:r>
        <w:r w:rsidR="00964A70" w:rsidRPr="00370E70">
          <w:rPr>
            <w:noProof/>
            <w:color w:val="000000"/>
            <w:szCs w:val="22"/>
          </w:rPr>
          <w:t xml:space="preserve"> 1994</w:t>
        </w:r>
        <w:r w:rsidR="00964A70" w:rsidRPr="00370E70">
          <w:rPr>
            <w:color w:val="000000"/>
            <w:szCs w:val="22"/>
          </w:rPr>
          <w:fldChar w:fldCharType="end"/>
        </w:r>
      </w:hyperlink>
      <w:r w:rsidRPr="00370E70">
        <w:rPr>
          <w:color w:val="000000"/>
          <w:szCs w:val="22"/>
        </w:rPr>
        <w:t xml:space="preserve">; </w:t>
      </w:r>
      <w:hyperlink w:anchor="_ENREF_101" w:tooltip="Grice, 1996 #1346" w:history="1">
        <w:r w:rsidRPr="00370E70">
          <w:rPr>
            <w:noProof/>
            <w:color w:val="000000"/>
            <w:szCs w:val="22"/>
          </w:rPr>
          <w:t>AM Grice</w:t>
        </w:r>
        <w:r w:rsidRPr="00370E70">
          <w:rPr>
            <w:i/>
            <w:noProof/>
            <w:color w:val="000000"/>
            <w:szCs w:val="22"/>
          </w:rPr>
          <w:t>, et al.</w:t>
        </w:r>
        <w:r w:rsidRPr="00370E70">
          <w:rPr>
            <w:noProof/>
            <w:color w:val="000000"/>
            <w:szCs w:val="22"/>
          </w:rPr>
          <w:t>, 1996</w:t>
        </w:r>
      </w:hyperlink>
      <w:r w:rsidRPr="00370E70">
        <w:rPr>
          <w:noProof/>
          <w:color w:val="000000"/>
          <w:szCs w:val="22"/>
        </w:rPr>
        <w:t>;</w:t>
      </w:r>
      <w:r w:rsidRPr="00370E70">
        <w:rPr>
          <w:color w:val="000000"/>
          <w:szCs w:val="22"/>
        </w:rPr>
        <w:t>). The light availability to seagrass is not necessarily an indicator of light in the water column, but an indicator of the light that the plant is receiving as available light can be highly impacted by epiphytic growth or sediment smothering photosynthetic leaf tissue. However, C:N must be interpreted with caution as the level of N can also influence the ratio in oligotrophic environments (</w:t>
      </w:r>
      <w:r w:rsidRPr="00370E70">
        <w:rPr>
          <w:color w:val="000000"/>
          <w:szCs w:val="22"/>
        </w:rPr>
        <w:fldChar w:fldCharType="begin"/>
      </w:r>
      <w:r w:rsidR="00494624" w:rsidRPr="00370E70">
        <w:rPr>
          <w:color w:val="000000"/>
          <w:szCs w:val="22"/>
        </w:rPr>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Pr="00370E70">
        <w:rPr>
          <w:color w:val="000000"/>
          <w:szCs w:val="22"/>
        </w:rPr>
        <w:fldChar w:fldCharType="separate"/>
      </w:r>
      <w:hyperlink w:anchor="_ENREF_9" w:tooltip="Atkinson, 1983 #6292" w:history="1">
        <w:r w:rsidR="00964A70" w:rsidRPr="00370E70">
          <w:rPr>
            <w:noProof/>
            <w:color w:val="000000"/>
            <w:szCs w:val="22"/>
          </w:rPr>
          <w:t>Atkinson and Smith 1983</w:t>
        </w:r>
      </w:hyperlink>
      <w:r w:rsidR="00494624" w:rsidRPr="00370E70">
        <w:rPr>
          <w:noProof/>
          <w:color w:val="000000"/>
          <w:szCs w:val="22"/>
        </w:rPr>
        <w:t xml:space="preserve">; </w:t>
      </w:r>
      <w:hyperlink w:anchor="_ENREF_80" w:tooltip="Fourqurean, 1992 #9493" w:history="1">
        <w:r w:rsidR="00964A70" w:rsidRPr="00370E70">
          <w:rPr>
            <w:noProof/>
            <w:color w:val="000000"/>
            <w:szCs w:val="22"/>
          </w:rPr>
          <w:t>Fourqurean</w:t>
        </w:r>
        <w:r w:rsidR="00964A70" w:rsidRPr="00370E70">
          <w:rPr>
            <w:i/>
            <w:noProof/>
            <w:color w:val="000000"/>
            <w:szCs w:val="22"/>
          </w:rPr>
          <w:t>, et al.</w:t>
        </w:r>
        <w:r w:rsidR="00964A70" w:rsidRPr="00370E70">
          <w:rPr>
            <w:noProof/>
            <w:color w:val="000000"/>
            <w:szCs w:val="22"/>
          </w:rPr>
          <w:t xml:space="preserve"> 1992b</w:t>
        </w:r>
      </w:hyperlink>
      <w:r w:rsidRPr="00370E70">
        <w:rPr>
          <w:color w:val="000000"/>
          <w:szCs w:val="22"/>
        </w:rPr>
        <w:fldChar w:fldCharType="end"/>
      </w:r>
      <w:r w:rsidRPr="00370E70">
        <w:rPr>
          <w:color w:val="000000"/>
          <w:szCs w:val="22"/>
        </w:rPr>
        <w:t>).</w:t>
      </w:r>
    </w:p>
    <w:p w:rsidR="00EE0164" w:rsidRPr="00370E70" w:rsidRDefault="00EE0164" w:rsidP="00EE0164">
      <w:pPr>
        <w:pStyle w:val="NormalWeb"/>
        <w:rPr>
          <w:color w:val="000000"/>
          <w:szCs w:val="22"/>
        </w:rPr>
      </w:pPr>
      <w:r w:rsidRPr="00370E70">
        <w:rPr>
          <w:color w:val="000000"/>
          <w:szCs w:val="22"/>
        </w:rPr>
        <w:t xml:space="preserve">Support for choosing the elemental C:N ratio as the indicator also comes from preliminary analysis of MMP data in 2009 which found that the C:N ratio was the only nutrient ratio that showed a </w:t>
      </w:r>
      <w:r w:rsidRPr="00370E70">
        <w:rPr>
          <w:color w:val="000000"/>
          <w:szCs w:val="22"/>
        </w:rPr>
        <w:lastRenderedPageBreak/>
        <w:t>significant relationship (positive) with seagrass cover at coastal and estuarine sites. Seagrass tissue C:N ratios explained 58% of the variance of the inter-site seagrass cover data (</w:t>
      </w:r>
      <w:hyperlink w:anchor="_ENREF_139" w:tooltip="McKenzie, 2009 #9494"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964A70" w:rsidRPr="00370E70">
          <w:rPr>
            <w:color w:val="000000"/>
            <w:szCs w:val="22"/>
          </w:rPr>
          <w:fldChar w:fldCharType="separate"/>
        </w:r>
        <w:r w:rsidR="00964A70" w:rsidRPr="00370E70">
          <w:rPr>
            <w:noProof/>
            <w:color w:val="000000"/>
            <w:szCs w:val="22"/>
          </w:rPr>
          <w:t>McKenzie and Unsworth 2009</w:t>
        </w:r>
        <w:r w:rsidR="00964A70" w:rsidRPr="00370E70">
          <w:rPr>
            <w:color w:val="000000"/>
            <w:szCs w:val="22"/>
          </w:rPr>
          <w:fldChar w:fldCharType="end"/>
        </w:r>
      </w:hyperlink>
      <w:r w:rsidRPr="00370E70">
        <w:rPr>
          <w:color w:val="000000"/>
          <w:szCs w:val="22"/>
        </w:rPr>
        <w:t>).</w:t>
      </w:r>
    </w:p>
    <w:p w:rsidR="00EE0164" w:rsidRPr="00370E70" w:rsidRDefault="00EE0164" w:rsidP="00EE0164">
      <w:pPr>
        <w:spacing w:before="240"/>
        <w:rPr>
          <w:color w:val="000000"/>
          <w:szCs w:val="22"/>
        </w:rPr>
      </w:pPr>
      <w:r w:rsidRPr="00370E70">
        <w:rPr>
          <w:color w:val="000000"/>
          <w:szCs w:val="22"/>
        </w:rPr>
        <w:t>Using the guideline ratio of 20:1 for the foundation seagrass species, C:N ratios were categorised on their departure from the guideline and transformed to a 0 to 100 score using equation 1:</w:t>
      </w:r>
    </w:p>
    <w:p w:rsidR="00EE0164" w:rsidRPr="00370E70" w:rsidRDefault="00EE0164" w:rsidP="00EE0164">
      <w:pPr>
        <w:tabs>
          <w:tab w:val="left" w:pos="2835"/>
        </w:tabs>
        <w:spacing w:before="240"/>
        <w:ind w:left="1134"/>
        <w:rPr>
          <w:color w:val="000000"/>
        </w:rPr>
      </w:pPr>
      <w:proofErr w:type="gramStart"/>
      <w:r w:rsidRPr="00370E70">
        <w:rPr>
          <w:color w:val="000000"/>
          <w:szCs w:val="22"/>
        </w:rPr>
        <w:t>equation</w:t>
      </w:r>
      <w:proofErr w:type="gramEnd"/>
      <w:r w:rsidRPr="00370E70">
        <w:rPr>
          <w:color w:val="000000"/>
          <w:szCs w:val="22"/>
        </w:rPr>
        <w:t xml:space="preserve"> 1</w:t>
      </w:r>
      <w:r w:rsidRPr="00370E70">
        <w:rPr>
          <w:color w:val="000000"/>
        </w:rPr>
        <w:tab/>
      </w:r>
      <w:r w:rsidR="00787547" w:rsidRPr="00370E70">
        <w:rPr>
          <w:position w:val="-10"/>
        </w:rPr>
        <w:object w:dxaOrig="1719" w:dyaOrig="360">
          <v:shape id="_x0000_i1027" type="#_x0000_t75" alt="formula" style="width:86.2pt;height:18.25pt" o:ole="">
            <v:imagedata r:id="rId37" o:title=""/>
          </v:shape>
          <o:OLEObject Type="Embed" ProgID="Equation.3" ShapeID="_x0000_i1027" DrawAspect="Content" ObjectID="_1458997675" r:id="rId38"/>
        </w:object>
      </w:r>
    </w:p>
    <w:p w:rsidR="00EE0164" w:rsidRPr="00370E70" w:rsidRDefault="00EE0164" w:rsidP="00EE0164">
      <w:pPr>
        <w:tabs>
          <w:tab w:val="left" w:pos="2835"/>
        </w:tabs>
        <w:spacing w:before="0" w:after="0"/>
        <w:rPr>
          <w:i/>
          <w:color w:val="000000"/>
          <w:sz w:val="18"/>
          <w:szCs w:val="18"/>
        </w:rPr>
      </w:pPr>
      <w:r w:rsidRPr="00370E70">
        <w:rPr>
          <w:i/>
          <w:color w:val="000000"/>
          <w:sz w:val="18"/>
          <w:szCs w:val="18"/>
        </w:rPr>
        <w:tab/>
        <w:t>NB</w:t>
      </w:r>
      <w:r w:rsidR="008833FC" w:rsidRPr="00370E70">
        <w:rPr>
          <w:i/>
          <w:color w:val="000000"/>
          <w:sz w:val="18"/>
          <w:szCs w:val="18"/>
        </w:rPr>
        <w:t xml:space="preserve">: C:N ratios &gt;35 </w:t>
      </w:r>
      <w:r w:rsidRPr="00370E70">
        <w:rPr>
          <w:i/>
          <w:color w:val="000000"/>
          <w:sz w:val="18"/>
          <w:szCs w:val="18"/>
        </w:rPr>
        <w:t>scored as 100, C:N ratios &lt;10  scored as 0</w:t>
      </w:r>
    </w:p>
    <w:p w:rsidR="00EE0164" w:rsidRPr="00370E70" w:rsidRDefault="00EE0164" w:rsidP="00EE0164">
      <w:pPr>
        <w:spacing w:before="240"/>
        <w:rPr>
          <w:color w:val="000000"/>
          <w:szCs w:val="22"/>
        </w:rPr>
      </w:pPr>
      <w:r w:rsidRPr="00370E70">
        <w:rPr>
          <w:color w:val="000000"/>
          <w:szCs w:val="22"/>
        </w:rPr>
        <w:t>The score was then used to represent the status to allow integration with other components of the report card (</w:t>
      </w:r>
      <w:r w:rsidRPr="00370E70">
        <w:fldChar w:fldCharType="begin"/>
      </w:r>
      <w:r w:rsidRPr="00370E70">
        <w:instrText xml:space="preserve"> REF _Ref273446285 \h  \* MERGEFORMAT </w:instrText>
      </w:r>
      <w:r w:rsidRPr="00370E70">
        <w:fldChar w:fldCharType="separate"/>
      </w:r>
      <w:r w:rsidR="005B5FD6" w:rsidRPr="005B5FD6">
        <w:rPr>
          <w:szCs w:val="22"/>
        </w:rPr>
        <w:t xml:space="preserve">Table </w:t>
      </w:r>
      <w:r w:rsidR="005B5FD6">
        <w:rPr>
          <w:noProof/>
          <w:color w:val="000000"/>
          <w:szCs w:val="22"/>
        </w:rPr>
        <w:t>10</w:t>
      </w:r>
      <w:r w:rsidRPr="00370E70">
        <w:fldChar w:fldCharType="end"/>
      </w:r>
      <w:r w:rsidRPr="00370E70">
        <w:rPr>
          <w:color w:val="000000"/>
          <w:szCs w:val="22"/>
        </w:rPr>
        <w:t>).</w:t>
      </w:r>
    </w:p>
    <w:p w:rsidR="00EE0164" w:rsidRPr="00370E70" w:rsidRDefault="00EE0164" w:rsidP="00EE0164">
      <w:pPr>
        <w:pStyle w:val="Caption"/>
        <w:jc w:val="center"/>
        <w:rPr>
          <w:rFonts w:cs="Arial"/>
          <w:i/>
          <w:color w:val="000000"/>
          <w:szCs w:val="22"/>
          <w:lang w:val="en-AU"/>
        </w:rPr>
      </w:pPr>
      <w:bookmarkStart w:id="119" w:name="_Ref273446285"/>
      <w:bookmarkStart w:id="120" w:name="_Toc382217396"/>
      <w:bookmarkStart w:id="121" w:name="_Toc384196546"/>
      <w:r w:rsidRPr="00370E70">
        <w:rPr>
          <w:rStyle w:val="StyleCaptionCaptionCharCharLatinCalibri11ptBlackChar"/>
          <w:lang w:val="en-AU"/>
        </w:rPr>
        <w:t xml:space="preserve">Table </w:t>
      </w:r>
      <w:r w:rsidRPr="00370E70">
        <w:rPr>
          <w:color w:val="000000"/>
          <w:szCs w:val="22"/>
          <w:lang w:val="en-AU"/>
        </w:rPr>
        <w:fldChar w:fldCharType="begin"/>
      </w:r>
      <w:r w:rsidRPr="00370E70">
        <w:rPr>
          <w:color w:val="000000"/>
          <w:szCs w:val="22"/>
          <w:lang w:val="en-AU"/>
        </w:rPr>
        <w:instrText xml:space="preserve"> SEQ Table \* ARABIC </w:instrText>
      </w:r>
      <w:r w:rsidRPr="00370E70">
        <w:rPr>
          <w:color w:val="000000"/>
          <w:szCs w:val="22"/>
          <w:lang w:val="en-AU"/>
        </w:rPr>
        <w:fldChar w:fldCharType="separate"/>
      </w:r>
      <w:r w:rsidR="005B5FD6">
        <w:rPr>
          <w:noProof/>
          <w:color w:val="000000"/>
          <w:szCs w:val="22"/>
          <w:lang w:val="en-AU"/>
        </w:rPr>
        <w:t>10</w:t>
      </w:r>
      <w:r w:rsidRPr="00370E70">
        <w:rPr>
          <w:color w:val="000000"/>
          <w:szCs w:val="22"/>
          <w:lang w:val="en-AU"/>
        </w:rPr>
        <w:fldChar w:fldCharType="end"/>
      </w:r>
      <w:bookmarkEnd w:id="119"/>
      <w:r w:rsidRPr="00370E70">
        <w:rPr>
          <w:rStyle w:val="StyleCaptionCaptionCharCharLatinCalibri11ptBlackChar"/>
          <w:lang w:val="en-AU"/>
        </w:rPr>
        <w:t xml:space="preserve">. </w:t>
      </w:r>
      <w:r w:rsidRPr="00370E70">
        <w:rPr>
          <w:rFonts w:cs="Arial"/>
          <w:i/>
          <w:color w:val="000000"/>
          <w:szCs w:val="22"/>
          <w:lang w:val="en-AU"/>
        </w:rPr>
        <w:t>Scores for leaf tissue C:N against guideline to determine light and nutrient availability.</w:t>
      </w:r>
      <w:bookmarkEnd w:id="120"/>
      <w:bookmarkEnd w:id="121"/>
    </w:p>
    <w:tbl>
      <w:tblPr>
        <w:tblW w:w="7066" w:type="dxa"/>
        <w:jc w:val="center"/>
        <w:tblInd w:w="-301" w:type="dxa"/>
        <w:tblLook w:val="0000" w:firstRow="0" w:lastRow="0" w:firstColumn="0" w:lastColumn="0" w:noHBand="0" w:noVBand="0"/>
      </w:tblPr>
      <w:tblGrid>
        <w:gridCol w:w="1543"/>
        <w:gridCol w:w="2127"/>
        <w:gridCol w:w="916"/>
        <w:gridCol w:w="1382"/>
        <w:gridCol w:w="1098"/>
      </w:tblGrid>
      <w:tr w:rsidR="00EE0164" w:rsidRPr="00370E70" w:rsidTr="00C8481C">
        <w:trPr>
          <w:trHeight w:val="290"/>
          <w:jc w:val="center"/>
        </w:trPr>
        <w:tc>
          <w:tcPr>
            <w:tcW w:w="1543" w:type="dxa"/>
            <w:tcBorders>
              <w:top w:val="single" w:sz="4" w:space="0" w:color="auto"/>
              <w:left w:val="nil"/>
              <w:bottom w:val="single" w:sz="4" w:space="0" w:color="auto"/>
              <w:right w:val="nil"/>
            </w:tcBorders>
            <w:vAlign w:val="center"/>
          </w:tcPr>
          <w:p w:rsidR="00EE0164" w:rsidRPr="00370E70" w:rsidRDefault="00EE0164" w:rsidP="00C8481C">
            <w:pPr>
              <w:spacing w:before="0" w:after="0"/>
              <w:jc w:val="center"/>
              <w:rPr>
                <w:b/>
                <w:color w:val="000000"/>
              </w:rPr>
            </w:pPr>
            <w:r w:rsidRPr="00370E70">
              <w:rPr>
                <w:b/>
                <w:color w:val="000000"/>
                <w:szCs w:val="22"/>
              </w:rPr>
              <w:t>description</w:t>
            </w:r>
          </w:p>
        </w:tc>
        <w:tc>
          <w:tcPr>
            <w:tcW w:w="2127" w:type="dxa"/>
            <w:tcBorders>
              <w:top w:val="single" w:sz="4" w:space="0" w:color="auto"/>
              <w:left w:val="nil"/>
              <w:bottom w:val="single" w:sz="4" w:space="0" w:color="auto"/>
              <w:right w:val="nil"/>
            </w:tcBorders>
            <w:noWrap/>
            <w:vAlign w:val="center"/>
          </w:tcPr>
          <w:p w:rsidR="00EE0164" w:rsidRPr="00370E70" w:rsidRDefault="00EE0164" w:rsidP="00C8481C">
            <w:pPr>
              <w:spacing w:before="0" w:after="0"/>
              <w:jc w:val="center"/>
              <w:rPr>
                <w:b/>
                <w:color w:val="000000"/>
              </w:rPr>
            </w:pPr>
            <w:r w:rsidRPr="00370E70">
              <w:rPr>
                <w:b/>
                <w:color w:val="000000"/>
                <w:szCs w:val="22"/>
              </w:rPr>
              <w:t>C:N ratio range</w:t>
            </w:r>
          </w:p>
        </w:tc>
        <w:tc>
          <w:tcPr>
            <w:tcW w:w="916" w:type="dxa"/>
            <w:tcBorders>
              <w:top w:val="single" w:sz="4" w:space="0" w:color="auto"/>
              <w:left w:val="nil"/>
              <w:bottom w:val="single" w:sz="4" w:space="0" w:color="auto"/>
              <w:right w:val="nil"/>
            </w:tcBorders>
            <w:noWrap/>
            <w:vAlign w:val="center"/>
          </w:tcPr>
          <w:p w:rsidR="00EE0164" w:rsidRPr="00370E70" w:rsidRDefault="00EE0164" w:rsidP="00C8481C">
            <w:pPr>
              <w:spacing w:before="0" w:after="0"/>
              <w:jc w:val="center"/>
              <w:rPr>
                <w:b/>
                <w:color w:val="000000"/>
              </w:rPr>
            </w:pPr>
            <w:r w:rsidRPr="00370E70">
              <w:rPr>
                <w:b/>
                <w:color w:val="000000"/>
                <w:szCs w:val="22"/>
              </w:rPr>
              <w:t>value</w:t>
            </w:r>
          </w:p>
        </w:tc>
        <w:tc>
          <w:tcPr>
            <w:tcW w:w="1382" w:type="dxa"/>
            <w:tcBorders>
              <w:top w:val="single" w:sz="4" w:space="0" w:color="auto"/>
              <w:left w:val="nil"/>
              <w:bottom w:val="single" w:sz="4" w:space="0" w:color="auto"/>
              <w:right w:val="nil"/>
            </w:tcBorders>
            <w:noWrap/>
            <w:vAlign w:val="center"/>
          </w:tcPr>
          <w:p w:rsidR="00EE0164" w:rsidRPr="00370E70" w:rsidRDefault="00EE0164" w:rsidP="00C8481C">
            <w:pPr>
              <w:spacing w:before="0" w:after="0"/>
              <w:jc w:val="center"/>
              <w:rPr>
                <w:b/>
                <w:color w:val="000000"/>
              </w:rPr>
            </w:pPr>
            <w:r w:rsidRPr="00370E70">
              <w:rPr>
                <w:b/>
                <w:color w:val="000000"/>
                <w:szCs w:val="22"/>
              </w:rPr>
              <w:t xml:space="preserve">Score </w:t>
            </w:r>
            <w:r w:rsidRPr="00370E70">
              <w:rPr>
                <w:color w:val="000000"/>
                <w:szCs w:val="22"/>
              </w:rPr>
              <w:t>(</w:t>
            </w:r>
            <w:bookmarkStart w:id="122" w:name="_GoBack"/>
            <w:bookmarkEnd w:id="122"/>
            <w:r w:rsidR="009A14B8" w:rsidRPr="00370E70">
              <w:rPr>
                <w:position w:val="-10"/>
              </w:rPr>
              <w:object w:dxaOrig="300" w:dyaOrig="380">
                <v:shape id="_x0000_i1030" type="#_x0000_t75" style="width:15.2pt;height:19.25pt" o:ole="">
                  <v:imagedata r:id="rId39" o:title=""/>
                </v:shape>
                <o:OLEObject Type="Embed" ProgID="Equation.3" ShapeID="_x0000_i1030" DrawAspect="Content" ObjectID="_1458997676" r:id="rId40"/>
              </w:object>
            </w:r>
            <w:r w:rsidRPr="00370E70">
              <w:t>)</w:t>
            </w:r>
          </w:p>
        </w:tc>
        <w:tc>
          <w:tcPr>
            <w:tcW w:w="1098" w:type="dxa"/>
            <w:tcBorders>
              <w:top w:val="single" w:sz="4" w:space="0" w:color="auto"/>
              <w:left w:val="nil"/>
              <w:bottom w:val="single" w:sz="4" w:space="0" w:color="auto"/>
              <w:right w:val="nil"/>
            </w:tcBorders>
            <w:noWrap/>
            <w:vAlign w:val="center"/>
          </w:tcPr>
          <w:p w:rsidR="00EE0164" w:rsidRPr="00370E70" w:rsidRDefault="00EE0164" w:rsidP="00C8481C">
            <w:pPr>
              <w:spacing w:before="0" w:after="0"/>
              <w:jc w:val="center"/>
              <w:rPr>
                <w:b/>
                <w:color w:val="000000"/>
              </w:rPr>
            </w:pPr>
            <w:r w:rsidRPr="00370E70">
              <w:rPr>
                <w:b/>
                <w:color w:val="000000"/>
                <w:szCs w:val="22"/>
              </w:rPr>
              <w:t>status</w:t>
            </w:r>
          </w:p>
        </w:tc>
      </w:tr>
      <w:tr w:rsidR="00EE0164" w:rsidRPr="00370E70" w:rsidTr="00C8481C">
        <w:trPr>
          <w:trHeight w:val="290"/>
          <w:jc w:val="center"/>
        </w:trPr>
        <w:tc>
          <w:tcPr>
            <w:tcW w:w="1543" w:type="dxa"/>
            <w:tcBorders>
              <w:top w:val="nil"/>
              <w:left w:val="nil"/>
              <w:bottom w:val="nil"/>
              <w:right w:val="nil"/>
            </w:tcBorders>
            <w:vAlign w:val="bottom"/>
          </w:tcPr>
          <w:p w:rsidR="00EE0164" w:rsidRPr="00370E70" w:rsidRDefault="00EE0164" w:rsidP="00C8481C">
            <w:pPr>
              <w:spacing w:before="0" w:after="0"/>
              <w:rPr>
                <w:color w:val="000000"/>
                <w:lang w:eastAsia="en-AU"/>
              </w:rPr>
            </w:pPr>
            <w:r w:rsidRPr="00370E70">
              <w:rPr>
                <w:color w:val="000000"/>
                <w:szCs w:val="22"/>
                <w:lang w:eastAsia="en-AU"/>
              </w:rPr>
              <w:t>very good</w:t>
            </w:r>
          </w:p>
        </w:tc>
        <w:tc>
          <w:tcPr>
            <w:tcW w:w="2127" w:type="dxa"/>
            <w:tcBorders>
              <w:top w:val="nil"/>
              <w:left w:val="nil"/>
              <w:bottom w:val="nil"/>
              <w:right w:val="nil"/>
            </w:tcBorders>
            <w:noWrap/>
            <w:vAlign w:val="bottom"/>
          </w:tcPr>
          <w:p w:rsidR="00EE0164" w:rsidRPr="00370E70" w:rsidRDefault="00EE0164" w:rsidP="00C8481C">
            <w:pPr>
              <w:spacing w:before="0" w:after="0"/>
              <w:rPr>
                <w:color w:val="000000"/>
              </w:rPr>
            </w:pPr>
            <w:bookmarkStart w:id="123" w:name="_Hlk304381412"/>
            <w:r w:rsidRPr="00370E70">
              <w:rPr>
                <w:color w:val="000000"/>
                <w:szCs w:val="22"/>
              </w:rPr>
              <w:t>C:N ratio &gt;30*</w:t>
            </w:r>
          </w:p>
        </w:tc>
        <w:tc>
          <w:tcPr>
            <w:tcW w:w="916"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30</w:t>
            </w:r>
          </w:p>
        </w:tc>
        <w:tc>
          <w:tcPr>
            <w:tcW w:w="1382"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100</w:t>
            </w:r>
          </w:p>
        </w:tc>
        <w:tc>
          <w:tcPr>
            <w:tcW w:w="1098" w:type="dxa"/>
            <w:tcBorders>
              <w:top w:val="nil"/>
              <w:left w:val="nil"/>
              <w:bottom w:val="nil"/>
              <w:right w:val="nil"/>
            </w:tcBorders>
            <w:shd w:val="clear" w:color="auto" w:fill="008000"/>
            <w:noWrap/>
            <w:vAlign w:val="bottom"/>
          </w:tcPr>
          <w:p w:rsidR="00EE0164" w:rsidRPr="00370E70" w:rsidRDefault="00EE0164" w:rsidP="00C8481C">
            <w:pPr>
              <w:spacing w:before="0" w:after="0"/>
              <w:jc w:val="center"/>
              <w:rPr>
                <w:color w:val="000000"/>
                <w:lang w:eastAsia="en-AU"/>
              </w:rPr>
            </w:pPr>
            <w:r w:rsidRPr="00370E70">
              <w:rPr>
                <w:color w:val="000000"/>
                <w:szCs w:val="22"/>
                <w:lang w:eastAsia="en-AU"/>
              </w:rPr>
              <w:t>80 - 100</w:t>
            </w:r>
          </w:p>
        </w:tc>
      </w:tr>
      <w:tr w:rsidR="00EE0164" w:rsidRPr="00370E70" w:rsidTr="00C8481C">
        <w:trPr>
          <w:trHeight w:val="290"/>
          <w:jc w:val="center"/>
        </w:trPr>
        <w:tc>
          <w:tcPr>
            <w:tcW w:w="1543" w:type="dxa"/>
            <w:tcBorders>
              <w:top w:val="nil"/>
              <w:left w:val="nil"/>
              <w:bottom w:val="nil"/>
              <w:right w:val="nil"/>
            </w:tcBorders>
            <w:vAlign w:val="bottom"/>
          </w:tcPr>
          <w:p w:rsidR="00EE0164" w:rsidRPr="00370E70" w:rsidRDefault="00EE0164" w:rsidP="00C8481C">
            <w:pPr>
              <w:spacing w:before="0" w:after="0"/>
              <w:rPr>
                <w:color w:val="000000"/>
                <w:lang w:eastAsia="en-AU"/>
              </w:rPr>
            </w:pPr>
            <w:r w:rsidRPr="00370E70">
              <w:rPr>
                <w:color w:val="000000"/>
                <w:szCs w:val="22"/>
                <w:lang w:eastAsia="en-AU"/>
              </w:rPr>
              <w:t>good</w:t>
            </w:r>
          </w:p>
        </w:tc>
        <w:tc>
          <w:tcPr>
            <w:tcW w:w="2127" w:type="dxa"/>
            <w:tcBorders>
              <w:top w:val="nil"/>
              <w:left w:val="nil"/>
              <w:bottom w:val="nil"/>
              <w:right w:val="nil"/>
            </w:tcBorders>
            <w:noWrap/>
            <w:vAlign w:val="bottom"/>
          </w:tcPr>
          <w:p w:rsidR="00EE0164" w:rsidRPr="00370E70" w:rsidRDefault="00EE0164" w:rsidP="00C8481C">
            <w:pPr>
              <w:spacing w:before="0" w:after="0"/>
              <w:rPr>
                <w:color w:val="000000"/>
              </w:rPr>
            </w:pPr>
            <w:r w:rsidRPr="00370E70">
              <w:rPr>
                <w:color w:val="000000"/>
                <w:szCs w:val="22"/>
              </w:rPr>
              <w:t>C:N ratio 25-30</w:t>
            </w:r>
          </w:p>
        </w:tc>
        <w:tc>
          <w:tcPr>
            <w:tcW w:w="916"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25</w:t>
            </w:r>
          </w:p>
        </w:tc>
        <w:tc>
          <w:tcPr>
            <w:tcW w:w="1382"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75</w:t>
            </w:r>
          </w:p>
        </w:tc>
        <w:tc>
          <w:tcPr>
            <w:tcW w:w="1098" w:type="dxa"/>
            <w:tcBorders>
              <w:top w:val="nil"/>
              <w:left w:val="nil"/>
              <w:bottom w:val="nil"/>
              <w:right w:val="nil"/>
            </w:tcBorders>
            <w:shd w:val="clear" w:color="auto" w:fill="92D050"/>
            <w:noWrap/>
            <w:vAlign w:val="bottom"/>
          </w:tcPr>
          <w:p w:rsidR="00EE0164" w:rsidRPr="00370E70" w:rsidRDefault="00EE0164" w:rsidP="00C8481C">
            <w:pPr>
              <w:spacing w:before="0" w:after="0"/>
              <w:jc w:val="center"/>
              <w:rPr>
                <w:color w:val="000000"/>
                <w:lang w:eastAsia="en-AU"/>
              </w:rPr>
            </w:pPr>
            <w:r w:rsidRPr="00370E70">
              <w:rPr>
                <w:color w:val="000000"/>
                <w:szCs w:val="22"/>
                <w:lang w:eastAsia="en-AU"/>
              </w:rPr>
              <w:t>60 - &lt;80</w:t>
            </w:r>
          </w:p>
        </w:tc>
      </w:tr>
      <w:tr w:rsidR="00EE0164" w:rsidRPr="00370E70" w:rsidTr="00C8481C">
        <w:trPr>
          <w:trHeight w:val="300"/>
          <w:jc w:val="center"/>
        </w:trPr>
        <w:tc>
          <w:tcPr>
            <w:tcW w:w="1543" w:type="dxa"/>
            <w:tcBorders>
              <w:top w:val="nil"/>
              <w:left w:val="nil"/>
              <w:bottom w:val="nil"/>
              <w:right w:val="nil"/>
            </w:tcBorders>
            <w:vAlign w:val="bottom"/>
          </w:tcPr>
          <w:p w:rsidR="00EE0164" w:rsidRPr="00370E70" w:rsidRDefault="00EE0164" w:rsidP="00C8481C">
            <w:pPr>
              <w:spacing w:before="0" w:after="0"/>
              <w:rPr>
                <w:color w:val="000000"/>
                <w:lang w:eastAsia="en-AU"/>
              </w:rPr>
            </w:pPr>
            <w:r w:rsidRPr="00370E70">
              <w:rPr>
                <w:color w:val="000000"/>
                <w:szCs w:val="22"/>
                <w:lang w:eastAsia="en-AU"/>
              </w:rPr>
              <w:t>moderate</w:t>
            </w:r>
          </w:p>
        </w:tc>
        <w:tc>
          <w:tcPr>
            <w:tcW w:w="2127" w:type="dxa"/>
            <w:tcBorders>
              <w:top w:val="nil"/>
              <w:left w:val="nil"/>
              <w:bottom w:val="nil"/>
              <w:right w:val="nil"/>
            </w:tcBorders>
            <w:noWrap/>
            <w:vAlign w:val="bottom"/>
          </w:tcPr>
          <w:p w:rsidR="00EE0164" w:rsidRPr="00370E70" w:rsidRDefault="00EE0164" w:rsidP="00C8481C">
            <w:pPr>
              <w:spacing w:before="0" w:after="0"/>
              <w:rPr>
                <w:color w:val="000000"/>
              </w:rPr>
            </w:pPr>
            <w:r w:rsidRPr="00370E70">
              <w:rPr>
                <w:color w:val="000000"/>
                <w:szCs w:val="22"/>
              </w:rPr>
              <w:t xml:space="preserve">C:N ratio 20-25 </w:t>
            </w:r>
          </w:p>
        </w:tc>
        <w:tc>
          <w:tcPr>
            <w:tcW w:w="916"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20</w:t>
            </w:r>
          </w:p>
        </w:tc>
        <w:tc>
          <w:tcPr>
            <w:tcW w:w="1382" w:type="dxa"/>
            <w:tcBorders>
              <w:top w:val="nil"/>
              <w:left w:val="nil"/>
              <w:bottom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50</w:t>
            </w:r>
          </w:p>
        </w:tc>
        <w:tc>
          <w:tcPr>
            <w:tcW w:w="1098" w:type="dxa"/>
            <w:tcBorders>
              <w:top w:val="nil"/>
              <w:left w:val="nil"/>
              <w:bottom w:val="nil"/>
              <w:right w:val="nil"/>
            </w:tcBorders>
            <w:shd w:val="clear" w:color="auto" w:fill="FFFF00"/>
            <w:noWrap/>
            <w:vAlign w:val="bottom"/>
          </w:tcPr>
          <w:p w:rsidR="00EE0164" w:rsidRPr="00370E70" w:rsidRDefault="00EE0164" w:rsidP="00C8481C">
            <w:pPr>
              <w:spacing w:before="0" w:after="0"/>
              <w:jc w:val="center"/>
              <w:rPr>
                <w:color w:val="000000"/>
                <w:lang w:eastAsia="en-AU"/>
              </w:rPr>
            </w:pPr>
            <w:r w:rsidRPr="00370E70">
              <w:rPr>
                <w:color w:val="000000"/>
                <w:szCs w:val="22"/>
                <w:lang w:eastAsia="en-AU"/>
              </w:rPr>
              <w:t>40 - &lt;60</w:t>
            </w:r>
          </w:p>
        </w:tc>
      </w:tr>
      <w:tr w:rsidR="00EE0164" w:rsidRPr="00370E70" w:rsidTr="00C8481C">
        <w:trPr>
          <w:trHeight w:val="290"/>
          <w:jc w:val="center"/>
        </w:trPr>
        <w:tc>
          <w:tcPr>
            <w:tcW w:w="1543" w:type="dxa"/>
            <w:tcBorders>
              <w:top w:val="nil"/>
              <w:left w:val="nil"/>
              <w:right w:val="nil"/>
            </w:tcBorders>
            <w:vAlign w:val="bottom"/>
          </w:tcPr>
          <w:p w:rsidR="00EE0164" w:rsidRPr="00370E70" w:rsidRDefault="00EE0164" w:rsidP="00C8481C">
            <w:pPr>
              <w:spacing w:before="0" w:after="0"/>
              <w:rPr>
                <w:color w:val="000000"/>
                <w:lang w:eastAsia="en-AU"/>
              </w:rPr>
            </w:pPr>
            <w:r w:rsidRPr="00370E70">
              <w:rPr>
                <w:color w:val="000000"/>
                <w:szCs w:val="22"/>
                <w:lang w:eastAsia="en-AU"/>
              </w:rPr>
              <w:t>poor</w:t>
            </w:r>
          </w:p>
        </w:tc>
        <w:tc>
          <w:tcPr>
            <w:tcW w:w="2127" w:type="dxa"/>
            <w:tcBorders>
              <w:top w:val="nil"/>
              <w:left w:val="nil"/>
              <w:right w:val="nil"/>
            </w:tcBorders>
            <w:noWrap/>
            <w:vAlign w:val="bottom"/>
          </w:tcPr>
          <w:p w:rsidR="00EE0164" w:rsidRPr="00370E70" w:rsidRDefault="00EE0164" w:rsidP="00C8481C">
            <w:pPr>
              <w:spacing w:before="0" w:after="0"/>
              <w:rPr>
                <w:color w:val="000000"/>
              </w:rPr>
            </w:pPr>
            <w:r w:rsidRPr="00370E70">
              <w:rPr>
                <w:color w:val="000000"/>
                <w:szCs w:val="22"/>
              </w:rPr>
              <w:t>C:N ratio 15-20</w:t>
            </w:r>
          </w:p>
        </w:tc>
        <w:tc>
          <w:tcPr>
            <w:tcW w:w="916" w:type="dxa"/>
            <w:tcBorders>
              <w:top w:val="nil"/>
              <w:left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15</w:t>
            </w:r>
          </w:p>
        </w:tc>
        <w:tc>
          <w:tcPr>
            <w:tcW w:w="1382" w:type="dxa"/>
            <w:tcBorders>
              <w:top w:val="nil"/>
              <w:left w:val="nil"/>
              <w:right w:val="nil"/>
            </w:tcBorders>
            <w:noWrap/>
            <w:vAlign w:val="bottom"/>
          </w:tcPr>
          <w:p w:rsidR="00EE0164" w:rsidRPr="00370E70" w:rsidRDefault="00EE0164" w:rsidP="00C8481C">
            <w:pPr>
              <w:spacing w:before="0" w:after="0"/>
              <w:jc w:val="center"/>
              <w:rPr>
                <w:color w:val="000000"/>
              </w:rPr>
            </w:pPr>
            <w:r w:rsidRPr="00370E70">
              <w:rPr>
                <w:color w:val="000000"/>
                <w:szCs w:val="22"/>
              </w:rPr>
              <w:t>25</w:t>
            </w:r>
          </w:p>
        </w:tc>
        <w:tc>
          <w:tcPr>
            <w:tcW w:w="1098" w:type="dxa"/>
            <w:tcBorders>
              <w:top w:val="nil"/>
              <w:left w:val="nil"/>
              <w:right w:val="nil"/>
            </w:tcBorders>
            <w:shd w:val="clear" w:color="auto" w:fill="FFC000"/>
            <w:noWrap/>
            <w:vAlign w:val="bottom"/>
          </w:tcPr>
          <w:p w:rsidR="00EE0164" w:rsidRPr="00370E70" w:rsidRDefault="00EE0164" w:rsidP="00C8481C">
            <w:pPr>
              <w:spacing w:before="0" w:after="0"/>
              <w:jc w:val="center"/>
              <w:rPr>
                <w:color w:val="000000"/>
                <w:lang w:eastAsia="en-AU"/>
              </w:rPr>
            </w:pPr>
            <w:r w:rsidRPr="00370E70">
              <w:rPr>
                <w:color w:val="000000"/>
                <w:szCs w:val="22"/>
                <w:lang w:eastAsia="en-AU"/>
              </w:rPr>
              <w:t>20 - &lt;40</w:t>
            </w:r>
          </w:p>
        </w:tc>
      </w:tr>
      <w:tr w:rsidR="00EE0164" w:rsidRPr="00370E70" w:rsidTr="00C8481C">
        <w:trPr>
          <w:trHeight w:val="290"/>
          <w:jc w:val="center"/>
        </w:trPr>
        <w:tc>
          <w:tcPr>
            <w:tcW w:w="1543" w:type="dxa"/>
            <w:tcBorders>
              <w:top w:val="nil"/>
              <w:left w:val="nil"/>
              <w:bottom w:val="single" w:sz="4" w:space="0" w:color="auto"/>
              <w:right w:val="nil"/>
            </w:tcBorders>
            <w:vAlign w:val="bottom"/>
          </w:tcPr>
          <w:p w:rsidR="00EE0164" w:rsidRPr="00370E70" w:rsidRDefault="00EE0164" w:rsidP="00C8481C">
            <w:pPr>
              <w:spacing w:before="0" w:after="0"/>
              <w:rPr>
                <w:color w:val="000000"/>
                <w:lang w:eastAsia="en-AU"/>
              </w:rPr>
            </w:pPr>
            <w:r w:rsidRPr="00370E70">
              <w:rPr>
                <w:color w:val="000000"/>
                <w:szCs w:val="22"/>
                <w:lang w:eastAsia="en-AU"/>
              </w:rPr>
              <w:t>very poor</w:t>
            </w:r>
          </w:p>
        </w:tc>
        <w:tc>
          <w:tcPr>
            <w:tcW w:w="2127" w:type="dxa"/>
            <w:tcBorders>
              <w:top w:val="nil"/>
              <w:left w:val="nil"/>
              <w:bottom w:val="single" w:sz="4" w:space="0" w:color="auto"/>
              <w:right w:val="nil"/>
            </w:tcBorders>
            <w:noWrap/>
            <w:vAlign w:val="bottom"/>
          </w:tcPr>
          <w:p w:rsidR="00EE0164" w:rsidRPr="00370E70" w:rsidRDefault="00EE0164" w:rsidP="00C8481C">
            <w:pPr>
              <w:spacing w:before="0" w:after="0"/>
              <w:rPr>
                <w:color w:val="000000"/>
              </w:rPr>
            </w:pPr>
            <w:r w:rsidRPr="00370E70">
              <w:rPr>
                <w:color w:val="000000"/>
                <w:szCs w:val="22"/>
              </w:rPr>
              <w:t>C:N ratio &lt;15*</w:t>
            </w:r>
          </w:p>
        </w:tc>
        <w:tc>
          <w:tcPr>
            <w:tcW w:w="916" w:type="dxa"/>
            <w:tcBorders>
              <w:top w:val="nil"/>
              <w:left w:val="nil"/>
              <w:bottom w:val="single" w:sz="4" w:space="0" w:color="auto"/>
              <w:right w:val="nil"/>
            </w:tcBorders>
            <w:noWrap/>
            <w:vAlign w:val="bottom"/>
          </w:tcPr>
          <w:p w:rsidR="00EE0164" w:rsidRPr="00370E70" w:rsidRDefault="00EE0164" w:rsidP="00C8481C">
            <w:pPr>
              <w:spacing w:before="0" w:after="0"/>
              <w:jc w:val="center"/>
              <w:rPr>
                <w:color w:val="000000"/>
              </w:rPr>
            </w:pPr>
          </w:p>
        </w:tc>
        <w:tc>
          <w:tcPr>
            <w:tcW w:w="1382" w:type="dxa"/>
            <w:tcBorders>
              <w:top w:val="nil"/>
              <w:left w:val="nil"/>
              <w:bottom w:val="single" w:sz="4" w:space="0" w:color="auto"/>
              <w:right w:val="nil"/>
            </w:tcBorders>
            <w:noWrap/>
            <w:vAlign w:val="bottom"/>
          </w:tcPr>
          <w:p w:rsidR="00EE0164" w:rsidRPr="00370E70" w:rsidRDefault="00EE0164" w:rsidP="00C8481C">
            <w:pPr>
              <w:spacing w:before="0" w:after="0"/>
              <w:jc w:val="center"/>
              <w:rPr>
                <w:color w:val="000000"/>
              </w:rPr>
            </w:pPr>
            <w:r w:rsidRPr="00370E70">
              <w:rPr>
                <w:color w:val="000000"/>
                <w:szCs w:val="22"/>
              </w:rPr>
              <w:t>0</w:t>
            </w:r>
          </w:p>
        </w:tc>
        <w:tc>
          <w:tcPr>
            <w:tcW w:w="1098" w:type="dxa"/>
            <w:tcBorders>
              <w:top w:val="nil"/>
              <w:left w:val="nil"/>
              <w:bottom w:val="single" w:sz="4" w:space="0" w:color="auto"/>
              <w:right w:val="nil"/>
            </w:tcBorders>
            <w:shd w:val="clear" w:color="auto" w:fill="FF0000"/>
            <w:noWrap/>
            <w:vAlign w:val="bottom"/>
          </w:tcPr>
          <w:p w:rsidR="00EE0164" w:rsidRPr="00370E70" w:rsidRDefault="00EE0164" w:rsidP="00C8481C">
            <w:pPr>
              <w:spacing w:before="0" w:after="0"/>
              <w:jc w:val="center"/>
              <w:rPr>
                <w:color w:val="000000"/>
                <w:lang w:eastAsia="en-AU"/>
              </w:rPr>
            </w:pPr>
            <w:r w:rsidRPr="00370E70">
              <w:rPr>
                <w:color w:val="000000"/>
                <w:szCs w:val="22"/>
                <w:lang w:eastAsia="en-AU"/>
              </w:rPr>
              <w:t>0 - &lt;20</w:t>
            </w:r>
          </w:p>
        </w:tc>
      </w:tr>
    </w:tbl>
    <w:p w:rsidR="00EE0164" w:rsidRPr="00370E70" w:rsidRDefault="00EE0164" w:rsidP="00EE0164">
      <w:pPr>
        <w:pStyle w:val="Heading3"/>
      </w:pPr>
      <w:bookmarkStart w:id="124" w:name="_Toc184101958"/>
      <w:bookmarkStart w:id="125" w:name="_Toc381027994"/>
      <w:bookmarkStart w:id="126" w:name="_Toc382215864"/>
      <w:bookmarkStart w:id="127" w:name="_Toc384196121"/>
      <w:bookmarkEnd w:id="123"/>
      <w:r w:rsidRPr="00370E70">
        <w:t>Seagrass index</w:t>
      </w:r>
      <w:bookmarkEnd w:id="124"/>
      <w:bookmarkEnd w:id="125"/>
      <w:bookmarkEnd w:id="126"/>
      <w:bookmarkEnd w:id="127"/>
    </w:p>
    <w:p w:rsidR="005132EF" w:rsidRPr="00370E70" w:rsidRDefault="005132EF" w:rsidP="00034AD4">
      <w:pPr>
        <w:spacing w:before="240"/>
        <w:rPr>
          <w:color w:val="000000"/>
          <w:szCs w:val="22"/>
        </w:rPr>
      </w:pPr>
      <w:r w:rsidRPr="00370E70">
        <w:rPr>
          <w:color w:val="000000"/>
          <w:szCs w:val="22"/>
        </w:rPr>
        <w:t>The seagrass index is average score (0-100) of the three seagrass status indicators chosen for the Reef Rescue MMP. Each indicator is equally weighted as we have no preconception that it should be otherwise. To calculate the overall score for seagrass of the Great Barrier Reef (GBR), the regional scores were weighted on the percentage of GBRWHA seagrass (shallower than 15m) within that region (</w:t>
      </w:r>
      <w:r w:rsidRPr="00370E70">
        <w:rPr>
          <w:color w:val="000000"/>
          <w:szCs w:val="22"/>
        </w:rPr>
        <w:fldChar w:fldCharType="begin"/>
      </w:r>
      <w:r w:rsidRPr="00370E70">
        <w:rPr>
          <w:color w:val="000000"/>
          <w:szCs w:val="22"/>
        </w:rPr>
        <w:instrText xml:space="preserve"> REF _Ref304384374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11</w:t>
      </w:r>
      <w:r w:rsidRPr="00370E70">
        <w:rPr>
          <w:color w:val="000000"/>
          <w:szCs w:val="22"/>
        </w:rPr>
        <w:fldChar w:fldCharType="end"/>
      </w:r>
      <w:r w:rsidRPr="00370E70">
        <w:rPr>
          <w:color w:val="000000"/>
          <w:szCs w:val="22"/>
        </w:rPr>
        <w:t xml:space="preserve">). </w:t>
      </w:r>
      <w:r w:rsidRPr="00370E70">
        <w:rPr>
          <w:i/>
          <w:color w:val="000000"/>
          <w:szCs w:val="22"/>
        </w:rPr>
        <w:t xml:space="preserve">Please note: </w:t>
      </w:r>
      <w:smartTag w:uri="urn:schemas-microsoft-com:office:smarttags" w:element="place">
        <w:r w:rsidRPr="00370E70">
          <w:rPr>
            <w:i/>
            <w:color w:val="000000"/>
            <w:szCs w:val="22"/>
          </w:rPr>
          <w:t>Cape York</w:t>
        </w:r>
      </w:smartTag>
      <w:r w:rsidRPr="00370E70">
        <w:rPr>
          <w:i/>
          <w:color w:val="000000"/>
          <w:szCs w:val="22"/>
        </w:rPr>
        <w:t xml:space="preserve"> was omitted from the GBR score due to insufficient sampling locations to adequately represent the entire region</w:t>
      </w:r>
      <w:r w:rsidRPr="00370E70">
        <w:rPr>
          <w:color w:val="000000"/>
          <w:szCs w:val="22"/>
        </w:rPr>
        <w:t>.</w:t>
      </w:r>
    </w:p>
    <w:p w:rsidR="0033652B" w:rsidRPr="00370E70" w:rsidRDefault="005132EF" w:rsidP="0033652B">
      <w:pPr>
        <w:pStyle w:val="Caption"/>
        <w:jc w:val="center"/>
        <w:rPr>
          <w:i/>
          <w:vanish/>
          <w:color w:val="000000"/>
          <w:szCs w:val="22"/>
          <w:lang w:val="en-AU"/>
          <w:specVanish/>
        </w:rPr>
      </w:pPr>
      <w:bookmarkStart w:id="128" w:name="_Ref304384374"/>
      <w:bookmarkStart w:id="129" w:name="_Toc384196547"/>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11</w:t>
      </w:r>
      <w:r w:rsidRPr="00370E70">
        <w:rPr>
          <w:lang w:val="en-AU"/>
        </w:rPr>
        <w:fldChar w:fldCharType="end"/>
      </w:r>
      <w:bookmarkEnd w:id="128"/>
      <w:r w:rsidRPr="00370E70">
        <w:rPr>
          <w:rStyle w:val="StyleCaptionCaptionCharCharLatinCalibri11ptBlackChar"/>
          <w:lang w:val="en-AU"/>
        </w:rPr>
        <w:t xml:space="preserve">. </w:t>
      </w:r>
      <w:r w:rsidRPr="00370E70">
        <w:rPr>
          <w:i/>
          <w:lang w:val="en-AU"/>
        </w:rPr>
        <w:t xml:space="preserve">Area of seagrass shallower than 15m in each NRM region (from McKenzie 2010) within the boundaries of the </w:t>
      </w:r>
      <w:smartTag w:uri="urn:schemas-microsoft-com:office:smarttags" w:element="place">
        <w:r w:rsidRPr="00370E70">
          <w:rPr>
            <w:i/>
            <w:lang w:val="en-AU"/>
          </w:rPr>
          <w:t>Great Barrier Reef</w:t>
        </w:r>
      </w:smartTag>
      <w:r w:rsidRPr="00370E70">
        <w:rPr>
          <w:i/>
          <w:lang w:val="en-AU"/>
        </w:rPr>
        <w:t xml:space="preserve"> World Heritage Area</w:t>
      </w:r>
      <w:bookmarkEnd w:id="129"/>
    </w:p>
    <w:p w:rsidR="0033652B" w:rsidRPr="00370E70" w:rsidRDefault="005132EF" w:rsidP="0033652B">
      <w:pPr>
        <w:pStyle w:val="Caption"/>
        <w:jc w:val="center"/>
        <w:rPr>
          <w:i/>
          <w:lang w:val="en-AU"/>
        </w:rPr>
      </w:pPr>
      <w:r w:rsidRPr="00370E70">
        <w:rPr>
          <w:i/>
          <w:lang w:val="en-AU"/>
        </w:rPr>
        <w:t>. n/a denotes seagrass area not included in GBR total.</w:t>
      </w:r>
      <w:r w:rsidR="0033652B" w:rsidRPr="00370E70">
        <w:rPr>
          <w:i/>
          <w:lang w:val="en-AU"/>
        </w:rPr>
        <w:t xml:space="preserve"> </w:t>
      </w:r>
    </w:p>
    <w:tbl>
      <w:tblPr>
        <w:tblW w:w="7362" w:type="dxa"/>
        <w:jc w:val="center"/>
        <w:tblLook w:val="0000" w:firstRow="0" w:lastRow="0" w:firstColumn="0" w:lastColumn="0" w:noHBand="0" w:noVBand="0"/>
      </w:tblPr>
      <w:tblGrid>
        <w:gridCol w:w="2660"/>
        <w:gridCol w:w="2360"/>
        <w:gridCol w:w="2342"/>
      </w:tblGrid>
      <w:tr w:rsidR="005132EF" w:rsidRPr="00370E70" w:rsidTr="000F74AA">
        <w:trPr>
          <w:trHeight w:val="290"/>
          <w:jc w:val="center"/>
        </w:trPr>
        <w:tc>
          <w:tcPr>
            <w:tcW w:w="2660" w:type="dxa"/>
            <w:tcBorders>
              <w:top w:val="single" w:sz="4" w:space="0" w:color="auto"/>
              <w:left w:val="nil"/>
              <w:bottom w:val="single" w:sz="4" w:space="0" w:color="auto"/>
              <w:right w:val="nil"/>
            </w:tcBorders>
            <w:shd w:val="clear" w:color="auto" w:fill="BBE0E3"/>
            <w:noWrap/>
            <w:vAlign w:val="bottom"/>
          </w:tcPr>
          <w:p w:rsidR="005132EF" w:rsidRPr="00370E70" w:rsidRDefault="005132EF" w:rsidP="00034AD4">
            <w:pPr>
              <w:spacing w:before="0" w:after="0"/>
              <w:jc w:val="center"/>
              <w:rPr>
                <w:b/>
                <w:color w:val="000000"/>
              </w:rPr>
            </w:pPr>
            <w:bookmarkStart w:id="130" w:name="RANGE!H16:J22"/>
            <w:bookmarkEnd w:id="130"/>
            <w:r w:rsidRPr="00370E70">
              <w:rPr>
                <w:b/>
                <w:color w:val="000000"/>
                <w:szCs w:val="22"/>
              </w:rPr>
              <w:t>NRM</w:t>
            </w:r>
          </w:p>
        </w:tc>
        <w:tc>
          <w:tcPr>
            <w:tcW w:w="2360" w:type="dxa"/>
            <w:tcBorders>
              <w:top w:val="single" w:sz="4" w:space="0" w:color="auto"/>
              <w:left w:val="nil"/>
              <w:bottom w:val="single" w:sz="4" w:space="0" w:color="auto"/>
              <w:right w:val="nil"/>
            </w:tcBorders>
            <w:shd w:val="clear" w:color="auto" w:fill="BBE0E3"/>
            <w:noWrap/>
            <w:vAlign w:val="bottom"/>
          </w:tcPr>
          <w:p w:rsidR="005132EF" w:rsidRPr="00370E70" w:rsidRDefault="005132EF" w:rsidP="00034AD4">
            <w:pPr>
              <w:spacing w:before="0" w:after="0"/>
              <w:jc w:val="center"/>
              <w:rPr>
                <w:b/>
                <w:color w:val="000000"/>
              </w:rPr>
            </w:pPr>
            <w:r w:rsidRPr="00370E70">
              <w:rPr>
                <w:b/>
                <w:color w:val="000000"/>
                <w:szCs w:val="22"/>
              </w:rPr>
              <w:t xml:space="preserve">Area of seagrass </w:t>
            </w:r>
            <w:r w:rsidRPr="00370E70">
              <w:rPr>
                <w:color w:val="000000"/>
                <w:szCs w:val="22"/>
              </w:rPr>
              <w:t>(km</w:t>
            </w:r>
            <w:r w:rsidRPr="00370E70">
              <w:rPr>
                <w:color w:val="000000"/>
                <w:szCs w:val="22"/>
                <w:vertAlign w:val="superscript"/>
              </w:rPr>
              <w:t>2</w:t>
            </w:r>
            <w:r w:rsidRPr="00370E70">
              <w:rPr>
                <w:color w:val="000000"/>
                <w:szCs w:val="22"/>
              </w:rPr>
              <w:t>)</w:t>
            </w:r>
          </w:p>
        </w:tc>
        <w:tc>
          <w:tcPr>
            <w:tcW w:w="2342" w:type="dxa"/>
            <w:tcBorders>
              <w:top w:val="single" w:sz="4" w:space="0" w:color="auto"/>
              <w:left w:val="nil"/>
              <w:bottom w:val="single" w:sz="4" w:space="0" w:color="auto"/>
              <w:right w:val="nil"/>
            </w:tcBorders>
            <w:shd w:val="clear" w:color="auto" w:fill="BBE0E3"/>
            <w:noWrap/>
            <w:vAlign w:val="bottom"/>
          </w:tcPr>
          <w:p w:rsidR="005132EF" w:rsidRPr="00370E70" w:rsidRDefault="005132EF" w:rsidP="00034AD4">
            <w:pPr>
              <w:spacing w:before="0" w:after="0"/>
              <w:jc w:val="center"/>
              <w:rPr>
                <w:b/>
                <w:color w:val="000000"/>
              </w:rPr>
            </w:pPr>
            <w:r w:rsidRPr="00370E70">
              <w:rPr>
                <w:b/>
                <w:color w:val="000000"/>
                <w:szCs w:val="22"/>
              </w:rPr>
              <w:t>% of GBRWHA</w:t>
            </w:r>
          </w:p>
        </w:tc>
      </w:tr>
      <w:tr w:rsidR="005132EF" w:rsidRPr="00370E70" w:rsidTr="000F74AA">
        <w:trPr>
          <w:trHeight w:val="290"/>
          <w:jc w:val="center"/>
        </w:trPr>
        <w:tc>
          <w:tcPr>
            <w:tcW w:w="2660" w:type="dxa"/>
            <w:tcBorders>
              <w:top w:val="nil"/>
              <w:left w:val="nil"/>
              <w:bottom w:val="nil"/>
              <w:right w:val="nil"/>
            </w:tcBorders>
            <w:shd w:val="clear" w:color="auto" w:fill="F3F9FA"/>
            <w:noWrap/>
            <w:vAlign w:val="bottom"/>
          </w:tcPr>
          <w:p w:rsidR="005132EF" w:rsidRPr="00370E70" w:rsidRDefault="005132EF" w:rsidP="00034AD4">
            <w:pPr>
              <w:spacing w:before="0" w:after="0"/>
              <w:rPr>
                <w:color w:val="000000"/>
                <w:lang w:eastAsia="en-AU"/>
              </w:rPr>
            </w:pPr>
            <w:smartTag w:uri="urn:schemas-microsoft-com:office:smarttags" w:element="place">
              <w:r w:rsidRPr="00370E70">
                <w:rPr>
                  <w:color w:val="000000"/>
                  <w:szCs w:val="22"/>
                  <w:lang w:eastAsia="en-AU"/>
                </w:rPr>
                <w:t>Cape York</w:t>
              </w:r>
            </w:smartTag>
            <w:r w:rsidRPr="00370E70">
              <w:rPr>
                <w:color w:val="000000"/>
                <w:szCs w:val="22"/>
                <w:lang w:eastAsia="en-AU"/>
              </w:rPr>
              <w:t xml:space="preserve"> </w:t>
            </w:r>
          </w:p>
        </w:tc>
        <w:tc>
          <w:tcPr>
            <w:tcW w:w="2360"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 xml:space="preserve">n/a </w:t>
            </w:r>
            <w:r w:rsidRPr="00370E70">
              <w:rPr>
                <w:color w:val="000000"/>
                <w:szCs w:val="22"/>
                <w:vertAlign w:val="superscript"/>
                <w:lang w:eastAsia="en-AU"/>
              </w:rPr>
              <w:t>(1,843 km2)</w:t>
            </w:r>
          </w:p>
        </w:tc>
        <w:tc>
          <w:tcPr>
            <w:tcW w:w="2342"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p>
        </w:tc>
      </w:tr>
      <w:tr w:rsidR="005132EF" w:rsidRPr="00370E70" w:rsidTr="000F74AA">
        <w:trPr>
          <w:trHeight w:val="290"/>
          <w:jc w:val="center"/>
        </w:trPr>
        <w:tc>
          <w:tcPr>
            <w:tcW w:w="2660" w:type="dxa"/>
            <w:tcBorders>
              <w:top w:val="nil"/>
              <w:left w:val="nil"/>
              <w:bottom w:val="nil"/>
              <w:right w:val="nil"/>
            </w:tcBorders>
            <w:shd w:val="clear" w:color="auto" w:fill="F3F9FA"/>
            <w:noWrap/>
            <w:vAlign w:val="bottom"/>
          </w:tcPr>
          <w:p w:rsidR="005132EF" w:rsidRPr="00370E70" w:rsidRDefault="005132EF" w:rsidP="00034AD4">
            <w:pPr>
              <w:spacing w:before="0" w:after="0"/>
              <w:rPr>
                <w:color w:val="000000"/>
                <w:lang w:eastAsia="en-AU"/>
              </w:rPr>
            </w:pPr>
            <w:r w:rsidRPr="00370E70">
              <w:rPr>
                <w:color w:val="000000"/>
                <w:szCs w:val="22"/>
                <w:lang w:eastAsia="en-AU"/>
              </w:rPr>
              <w:t xml:space="preserve">Wet Tropics </w:t>
            </w:r>
          </w:p>
        </w:tc>
        <w:tc>
          <w:tcPr>
            <w:tcW w:w="2360"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201</w:t>
            </w:r>
          </w:p>
        </w:tc>
        <w:tc>
          <w:tcPr>
            <w:tcW w:w="2342"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0.16</w:t>
            </w:r>
          </w:p>
        </w:tc>
      </w:tr>
      <w:tr w:rsidR="005132EF" w:rsidRPr="00370E70" w:rsidTr="000F74AA">
        <w:trPr>
          <w:trHeight w:val="290"/>
          <w:jc w:val="center"/>
        </w:trPr>
        <w:tc>
          <w:tcPr>
            <w:tcW w:w="2660" w:type="dxa"/>
            <w:tcBorders>
              <w:top w:val="nil"/>
              <w:left w:val="nil"/>
              <w:bottom w:val="nil"/>
              <w:right w:val="nil"/>
            </w:tcBorders>
            <w:shd w:val="clear" w:color="auto" w:fill="F3F9FA"/>
            <w:noWrap/>
            <w:vAlign w:val="bottom"/>
          </w:tcPr>
          <w:p w:rsidR="005132EF" w:rsidRPr="00370E70" w:rsidRDefault="005132EF" w:rsidP="00034AD4">
            <w:pPr>
              <w:spacing w:before="0" w:after="0"/>
              <w:rPr>
                <w:color w:val="000000"/>
                <w:lang w:eastAsia="en-AU"/>
              </w:rPr>
            </w:pPr>
            <w:r w:rsidRPr="00370E70">
              <w:rPr>
                <w:color w:val="000000"/>
                <w:szCs w:val="22"/>
                <w:lang w:eastAsia="en-AU"/>
              </w:rPr>
              <w:t xml:space="preserve">Burdekin </w:t>
            </w:r>
          </w:p>
        </w:tc>
        <w:tc>
          <w:tcPr>
            <w:tcW w:w="2360"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551</w:t>
            </w:r>
          </w:p>
        </w:tc>
        <w:tc>
          <w:tcPr>
            <w:tcW w:w="2342"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0.45</w:t>
            </w:r>
          </w:p>
        </w:tc>
      </w:tr>
      <w:tr w:rsidR="005132EF" w:rsidRPr="00370E70" w:rsidTr="000F74AA">
        <w:trPr>
          <w:trHeight w:val="290"/>
          <w:jc w:val="center"/>
        </w:trPr>
        <w:tc>
          <w:tcPr>
            <w:tcW w:w="2660" w:type="dxa"/>
            <w:tcBorders>
              <w:top w:val="nil"/>
              <w:left w:val="nil"/>
              <w:bottom w:val="nil"/>
              <w:right w:val="nil"/>
            </w:tcBorders>
            <w:shd w:val="clear" w:color="auto" w:fill="F3F9FA"/>
            <w:noWrap/>
            <w:vAlign w:val="bottom"/>
          </w:tcPr>
          <w:p w:rsidR="005132EF" w:rsidRPr="00370E70" w:rsidRDefault="005132EF" w:rsidP="00034AD4">
            <w:pPr>
              <w:spacing w:before="0" w:after="0"/>
              <w:rPr>
                <w:color w:val="000000"/>
                <w:lang w:eastAsia="en-AU"/>
              </w:rPr>
            </w:pPr>
            <w:r w:rsidRPr="00370E70">
              <w:rPr>
                <w:color w:val="000000"/>
                <w:szCs w:val="22"/>
                <w:lang w:eastAsia="en-AU"/>
              </w:rPr>
              <w:t xml:space="preserve">Mackay Whitsunday </w:t>
            </w:r>
          </w:p>
        </w:tc>
        <w:tc>
          <w:tcPr>
            <w:tcW w:w="2360"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154</w:t>
            </w:r>
          </w:p>
        </w:tc>
        <w:tc>
          <w:tcPr>
            <w:tcW w:w="2342"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0.13</w:t>
            </w:r>
          </w:p>
        </w:tc>
      </w:tr>
      <w:tr w:rsidR="005132EF" w:rsidRPr="00370E70" w:rsidTr="000F74AA">
        <w:trPr>
          <w:trHeight w:val="290"/>
          <w:jc w:val="center"/>
        </w:trPr>
        <w:tc>
          <w:tcPr>
            <w:tcW w:w="2660" w:type="dxa"/>
            <w:tcBorders>
              <w:top w:val="nil"/>
              <w:left w:val="nil"/>
              <w:bottom w:val="nil"/>
              <w:right w:val="nil"/>
            </w:tcBorders>
            <w:shd w:val="clear" w:color="auto" w:fill="F3F9FA"/>
            <w:noWrap/>
            <w:vAlign w:val="bottom"/>
          </w:tcPr>
          <w:p w:rsidR="005132EF" w:rsidRPr="00370E70" w:rsidRDefault="005132EF" w:rsidP="00034AD4">
            <w:pPr>
              <w:spacing w:before="0" w:after="0"/>
              <w:rPr>
                <w:color w:val="000000"/>
                <w:lang w:eastAsia="en-AU"/>
              </w:rPr>
            </w:pPr>
            <w:r w:rsidRPr="00370E70">
              <w:rPr>
                <w:color w:val="000000"/>
                <w:szCs w:val="22"/>
                <w:lang w:eastAsia="en-AU"/>
              </w:rPr>
              <w:t xml:space="preserve">Fitzroy </w:t>
            </w:r>
          </w:p>
        </w:tc>
        <w:tc>
          <w:tcPr>
            <w:tcW w:w="2360"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241</w:t>
            </w:r>
          </w:p>
        </w:tc>
        <w:tc>
          <w:tcPr>
            <w:tcW w:w="2342" w:type="dxa"/>
            <w:tcBorders>
              <w:top w:val="nil"/>
              <w:left w:val="nil"/>
              <w:bottom w:val="nil"/>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0.20</w:t>
            </w:r>
          </w:p>
        </w:tc>
      </w:tr>
      <w:tr w:rsidR="005132EF" w:rsidRPr="00370E70" w:rsidTr="000F74AA">
        <w:trPr>
          <w:trHeight w:val="290"/>
          <w:jc w:val="center"/>
        </w:trPr>
        <w:tc>
          <w:tcPr>
            <w:tcW w:w="2660" w:type="dxa"/>
            <w:tcBorders>
              <w:top w:val="nil"/>
              <w:left w:val="nil"/>
              <w:bottom w:val="single" w:sz="4" w:space="0" w:color="auto"/>
              <w:right w:val="nil"/>
            </w:tcBorders>
            <w:shd w:val="clear" w:color="auto" w:fill="F3F9FA"/>
            <w:noWrap/>
            <w:vAlign w:val="bottom"/>
          </w:tcPr>
          <w:p w:rsidR="005132EF" w:rsidRPr="00370E70" w:rsidRDefault="005132EF" w:rsidP="00034AD4">
            <w:pPr>
              <w:spacing w:before="0" w:after="0"/>
              <w:rPr>
                <w:color w:val="000000"/>
                <w:lang w:eastAsia="en-AU"/>
              </w:rPr>
            </w:pPr>
            <w:r w:rsidRPr="00370E70">
              <w:rPr>
                <w:color w:val="000000"/>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73</w:t>
            </w:r>
          </w:p>
        </w:tc>
        <w:tc>
          <w:tcPr>
            <w:tcW w:w="2342" w:type="dxa"/>
            <w:tcBorders>
              <w:top w:val="nil"/>
              <w:left w:val="nil"/>
              <w:bottom w:val="single" w:sz="4" w:space="0" w:color="auto"/>
              <w:right w:val="nil"/>
            </w:tcBorders>
            <w:shd w:val="clear" w:color="auto" w:fill="F3F9FA"/>
            <w:noWrap/>
            <w:vAlign w:val="bottom"/>
          </w:tcPr>
          <w:p w:rsidR="005132EF" w:rsidRPr="00370E70" w:rsidRDefault="005132EF" w:rsidP="00034AD4">
            <w:pPr>
              <w:spacing w:before="0" w:after="0"/>
              <w:jc w:val="center"/>
              <w:rPr>
                <w:color w:val="000000"/>
                <w:lang w:eastAsia="en-AU"/>
              </w:rPr>
            </w:pPr>
            <w:r w:rsidRPr="00370E70">
              <w:rPr>
                <w:color w:val="000000"/>
                <w:szCs w:val="22"/>
                <w:lang w:eastAsia="en-AU"/>
              </w:rPr>
              <w:t>0.06</w:t>
            </w:r>
          </w:p>
        </w:tc>
      </w:tr>
      <w:tr w:rsidR="005132EF" w:rsidRPr="00370E70" w:rsidTr="000F74AA">
        <w:trPr>
          <w:trHeight w:val="290"/>
          <w:jc w:val="center"/>
        </w:trPr>
        <w:tc>
          <w:tcPr>
            <w:tcW w:w="2660" w:type="dxa"/>
            <w:tcBorders>
              <w:top w:val="single" w:sz="4" w:space="0" w:color="auto"/>
              <w:left w:val="nil"/>
              <w:bottom w:val="single" w:sz="4" w:space="0" w:color="auto"/>
              <w:right w:val="nil"/>
            </w:tcBorders>
            <w:shd w:val="clear" w:color="auto" w:fill="E7F3F4"/>
            <w:noWrap/>
            <w:vAlign w:val="bottom"/>
          </w:tcPr>
          <w:p w:rsidR="005132EF" w:rsidRPr="00370E70" w:rsidRDefault="005132EF" w:rsidP="00034AD4">
            <w:pPr>
              <w:spacing w:before="0" w:after="0"/>
              <w:rPr>
                <w:b/>
                <w:color w:val="000000"/>
                <w:lang w:eastAsia="en-AU"/>
              </w:rPr>
            </w:pPr>
            <w:r w:rsidRPr="00370E70">
              <w:rPr>
                <w:b/>
                <w:color w:val="000000"/>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tcPr>
          <w:p w:rsidR="005132EF" w:rsidRPr="00370E70" w:rsidRDefault="005132EF" w:rsidP="00034AD4">
            <w:pPr>
              <w:spacing w:before="0" w:after="0"/>
              <w:jc w:val="center"/>
              <w:rPr>
                <w:b/>
                <w:color w:val="000000"/>
                <w:lang w:eastAsia="en-AU"/>
              </w:rPr>
            </w:pPr>
            <w:r w:rsidRPr="00370E70">
              <w:rPr>
                <w:b/>
                <w:color w:val="000000"/>
                <w:szCs w:val="22"/>
                <w:lang w:eastAsia="en-AU"/>
              </w:rPr>
              <w:t>1,220</w:t>
            </w:r>
          </w:p>
        </w:tc>
        <w:tc>
          <w:tcPr>
            <w:tcW w:w="2342" w:type="dxa"/>
            <w:tcBorders>
              <w:top w:val="single" w:sz="4" w:space="0" w:color="auto"/>
              <w:left w:val="nil"/>
              <w:bottom w:val="single" w:sz="4" w:space="0" w:color="auto"/>
              <w:right w:val="nil"/>
            </w:tcBorders>
            <w:shd w:val="clear" w:color="auto" w:fill="E7F3F4"/>
            <w:noWrap/>
            <w:vAlign w:val="bottom"/>
          </w:tcPr>
          <w:p w:rsidR="005132EF" w:rsidRPr="00370E70" w:rsidRDefault="005132EF" w:rsidP="00034AD4">
            <w:pPr>
              <w:spacing w:before="0" w:after="0"/>
              <w:jc w:val="center"/>
              <w:rPr>
                <w:b/>
                <w:color w:val="000000"/>
                <w:lang w:eastAsia="en-AU"/>
              </w:rPr>
            </w:pPr>
            <w:r w:rsidRPr="00370E70">
              <w:rPr>
                <w:b/>
                <w:color w:val="000000"/>
                <w:szCs w:val="22"/>
                <w:lang w:eastAsia="en-AU"/>
              </w:rPr>
              <w:t>1.00</w:t>
            </w:r>
          </w:p>
        </w:tc>
      </w:tr>
    </w:tbl>
    <w:p w:rsidR="001269B5" w:rsidRPr="00370E70" w:rsidRDefault="001269B5" w:rsidP="000F74AA">
      <w:pPr>
        <w:autoSpaceDE w:val="0"/>
        <w:autoSpaceDN w:val="0"/>
        <w:adjustRightInd w:val="0"/>
        <w:rPr>
          <w:rFonts w:cs="TimesNewRoman"/>
          <w:color w:val="000000"/>
          <w:szCs w:val="22"/>
        </w:rPr>
      </w:pPr>
      <w:bookmarkStart w:id="131" w:name="_Toc175991055"/>
      <w:bookmarkStart w:id="132" w:name="_Toc232845903"/>
      <w:bookmarkStart w:id="133" w:name="_Toc184101959"/>
    </w:p>
    <w:p w:rsidR="000F74AA" w:rsidRPr="00370E70" w:rsidRDefault="000F74AA" w:rsidP="000F74AA">
      <w:pPr>
        <w:autoSpaceDE w:val="0"/>
        <w:autoSpaceDN w:val="0"/>
        <w:adjustRightInd w:val="0"/>
        <w:rPr>
          <w:rFonts w:cs="TimesNewRoman"/>
          <w:color w:val="000000"/>
          <w:szCs w:val="22"/>
        </w:rPr>
      </w:pPr>
    </w:p>
    <w:p w:rsidR="000535CA" w:rsidRPr="00370E70" w:rsidRDefault="000535CA" w:rsidP="000535CA">
      <w:pPr>
        <w:pStyle w:val="Heading1"/>
        <w:rPr>
          <w:rFonts w:ascii="Century Gothic" w:hAnsi="Century Gothic"/>
          <w:color w:val="000000"/>
          <w:sz w:val="36"/>
          <w:szCs w:val="36"/>
        </w:rPr>
      </w:pPr>
      <w:bookmarkStart w:id="134" w:name="_Toc384196122"/>
      <w:r w:rsidRPr="00370E70">
        <w:rPr>
          <w:rFonts w:ascii="Century Gothic" w:hAnsi="Century Gothic"/>
          <w:color w:val="000000"/>
          <w:sz w:val="36"/>
          <w:szCs w:val="36"/>
        </w:rPr>
        <w:lastRenderedPageBreak/>
        <w:t>3. Results &amp; Discussion</w:t>
      </w:r>
      <w:bookmarkEnd w:id="134"/>
    </w:p>
    <w:bookmarkEnd w:id="131"/>
    <w:bookmarkEnd w:id="132"/>
    <w:bookmarkEnd w:id="133"/>
    <w:p w:rsidR="005132EF" w:rsidRPr="00370E70" w:rsidRDefault="007B15AB" w:rsidP="00034AD4">
      <w:pPr>
        <w:rPr>
          <w:color w:val="000000"/>
        </w:rPr>
      </w:pPr>
      <w:r>
        <w:rPr>
          <w:noProof/>
          <w:color w:val="000000"/>
          <w:lang w:eastAsia="en-AU"/>
        </w:rPr>
        <w:drawing>
          <wp:inline distT="0" distB="0" distL="0" distR="0">
            <wp:extent cx="5692775" cy="2846070"/>
            <wp:effectExtent l="0" t="0" r="3175" b="0"/>
            <wp:docPr id="16" name="Picture 29" descr="Photograph of seagrass underwater and Green Island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hotograph of seagrass underwater and Green Island in the backgroun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92775" cy="2846070"/>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135" w:name="_Toc184101960"/>
      <w:bookmarkStart w:id="136" w:name="_Toc384196123"/>
      <w:r w:rsidRPr="00370E70">
        <w:rPr>
          <w:rFonts w:ascii="Century Gothic" w:hAnsi="Century Gothic"/>
          <w:color w:val="000000"/>
        </w:rPr>
        <w:t>GBR Summary</w:t>
      </w:r>
      <w:bookmarkEnd w:id="135"/>
      <w:bookmarkEnd w:id="136"/>
    </w:p>
    <w:p w:rsidR="00145BB9" w:rsidRPr="00370E70" w:rsidRDefault="005132EF" w:rsidP="003057BF">
      <w:pPr>
        <w:autoSpaceDE w:val="0"/>
        <w:autoSpaceDN w:val="0"/>
        <w:adjustRightInd w:val="0"/>
        <w:rPr>
          <w:rFonts w:cs="TimesNewRoman"/>
          <w:color w:val="000000"/>
          <w:szCs w:val="22"/>
        </w:rPr>
      </w:pPr>
      <w:bookmarkStart w:id="137" w:name="_Ref271279443"/>
      <w:r w:rsidRPr="00370E70">
        <w:rPr>
          <w:rFonts w:cs="TimesNewRoman"/>
          <w:color w:val="000000"/>
          <w:szCs w:val="22"/>
        </w:rPr>
        <w:t xml:space="preserve">Seagrass meadows are a critical component of the GBR nearshore ecosystems, supporting charismatic megafauna such as dugong and turtles, and the productivity of adjacent ecosystems including coral reefs and mangroves </w:t>
      </w:r>
      <w:r w:rsidR="00145BB9" w:rsidRPr="00370E70">
        <w:rPr>
          <w:rFonts w:cs="TimesNewRoman"/>
          <w:color w:val="000000"/>
          <w:szCs w:val="22"/>
        </w:rPr>
        <w:t>(</w:t>
      </w:r>
      <w:hyperlink w:anchor="_ENREF_196" w:tooltip="Waycott, 2011 #952" w:history="1">
        <w:r w:rsidR="00964A70" w:rsidRPr="00370E70">
          <w:rPr>
            <w:rFonts w:cs="TimesNewRoman"/>
            <w:color w:val="000000"/>
            <w:szCs w:val="22"/>
          </w:rPr>
          <w:fldChar w:fldCharType="begin"/>
        </w:r>
        <w:r w:rsidR="00964A70" w:rsidRPr="00370E70">
          <w:rPr>
            <w:rFonts w:cs="TimesNewRoman"/>
            <w:color w:val="000000"/>
            <w:szCs w:val="22"/>
          </w:rPr>
          <w:instrText xml:space="preserve"> ADDIN EN.CITE &lt;EndNote&gt;&lt;Cite&gt;&lt;Author&gt;Waycott&lt;/Author&gt;&lt;Year&gt;2011&lt;/Year&gt;&lt;RecNum&gt;952&lt;/RecNum&gt;&lt;DisplayText&gt;Waycott&lt;style face="italic"&gt; et al.&lt;/style&gt; 2011b&lt;/DisplayText&gt;&lt;record&gt;&lt;rec-number&gt;952&lt;/rec-number&gt;&lt;foreign-keys&gt;&lt;key app="EN" db-id="xp95r2wt4pwtpyeavf5vadf4pa05f0ae5f0d"&gt;952&lt;/key&gt;&lt;/foreign-keys&gt;&lt;ref-type name="Book Section"&gt;5&lt;/ref-type&gt;&lt;contributors&gt;&lt;authors&gt;&lt;author&gt;Waycott, M.&lt;/author&gt;&lt;author&gt;McKenzie, L.J.&lt;/author&gt;&lt;author&gt;Mellors,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Tropical Pacific Fisheries and Aquaculture to Climate Change&lt;/secondary-title&gt;&lt;/titles&gt;&lt;dates&gt;&lt;year&gt;2011&lt;/year&gt;&lt;/dates&gt;&lt;pub-location&gt;Noumea, New Caledonia&lt;/pub-location&gt;&lt;publisher&gt;Secretariat of the Pacific Community&lt;/publisher&gt;&lt;urls&gt;&lt;/urls&gt;&lt;/record&gt;&lt;/Cite&gt;&lt;/EndNote&gt;</w:instrText>
        </w:r>
        <w:r w:rsidR="00964A70" w:rsidRPr="00370E70">
          <w:rPr>
            <w:rFonts w:cs="TimesNewRoman"/>
            <w:color w:val="000000"/>
            <w:szCs w:val="22"/>
          </w:rPr>
          <w:fldChar w:fldCharType="separate"/>
        </w:r>
        <w:r w:rsidR="00964A70" w:rsidRPr="00370E70">
          <w:rPr>
            <w:rFonts w:cs="TimesNewRoman"/>
            <w:noProof/>
            <w:color w:val="000000"/>
            <w:szCs w:val="22"/>
          </w:rPr>
          <w:t>Waycott</w:t>
        </w:r>
        <w:r w:rsidR="00964A70" w:rsidRPr="00370E70">
          <w:rPr>
            <w:rFonts w:cs="TimesNewRoman"/>
            <w:i/>
            <w:noProof/>
            <w:color w:val="000000"/>
            <w:szCs w:val="22"/>
          </w:rPr>
          <w:t xml:space="preserve"> et al.</w:t>
        </w:r>
        <w:r w:rsidR="00964A70" w:rsidRPr="00370E70">
          <w:rPr>
            <w:rFonts w:cs="TimesNewRoman"/>
            <w:noProof/>
            <w:color w:val="000000"/>
            <w:szCs w:val="22"/>
          </w:rPr>
          <w:t xml:space="preserve"> 2011b</w:t>
        </w:r>
        <w:r w:rsidR="00964A70" w:rsidRPr="00370E70">
          <w:rPr>
            <w:rFonts w:cs="TimesNewRoman"/>
            <w:color w:val="000000"/>
            <w:szCs w:val="22"/>
          </w:rPr>
          <w:fldChar w:fldCharType="end"/>
        </w:r>
      </w:hyperlink>
      <w:r w:rsidR="00145BB9" w:rsidRPr="00370E70">
        <w:rPr>
          <w:rFonts w:cs="TimesNewRoman"/>
          <w:color w:val="000000"/>
          <w:szCs w:val="22"/>
        </w:rPr>
        <w:t>)</w:t>
      </w:r>
      <w:r w:rsidRPr="00370E70">
        <w:rPr>
          <w:rFonts w:cs="TimesNewRoman"/>
          <w:color w:val="000000"/>
          <w:szCs w:val="22"/>
        </w:rPr>
        <w:t xml:space="preserve">. </w:t>
      </w:r>
      <w:bookmarkStart w:id="138" w:name="OLE_LINK12"/>
      <w:r w:rsidRPr="00370E70">
        <w:rPr>
          <w:rFonts w:cs="TimesNewRoman"/>
          <w:color w:val="000000"/>
          <w:szCs w:val="22"/>
        </w:rPr>
        <w:t>Although the greatest area of seagrass in the GBRWHA is located in the deeper waters (&gt;15m) of the lagoon</w:t>
      </w:r>
      <w:r w:rsidR="00145BB9" w:rsidRPr="00370E70">
        <w:rPr>
          <w:rFonts w:cs="TimesNewRoman"/>
          <w:color w:val="000000"/>
          <w:szCs w:val="22"/>
        </w:rPr>
        <w:t xml:space="preserve"> (</w:t>
      </w:r>
      <w:hyperlink w:anchor="_ENREF_36" w:tooltip="Coles, 2009 #9326" w:history="1">
        <w:r w:rsidR="00964A70" w:rsidRPr="00370E70">
          <w:rPr>
            <w:rFonts w:cs="TimesNewRoman"/>
            <w:color w:val="000000"/>
            <w:szCs w:val="22"/>
          </w:rPr>
          <w:fldChar w:fldCharType="begin"/>
        </w:r>
        <w:r w:rsidR="00964A70" w:rsidRPr="00370E70">
          <w:rPr>
            <w:rFonts w:cs="TimesNewRoman"/>
            <w:color w:val="000000"/>
            <w:szCs w:val="22"/>
          </w:rPr>
          <w:instrText xml:space="preserve"> ADDIN EN.CITE &lt;EndNote&gt;&lt;Cite&gt;&lt;Author&gt;Coles&lt;/Author&gt;&lt;Year&gt;2009&lt;/Year&gt;&lt;RecNum&gt;9326&lt;/RecNum&gt;&lt;DisplayText&gt;Coles&lt;style face="italic"&gt;, et al.&lt;/style&gt; 2009a&lt;/DisplayText&gt;&lt;record&gt;&lt;rec-number&gt;9326&lt;/rec-number&gt;&lt;foreign-keys&gt;&lt;key app="EN" db-id="0eve55x9y5vfd6e9dacxtew4eatve2dzds9a"&gt;9326&lt;/key&gt;&lt;/foreign-keys&gt;&lt;ref-type name="Journal Article"&gt;17&lt;/ref-type&gt;&lt;contributors&gt;&lt;authors&gt;&lt;author&gt;Coles, Robert&lt;/author&gt;&lt;author&gt;McKenzie, Len&lt;/author&gt;&lt;author&gt;De’ath, Glenn&lt;/author&gt;&lt;author&gt;Roelofs, Anthony&lt;/author&gt;&lt;author&gt;Long, Warren Lee&lt;/author&gt;&lt;/authors&gt;&lt;/contributors&gt;&lt;titles&gt;&lt;title&gt;Spatial distribution of deepwater seagrass in the inter-reef lagoon of the Great Barrier Reef World Heritage Area&lt;/title&gt;&lt;secondary-title&gt;Mar Ecol Prog Ser&lt;/secondary-title&gt;&lt;/titles&gt;&lt;periodical&gt;&lt;full-title&gt;Mar Ecol Prog Ser&lt;/full-title&gt;&lt;/periodical&gt;&lt;pages&gt;57-68&lt;/pages&gt;&lt;volume&gt;392&lt;/volume&gt;&lt;dates&gt;&lt;year&gt;2009&lt;/year&gt;&lt;/dates&gt;&lt;urls&gt;&lt;/urls&gt;&lt;/record&gt;&lt;/Cite&gt;&lt;/EndNote&gt;</w:instrText>
        </w:r>
        <w:r w:rsidR="00964A70" w:rsidRPr="00370E70">
          <w:rPr>
            <w:rFonts w:cs="TimesNewRoman"/>
            <w:color w:val="000000"/>
            <w:szCs w:val="22"/>
          </w:rPr>
          <w:fldChar w:fldCharType="separate"/>
        </w:r>
        <w:r w:rsidR="00964A70" w:rsidRPr="00370E70">
          <w:rPr>
            <w:rFonts w:cs="TimesNewRoman"/>
            <w:noProof/>
            <w:color w:val="000000"/>
            <w:szCs w:val="22"/>
          </w:rPr>
          <w:t>Coles</w:t>
        </w:r>
        <w:r w:rsidR="00964A70" w:rsidRPr="00370E70">
          <w:rPr>
            <w:rFonts w:cs="TimesNewRoman"/>
            <w:i/>
            <w:noProof/>
            <w:color w:val="000000"/>
            <w:szCs w:val="22"/>
          </w:rPr>
          <w:t>, et al.</w:t>
        </w:r>
        <w:r w:rsidR="00964A70" w:rsidRPr="00370E70">
          <w:rPr>
            <w:rFonts w:cs="TimesNewRoman"/>
            <w:noProof/>
            <w:color w:val="000000"/>
            <w:szCs w:val="22"/>
          </w:rPr>
          <w:t xml:space="preserve"> 2009a</w:t>
        </w:r>
        <w:r w:rsidR="00964A70" w:rsidRPr="00370E70">
          <w:rPr>
            <w:rFonts w:cs="TimesNewRoman"/>
            <w:color w:val="000000"/>
            <w:szCs w:val="22"/>
          </w:rPr>
          <w:fldChar w:fldCharType="end"/>
        </w:r>
      </w:hyperlink>
      <w:r w:rsidR="00145BB9" w:rsidRPr="00370E70">
        <w:rPr>
          <w:rFonts w:cs="TimesNewRoman"/>
          <w:color w:val="000000"/>
          <w:szCs w:val="22"/>
        </w:rPr>
        <w:t>)</w:t>
      </w:r>
      <w:r w:rsidRPr="00370E70">
        <w:rPr>
          <w:rFonts w:cs="TimesNewRoman"/>
          <w:color w:val="000000"/>
          <w:szCs w:val="22"/>
        </w:rPr>
        <w:t xml:space="preserve">, these meadows are relatively sparse, composed </w:t>
      </w:r>
      <w:r w:rsidR="00145BB9" w:rsidRPr="00370E70">
        <w:rPr>
          <w:rFonts w:cs="TimesNewRoman"/>
          <w:color w:val="000000"/>
          <w:szCs w:val="22"/>
        </w:rPr>
        <w:t xml:space="preserve">of structurally smaller, higher dynamic, </w:t>
      </w:r>
      <w:r w:rsidR="00E62433" w:rsidRPr="00370E70">
        <w:rPr>
          <w:rFonts w:cs="TimesNewRoman"/>
          <w:color w:val="000000"/>
          <w:szCs w:val="22"/>
        </w:rPr>
        <w:t xml:space="preserve">and </w:t>
      </w:r>
      <w:r w:rsidR="00145BB9" w:rsidRPr="00370E70">
        <w:rPr>
          <w:rFonts w:cs="TimesNewRoman"/>
          <w:color w:val="000000"/>
          <w:szCs w:val="22"/>
        </w:rPr>
        <w:t>composed of colonising species (</w:t>
      </w:r>
      <w:hyperlink w:anchor="_ENREF_141" w:tooltip="McKenzie, 2010 #9646" w:history="1">
        <w:r w:rsidR="00964A70" w:rsidRPr="00370E70">
          <w:rPr>
            <w:rFonts w:cs="TimesNewRoman"/>
            <w:color w:val="000000"/>
            <w:szCs w:val="22"/>
          </w:rPr>
          <w:fldChar w:fldCharType="begin"/>
        </w:r>
        <w:r w:rsidR="00964A70" w:rsidRPr="00370E70">
          <w:rPr>
            <w:rFonts w:cs="TimesNewRoman"/>
            <w:color w:val="000000"/>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964A70" w:rsidRPr="00370E70">
          <w:rPr>
            <w:rFonts w:cs="TimesNewRoman"/>
            <w:color w:val="000000"/>
            <w:szCs w:val="22"/>
          </w:rPr>
          <w:fldChar w:fldCharType="separate"/>
        </w:r>
        <w:r w:rsidR="00964A70" w:rsidRPr="00370E70">
          <w:rPr>
            <w:rFonts w:cs="TimesNewRoman"/>
            <w:noProof/>
            <w:color w:val="000000"/>
            <w:szCs w:val="22"/>
          </w:rPr>
          <w:t>McKenzie</w:t>
        </w:r>
        <w:r w:rsidR="00964A70" w:rsidRPr="00370E70">
          <w:rPr>
            <w:rFonts w:cs="TimesNewRoman"/>
            <w:i/>
            <w:noProof/>
            <w:color w:val="000000"/>
            <w:szCs w:val="22"/>
          </w:rPr>
          <w:t xml:space="preserve"> et al.</w:t>
        </w:r>
        <w:r w:rsidR="00964A70" w:rsidRPr="00370E70">
          <w:rPr>
            <w:rFonts w:cs="TimesNewRoman"/>
            <w:noProof/>
            <w:color w:val="000000"/>
            <w:szCs w:val="22"/>
          </w:rPr>
          <w:t xml:space="preserve"> 2010c</w:t>
        </w:r>
        <w:r w:rsidR="00964A70" w:rsidRPr="00370E70">
          <w:rPr>
            <w:rFonts w:cs="TimesNewRoman"/>
            <w:color w:val="000000"/>
            <w:szCs w:val="22"/>
          </w:rPr>
          <w:fldChar w:fldCharType="end"/>
        </w:r>
      </w:hyperlink>
      <w:r w:rsidR="00145BB9" w:rsidRPr="00370E70">
        <w:rPr>
          <w:rFonts w:cs="TimesNewRoman"/>
          <w:color w:val="000000"/>
          <w:szCs w:val="22"/>
        </w:rPr>
        <w:t>)</w:t>
      </w:r>
      <w:r w:rsidRPr="00370E70">
        <w:rPr>
          <w:rFonts w:cs="TimesNewRoman"/>
          <w:color w:val="000000"/>
          <w:szCs w:val="22"/>
        </w:rPr>
        <w:t xml:space="preserve">. </w:t>
      </w:r>
      <w:bookmarkEnd w:id="138"/>
      <w:r w:rsidR="00145BB9" w:rsidRPr="00370E70">
        <w:rPr>
          <w:rFonts w:cs="TimesNewRoman"/>
          <w:color w:val="000000"/>
          <w:szCs w:val="22"/>
        </w:rPr>
        <w:t xml:space="preserve">In contrast, the inshore meadows are </w:t>
      </w:r>
      <w:r w:rsidR="00E62433" w:rsidRPr="00370E70">
        <w:rPr>
          <w:rFonts w:cs="TimesNewRoman"/>
          <w:color w:val="000000"/>
          <w:szCs w:val="22"/>
        </w:rPr>
        <w:t xml:space="preserve">more abundant, </w:t>
      </w:r>
      <w:r w:rsidR="00145BB9" w:rsidRPr="00370E70">
        <w:rPr>
          <w:rFonts w:cs="TimesNewRoman"/>
          <w:color w:val="000000"/>
          <w:szCs w:val="22"/>
        </w:rPr>
        <w:t xml:space="preserve">structurally larger, composed of foundational species, and </w:t>
      </w:r>
      <w:r w:rsidR="00E62433" w:rsidRPr="00370E70">
        <w:rPr>
          <w:rFonts w:cs="TimesNewRoman"/>
          <w:color w:val="000000"/>
          <w:szCs w:val="22"/>
        </w:rPr>
        <w:t xml:space="preserve">are </w:t>
      </w:r>
      <w:r w:rsidR="00145BB9" w:rsidRPr="00370E70">
        <w:rPr>
          <w:rFonts w:cs="TimesNewRoman"/>
          <w:color w:val="000000"/>
          <w:szCs w:val="22"/>
        </w:rPr>
        <w:t xml:space="preserve">the main feeding </w:t>
      </w:r>
      <w:r w:rsidR="00E62433" w:rsidRPr="00370E70">
        <w:rPr>
          <w:rFonts w:cs="TimesNewRoman"/>
          <w:color w:val="000000"/>
          <w:szCs w:val="22"/>
        </w:rPr>
        <w:t>areas</w:t>
      </w:r>
      <w:r w:rsidR="00145BB9" w:rsidRPr="00370E70">
        <w:rPr>
          <w:rFonts w:cs="TimesNewRoman"/>
          <w:color w:val="000000"/>
          <w:szCs w:val="22"/>
        </w:rPr>
        <w:t xml:space="preserve"> for dugong and green sea turtle (</w:t>
      </w:r>
      <w:hyperlink w:anchor="_ENREF_174" w:tooltip="Sheppard, 2009 #9704" w:history="1">
        <w:r w:rsidR="00964A70" w:rsidRPr="00370E70">
          <w:rPr>
            <w:rFonts w:cs="TimesNewRoman"/>
            <w:color w:val="000000"/>
            <w:szCs w:val="22"/>
          </w:rPr>
          <w:fldChar w:fldCharType="begin"/>
        </w:r>
        <w:r w:rsidR="00964A70" w:rsidRPr="00370E70">
          <w:rPr>
            <w:rFonts w:cs="TimesNewRoman"/>
            <w:color w:val="000000"/>
            <w:szCs w:val="22"/>
          </w:rPr>
          <w:instrText xml:space="preserve"> ADDIN EN.CITE &lt;EndNote&gt;&lt;Cite&gt;&lt;Author&gt;Sheppard&lt;/Author&gt;&lt;Year&gt;2009&lt;/Year&gt;&lt;RecNum&gt;9704&lt;/RecNum&gt;&lt;DisplayText&gt;Sheppard&lt;style face="italic"&gt; et al.&lt;/style&gt; 2009&lt;/DisplayText&gt;&lt;record&gt;&lt;rec-number&gt;9704&lt;/rec-number&gt;&lt;foreign-keys&gt;&lt;key app="EN" db-id="0eve55x9y5vfd6e9dacxtew4eatve2dzds9a"&gt;9704&lt;/key&gt;&lt;/foreign-keys&gt;&lt;ref-type name="Journal Article"&gt;17&lt;/ref-type&gt;&lt;contributors&gt;&lt;authors&gt;&lt;author&gt;Sheppard, James K.&lt;/author&gt;&lt;author&gt;Jones, Rhondda E.&lt;/author&gt;&lt;author&gt;Marsh, Helene&lt;/author&gt;&lt;author&gt;Lawler, Ivan R.&lt;/author&gt;&lt;/authors&gt;&lt;/contributors&gt;&lt;titles&gt;&lt;title&gt;Effects of Tidal and Diel Cycles on Dugong Habitat Use&lt;/title&gt;&lt;secondary-title&gt;The Journal of Wildlife Management&lt;/secondary-title&gt;&lt;/titles&gt;&lt;periodical&gt;&lt;full-title&gt;The Journal of Wildlife Management&lt;/full-title&gt;&lt;/periodical&gt;&lt;pages&gt;45-59&lt;/pages&gt;&lt;volume&gt;73&lt;/volume&gt;&lt;number&gt;1&lt;/number&gt;&lt;keywords&gt;&lt;keyword&gt;dugong&lt;/keyword&gt;&lt;keyword&gt;grazer&lt;/keyword&gt;&lt;keyword&gt;habitat use&lt;/keyword&gt;&lt;keyword&gt;marine mammal&lt;/keyword&gt;&lt;keyword&gt;spatial behavior&lt;/keyword&gt;&lt;keyword&gt;telemetry&lt;/keyword&gt;&lt;/keywords&gt;&lt;dates&gt;&lt;year&gt;2009&lt;/year&gt;&lt;/dates&gt;&lt;publisher&gt;Blackwell Publishing Ltd&lt;/publisher&gt;&lt;isbn&gt;1937-2817&lt;/isbn&gt;&lt;urls&gt;&lt;related-urls&gt;&lt;url&gt;http://dx.doi.org/10.2193/2007-468&lt;/url&gt;&lt;/related-urls&gt;&lt;/urls&gt;&lt;electronic-resource-num&gt;10.2193/2007-468&lt;/electronic-resource-num&gt;&lt;/record&gt;&lt;/Cite&gt;&lt;/EndNote&gt;</w:instrText>
        </w:r>
        <w:r w:rsidR="00964A70" w:rsidRPr="00370E70">
          <w:rPr>
            <w:rFonts w:cs="TimesNewRoman"/>
            <w:color w:val="000000"/>
            <w:szCs w:val="22"/>
          </w:rPr>
          <w:fldChar w:fldCharType="separate"/>
        </w:r>
        <w:r w:rsidR="00964A70" w:rsidRPr="00370E70">
          <w:rPr>
            <w:rFonts w:cs="TimesNewRoman"/>
            <w:noProof/>
            <w:color w:val="000000"/>
            <w:szCs w:val="22"/>
          </w:rPr>
          <w:t>Sheppard</w:t>
        </w:r>
        <w:r w:rsidR="00964A70" w:rsidRPr="00370E70">
          <w:rPr>
            <w:rFonts w:cs="TimesNewRoman"/>
            <w:i/>
            <w:noProof/>
            <w:color w:val="000000"/>
            <w:szCs w:val="22"/>
          </w:rPr>
          <w:t xml:space="preserve"> et al.</w:t>
        </w:r>
        <w:r w:rsidR="00964A70" w:rsidRPr="00370E70">
          <w:rPr>
            <w:rFonts w:cs="TimesNewRoman"/>
            <w:noProof/>
            <w:color w:val="000000"/>
            <w:szCs w:val="22"/>
          </w:rPr>
          <w:t xml:space="preserve"> 2009</w:t>
        </w:r>
        <w:r w:rsidR="00964A70" w:rsidRPr="00370E70">
          <w:rPr>
            <w:rFonts w:cs="TimesNewRoman"/>
            <w:color w:val="000000"/>
            <w:szCs w:val="22"/>
          </w:rPr>
          <w:fldChar w:fldCharType="end"/>
        </w:r>
      </w:hyperlink>
      <w:r w:rsidR="00E62433" w:rsidRPr="00370E70">
        <w:rPr>
          <w:rFonts w:cs="TimesNewRoman"/>
          <w:color w:val="000000"/>
          <w:szCs w:val="22"/>
        </w:rPr>
        <w:t>;</w:t>
      </w:r>
      <w:r w:rsidR="00145BB9" w:rsidRPr="00370E70">
        <w:rPr>
          <w:rFonts w:cs="TimesNewRoman"/>
          <w:color w:val="000000"/>
          <w:szCs w:val="22"/>
        </w:rPr>
        <w:t xml:space="preserve"> </w:t>
      </w:r>
      <w:r w:rsidR="00145BB9" w:rsidRPr="00370E70">
        <w:rPr>
          <w:rFonts w:cs="TimesNewRoman"/>
          <w:color w:val="000000"/>
          <w:szCs w:val="22"/>
        </w:rPr>
        <w:fldChar w:fldCharType="begin">
          <w:fldData xml:space="preserve">PEVuZE5vdGU+PENpdGU+PEF1dGhvcj5MYXZlcnk8L0F1dGhvcj48WWVhcj4yMDEzPC9ZZWFyPjxS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</w:fldData>
        </w:fldChar>
      </w:r>
      <w:r w:rsidR="00126051" w:rsidRPr="00370E70">
        <w:rPr>
          <w:rFonts w:cs="TimesNewRoman"/>
          <w:color w:val="000000"/>
          <w:szCs w:val="22"/>
        </w:rPr>
        <w:instrText xml:space="preserve"> ADDIN EN.CITE </w:instrText>
      </w:r>
      <w:r w:rsidR="00126051" w:rsidRPr="00370E70">
        <w:rPr>
          <w:rFonts w:cs="TimesNewRoman"/>
          <w:color w:val="000000"/>
          <w:szCs w:val="22"/>
        </w:rPr>
        <w:fldChar w:fldCharType="begin">
          <w:fldData xml:space="preserve">PEVuZE5vdGU+PENpdGU+PEF1dGhvcj5MYXZlcnk8L0F1dGhvcj48WWVhcj4yMDEzPC9ZZWFyPjxS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</w:fldData>
        </w:fldChar>
      </w:r>
      <w:r w:rsidR="00126051" w:rsidRPr="00370E70">
        <w:rPr>
          <w:rFonts w:cs="TimesNewRoman"/>
          <w:color w:val="000000"/>
          <w:szCs w:val="22"/>
        </w:rPr>
        <w:instrText xml:space="preserve"> ADDIN EN.CITE.DATA </w:instrText>
      </w:r>
      <w:r w:rsidR="00126051" w:rsidRPr="00370E70">
        <w:rPr>
          <w:rFonts w:cs="TimesNewRoman"/>
          <w:color w:val="000000"/>
          <w:szCs w:val="22"/>
        </w:rPr>
      </w:r>
      <w:r w:rsidR="00126051" w:rsidRPr="00370E70">
        <w:rPr>
          <w:rFonts w:cs="TimesNewRoman"/>
          <w:color w:val="000000"/>
          <w:szCs w:val="22"/>
        </w:rPr>
        <w:fldChar w:fldCharType="end"/>
      </w:r>
      <w:r w:rsidR="00145BB9" w:rsidRPr="00370E70">
        <w:rPr>
          <w:rFonts w:cs="TimesNewRoman"/>
          <w:color w:val="000000"/>
          <w:szCs w:val="22"/>
        </w:rPr>
      </w:r>
      <w:r w:rsidR="00145BB9" w:rsidRPr="00370E70">
        <w:rPr>
          <w:rFonts w:cs="TimesNewRoman"/>
          <w:color w:val="000000"/>
          <w:szCs w:val="22"/>
        </w:rPr>
        <w:fldChar w:fldCharType="separate"/>
      </w:r>
      <w:hyperlink w:anchor="_ENREF_113" w:tooltip="Lanyon, 1989 #1247" w:history="1">
        <w:r w:rsidR="00964A70" w:rsidRPr="00370E70">
          <w:rPr>
            <w:rFonts w:cs="TimesNewRoman"/>
            <w:noProof/>
            <w:color w:val="000000"/>
            <w:szCs w:val="22"/>
          </w:rPr>
          <w:t>Lanyon</w:t>
        </w:r>
        <w:r w:rsidR="00964A70" w:rsidRPr="00370E70">
          <w:rPr>
            <w:rFonts w:cs="TimesNewRoman"/>
            <w:i/>
            <w:noProof/>
            <w:color w:val="000000"/>
            <w:szCs w:val="22"/>
          </w:rPr>
          <w:t>, et al.</w:t>
        </w:r>
        <w:r w:rsidR="00964A70" w:rsidRPr="00370E70">
          <w:rPr>
            <w:rFonts w:cs="TimesNewRoman"/>
            <w:noProof/>
            <w:color w:val="000000"/>
            <w:szCs w:val="22"/>
          </w:rPr>
          <w:t xml:space="preserve"> 1989</w:t>
        </w:r>
      </w:hyperlink>
      <w:r w:rsidR="00126051" w:rsidRPr="00370E70">
        <w:rPr>
          <w:rFonts w:cs="TimesNewRoman"/>
          <w:noProof/>
          <w:color w:val="000000"/>
          <w:szCs w:val="22"/>
        </w:rPr>
        <w:t xml:space="preserve">; </w:t>
      </w:r>
      <w:hyperlink w:anchor="_ENREF_141" w:tooltip="McKenzie, 2010 #9646" w:history="1">
        <w:r w:rsidR="00964A70" w:rsidRPr="00370E70">
          <w:rPr>
            <w:rFonts w:cs="TimesNewRoman"/>
            <w:noProof/>
            <w:color w:val="000000"/>
            <w:szCs w:val="22"/>
          </w:rPr>
          <w:t>McKenzie</w:t>
        </w:r>
        <w:r w:rsidR="00964A70" w:rsidRPr="00370E70">
          <w:rPr>
            <w:rFonts w:cs="TimesNewRoman"/>
            <w:i/>
            <w:noProof/>
            <w:color w:val="000000"/>
            <w:szCs w:val="22"/>
          </w:rPr>
          <w:t>, et al.</w:t>
        </w:r>
        <w:r w:rsidR="00964A70" w:rsidRPr="00370E70">
          <w:rPr>
            <w:rFonts w:cs="TimesNewRoman"/>
            <w:noProof/>
            <w:color w:val="000000"/>
            <w:szCs w:val="22"/>
          </w:rPr>
          <w:t xml:space="preserve"> 2010c</w:t>
        </w:r>
      </w:hyperlink>
      <w:r w:rsidR="00126051" w:rsidRPr="00370E70">
        <w:rPr>
          <w:rFonts w:cs="TimesNewRoman"/>
          <w:noProof/>
          <w:color w:val="000000"/>
          <w:szCs w:val="22"/>
        </w:rPr>
        <w:t xml:space="preserve">; </w:t>
      </w:r>
      <w:hyperlink w:anchor="_ENREF_114" w:tooltip="Lavery, 2013 #9707" w:history="1">
        <w:r w:rsidR="00964A70" w:rsidRPr="00370E70">
          <w:rPr>
            <w:rFonts w:cs="TimesNewRoman"/>
            <w:noProof/>
            <w:color w:val="000000"/>
            <w:szCs w:val="22"/>
          </w:rPr>
          <w:t>Lavery</w:t>
        </w:r>
        <w:r w:rsidR="00964A70" w:rsidRPr="00370E70">
          <w:rPr>
            <w:rFonts w:cs="TimesNewRoman"/>
            <w:i/>
            <w:noProof/>
            <w:color w:val="000000"/>
            <w:szCs w:val="22"/>
          </w:rPr>
          <w:t xml:space="preserve"> et al.</w:t>
        </w:r>
        <w:r w:rsidR="00964A70" w:rsidRPr="00370E70">
          <w:rPr>
            <w:rFonts w:cs="TimesNewRoman"/>
            <w:noProof/>
            <w:color w:val="000000"/>
            <w:szCs w:val="22"/>
          </w:rPr>
          <w:t xml:space="preserve"> 2013</w:t>
        </w:r>
      </w:hyperlink>
      <w:r w:rsidR="00145BB9" w:rsidRPr="00370E70">
        <w:rPr>
          <w:rFonts w:cs="TimesNewRoman"/>
          <w:color w:val="000000"/>
          <w:szCs w:val="22"/>
        </w:rPr>
        <w:fldChar w:fldCharType="end"/>
      </w:r>
      <w:r w:rsidR="00145BB9" w:rsidRPr="00370E70">
        <w:rPr>
          <w:rFonts w:cs="TimesNewRoman"/>
          <w:color w:val="000000"/>
          <w:szCs w:val="22"/>
        </w:rPr>
        <w:t xml:space="preserve">). It is these </w:t>
      </w:r>
      <w:r w:rsidR="00E62433" w:rsidRPr="00370E70">
        <w:rPr>
          <w:rFonts w:cs="TimesNewRoman"/>
          <w:color w:val="000000"/>
          <w:szCs w:val="22"/>
        </w:rPr>
        <w:t xml:space="preserve">inshore </w:t>
      </w:r>
      <w:r w:rsidR="00145BB9" w:rsidRPr="00370E70">
        <w:rPr>
          <w:rFonts w:cs="TimesNewRoman"/>
          <w:color w:val="000000"/>
          <w:szCs w:val="22"/>
        </w:rPr>
        <w:t>meadows that occur at the frontline of runoff and inshore water quality deterioration.</w:t>
      </w:r>
    </w:p>
    <w:p w:rsidR="005F6872" w:rsidRPr="00370E70" w:rsidRDefault="005F6872" w:rsidP="005F6872">
      <w:pPr>
        <w:autoSpaceDE w:val="0"/>
        <w:autoSpaceDN w:val="0"/>
        <w:adjustRightInd w:val="0"/>
        <w:rPr>
          <w:rFonts w:cs="TimesNewRoman"/>
          <w:color w:val="000000"/>
          <w:szCs w:val="22"/>
        </w:rPr>
      </w:pPr>
      <w:r w:rsidRPr="00370E70">
        <w:rPr>
          <w:rFonts w:cs="TimesNewRoman"/>
          <w:color w:val="000000"/>
          <w:szCs w:val="22"/>
        </w:rPr>
        <w:t xml:space="preserve">The long-term average seagrass percent cover at each of the inshore intertidal seagrass habitats of the GBR (prior to 2011) was 13% for estuarine, 16% for coastal, and 22% for reef. Seagrass species richness differs between locations and habitats in the GBR Region, with inshore reef habitats more specious than meadows at coastal or estuarine habitats. Intertidal seagrass meadow cover (as a percentage of the substrate covered by plant material) also varies between locations along the length of the GBR. </w:t>
      </w:r>
    </w:p>
    <w:p w:rsidR="00190C16" w:rsidRDefault="00FD1713" w:rsidP="005F6872">
      <w:pPr>
        <w:autoSpaceDE w:val="0"/>
        <w:autoSpaceDN w:val="0"/>
        <w:adjustRightInd w:val="0"/>
        <w:rPr>
          <w:rFonts w:cs="TimesNewRoman"/>
          <w:color w:val="000000"/>
          <w:szCs w:val="22"/>
        </w:rPr>
      </w:pPr>
      <w:r w:rsidRPr="00370E70">
        <w:rPr>
          <w:rFonts w:cs="TimesNewRoman"/>
          <w:color w:val="000000"/>
          <w:szCs w:val="22"/>
        </w:rPr>
        <w:t>Prior to the extreme weather events of 2011,</w:t>
      </w:r>
      <w:r w:rsidR="003001AD" w:rsidRPr="00370E70">
        <w:rPr>
          <w:rFonts w:cs="TimesNewRoman"/>
          <w:color w:val="000000"/>
          <w:szCs w:val="22"/>
        </w:rPr>
        <w:t xml:space="preserve"> the</w:t>
      </w:r>
      <w:r w:rsidRPr="00370E70">
        <w:rPr>
          <w:rFonts w:cs="TimesNewRoman"/>
          <w:color w:val="000000"/>
          <w:szCs w:val="22"/>
        </w:rPr>
        <w:t xml:space="preserve"> inshore seagrass state had been </w:t>
      </w:r>
      <w:r w:rsidR="003001AD" w:rsidRPr="00370E70">
        <w:rPr>
          <w:rFonts w:cs="TimesNewRoman"/>
          <w:color w:val="000000"/>
          <w:szCs w:val="22"/>
        </w:rPr>
        <w:t xml:space="preserve">gradually </w:t>
      </w:r>
      <w:r w:rsidRPr="00370E70">
        <w:rPr>
          <w:rFonts w:cs="TimesNewRoman"/>
          <w:color w:val="000000"/>
          <w:szCs w:val="22"/>
        </w:rPr>
        <w:t xml:space="preserve">declining </w:t>
      </w:r>
      <w:r w:rsidR="00AC523C" w:rsidRPr="00370E70">
        <w:rPr>
          <w:rFonts w:cs="TimesNewRoman"/>
          <w:color w:val="000000"/>
          <w:szCs w:val="22"/>
        </w:rPr>
        <w:t>along</w:t>
      </w:r>
      <w:r w:rsidRPr="00370E70">
        <w:rPr>
          <w:rFonts w:cs="TimesNewRoman"/>
          <w:color w:val="000000"/>
          <w:szCs w:val="22"/>
        </w:rPr>
        <w:t xml:space="preserve"> the GBR developed coast</w:t>
      </w:r>
      <w:r w:rsidR="00AC523C" w:rsidRPr="00370E70">
        <w:rPr>
          <w:rFonts w:cs="TimesNewRoman"/>
          <w:color w:val="000000"/>
          <w:szCs w:val="22"/>
        </w:rPr>
        <w:t>. In</w:t>
      </w:r>
      <w:r w:rsidRPr="00370E70">
        <w:rPr>
          <w:rFonts w:cs="TimesNewRoman"/>
          <w:color w:val="000000"/>
          <w:szCs w:val="22"/>
        </w:rPr>
        <w:t xml:space="preserve"> 2006</w:t>
      </w:r>
      <w:r w:rsidR="00AC523C" w:rsidRPr="00370E70">
        <w:rPr>
          <w:rFonts w:cs="TimesNewRoman"/>
          <w:color w:val="000000"/>
          <w:szCs w:val="22"/>
        </w:rPr>
        <w:t>, meadows in the north were impacted by a tropical cyclone and associated flooding</w:t>
      </w:r>
      <w:r w:rsidRPr="00370E70">
        <w:rPr>
          <w:rFonts w:cs="TimesNewRoman"/>
          <w:color w:val="000000"/>
          <w:szCs w:val="22"/>
        </w:rPr>
        <w:t xml:space="preserve">. However, it was not until 2009, that the level of decline </w:t>
      </w:r>
      <w:r w:rsidR="003001AD" w:rsidRPr="00370E70">
        <w:rPr>
          <w:rFonts w:cs="TimesNewRoman"/>
          <w:color w:val="000000"/>
          <w:szCs w:val="22"/>
        </w:rPr>
        <w:t>became</w:t>
      </w:r>
      <w:r w:rsidR="003057BF" w:rsidRPr="00370E70">
        <w:rPr>
          <w:rFonts w:cs="TimesNewRoman"/>
          <w:color w:val="000000"/>
          <w:szCs w:val="22"/>
        </w:rPr>
        <w:t xml:space="preserve"> substantial across all habitats </w:t>
      </w:r>
      <w:r w:rsidRPr="00370E70">
        <w:rPr>
          <w:rFonts w:cs="TimesNewRoman"/>
          <w:color w:val="000000"/>
          <w:szCs w:val="22"/>
        </w:rPr>
        <w:t>and meadows were in a vulnerable condition</w:t>
      </w:r>
      <w:r w:rsidR="003001AD" w:rsidRPr="00370E70">
        <w:rPr>
          <w:rFonts w:cs="TimesNewRoman"/>
          <w:color w:val="000000"/>
          <w:szCs w:val="22"/>
        </w:rPr>
        <w:t xml:space="preserve"> leading up to the events of 2011</w:t>
      </w:r>
      <w:r w:rsidRPr="00370E70">
        <w:rPr>
          <w:rFonts w:cs="TimesNewRoman"/>
          <w:color w:val="000000"/>
          <w:szCs w:val="22"/>
        </w:rPr>
        <w:t>.</w:t>
      </w:r>
      <w:r w:rsidR="003057BF" w:rsidRPr="00370E70">
        <w:rPr>
          <w:rFonts w:cs="TimesNewRoman"/>
          <w:color w:val="000000"/>
          <w:szCs w:val="22"/>
        </w:rPr>
        <w:t xml:space="preserve"> </w:t>
      </w:r>
      <w:r w:rsidR="00AC523C" w:rsidRPr="00370E70">
        <w:rPr>
          <w:rFonts w:cs="TimesNewRoman"/>
          <w:color w:val="000000"/>
          <w:szCs w:val="22"/>
        </w:rPr>
        <w:t>Post the extreme weather events of 2011</w:t>
      </w:r>
      <w:r w:rsidR="003001AD" w:rsidRPr="00370E70">
        <w:rPr>
          <w:rFonts w:cs="TimesNewRoman"/>
          <w:color w:val="000000"/>
          <w:szCs w:val="22"/>
        </w:rPr>
        <w:t>,</w:t>
      </w:r>
      <w:r w:rsidR="003057BF" w:rsidRPr="00370E70">
        <w:rPr>
          <w:rFonts w:cs="TimesNewRoman"/>
          <w:color w:val="000000"/>
          <w:szCs w:val="22"/>
        </w:rPr>
        <w:t xml:space="preserve"> </w:t>
      </w:r>
      <w:r w:rsidR="003001AD" w:rsidRPr="00370E70">
        <w:rPr>
          <w:rFonts w:cs="TimesNewRoman"/>
          <w:color w:val="000000"/>
          <w:szCs w:val="22"/>
        </w:rPr>
        <w:t xml:space="preserve">the </w:t>
      </w:r>
      <w:r w:rsidR="003057BF" w:rsidRPr="00370E70">
        <w:rPr>
          <w:rFonts w:cs="TimesNewRoman"/>
          <w:color w:val="000000"/>
          <w:szCs w:val="22"/>
        </w:rPr>
        <w:t xml:space="preserve">abundances of </w:t>
      </w:r>
      <w:r w:rsidR="003001AD" w:rsidRPr="00370E70">
        <w:rPr>
          <w:rFonts w:cs="TimesNewRoman"/>
          <w:color w:val="000000"/>
          <w:szCs w:val="22"/>
        </w:rPr>
        <w:t xml:space="preserve">GBR </w:t>
      </w:r>
      <w:r w:rsidR="003057BF" w:rsidRPr="00370E70">
        <w:rPr>
          <w:rFonts w:cs="TimesNewRoman"/>
          <w:color w:val="000000"/>
          <w:szCs w:val="22"/>
        </w:rPr>
        <w:t xml:space="preserve">inshore seagrass </w:t>
      </w:r>
      <w:r w:rsidR="00AC523C" w:rsidRPr="00370E70">
        <w:rPr>
          <w:rFonts w:cs="TimesNewRoman"/>
          <w:color w:val="000000"/>
          <w:szCs w:val="22"/>
        </w:rPr>
        <w:t xml:space="preserve">were </w:t>
      </w:r>
      <w:r w:rsidR="003057BF" w:rsidRPr="00370E70">
        <w:rPr>
          <w:rFonts w:cs="TimesNewRoman"/>
          <w:color w:val="000000"/>
          <w:szCs w:val="22"/>
        </w:rPr>
        <w:t>the lowest recorded since monitoring was established. In the 2011</w:t>
      </w:r>
      <w:r w:rsidR="003001AD" w:rsidRPr="00370E70">
        <w:rPr>
          <w:rFonts w:cs="TimesNewRoman"/>
          <w:color w:val="000000"/>
          <w:szCs w:val="22"/>
        </w:rPr>
        <w:t>/</w:t>
      </w:r>
      <w:r w:rsidR="003057BF" w:rsidRPr="00370E70">
        <w:rPr>
          <w:rFonts w:cs="TimesNewRoman"/>
          <w:color w:val="000000"/>
          <w:szCs w:val="22"/>
        </w:rPr>
        <w:t xml:space="preserve">12 monitoring period, 87% of the RRMMP sites examined </w:t>
      </w:r>
      <w:r w:rsidR="003001AD" w:rsidRPr="00370E70">
        <w:rPr>
          <w:rFonts w:cs="TimesNewRoman"/>
          <w:color w:val="000000"/>
          <w:szCs w:val="22"/>
        </w:rPr>
        <w:t>remained</w:t>
      </w:r>
      <w:r w:rsidR="003057BF" w:rsidRPr="00370E70">
        <w:rPr>
          <w:rFonts w:cs="TimesNewRoman"/>
          <w:color w:val="000000"/>
          <w:szCs w:val="22"/>
        </w:rPr>
        <w:t xml:space="preserve"> classified as poor or very poor in abundance (below the guidelines). In 2012</w:t>
      </w:r>
      <w:r w:rsidR="003001AD" w:rsidRPr="00370E70">
        <w:rPr>
          <w:rFonts w:cs="TimesNewRoman"/>
          <w:color w:val="000000"/>
          <w:szCs w:val="22"/>
        </w:rPr>
        <w:t>,</w:t>
      </w:r>
      <w:r w:rsidR="003057BF" w:rsidRPr="00370E70">
        <w:rPr>
          <w:rFonts w:cs="TimesNewRoman"/>
          <w:color w:val="000000"/>
          <w:szCs w:val="22"/>
        </w:rPr>
        <w:t xml:space="preserve"> abundances began to increase with the onset of recovery, but continued to remain low.</w:t>
      </w:r>
      <w:r w:rsidR="00AC523C" w:rsidRPr="00370E70">
        <w:rPr>
          <w:rFonts w:cs="TimesNewRoman"/>
          <w:color w:val="000000"/>
          <w:szCs w:val="22"/>
        </w:rPr>
        <w:t xml:space="preserve"> </w:t>
      </w:r>
      <w:r w:rsidR="005132EF" w:rsidRPr="00370E70">
        <w:rPr>
          <w:rFonts w:cs="TimesNewRoman"/>
          <w:color w:val="000000"/>
          <w:szCs w:val="22"/>
        </w:rPr>
        <w:t xml:space="preserve">68% of the meadows which had declined in </w:t>
      </w:r>
      <w:r w:rsidR="00AC523C" w:rsidRPr="00370E70">
        <w:rPr>
          <w:rFonts w:cs="TimesNewRoman"/>
          <w:color w:val="000000"/>
          <w:szCs w:val="22"/>
        </w:rPr>
        <w:t>extent</w:t>
      </w:r>
      <w:r w:rsidR="005132EF" w:rsidRPr="00370E70">
        <w:rPr>
          <w:rFonts w:cs="TimesNewRoman"/>
          <w:color w:val="000000"/>
          <w:szCs w:val="22"/>
        </w:rPr>
        <w:t xml:space="preserve"> or were absent for some period over the </w:t>
      </w:r>
      <w:r w:rsidR="00AC523C" w:rsidRPr="00370E70">
        <w:rPr>
          <w:rFonts w:cs="TimesNewRoman"/>
          <w:color w:val="000000"/>
          <w:szCs w:val="22"/>
        </w:rPr>
        <w:t>previous</w:t>
      </w:r>
      <w:r w:rsidR="005132EF" w:rsidRPr="00370E70">
        <w:rPr>
          <w:rFonts w:cs="TimesNewRoman"/>
          <w:color w:val="000000"/>
          <w:szCs w:val="22"/>
        </w:rPr>
        <w:t xml:space="preserve"> 2-5 years, started to reappear or increase area in early 2012. </w:t>
      </w:r>
      <w:r w:rsidR="00AC523C" w:rsidRPr="00370E70">
        <w:rPr>
          <w:rFonts w:cs="TimesNewRoman"/>
          <w:color w:val="000000"/>
          <w:szCs w:val="22"/>
        </w:rPr>
        <w:t>Much of this increase is possibly the result of clonal growth</w:t>
      </w:r>
      <w:r w:rsidR="00D265DE" w:rsidRPr="00370E70">
        <w:rPr>
          <w:rFonts w:cs="TimesNewRoman"/>
          <w:color w:val="000000"/>
          <w:szCs w:val="22"/>
        </w:rPr>
        <w:t>,</w:t>
      </w:r>
      <w:r w:rsidR="00AC523C" w:rsidRPr="00370E70">
        <w:rPr>
          <w:rFonts w:cs="TimesNewRoman"/>
          <w:color w:val="000000"/>
          <w:szCs w:val="22"/>
        </w:rPr>
        <w:t xml:space="preserve"> persistent seed banks </w:t>
      </w:r>
      <w:r w:rsidR="00D265DE" w:rsidRPr="00370E70">
        <w:rPr>
          <w:rFonts w:cs="TimesNewRoman"/>
          <w:color w:val="000000"/>
          <w:szCs w:val="22"/>
        </w:rPr>
        <w:t>or</w:t>
      </w:r>
      <w:r w:rsidR="00AC523C" w:rsidRPr="00370E70">
        <w:rPr>
          <w:rFonts w:cs="TimesNewRoman"/>
          <w:color w:val="000000"/>
          <w:szCs w:val="22"/>
        </w:rPr>
        <w:t xml:space="preserve"> transloca</w:t>
      </w:r>
      <w:r w:rsidR="00D265DE" w:rsidRPr="00370E70">
        <w:rPr>
          <w:rFonts w:cs="TimesNewRoman"/>
          <w:color w:val="000000"/>
          <w:szCs w:val="22"/>
        </w:rPr>
        <w:t>tion of vegetative fragments. Meadows that increased had undergone a state change to be dominated by colonising seagrass species rather than the foundation species. For recovery to progress to the foundation specie</w:t>
      </w:r>
      <w:r w:rsidR="00190C16">
        <w:rPr>
          <w:rFonts w:cs="TimesNewRoman"/>
          <w:color w:val="000000"/>
          <w:szCs w:val="22"/>
        </w:rPr>
        <w:t>75</w:t>
      </w:r>
    </w:p>
    <w:p w:rsidR="005132EF" w:rsidRPr="00370E70" w:rsidRDefault="00D265DE" w:rsidP="005F6872">
      <w:pPr>
        <w:autoSpaceDE w:val="0"/>
        <w:autoSpaceDN w:val="0"/>
        <w:adjustRightInd w:val="0"/>
        <w:rPr>
          <w:rFonts w:cs="TimesNewRoman"/>
          <w:color w:val="000000"/>
          <w:szCs w:val="22"/>
        </w:rPr>
      </w:pPr>
      <w:r w:rsidRPr="00370E70">
        <w:rPr>
          <w:rFonts w:cs="TimesNewRoman"/>
          <w:color w:val="000000"/>
          <w:szCs w:val="22"/>
        </w:rPr>
        <w:lastRenderedPageBreak/>
        <w:t xml:space="preserve">s may take another 1-2 years as reproductive effort has generally declined across the regions. The presence of improving seed banks in many locations will, however, improve the capacity of the seagrass to recover. There are some locations (e.g. </w:t>
      </w:r>
      <w:smartTag w:uri="urn:schemas-microsoft-com:office:smarttags" w:element="PlaceName">
        <w:r w:rsidRPr="00370E70">
          <w:rPr>
            <w:rFonts w:cs="TimesNewRoman"/>
            <w:color w:val="000000"/>
            <w:szCs w:val="22"/>
          </w:rPr>
          <w:t>Lugger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r w:rsidRPr="00370E70">
        <w:rPr>
          <w:rFonts w:cs="TimesNewRoman"/>
          <w:color w:val="000000"/>
          <w:szCs w:val="22"/>
        </w:rPr>
        <w:t xml:space="preserve">, </w:t>
      </w:r>
      <w:smartTag w:uri="urn:schemas-microsoft-com:office:smarttags" w:element="PlaceName">
        <w:r w:rsidRPr="00370E70">
          <w:rPr>
            <w:rFonts w:cs="TimesNewRoman"/>
            <w:color w:val="000000"/>
            <w:szCs w:val="22"/>
          </w:rPr>
          <w:t>Dunk</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r w:rsidRPr="00370E70">
        <w:rPr>
          <w:rFonts w:cs="TimesNewRoman"/>
          <w:color w:val="000000"/>
          <w:szCs w:val="22"/>
        </w:rPr>
        <w:t xml:space="preserve">, </w:t>
      </w:r>
      <w:smartTag w:uri="urn:schemas-microsoft-com:office:smarttags" w:element="place">
        <w:smartTag w:uri="urn:schemas-microsoft-com:office:smarttags" w:element="PlaceName">
          <w:r w:rsidRPr="00370E70">
            <w:rPr>
              <w:rFonts w:cs="TimesNewRoman"/>
              <w:color w:val="000000"/>
              <w:szCs w:val="22"/>
            </w:rPr>
            <w:t>Great</w:t>
          </w:r>
        </w:smartTag>
        <w:r w:rsidRPr="00370E70">
          <w:rPr>
            <w:rFonts w:cs="TimesNewRoman"/>
            <w:color w:val="000000"/>
            <w:szCs w:val="22"/>
          </w:rPr>
          <w:t xml:space="preserve"> </w:t>
        </w:r>
        <w:smartTag w:uri="urn:schemas-microsoft-com:office:smarttags" w:element="PlaceName">
          <w:r w:rsidRPr="00370E70">
            <w:rPr>
              <w:rFonts w:cs="TimesNewRoman"/>
              <w:color w:val="000000"/>
              <w:szCs w:val="22"/>
            </w:rPr>
            <w:t>Keppel</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smartTag>
      <w:r w:rsidRPr="00370E70">
        <w:rPr>
          <w:rFonts w:cs="TimesNewRoman"/>
          <w:color w:val="000000"/>
          <w:szCs w:val="22"/>
        </w:rPr>
        <w:t>) which risk delayed recovery  because they lack seed and seagrass abundance and reproductive effort remain</w:t>
      </w:r>
      <w:r w:rsidR="00E62433" w:rsidRPr="00370E70">
        <w:rPr>
          <w:rFonts w:cs="TimesNewRoman"/>
          <w:color w:val="000000"/>
          <w:szCs w:val="22"/>
        </w:rPr>
        <w:t>s</w:t>
      </w:r>
      <w:r w:rsidRPr="00370E70">
        <w:rPr>
          <w:rFonts w:cs="TimesNewRoman"/>
          <w:color w:val="000000"/>
          <w:szCs w:val="22"/>
        </w:rPr>
        <w:t xml:space="preserve"> low.</w:t>
      </w:r>
    </w:p>
    <w:p w:rsidR="003057BF" w:rsidRPr="00370E70" w:rsidRDefault="00D265DE" w:rsidP="005F6872">
      <w:pPr>
        <w:autoSpaceDE w:val="0"/>
        <w:autoSpaceDN w:val="0"/>
        <w:adjustRightInd w:val="0"/>
        <w:rPr>
          <w:rFonts w:cs="TimesNewRoman"/>
          <w:color w:val="000000"/>
          <w:szCs w:val="22"/>
        </w:rPr>
      </w:pPr>
      <w:r w:rsidRPr="00370E70">
        <w:rPr>
          <w:rFonts w:cs="TimesNewRoman"/>
          <w:color w:val="000000"/>
          <w:szCs w:val="22"/>
        </w:rPr>
        <w:t xml:space="preserve">Improved light conditions in 2011/12 (i.e. higher than long-term average) will also assist seagrass recovery. Although </w:t>
      </w:r>
      <w:r w:rsidR="00B54B5E" w:rsidRPr="00370E70">
        <w:rPr>
          <w:rFonts w:cs="TimesNewRoman"/>
          <w:color w:val="000000"/>
          <w:szCs w:val="22"/>
        </w:rPr>
        <w:t xml:space="preserve">light availability is lower in </w:t>
      </w:r>
      <w:r w:rsidR="000F5621" w:rsidRPr="00370E70">
        <w:rPr>
          <w:rFonts w:cs="TimesNewRoman"/>
          <w:color w:val="000000"/>
          <w:szCs w:val="22"/>
        </w:rPr>
        <w:t>subtidal than intertidal</w:t>
      </w:r>
      <w:r w:rsidR="00B54B5E" w:rsidRPr="00370E70">
        <w:rPr>
          <w:rFonts w:cs="TimesNewRoman"/>
          <w:color w:val="000000"/>
          <w:szCs w:val="22"/>
        </w:rPr>
        <w:t xml:space="preserve"> and coastal than reef, </w:t>
      </w:r>
      <w:r w:rsidR="003057BF" w:rsidRPr="00370E70">
        <w:rPr>
          <w:rFonts w:cs="TimesNewRoman"/>
          <w:color w:val="000000"/>
          <w:szCs w:val="22"/>
        </w:rPr>
        <w:t xml:space="preserve">light </w:t>
      </w:r>
      <w:r w:rsidR="00B54B5E" w:rsidRPr="00370E70">
        <w:rPr>
          <w:rFonts w:cs="TimesNewRoman"/>
          <w:color w:val="000000"/>
          <w:szCs w:val="22"/>
        </w:rPr>
        <w:t xml:space="preserve">availability is </w:t>
      </w:r>
      <w:r w:rsidR="003057BF" w:rsidRPr="00370E70">
        <w:rPr>
          <w:rFonts w:cs="TimesNewRoman"/>
          <w:color w:val="000000"/>
          <w:szCs w:val="22"/>
        </w:rPr>
        <w:t>largely increasing or stable</w:t>
      </w:r>
      <w:r w:rsidR="00B54B5E" w:rsidRPr="00370E70">
        <w:rPr>
          <w:rFonts w:cs="TimesNewRoman"/>
          <w:color w:val="000000"/>
          <w:szCs w:val="22"/>
        </w:rPr>
        <w:t>.</w:t>
      </w:r>
      <w:r w:rsidR="005F6872" w:rsidRPr="00370E70">
        <w:rPr>
          <w:rFonts w:cs="TimesNewRoman"/>
          <w:color w:val="000000"/>
          <w:szCs w:val="22"/>
        </w:rPr>
        <w:t xml:space="preserve"> </w:t>
      </w:r>
    </w:p>
    <w:p w:rsidR="0021563F" w:rsidRPr="00370E70" w:rsidRDefault="004E2953" w:rsidP="004E2953">
      <w:pPr>
        <w:autoSpaceDE w:val="0"/>
        <w:autoSpaceDN w:val="0"/>
        <w:adjustRightInd w:val="0"/>
        <w:rPr>
          <w:rFonts w:cs="TimesNewRoman"/>
          <w:color w:val="000000"/>
          <w:szCs w:val="22"/>
        </w:rPr>
      </w:pPr>
      <w:r w:rsidRPr="00370E70">
        <w:rPr>
          <w:rFonts w:cs="TimesNewRoman"/>
          <w:color w:val="000000"/>
          <w:szCs w:val="22"/>
        </w:rPr>
        <w:t xml:space="preserve">Seagrass leaf tissue nutrients for foundation species across the majority of GBR habitats and locations in late 2011 suggested P and N surplus to C requirements. The high tissue nutrient concentrations measured across most locations were likely a consequence of the elevated N, where the primary source of N was </w:t>
      </w:r>
      <w:r w:rsidR="00E62433" w:rsidRPr="00370E70">
        <w:rPr>
          <w:rFonts w:cs="TimesNewRoman"/>
          <w:color w:val="000000"/>
          <w:szCs w:val="22"/>
        </w:rPr>
        <w:t xml:space="preserve">possibly anthropogenically influenced by </w:t>
      </w:r>
      <w:r w:rsidRPr="00370E70">
        <w:rPr>
          <w:rFonts w:cs="TimesNewRoman"/>
          <w:color w:val="000000"/>
          <w:szCs w:val="22"/>
        </w:rPr>
        <w:t xml:space="preserve">fertiliser. The only exception was </w:t>
      </w:r>
      <w:smartTag w:uri="urn:schemas-microsoft-com:office:smarttags" w:element="place">
        <w:smartTag w:uri="urn:schemas-microsoft-com:office:smarttags" w:element="PlaceName">
          <w:r w:rsidRPr="00370E70">
            <w:rPr>
              <w:rFonts w:cs="TimesNewRoman"/>
              <w:color w:val="000000"/>
              <w:szCs w:val="22"/>
            </w:rPr>
            <w:t>Gladstone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Harbour</w:t>
          </w:r>
        </w:smartTag>
      </w:smartTag>
      <w:r w:rsidRPr="00370E70">
        <w:rPr>
          <w:rFonts w:cs="TimesNewRoman"/>
          <w:color w:val="000000"/>
          <w:szCs w:val="22"/>
        </w:rPr>
        <w:t xml:space="preserve"> where N was limited</w:t>
      </w:r>
      <w:r w:rsidR="00E62433" w:rsidRPr="00370E70">
        <w:rPr>
          <w:rFonts w:cs="TimesNewRoman"/>
          <w:color w:val="000000"/>
          <w:szCs w:val="22"/>
        </w:rPr>
        <w:t xml:space="preserve"> relative to P</w:t>
      </w:r>
      <w:r w:rsidRPr="00370E70">
        <w:rPr>
          <w:rFonts w:cs="TimesNewRoman"/>
          <w:color w:val="000000"/>
          <w:szCs w:val="22"/>
        </w:rPr>
        <w:t xml:space="preserve">. </w:t>
      </w:r>
      <w:r w:rsidR="0021563F" w:rsidRPr="00370E70">
        <w:rPr>
          <w:rFonts w:cs="TimesNewRoman"/>
          <w:color w:val="000000"/>
          <w:szCs w:val="22"/>
        </w:rPr>
        <w:t xml:space="preserve">The elevated N in the system is possibly a consequence of increased runoff inputs over recent years. The elevated N may have also </w:t>
      </w:r>
      <w:r w:rsidR="006C6330" w:rsidRPr="00370E70">
        <w:rPr>
          <w:rFonts w:cs="TimesNewRoman"/>
          <w:color w:val="000000"/>
          <w:szCs w:val="22"/>
        </w:rPr>
        <w:t>resulted</w:t>
      </w:r>
      <w:r w:rsidR="0021563F" w:rsidRPr="00370E70">
        <w:rPr>
          <w:rFonts w:cs="TimesNewRoman"/>
          <w:color w:val="000000"/>
          <w:szCs w:val="22"/>
        </w:rPr>
        <w:t xml:space="preserve"> in the slight increase in epiphyte abundance on the seagrass leaves in 2011/12. It would be expected that seagrass growth would increase with improving light availability, however, this may be offset by the increasing epiphytes.</w:t>
      </w:r>
    </w:p>
    <w:p w:rsidR="0021563F" w:rsidRPr="00370E70" w:rsidRDefault="00BF5422" w:rsidP="00BF5422">
      <w:pPr>
        <w:autoSpaceDE w:val="0"/>
        <w:autoSpaceDN w:val="0"/>
        <w:adjustRightInd w:val="0"/>
        <w:rPr>
          <w:rFonts w:cs="TimesNewRoman"/>
          <w:color w:val="000000"/>
          <w:szCs w:val="22"/>
        </w:rPr>
      </w:pPr>
      <w:r w:rsidRPr="00370E70">
        <w:rPr>
          <w:rFonts w:cs="TimesNewRoman"/>
          <w:color w:val="000000"/>
          <w:szCs w:val="22"/>
        </w:rPr>
        <w:t xml:space="preserve">Although extreme water temperatures were recorded in March/April 2012, </w:t>
      </w:r>
      <w:r w:rsidR="005F6872" w:rsidRPr="00370E70">
        <w:rPr>
          <w:rFonts w:cs="TimesNewRoman"/>
          <w:color w:val="000000"/>
          <w:szCs w:val="22"/>
        </w:rPr>
        <w:t xml:space="preserve">within canopy sea temperatures in 2011/12 were </w:t>
      </w:r>
      <w:r w:rsidRPr="00370E70">
        <w:rPr>
          <w:rFonts w:cs="TimesNewRoman"/>
          <w:color w:val="000000"/>
          <w:szCs w:val="22"/>
        </w:rPr>
        <w:t xml:space="preserve">generally </w:t>
      </w:r>
      <w:r w:rsidR="005F6872" w:rsidRPr="00370E70">
        <w:rPr>
          <w:rFonts w:cs="TimesNewRoman"/>
          <w:color w:val="000000"/>
          <w:szCs w:val="22"/>
        </w:rPr>
        <w:t xml:space="preserve">similar </w:t>
      </w:r>
      <w:r w:rsidRPr="00370E70">
        <w:rPr>
          <w:rFonts w:cs="TimesNewRoman"/>
          <w:color w:val="000000"/>
          <w:szCs w:val="22"/>
        </w:rPr>
        <w:t>or slightly cooler than</w:t>
      </w:r>
      <w:r w:rsidR="005F6872" w:rsidRPr="00370E70">
        <w:rPr>
          <w:rFonts w:cs="TimesNewRoman"/>
          <w:color w:val="000000"/>
          <w:szCs w:val="22"/>
        </w:rPr>
        <w:t xml:space="preserve"> previous</w:t>
      </w:r>
      <w:r w:rsidR="0021563F" w:rsidRPr="00370E70">
        <w:rPr>
          <w:rFonts w:cs="TimesNewRoman"/>
          <w:color w:val="000000"/>
          <w:szCs w:val="22"/>
        </w:rPr>
        <w:t xml:space="preserve"> monitoring periods</w:t>
      </w:r>
      <w:r w:rsidRPr="00370E70">
        <w:rPr>
          <w:rFonts w:cs="TimesNewRoman"/>
          <w:color w:val="000000"/>
          <w:szCs w:val="22"/>
        </w:rPr>
        <w:t>.</w:t>
      </w:r>
      <w:r w:rsidR="005F6872" w:rsidRPr="00370E70">
        <w:rPr>
          <w:rFonts w:cs="TimesNewRoman"/>
          <w:color w:val="000000"/>
          <w:szCs w:val="22"/>
        </w:rPr>
        <w:t xml:space="preserve"> </w:t>
      </w:r>
      <w:r w:rsidR="0021563F" w:rsidRPr="00370E70">
        <w:rPr>
          <w:rFonts w:cs="TimesNewRoman"/>
          <w:color w:val="000000"/>
          <w:szCs w:val="22"/>
        </w:rPr>
        <w:t>Climate varied across the monitoring locations, however higher than average rainfall from the Wet Tropics south resulted in higher than median discharges from catchments that discharge directly to the coast.</w:t>
      </w:r>
    </w:p>
    <w:p w:rsidR="00FC4E7E" w:rsidRPr="00370E70" w:rsidRDefault="004E51E1" w:rsidP="00BF5422">
      <w:pPr>
        <w:autoSpaceDE w:val="0"/>
        <w:autoSpaceDN w:val="0"/>
        <w:adjustRightInd w:val="0"/>
        <w:rPr>
          <w:rFonts w:cs="TimesNewRoman"/>
          <w:color w:val="000000"/>
          <w:szCs w:val="22"/>
        </w:rPr>
      </w:pPr>
      <w:r w:rsidRPr="00370E70">
        <w:rPr>
          <w:rFonts w:cs="TimesNewRoman"/>
          <w:color w:val="000000"/>
          <w:szCs w:val="22"/>
        </w:rPr>
        <w:t xml:space="preserve">Overall there have been </w:t>
      </w:r>
      <w:r w:rsidR="004E2953" w:rsidRPr="00370E70">
        <w:rPr>
          <w:rFonts w:cs="TimesNewRoman"/>
          <w:color w:val="000000"/>
          <w:szCs w:val="22"/>
        </w:rPr>
        <w:t>marginal</w:t>
      </w:r>
      <w:r w:rsidRPr="00370E70">
        <w:rPr>
          <w:rFonts w:cs="TimesNewRoman"/>
          <w:color w:val="000000"/>
          <w:szCs w:val="22"/>
        </w:rPr>
        <w:t xml:space="preserve"> </w:t>
      </w:r>
      <w:r w:rsidR="00046227" w:rsidRPr="00370E70">
        <w:rPr>
          <w:rFonts w:cs="TimesNewRoman"/>
          <w:color w:val="000000"/>
          <w:szCs w:val="22"/>
        </w:rPr>
        <w:t>increases</w:t>
      </w:r>
      <w:r w:rsidRPr="00370E70">
        <w:rPr>
          <w:rFonts w:cs="TimesNewRoman"/>
          <w:color w:val="000000"/>
          <w:szCs w:val="22"/>
        </w:rPr>
        <w:t xml:space="preserve"> in seagrass abundance and extent as the </w:t>
      </w:r>
      <w:r w:rsidR="003057BF" w:rsidRPr="00370E70">
        <w:rPr>
          <w:rFonts w:cs="TimesNewRoman"/>
          <w:color w:val="000000"/>
          <w:szCs w:val="22"/>
        </w:rPr>
        <w:t>system remains in low health status</w:t>
      </w:r>
      <w:r w:rsidR="004E2953" w:rsidRPr="00370E70">
        <w:rPr>
          <w:rFonts w:cs="TimesNewRoman"/>
          <w:color w:val="000000"/>
          <w:szCs w:val="22"/>
        </w:rPr>
        <w:t xml:space="preserve"> (</w:t>
      </w:r>
      <w:r w:rsidR="003057BF" w:rsidRPr="00370E70">
        <w:rPr>
          <w:rFonts w:cs="TimesNewRoman"/>
          <w:color w:val="000000"/>
          <w:szCs w:val="22"/>
        </w:rPr>
        <w:t>very poor condition</w:t>
      </w:r>
      <w:r w:rsidR="004E2953" w:rsidRPr="00370E70">
        <w:rPr>
          <w:rFonts w:cs="TimesNewRoman"/>
          <w:color w:val="000000"/>
          <w:szCs w:val="22"/>
        </w:rPr>
        <w:t>)</w:t>
      </w:r>
      <w:r w:rsidR="00046227" w:rsidRPr="00370E70">
        <w:rPr>
          <w:rFonts w:cs="TimesNewRoman"/>
          <w:color w:val="000000"/>
          <w:szCs w:val="22"/>
        </w:rPr>
        <w:t xml:space="preserve"> (</w:t>
      </w:r>
      <w:r w:rsidR="00046227" w:rsidRPr="00370E70">
        <w:rPr>
          <w:rFonts w:cs="TimesNewRoman"/>
          <w:color w:val="000000"/>
          <w:szCs w:val="22"/>
        </w:rPr>
        <w:fldChar w:fldCharType="begin"/>
      </w:r>
      <w:r w:rsidR="00046227" w:rsidRPr="00370E70">
        <w:rPr>
          <w:rFonts w:cs="TimesNewRoman"/>
          <w:color w:val="000000"/>
          <w:szCs w:val="22"/>
        </w:rPr>
        <w:instrText xml:space="preserve"> REF _Ref305243921 \h </w:instrText>
      </w:r>
      <w:r w:rsidR="00046227" w:rsidRPr="00370E70">
        <w:rPr>
          <w:rFonts w:cs="TimesNewRoman"/>
          <w:color w:val="000000"/>
          <w:szCs w:val="22"/>
        </w:rPr>
      </w:r>
      <w:r w:rsidR="00046227" w:rsidRPr="00370E70">
        <w:rPr>
          <w:rFonts w:cs="TimesNewRoman"/>
          <w:color w:val="000000"/>
          <w:szCs w:val="22"/>
        </w:rPr>
        <w:fldChar w:fldCharType="separate"/>
      </w:r>
      <w:r w:rsidR="005B5FD6" w:rsidRPr="00370E70">
        <w:t xml:space="preserve">Table </w:t>
      </w:r>
      <w:r w:rsidR="005B5FD6">
        <w:rPr>
          <w:noProof/>
        </w:rPr>
        <w:t>12</w:t>
      </w:r>
      <w:r w:rsidR="00046227" w:rsidRPr="00370E70">
        <w:rPr>
          <w:rFonts w:cs="TimesNewRoman"/>
          <w:color w:val="000000"/>
          <w:szCs w:val="22"/>
        </w:rPr>
        <w:fldChar w:fldCharType="end"/>
      </w:r>
      <w:r w:rsidR="00046227" w:rsidRPr="00370E70">
        <w:rPr>
          <w:rFonts w:cs="TimesNewRoman"/>
          <w:color w:val="000000"/>
          <w:szCs w:val="22"/>
        </w:rPr>
        <w:t>)</w:t>
      </w:r>
      <w:r w:rsidR="004E2953" w:rsidRPr="00370E70">
        <w:rPr>
          <w:rFonts w:cs="TimesNewRoman"/>
          <w:color w:val="000000"/>
          <w:szCs w:val="22"/>
        </w:rPr>
        <w:t xml:space="preserve">. </w:t>
      </w:r>
      <w:r w:rsidR="00046227" w:rsidRPr="00370E70">
        <w:rPr>
          <w:rFonts w:cs="TimesNewRoman"/>
          <w:color w:val="000000"/>
          <w:szCs w:val="22"/>
        </w:rPr>
        <w:t>Regional m</w:t>
      </w:r>
      <w:r w:rsidR="00FC4E7E" w:rsidRPr="00370E70">
        <w:rPr>
          <w:rFonts w:cs="TimesNewRoman"/>
          <w:color w:val="000000"/>
          <w:szCs w:val="22"/>
        </w:rPr>
        <w:t xml:space="preserve">onitoring results indicate the onset of recovery from previous stressors and once re-established, seagrass meadows </w:t>
      </w:r>
      <w:r w:rsidR="00B23273" w:rsidRPr="00370E70">
        <w:rPr>
          <w:rFonts w:cs="TimesNewRoman"/>
          <w:color w:val="000000"/>
          <w:szCs w:val="22"/>
        </w:rPr>
        <w:t>would be</w:t>
      </w:r>
      <w:r w:rsidR="00FC4E7E" w:rsidRPr="00370E70">
        <w:rPr>
          <w:rFonts w:cs="TimesNewRoman"/>
          <w:color w:val="000000"/>
          <w:szCs w:val="22"/>
        </w:rPr>
        <w:t xml:space="preserve"> expected to increase in abundance and distribution should environmental conditions remain favourable.</w:t>
      </w:r>
      <w:r w:rsidR="00046227" w:rsidRPr="00370E70">
        <w:rPr>
          <w:rFonts w:cs="TimesNewRoman"/>
          <w:color w:val="000000"/>
          <w:szCs w:val="22"/>
        </w:rPr>
        <w:t xml:space="preserve"> Overall GBR scores (averaged across regions) show a marginal decline, which appear influenced by the decline in reproductive effort </w:t>
      </w:r>
      <w:r w:rsidR="00E31FE6" w:rsidRPr="00370E70">
        <w:rPr>
          <w:rFonts w:cs="TimesNewRoman"/>
          <w:color w:val="000000"/>
          <w:szCs w:val="22"/>
        </w:rPr>
        <w:t>and relatively smaller increase in nutrient status (</w:t>
      </w:r>
      <w:r w:rsidR="00E31FE6" w:rsidRPr="00370E70">
        <w:rPr>
          <w:rFonts w:cs="TimesNewRoman"/>
          <w:color w:val="000000"/>
          <w:szCs w:val="22"/>
        </w:rPr>
        <w:fldChar w:fldCharType="begin"/>
      </w:r>
      <w:r w:rsidR="00E31FE6" w:rsidRPr="00370E70">
        <w:rPr>
          <w:rFonts w:cs="TimesNewRoman"/>
          <w:color w:val="000000"/>
          <w:szCs w:val="22"/>
        </w:rPr>
        <w:instrText xml:space="preserve"> REF _Ref382743814 \h </w:instrText>
      </w:r>
      <w:r w:rsidR="00E31FE6" w:rsidRPr="00370E70">
        <w:rPr>
          <w:rFonts w:cs="TimesNewRoman"/>
          <w:color w:val="000000"/>
          <w:szCs w:val="22"/>
        </w:rPr>
      </w:r>
      <w:r w:rsidR="00E31FE6" w:rsidRPr="00370E70">
        <w:rPr>
          <w:rFonts w:cs="TimesNewRoman"/>
          <w:color w:val="000000"/>
          <w:szCs w:val="22"/>
        </w:rPr>
        <w:fldChar w:fldCharType="separate"/>
      </w:r>
      <w:r w:rsidR="005B5FD6" w:rsidRPr="00370E70">
        <w:t xml:space="preserve">Figure </w:t>
      </w:r>
      <w:r w:rsidR="005B5FD6">
        <w:rPr>
          <w:noProof/>
        </w:rPr>
        <w:t>8</w:t>
      </w:r>
      <w:r w:rsidR="00E31FE6" w:rsidRPr="00370E70">
        <w:rPr>
          <w:rFonts w:cs="TimesNewRoman"/>
          <w:color w:val="000000"/>
          <w:szCs w:val="22"/>
        </w:rPr>
        <w:fldChar w:fldCharType="end"/>
      </w:r>
      <w:r w:rsidR="00E31FE6" w:rsidRPr="00370E70">
        <w:rPr>
          <w:rFonts w:cs="TimesNewRoman"/>
          <w:color w:val="000000"/>
          <w:szCs w:val="22"/>
        </w:rPr>
        <w:t>).</w:t>
      </w:r>
    </w:p>
    <w:p w:rsidR="0033652B" w:rsidRPr="00370E70" w:rsidRDefault="005132EF" w:rsidP="0033652B">
      <w:pPr>
        <w:pStyle w:val="Caption"/>
        <w:jc w:val="center"/>
        <w:rPr>
          <w:i/>
          <w:vanish/>
          <w:szCs w:val="22"/>
          <w:lang w:val="en-AU"/>
          <w:specVanish/>
        </w:rPr>
      </w:pPr>
      <w:bookmarkStart w:id="139" w:name="_Ref305243921"/>
      <w:bookmarkStart w:id="140" w:name="_Toc384196548"/>
      <w:r w:rsidRPr="00370E70">
        <w:rP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12</w:t>
      </w:r>
      <w:r w:rsidRPr="00370E70">
        <w:rPr>
          <w:lang w:val="en-AU"/>
        </w:rPr>
        <w:fldChar w:fldCharType="end"/>
      </w:r>
      <w:bookmarkEnd w:id="139"/>
      <w:r w:rsidRPr="00370E70">
        <w:rPr>
          <w:lang w:val="en-AU"/>
        </w:rPr>
        <w:t xml:space="preserve">. </w:t>
      </w:r>
      <w:r w:rsidRPr="00370E70">
        <w:rPr>
          <w:i/>
          <w:lang w:val="en-AU"/>
        </w:rPr>
        <w:t>Report card for seagrass status for the GBR and each NRM region: July 2011 – May 2012</w:t>
      </w:r>
      <w:bookmarkEnd w:id="140"/>
    </w:p>
    <w:p w:rsidR="0033652B" w:rsidRPr="00370E70" w:rsidRDefault="005132EF" w:rsidP="0033652B">
      <w:pPr>
        <w:pStyle w:val="Caption"/>
        <w:jc w:val="center"/>
        <w:rPr>
          <w:i/>
          <w:lang w:val="en-AU"/>
        </w:rPr>
      </w:pPr>
      <w:r w:rsidRPr="00370E70">
        <w:rPr>
          <w:i/>
          <w:lang w:val="en-AU"/>
        </w:rPr>
        <w:t xml:space="preserve">. 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33652B" w:rsidRPr="00370E70">
        <w:rPr>
          <w:i/>
          <w:lang w:val="en-AU"/>
        </w:rPr>
        <w:t xml:space="preserve"> </w:t>
      </w:r>
    </w:p>
    <w:tbl>
      <w:tblPr>
        <w:tblW w:w="8013" w:type="dxa"/>
        <w:jc w:val="center"/>
        <w:tblLook w:val="0000" w:firstRow="0" w:lastRow="0" w:firstColumn="0" w:lastColumn="0" w:noHBand="0" w:noVBand="0"/>
      </w:tblPr>
      <w:tblGrid>
        <w:gridCol w:w="2227"/>
        <w:gridCol w:w="1362"/>
        <w:gridCol w:w="1540"/>
        <w:gridCol w:w="1666"/>
        <w:gridCol w:w="1218"/>
      </w:tblGrid>
      <w:tr w:rsidR="005132EF" w:rsidRPr="00370E70" w:rsidTr="00A674BD">
        <w:trPr>
          <w:trHeight w:val="575"/>
          <w:jc w:val="center"/>
        </w:trPr>
        <w:tc>
          <w:tcPr>
            <w:tcW w:w="2227" w:type="dxa"/>
            <w:tcBorders>
              <w:top w:val="single" w:sz="4" w:space="0" w:color="auto"/>
              <w:left w:val="nil"/>
              <w:bottom w:val="single" w:sz="4" w:space="0" w:color="000000"/>
              <w:right w:val="nil"/>
            </w:tcBorders>
            <w:noWrap/>
            <w:vAlign w:val="center"/>
          </w:tcPr>
          <w:p w:rsidR="005132EF" w:rsidRPr="00370E70" w:rsidRDefault="005132EF" w:rsidP="00034AD4">
            <w:pPr>
              <w:spacing w:before="0" w:after="0"/>
              <w:jc w:val="center"/>
              <w:rPr>
                <w:b/>
                <w:color w:val="000000"/>
              </w:rPr>
            </w:pPr>
            <w:r w:rsidRPr="00370E70">
              <w:rPr>
                <w:b/>
                <w:color w:val="000000"/>
                <w:szCs w:val="22"/>
              </w:rPr>
              <w:t>Region</w:t>
            </w:r>
          </w:p>
        </w:tc>
        <w:tc>
          <w:tcPr>
            <w:tcW w:w="1362" w:type="dxa"/>
            <w:tcBorders>
              <w:top w:val="single" w:sz="4" w:space="0" w:color="auto"/>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Seagrass</w:t>
            </w:r>
          </w:p>
          <w:p w:rsidR="005132EF" w:rsidRPr="00370E70" w:rsidRDefault="005132EF" w:rsidP="00034AD4">
            <w:pPr>
              <w:spacing w:before="0" w:after="0"/>
              <w:jc w:val="center"/>
              <w:rPr>
                <w:color w:val="000000"/>
              </w:rPr>
            </w:pPr>
            <w:r w:rsidRPr="00370E70">
              <w:rPr>
                <w:color w:val="000000"/>
                <w:szCs w:val="22"/>
              </w:rPr>
              <w:t>Abundance</w:t>
            </w:r>
          </w:p>
        </w:tc>
        <w:tc>
          <w:tcPr>
            <w:tcW w:w="1540" w:type="dxa"/>
            <w:tcBorders>
              <w:top w:val="single" w:sz="4" w:space="0" w:color="auto"/>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Reproductive</w:t>
            </w:r>
          </w:p>
          <w:p w:rsidR="005132EF" w:rsidRPr="00370E70" w:rsidRDefault="005132EF" w:rsidP="00034AD4">
            <w:pPr>
              <w:spacing w:before="0" w:after="0"/>
              <w:jc w:val="center"/>
              <w:rPr>
                <w:color w:val="000000"/>
              </w:rPr>
            </w:pPr>
            <w:r w:rsidRPr="00370E70">
              <w:rPr>
                <w:color w:val="000000"/>
                <w:szCs w:val="22"/>
              </w:rPr>
              <w:t>Effort</w:t>
            </w:r>
          </w:p>
        </w:tc>
        <w:tc>
          <w:tcPr>
            <w:tcW w:w="1666" w:type="dxa"/>
            <w:tcBorders>
              <w:top w:val="single" w:sz="4" w:space="0" w:color="auto"/>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Nutrient status</w:t>
            </w:r>
          </w:p>
          <w:p w:rsidR="005132EF" w:rsidRPr="00370E70" w:rsidRDefault="005132EF" w:rsidP="00034AD4">
            <w:pPr>
              <w:spacing w:before="0" w:after="0"/>
              <w:jc w:val="center"/>
              <w:rPr>
                <w:color w:val="000000"/>
              </w:rPr>
            </w:pPr>
            <w:r w:rsidRPr="00370E70">
              <w:rPr>
                <w:color w:val="000000"/>
                <w:szCs w:val="22"/>
              </w:rPr>
              <w:t>(C:N ratio)</w:t>
            </w:r>
          </w:p>
        </w:tc>
        <w:tc>
          <w:tcPr>
            <w:tcW w:w="1218" w:type="dxa"/>
            <w:tcBorders>
              <w:top w:val="single" w:sz="4" w:space="0" w:color="auto"/>
              <w:left w:val="nil"/>
              <w:bottom w:val="single" w:sz="4" w:space="0" w:color="000000"/>
              <w:right w:val="nil"/>
            </w:tcBorders>
            <w:vAlign w:val="center"/>
          </w:tcPr>
          <w:p w:rsidR="005132EF" w:rsidRPr="00370E70" w:rsidRDefault="005132EF" w:rsidP="00034AD4">
            <w:pPr>
              <w:spacing w:before="0" w:after="0"/>
              <w:jc w:val="center"/>
              <w:rPr>
                <w:b/>
                <w:bCs/>
                <w:color w:val="000000"/>
              </w:rPr>
            </w:pPr>
            <w:r w:rsidRPr="00370E70">
              <w:rPr>
                <w:b/>
                <w:bCs/>
                <w:color w:val="000000"/>
                <w:szCs w:val="22"/>
              </w:rPr>
              <w:t>Seagrass Index</w:t>
            </w:r>
          </w:p>
        </w:tc>
      </w:tr>
      <w:tr w:rsidR="005132EF" w:rsidRPr="00370E70" w:rsidTr="00051DA9">
        <w:trPr>
          <w:trHeight w:val="315"/>
          <w:jc w:val="center"/>
        </w:trPr>
        <w:tc>
          <w:tcPr>
            <w:tcW w:w="2227" w:type="dxa"/>
            <w:tcBorders>
              <w:top w:val="single" w:sz="4" w:space="0" w:color="000000"/>
              <w:left w:val="single" w:sz="4" w:space="0" w:color="FFFFFF"/>
              <w:bottom w:val="single" w:sz="4" w:space="0" w:color="FFFFFF"/>
              <w:right w:val="single" w:sz="4" w:space="0" w:color="FFFFFF"/>
            </w:tcBorders>
            <w:noWrap/>
            <w:vAlign w:val="bottom"/>
          </w:tcPr>
          <w:p w:rsidR="005132EF" w:rsidRPr="00370E70" w:rsidRDefault="005132EF" w:rsidP="00034AD4">
            <w:pPr>
              <w:spacing w:before="0" w:after="0"/>
              <w:rPr>
                <w:color w:val="000000"/>
              </w:rPr>
            </w:pPr>
            <w:smartTag w:uri="urn:schemas-microsoft-com:office:smarttags" w:element="place">
              <w:r w:rsidRPr="00370E70">
                <w:rPr>
                  <w:color w:val="000000"/>
                  <w:szCs w:val="22"/>
                </w:rPr>
                <w:t>Cape York</w:t>
              </w:r>
            </w:smartTag>
          </w:p>
        </w:tc>
        <w:tc>
          <w:tcPr>
            <w:tcW w:w="1362"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25</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13</w:t>
            </w:r>
          </w:p>
        </w:tc>
        <w:tc>
          <w:tcPr>
            <w:tcW w:w="1666"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21</w:t>
            </w:r>
          </w:p>
        </w:tc>
        <w:tc>
          <w:tcPr>
            <w:tcW w:w="1218"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20</w:t>
            </w:r>
          </w:p>
        </w:tc>
      </w:tr>
      <w:tr w:rsidR="005132EF" w:rsidRPr="00370E70" w:rsidTr="00051DA9">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5132EF" w:rsidRPr="00370E70" w:rsidRDefault="005132EF" w:rsidP="00034AD4">
            <w:pPr>
              <w:spacing w:before="0" w:after="0"/>
              <w:rPr>
                <w:color w:val="000000"/>
              </w:rPr>
            </w:pPr>
            <w:r w:rsidRPr="00370E70">
              <w:rPr>
                <w:color w:val="000000"/>
                <w:szCs w:val="22"/>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13</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3</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21</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13</w:t>
            </w:r>
          </w:p>
        </w:tc>
      </w:tr>
      <w:tr w:rsidR="005132EF" w:rsidRPr="00370E70" w:rsidTr="00051DA9">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5132EF" w:rsidRPr="00370E70" w:rsidRDefault="005132EF" w:rsidP="00034AD4">
            <w:pPr>
              <w:spacing w:before="0" w:after="0"/>
              <w:rPr>
                <w:color w:val="000000"/>
              </w:rPr>
            </w:pPr>
            <w:r w:rsidRPr="00370E70">
              <w:rPr>
                <w:color w:val="000000"/>
                <w:szCs w:val="22"/>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11</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19</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21</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17</w:t>
            </w:r>
          </w:p>
        </w:tc>
      </w:tr>
      <w:tr w:rsidR="005132EF" w:rsidRPr="00370E70">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5132EF" w:rsidRPr="00370E70" w:rsidRDefault="005132EF" w:rsidP="00034AD4">
            <w:pPr>
              <w:spacing w:before="0" w:after="0"/>
              <w:rPr>
                <w:color w:val="000000"/>
              </w:rPr>
            </w:pPr>
            <w:r w:rsidRPr="00370E70">
              <w:rPr>
                <w:color w:val="000000"/>
                <w:szCs w:val="22"/>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14</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13</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9</w:t>
            </w:r>
          </w:p>
        </w:tc>
      </w:tr>
      <w:tr w:rsidR="005132EF" w:rsidRPr="00370E70" w:rsidTr="00051DA9">
        <w:trPr>
          <w:trHeight w:val="315"/>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5132EF" w:rsidRPr="00370E70" w:rsidRDefault="005132EF" w:rsidP="00034AD4">
            <w:pPr>
              <w:spacing w:before="0" w:after="0"/>
              <w:rPr>
                <w:color w:val="000000"/>
              </w:rPr>
            </w:pPr>
            <w:r w:rsidRPr="00370E70">
              <w:rPr>
                <w:color w:val="000000"/>
                <w:szCs w:val="22"/>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31</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17</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5132EF" w:rsidRPr="00370E70" w:rsidRDefault="005132EF" w:rsidP="00034AD4">
            <w:pPr>
              <w:spacing w:before="0" w:after="0"/>
              <w:jc w:val="center"/>
              <w:rPr>
                <w:sz w:val="18"/>
                <w:szCs w:val="18"/>
              </w:rPr>
            </w:pPr>
            <w:r w:rsidRPr="00370E70">
              <w:rPr>
                <w:sz w:val="18"/>
                <w:szCs w:val="18"/>
              </w:rPr>
              <w:t>50</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33</w:t>
            </w:r>
          </w:p>
        </w:tc>
      </w:tr>
      <w:tr w:rsidR="005132EF" w:rsidRPr="00370E70" w:rsidTr="00051DA9">
        <w:trPr>
          <w:trHeight w:val="315"/>
          <w:jc w:val="center"/>
        </w:trPr>
        <w:tc>
          <w:tcPr>
            <w:tcW w:w="2227" w:type="dxa"/>
            <w:tcBorders>
              <w:top w:val="single" w:sz="4" w:space="0" w:color="FFFFFF"/>
              <w:left w:val="single" w:sz="4" w:space="0" w:color="FFFFFF"/>
              <w:bottom w:val="single" w:sz="4" w:space="0" w:color="000000"/>
              <w:right w:val="single" w:sz="4" w:space="0" w:color="FFFFFF"/>
            </w:tcBorders>
            <w:noWrap/>
            <w:vAlign w:val="bottom"/>
          </w:tcPr>
          <w:p w:rsidR="005132EF" w:rsidRPr="00370E70" w:rsidRDefault="005132EF" w:rsidP="00034AD4">
            <w:pPr>
              <w:spacing w:before="0" w:after="0"/>
              <w:rPr>
                <w:color w:val="000000"/>
              </w:rPr>
            </w:pPr>
            <w:r w:rsidRPr="00370E70">
              <w:rPr>
                <w:color w:val="000000"/>
                <w:szCs w:val="22"/>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0</w:t>
            </w:r>
          </w:p>
        </w:tc>
        <w:tc>
          <w:tcPr>
            <w:tcW w:w="1666"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spacing w:before="0" w:after="0"/>
              <w:jc w:val="center"/>
              <w:rPr>
                <w:sz w:val="18"/>
                <w:szCs w:val="18"/>
              </w:rPr>
            </w:pPr>
            <w:r w:rsidRPr="00370E70">
              <w:rPr>
                <w:sz w:val="18"/>
                <w:szCs w:val="18"/>
              </w:rPr>
              <w:t>47</w:t>
            </w:r>
          </w:p>
        </w:tc>
        <w:tc>
          <w:tcPr>
            <w:tcW w:w="1218"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18</w:t>
            </w:r>
          </w:p>
        </w:tc>
      </w:tr>
      <w:tr w:rsidR="005132EF" w:rsidRPr="00370E70">
        <w:trPr>
          <w:trHeight w:val="315"/>
          <w:jc w:val="center"/>
        </w:trPr>
        <w:tc>
          <w:tcPr>
            <w:tcW w:w="2227" w:type="dxa"/>
            <w:tcBorders>
              <w:top w:val="single" w:sz="4" w:space="0" w:color="000000"/>
              <w:left w:val="single" w:sz="4" w:space="0" w:color="FFFFFF"/>
              <w:bottom w:val="single" w:sz="4" w:space="0" w:color="000000"/>
              <w:right w:val="single" w:sz="4" w:space="0" w:color="FFFFFF"/>
            </w:tcBorders>
            <w:noWrap/>
            <w:vAlign w:val="bottom"/>
          </w:tcPr>
          <w:p w:rsidR="005132EF" w:rsidRPr="00370E70" w:rsidRDefault="005132EF" w:rsidP="00034AD4">
            <w:pPr>
              <w:spacing w:before="0" w:after="0"/>
              <w:rPr>
                <w:b/>
                <w:color w:val="000000"/>
              </w:rPr>
            </w:pPr>
            <w:r w:rsidRPr="00370E70">
              <w:rPr>
                <w:b/>
                <w:color w:val="000000"/>
                <w:szCs w:val="22"/>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15</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sz w:val="18"/>
                <w:szCs w:val="18"/>
              </w:rPr>
            </w:pPr>
            <w:r w:rsidRPr="00370E70">
              <w:rPr>
                <w:sz w:val="18"/>
                <w:szCs w:val="18"/>
              </w:rPr>
              <w:t>12</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5132EF" w:rsidRPr="00370E70" w:rsidRDefault="005132EF" w:rsidP="00034AD4">
            <w:pPr>
              <w:spacing w:before="0" w:after="0"/>
              <w:jc w:val="center"/>
              <w:rPr>
                <w:sz w:val="18"/>
                <w:szCs w:val="18"/>
              </w:rPr>
            </w:pPr>
            <w:r w:rsidRPr="00370E70">
              <w:rPr>
                <w:sz w:val="18"/>
                <w:szCs w:val="18"/>
              </w:rPr>
              <w:t>27</w:t>
            </w:r>
          </w:p>
        </w:tc>
        <w:tc>
          <w:tcPr>
            <w:tcW w:w="1218"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sz w:val="18"/>
                <w:szCs w:val="18"/>
              </w:rPr>
            </w:pPr>
            <w:r w:rsidRPr="00370E70">
              <w:rPr>
                <w:b/>
                <w:sz w:val="18"/>
                <w:szCs w:val="18"/>
              </w:rPr>
              <w:t>18</w:t>
            </w:r>
          </w:p>
        </w:tc>
      </w:tr>
    </w:tbl>
    <w:p w:rsidR="00046227" w:rsidRPr="00370E70" w:rsidRDefault="007B15AB" w:rsidP="00046227">
      <w:pPr>
        <w:pStyle w:val="ListNosforConcept"/>
        <w:spacing w:after="0"/>
        <w:jc w:val="center"/>
        <w:rPr>
          <w:rFonts w:ascii="Calibri" w:hAnsi="Calibri"/>
          <w:color w:val="000000"/>
          <w:szCs w:val="22"/>
          <w:lang w:val="en-AU"/>
        </w:rPr>
      </w:pPr>
      <w:bookmarkStart w:id="141" w:name="_Toc184101961"/>
      <w:r>
        <w:rPr>
          <w:rFonts w:ascii="Calibri" w:hAnsi="Calibri"/>
          <w:noProof/>
          <w:color w:val="000000"/>
          <w:szCs w:val="22"/>
          <w:lang w:val="en-AU" w:eastAsia="en-AU"/>
        </w:rPr>
        <w:lastRenderedPageBreak/>
        <w:drawing>
          <wp:inline distT="0" distB="0" distL="0" distR="0">
            <wp:extent cx="3606165" cy="2099310"/>
            <wp:effectExtent l="0" t="0" r="0" b="0"/>
            <wp:docPr id="17" name="Picture 17" descr="Figure shoiwng report card of seagrass status indicators and index for the GBR  (averaged across NRM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igure shoiwng report card of seagrass status indicators and index for the GBR  (averaged across NRM regions). "/>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606165" cy="2099310"/>
                    </a:xfrm>
                    <a:prstGeom prst="rect">
                      <a:avLst/>
                    </a:prstGeom>
                    <a:noFill/>
                    <a:ln>
                      <a:noFill/>
                    </a:ln>
                  </pic:spPr>
                </pic:pic>
              </a:graphicData>
            </a:graphic>
          </wp:inline>
        </w:drawing>
      </w:r>
    </w:p>
    <w:p w:rsidR="00046227" w:rsidRPr="00370E70" w:rsidRDefault="00046227" w:rsidP="00046227">
      <w:pPr>
        <w:rPr>
          <w:i/>
          <w:vanish/>
          <w:color w:val="000000"/>
          <w:szCs w:val="22"/>
          <w:specVanish/>
        </w:rPr>
      </w:pPr>
      <w:bookmarkStart w:id="142" w:name="_Ref382743814"/>
      <w:bookmarkStart w:id="143" w:name="_Toc384196355"/>
      <w:r w:rsidRPr="00370E70">
        <w:t xml:space="preserve">Figure </w:t>
      </w:r>
      <w:r w:rsidR="009A14B8">
        <w:fldChar w:fldCharType="begin"/>
      </w:r>
      <w:r w:rsidR="009A14B8">
        <w:instrText xml:space="preserve"> SEQ Figure \* ARABIC </w:instrText>
      </w:r>
      <w:r w:rsidR="009A14B8">
        <w:fldChar w:fldCharType="separate"/>
      </w:r>
      <w:r w:rsidR="005B5FD6">
        <w:rPr>
          <w:noProof/>
        </w:rPr>
        <w:t>8</w:t>
      </w:r>
      <w:r w:rsidR="009A14B8">
        <w:rPr>
          <w:noProof/>
        </w:rPr>
        <w:fldChar w:fldCharType="end"/>
      </w:r>
      <w:bookmarkEnd w:id="142"/>
      <w:r w:rsidRPr="00370E70">
        <w:t xml:space="preserve">. </w:t>
      </w:r>
      <w:bookmarkStart w:id="144" w:name="_Toc382217224"/>
      <w:r w:rsidRPr="00370E70">
        <w:rPr>
          <w:i/>
          <w:color w:val="000000"/>
          <w:szCs w:val="22"/>
        </w:rPr>
        <w:t xml:space="preserve">Report card of seagrass </w:t>
      </w:r>
      <w:r w:rsidR="00E22D47" w:rsidRPr="00370E70">
        <w:rPr>
          <w:i/>
          <w:color w:val="000000"/>
          <w:szCs w:val="22"/>
        </w:rPr>
        <w:t xml:space="preserve">status indicators and </w:t>
      </w:r>
      <w:r w:rsidRPr="00370E70">
        <w:rPr>
          <w:i/>
          <w:color w:val="000000"/>
          <w:szCs w:val="22"/>
        </w:rPr>
        <w:t xml:space="preserve">index for </w:t>
      </w:r>
      <w:r w:rsidR="00E22D47" w:rsidRPr="00370E70">
        <w:rPr>
          <w:i/>
          <w:color w:val="000000"/>
          <w:szCs w:val="22"/>
        </w:rPr>
        <w:t>the GBR</w:t>
      </w:r>
      <w:bookmarkEnd w:id="143"/>
      <w:r w:rsidRPr="00370E70">
        <w:rPr>
          <w:i/>
          <w:color w:val="000000"/>
          <w:szCs w:val="22"/>
        </w:rPr>
        <w:t xml:space="preserve"> </w:t>
      </w:r>
    </w:p>
    <w:p w:rsidR="00046227" w:rsidRPr="00370E70" w:rsidRDefault="00046227" w:rsidP="00046227">
      <w:pPr>
        <w:rPr>
          <w:i/>
          <w:color w:val="000000"/>
          <w:szCs w:val="22"/>
        </w:rPr>
      </w:pPr>
      <w:r w:rsidRPr="00370E70">
        <w:rPr>
          <w:i/>
          <w:color w:val="000000"/>
          <w:szCs w:val="22"/>
        </w:rPr>
        <w:t xml:space="preserve"> (averaged across </w:t>
      </w:r>
      <w:r w:rsidR="00E22D47" w:rsidRPr="00370E70">
        <w:rPr>
          <w:i/>
          <w:color w:val="000000"/>
          <w:szCs w:val="22"/>
        </w:rPr>
        <w:t>NRM regions</w:t>
      </w:r>
      <w:r w:rsidRPr="00370E70">
        <w:rPr>
          <w:i/>
          <w:color w:val="000000"/>
          <w:szCs w:val="22"/>
        </w:rPr>
        <w:t xml:space="preserve">). Values are indexed scores scaled from 0-100; </w:t>
      </w:r>
      <w:r w:rsidRPr="00370E70">
        <w:rPr>
          <w:rFonts w:ascii="Arial" w:hAnsi="Arial" w:cs="Arial"/>
          <w:i/>
          <w:color w:val="008000"/>
          <w:szCs w:val="22"/>
        </w:rPr>
        <w:t>■ </w:t>
      </w:r>
      <w:r w:rsidRPr="00370E70">
        <w:rPr>
          <w:i/>
          <w:szCs w:val="22"/>
        </w:rPr>
        <w:t xml:space="preserve">= very good (80-100), </w:t>
      </w:r>
      <w:r w:rsidRPr="00370E70">
        <w:rPr>
          <w:rFonts w:ascii="Arial" w:hAnsi="Arial" w:cs="Arial"/>
          <w:i/>
          <w:color w:val="92D050"/>
          <w:szCs w:val="22"/>
        </w:rPr>
        <w:t>■</w:t>
      </w:r>
      <w:r w:rsidRPr="00370E70">
        <w:rPr>
          <w:i/>
          <w:szCs w:val="22"/>
        </w:rPr>
        <w:t xml:space="preserve"> = good (60 - &lt;80), </w:t>
      </w:r>
      <w:r w:rsidRPr="00370E70">
        <w:rPr>
          <w:rFonts w:ascii="Arial" w:hAnsi="Arial" w:cs="Arial"/>
          <w:i/>
          <w:color w:val="FFFF00"/>
          <w:szCs w:val="22"/>
        </w:rPr>
        <w:t>■</w:t>
      </w:r>
      <w:r w:rsidRPr="00370E70">
        <w:rPr>
          <w:i/>
          <w:szCs w:val="22"/>
        </w:rPr>
        <w:t xml:space="preserve"> = moderate (40 - &lt;60), </w:t>
      </w:r>
      <w:r w:rsidRPr="00370E70">
        <w:rPr>
          <w:rFonts w:ascii="Arial" w:hAnsi="Arial" w:cs="Arial"/>
          <w:i/>
          <w:color w:val="FFC000"/>
          <w:szCs w:val="22"/>
        </w:rPr>
        <w:t>■</w:t>
      </w:r>
      <w:r w:rsidRPr="00370E70">
        <w:rPr>
          <w:i/>
          <w:szCs w:val="22"/>
        </w:rPr>
        <w:t xml:space="preserve"> = poor (20 - &lt;40), </w:t>
      </w:r>
      <w:r w:rsidRPr="00370E70">
        <w:rPr>
          <w:rFonts w:ascii="Arial" w:hAnsi="Arial" w:cs="Arial"/>
          <w:i/>
          <w:color w:val="FF0000"/>
          <w:szCs w:val="22"/>
        </w:rPr>
        <w:t>■</w:t>
      </w:r>
      <w:r w:rsidRPr="00370E70">
        <w:rPr>
          <w:i/>
          <w:szCs w:val="22"/>
        </w:rPr>
        <w:t> = very poor (0 - &lt;20)</w:t>
      </w:r>
      <w:r w:rsidRPr="00370E70">
        <w:rPr>
          <w:i/>
          <w:color w:val="000000"/>
          <w:szCs w:val="22"/>
        </w:rPr>
        <w:t>.</w:t>
      </w:r>
      <w:bookmarkEnd w:id="144"/>
      <w:r w:rsidRPr="00370E70">
        <w:rPr>
          <w:i/>
          <w:color w:val="000000"/>
          <w:szCs w:val="22"/>
        </w:rPr>
        <w:t xml:space="preserve"> </w:t>
      </w:r>
    </w:p>
    <w:p w:rsidR="005132EF" w:rsidRPr="00370E70" w:rsidRDefault="005132EF" w:rsidP="00034AD4">
      <w:pPr>
        <w:pStyle w:val="Heading3"/>
        <w:rPr>
          <w:color w:val="000000"/>
        </w:rPr>
      </w:pPr>
      <w:bookmarkStart w:id="145" w:name="_Toc384196124"/>
      <w:r w:rsidRPr="00370E70">
        <w:rPr>
          <w:color w:val="000000"/>
        </w:rPr>
        <w:t>Status of the seagrass community</w:t>
      </w:r>
      <w:bookmarkEnd w:id="141"/>
      <w:bookmarkEnd w:id="145"/>
    </w:p>
    <w:bookmarkEnd w:id="137"/>
    <w:p w:rsidR="00487F3F" w:rsidRPr="00370E70" w:rsidRDefault="00487F3F" w:rsidP="00487F3F">
      <w:pPr>
        <w:rPr>
          <w:color w:val="000000"/>
          <w:szCs w:val="22"/>
        </w:rPr>
      </w:pPr>
      <w:r w:rsidRPr="00370E70">
        <w:rPr>
          <w:color w:val="000000"/>
          <w:szCs w:val="22"/>
        </w:rPr>
        <w:t xml:space="preserve">At total of 45 sites were monitored in 2011/12, across three generalised habitat types. Coastal </w:t>
      </w:r>
      <w:r w:rsidR="006D13A9" w:rsidRPr="00370E70">
        <w:rPr>
          <w:color w:val="000000"/>
          <w:szCs w:val="22"/>
        </w:rPr>
        <w:t>and reef habitats</w:t>
      </w:r>
      <w:r w:rsidRPr="00370E70">
        <w:rPr>
          <w:color w:val="000000"/>
          <w:szCs w:val="22"/>
        </w:rPr>
        <w:t xml:space="preserve"> were monitored </w:t>
      </w:r>
      <w:r w:rsidR="006D13A9" w:rsidRPr="00370E70">
        <w:rPr>
          <w:color w:val="000000"/>
          <w:szCs w:val="22"/>
        </w:rPr>
        <w:t>across most regions, including</w:t>
      </w:r>
      <w:r w:rsidRPr="00370E70">
        <w:rPr>
          <w:color w:val="000000"/>
          <w:szCs w:val="22"/>
        </w:rPr>
        <w:t xml:space="preserve"> </w:t>
      </w:r>
      <w:r w:rsidR="006D13A9" w:rsidRPr="00370E70">
        <w:rPr>
          <w:color w:val="000000"/>
          <w:szCs w:val="22"/>
        </w:rPr>
        <w:t xml:space="preserve">Cape York, </w:t>
      </w:r>
      <w:r w:rsidRPr="00370E70">
        <w:rPr>
          <w:color w:val="000000"/>
          <w:szCs w:val="22"/>
        </w:rPr>
        <w:t>Wet Tropics, Burdekin, Mackay Whitsunday and Fitzroy regions</w:t>
      </w:r>
      <w:r w:rsidR="006D13A9" w:rsidRPr="00370E70">
        <w:rPr>
          <w:color w:val="000000"/>
          <w:szCs w:val="22"/>
        </w:rPr>
        <w:t>. Estuarine habitats were only monitored in the southern GBR regions from Mackay Whitsunday to Burnett Mary. More seagrass species occurred at r</w:t>
      </w:r>
      <w:r w:rsidRPr="00370E70">
        <w:rPr>
          <w:color w:val="000000"/>
          <w:szCs w:val="22"/>
        </w:rPr>
        <w:t>eef habitats</w:t>
      </w:r>
      <w:r w:rsidR="006D13A9" w:rsidRPr="00370E70">
        <w:rPr>
          <w:color w:val="000000"/>
          <w:szCs w:val="22"/>
        </w:rPr>
        <w:t>, that coastal or estuarine</w:t>
      </w:r>
      <w:r w:rsidRPr="00370E70">
        <w:rPr>
          <w:color w:val="000000"/>
          <w:szCs w:val="22"/>
        </w:rPr>
        <w:t xml:space="preserve">. The more dominant seagrass species </w:t>
      </w:r>
      <w:r w:rsidR="006D13A9" w:rsidRPr="00370E70">
        <w:rPr>
          <w:color w:val="000000"/>
          <w:szCs w:val="22"/>
        </w:rPr>
        <w:t xml:space="preserve">monitored across the GBR included </w:t>
      </w:r>
      <w:r w:rsidR="006D13A9" w:rsidRPr="00370E70">
        <w:rPr>
          <w:i/>
          <w:color w:val="000000"/>
          <w:szCs w:val="22"/>
        </w:rPr>
        <w:t>Halodule uninervis, Zostera muelleri,</w:t>
      </w:r>
      <w:r w:rsidR="006D13A9" w:rsidRPr="00370E70">
        <w:rPr>
          <w:color w:val="000000"/>
          <w:szCs w:val="22"/>
        </w:rPr>
        <w:t xml:space="preserve"> </w:t>
      </w:r>
      <w:r w:rsidR="006D13A9" w:rsidRPr="00370E70">
        <w:rPr>
          <w:i/>
          <w:color w:val="000000"/>
          <w:szCs w:val="22"/>
        </w:rPr>
        <w:t>Cymodocea rotundata</w:t>
      </w:r>
      <w:r w:rsidR="006D13A9" w:rsidRPr="00370E70">
        <w:rPr>
          <w:color w:val="000000"/>
          <w:szCs w:val="22"/>
        </w:rPr>
        <w:t xml:space="preserve">, </w:t>
      </w:r>
      <w:r w:rsidR="006D13A9" w:rsidRPr="00370E70">
        <w:rPr>
          <w:i/>
          <w:color w:val="000000"/>
          <w:szCs w:val="22"/>
        </w:rPr>
        <w:t>Thalassia hemprichii</w:t>
      </w:r>
      <w:r w:rsidR="006D13A9" w:rsidRPr="00370E70">
        <w:rPr>
          <w:color w:val="000000"/>
          <w:szCs w:val="22"/>
        </w:rPr>
        <w:t xml:space="preserve"> </w:t>
      </w:r>
      <w:r w:rsidRPr="00370E70">
        <w:rPr>
          <w:color w:val="000000"/>
          <w:szCs w:val="22"/>
        </w:rPr>
        <w:t xml:space="preserve">and the colonising species </w:t>
      </w:r>
      <w:r w:rsidRPr="00370E70">
        <w:rPr>
          <w:i/>
          <w:color w:val="000000"/>
          <w:szCs w:val="22"/>
        </w:rPr>
        <w:t>Halophila ovalis</w:t>
      </w:r>
      <w:r w:rsidRPr="00370E70">
        <w:rPr>
          <w:color w:val="000000"/>
          <w:szCs w:val="22"/>
        </w:rPr>
        <w:t xml:space="preserve">. </w:t>
      </w:r>
    </w:p>
    <w:p w:rsidR="005132EF" w:rsidRPr="00370E70" w:rsidRDefault="006D13A9" w:rsidP="00034AD4">
      <w:pPr>
        <w:pStyle w:val="ListNosforConcept"/>
        <w:spacing w:after="0"/>
        <w:jc w:val="left"/>
        <w:rPr>
          <w:rFonts w:ascii="Calibri" w:hAnsi="Calibri"/>
          <w:color w:val="000000"/>
          <w:szCs w:val="22"/>
          <w:lang w:val="en-AU"/>
        </w:rPr>
      </w:pPr>
      <w:r w:rsidRPr="00370E70">
        <w:rPr>
          <w:rFonts w:ascii="Calibri" w:hAnsi="Calibri"/>
          <w:color w:val="000000"/>
          <w:szCs w:val="22"/>
          <w:lang w:val="en-AU"/>
        </w:rPr>
        <w:t xml:space="preserve">Of the 45 sites monitored in the MMP across the GBR, only 30 were long-term (≥5 years), and all were lower littoral (intertidal). </w:t>
      </w:r>
      <w:r w:rsidR="005132EF" w:rsidRPr="00370E70">
        <w:rPr>
          <w:rFonts w:ascii="Calibri" w:hAnsi="Calibri"/>
          <w:color w:val="000000"/>
          <w:szCs w:val="22"/>
          <w:lang w:val="en-AU"/>
        </w:rPr>
        <w:t>Of the 30 long-term monitoring sites examined in 2011/12, seagrass abundance at 87% of sites w</w:t>
      </w:r>
      <w:r w:rsidRPr="00370E70">
        <w:rPr>
          <w:rFonts w:ascii="Calibri" w:hAnsi="Calibri"/>
          <w:color w:val="000000"/>
          <w:szCs w:val="22"/>
          <w:lang w:val="en-AU"/>
        </w:rPr>
        <w:t>as</w:t>
      </w:r>
      <w:r w:rsidR="005132EF" w:rsidRPr="00370E70">
        <w:rPr>
          <w:rFonts w:ascii="Calibri" w:hAnsi="Calibri"/>
          <w:color w:val="000000"/>
          <w:szCs w:val="22"/>
          <w:lang w:val="en-AU"/>
        </w:rPr>
        <w:t xml:space="preserve"> classified as poor or very poor (below the seagrass guidelines) in late monsoon 2012.</w:t>
      </w:r>
      <w:r w:rsidR="005132EF" w:rsidRPr="00370E70">
        <w:rPr>
          <w:rFonts w:ascii="Calibri" w:hAnsi="Calibri"/>
          <w:color w:val="000080"/>
          <w:szCs w:val="22"/>
          <w:lang w:val="en-AU"/>
        </w:rPr>
        <w:t xml:space="preserve"> </w:t>
      </w:r>
      <w:r w:rsidR="005132EF" w:rsidRPr="00370E70">
        <w:rPr>
          <w:rFonts w:ascii="Calibri" w:hAnsi="Calibri"/>
          <w:color w:val="000000"/>
          <w:szCs w:val="22"/>
          <w:lang w:val="en-AU"/>
        </w:rPr>
        <w:t xml:space="preserve">Based on the average score against the seagrass guidelines (determined at the site level), the abundance of seagrass in the GBR over the 2011/12 period was classified as </w:t>
      </w:r>
      <w:r w:rsidR="005132EF" w:rsidRPr="00370E70">
        <w:rPr>
          <w:rFonts w:ascii="Calibri" w:hAnsi="Calibri"/>
          <w:b/>
          <w:color w:val="000000"/>
          <w:szCs w:val="22"/>
          <w:lang w:val="en-AU"/>
        </w:rPr>
        <w:t xml:space="preserve">very poor </w:t>
      </w:r>
      <w:r w:rsidR="005132EF" w:rsidRPr="00370E70">
        <w:rPr>
          <w:rFonts w:ascii="Calibri" w:hAnsi="Calibri"/>
          <w:color w:val="000000"/>
          <w:szCs w:val="22"/>
          <w:lang w:val="en-AU"/>
        </w:rPr>
        <w:t>(all sites and seasons pooled) (</w:t>
      </w:r>
      <w:r w:rsidR="005132EF" w:rsidRPr="00370E70">
        <w:rPr>
          <w:rFonts w:ascii="Calibri" w:hAnsi="Calibri"/>
          <w:lang w:val="en-AU"/>
        </w:rPr>
        <w:fldChar w:fldCharType="begin"/>
      </w:r>
      <w:r w:rsidR="005132EF" w:rsidRPr="00370E70">
        <w:rPr>
          <w:rFonts w:ascii="Calibri" w:hAnsi="Calibri"/>
          <w:lang w:val="en-AU"/>
        </w:rPr>
        <w:instrText xml:space="preserve"> REF _Ref271194275 \h  \* MERGEFORMAT </w:instrText>
      </w:r>
      <w:r w:rsidR="005132EF" w:rsidRPr="00370E70">
        <w:rPr>
          <w:rFonts w:ascii="Calibri" w:hAnsi="Calibri"/>
          <w:lang w:val="en-AU"/>
        </w:rPr>
      </w:r>
      <w:r w:rsidR="005132EF" w:rsidRPr="00370E70">
        <w:rPr>
          <w:rFonts w:ascii="Calibri" w:hAnsi="Calibri"/>
          <w:lang w:val="en-AU"/>
        </w:rPr>
        <w:fldChar w:fldCharType="separate"/>
      </w:r>
      <w:r w:rsidR="005B5FD6" w:rsidRPr="005B5FD6">
        <w:rPr>
          <w:szCs w:val="22"/>
        </w:rPr>
        <w:t xml:space="preserve">Figure </w:t>
      </w:r>
      <w:r w:rsidR="005B5FD6" w:rsidRPr="005B5FD6">
        <w:rPr>
          <w:rFonts w:ascii="Calibri" w:hAnsi="Calibri"/>
          <w:noProof/>
          <w:color w:val="000000"/>
          <w:szCs w:val="22"/>
          <w:lang w:val="en-AU"/>
        </w:rPr>
        <w:t>9</w:t>
      </w:r>
      <w:r w:rsidR="005132EF" w:rsidRPr="00370E70">
        <w:rPr>
          <w:rFonts w:ascii="Calibri" w:hAnsi="Calibri"/>
          <w:lang w:val="en-AU"/>
        </w:rPr>
        <w:fldChar w:fldCharType="end"/>
      </w:r>
      <w:r w:rsidR="005132EF" w:rsidRPr="00370E70">
        <w:rPr>
          <w:rFonts w:ascii="Calibri" w:hAnsi="Calibri"/>
          <w:color w:val="000000"/>
          <w:szCs w:val="22"/>
          <w:lang w:val="en-AU"/>
        </w:rPr>
        <w:t xml:space="preserve">). The overall trend in seagrass abundance of the same 30 sites since they were </w:t>
      </w:r>
      <w:r w:rsidR="002C6536" w:rsidRPr="00370E70">
        <w:rPr>
          <w:rFonts w:ascii="Calibri" w:hAnsi="Calibri"/>
          <w:color w:val="000000"/>
          <w:szCs w:val="22"/>
          <w:lang w:val="en-AU"/>
        </w:rPr>
        <w:t>monitored</w:t>
      </w:r>
      <w:r w:rsidR="005132EF" w:rsidRPr="00370E70">
        <w:rPr>
          <w:rFonts w:ascii="Calibri" w:hAnsi="Calibri"/>
          <w:color w:val="000000"/>
          <w:szCs w:val="22"/>
          <w:lang w:val="en-AU"/>
        </w:rPr>
        <w:t xml:space="preserve"> as part of the </w:t>
      </w:r>
      <w:proofErr w:type="gramStart"/>
      <w:r w:rsidR="005132EF" w:rsidRPr="00370E70">
        <w:rPr>
          <w:rFonts w:ascii="Calibri" w:hAnsi="Calibri"/>
          <w:color w:val="000000"/>
          <w:szCs w:val="22"/>
          <w:lang w:val="en-AU"/>
        </w:rPr>
        <w:t>MMP,</w:t>
      </w:r>
      <w:proofErr w:type="gramEnd"/>
      <w:r w:rsidR="005132EF" w:rsidRPr="00370E70">
        <w:rPr>
          <w:rFonts w:ascii="Calibri" w:hAnsi="Calibri"/>
          <w:color w:val="000000"/>
          <w:szCs w:val="22"/>
          <w:lang w:val="en-AU"/>
        </w:rPr>
        <w:t xml:space="preserve"> indicates a </w:t>
      </w:r>
      <w:r w:rsidR="00F679A8" w:rsidRPr="00370E70">
        <w:rPr>
          <w:rFonts w:ascii="Calibri" w:hAnsi="Calibri"/>
          <w:color w:val="000000"/>
          <w:szCs w:val="22"/>
          <w:lang w:val="en-AU"/>
        </w:rPr>
        <w:t xml:space="preserve">obvious </w:t>
      </w:r>
      <w:r w:rsidR="005132EF" w:rsidRPr="00370E70">
        <w:rPr>
          <w:rFonts w:ascii="Calibri" w:hAnsi="Calibri"/>
          <w:color w:val="000000"/>
          <w:szCs w:val="22"/>
          <w:lang w:val="en-AU"/>
        </w:rPr>
        <w:t>decline</w:t>
      </w:r>
      <w:r w:rsidR="005132EF" w:rsidRPr="00370E70">
        <w:rPr>
          <w:rFonts w:ascii="Calibri" w:hAnsi="Calibri"/>
          <w:color w:val="000080"/>
          <w:szCs w:val="22"/>
          <w:lang w:val="en-AU"/>
        </w:rPr>
        <w:t xml:space="preserve"> </w:t>
      </w:r>
      <w:r w:rsidR="005132EF" w:rsidRPr="00370E70">
        <w:rPr>
          <w:rFonts w:ascii="Calibri" w:hAnsi="Calibri"/>
          <w:color w:val="000000"/>
          <w:szCs w:val="22"/>
          <w:lang w:val="en-AU"/>
        </w:rPr>
        <w:t>over the last 6 monitoring periods (</w:t>
      </w:r>
      <w:r w:rsidR="005132EF" w:rsidRPr="00370E70">
        <w:rPr>
          <w:rFonts w:ascii="Calibri" w:hAnsi="Calibri"/>
          <w:lang w:val="en-AU"/>
        </w:rPr>
        <w:fldChar w:fldCharType="begin"/>
      </w:r>
      <w:r w:rsidR="005132EF" w:rsidRPr="00370E70">
        <w:rPr>
          <w:rFonts w:ascii="Calibri" w:hAnsi="Calibri"/>
          <w:lang w:val="en-AU"/>
        </w:rPr>
        <w:instrText xml:space="preserve"> REF _Ref271194275 \h  \* MERGEFORMAT </w:instrText>
      </w:r>
      <w:r w:rsidR="005132EF" w:rsidRPr="00370E70">
        <w:rPr>
          <w:rFonts w:ascii="Calibri" w:hAnsi="Calibri"/>
          <w:lang w:val="en-AU"/>
        </w:rPr>
      </w:r>
      <w:r w:rsidR="005132EF" w:rsidRPr="00370E70">
        <w:rPr>
          <w:rFonts w:ascii="Calibri" w:hAnsi="Calibri"/>
          <w:lang w:val="en-AU"/>
        </w:rPr>
        <w:fldChar w:fldCharType="separate"/>
      </w:r>
      <w:r w:rsidR="005B5FD6" w:rsidRPr="005B5FD6">
        <w:rPr>
          <w:szCs w:val="22"/>
        </w:rPr>
        <w:t xml:space="preserve">Figure </w:t>
      </w:r>
      <w:r w:rsidR="005B5FD6" w:rsidRPr="005B5FD6">
        <w:rPr>
          <w:rFonts w:ascii="Calibri" w:hAnsi="Calibri"/>
          <w:noProof/>
          <w:color w:val="000000"/>
          <w:szCs w:val="22"/>
          <w:lang w:val="en-AU"/>
        </w:rPr>
        <w:t>9</w:t>
      </w:r>
      <w:r w:rsidR="005132EF" w:rsidRPr="00370E70">
        <w:rPr>
          <w:rFonts w:ascii="Calibri" w:hAnsi="Calibri"/>
          <w:lang w:val="en-AU"/>
        </w:rPr>
        <w:fldChar w:fldCharType="end"/>
      </w:r>
      <w:r w:rsidR="005132EF" w:rsidRPr="00370E70">
        <w:rPr>
          <w:rFonts w:ascii="Calibri" w:hAnsi="Calibri"/>
          <w:color w:val="000000"/>
          <w:szCs w:val="22"/>
          <w:lang w:val="en-AU"/>
        </w:rPr>
        <w:t>).</w:t>
      </w:r>
    </w:p>
    <w:p w:rsidR="005132EF" w:rsidRPr="00370E70" w:rsidRDefault="007B15AB" w:rsidP="008F514B">
      <w:pPr>
        <w:keepNext/>
        <w:jc w:val="center"/>
        <w:rPr>
          <w:szCs w:val="22"/>
        </w:rPr>
      </w:pPr>
      <w:r>
        <w:rPr>
          <w:noProof/>
          <w:lang w:eastAsia="en-AU"/>
        </w:rPr>
        <w:drawing>
          <wp:inline distT="0" distB="0" distL="0" distR="0">
            <wp:extent cx="3992245" cy="2485390"/>
            <wp:effectExtent l="0" t="0" r="8255" b="0"/>
            <wp:docPr id="18" name="Picture 30" descr="Figure showing average yearly seagrass abundance score (all sites and seasons pooled) for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igure showing average yearly seagrass abundance score (all sites and seasons pooled) for the GB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92245" cy="2485390"/>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146" w:name="_Ref271194275"/>
      <w:bookmarkStart w:id="147" w:name="_Toc38419635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w:t>
      </w:r>
      <w:r w:rsidRPr="00370E70">
        <w:rPr>
          <w:lang w:val="en-AU"/>
        </w:rPr>
        <w:fldChar w:fldCharType="end"/>
      </w:r>
      <w:bookmarkEnd w:id="146"/>
      <w:r w:rsidRPr="00370E70">
        <w:rPr>
          <w:rStyle w:val="StyleCaptionCaptionCharCharLatinCalibri11ptBlackChar"/>
          <w:lang w:val="en-AU"/>
        </w:rPr>
        <w:t xml:space="preserve">. </w:t>
      </w:r>
      <w:r w:rsidRPr="00370E70">
        <w:rPr>
          <w:i/>
          <w:lang w:val="en-AU"/>
        </w:rPr>
        <w:t>Average yearly seagrass abundance score (all sites and seasons pooled) for the GBR</w:t>
      </w:r>
      <w:bookmarkEnd w:id="147"/>
    </w:p>
    <w:p w:rsidR="0033652B" w:rsidRPr="00370E70" w:rsidRDefault="005132EF" w:rsidP="0033652B">
      <w:pPr>
        <w:pStyle w:val="Caption"/>
        <w:rPr>
          <w:i/>
          <w:lang w:val="en-AU"/>
        </w:rPr>
      </w:pPr>
      <w:r w:rsidRPr="00370E70">
        <w:rPr>
          <w:i/>
          <w:lang w:val="en-AU"/>
        </w:rPr>
        <w:t xml:space="preserve"> (</w:t>
      </w:r>
      <w:r w:rsidRPr="00370E70">
        <w:rPr>
          <w:i/>
          <w:lang w:val="en-AU"/>
        </w:rPr>
        <w:sym w:font="Symbol" w:char="F0B1"/>
      </w:r>
      <w:r w:rsidRPr="00370E70">
        <w:rPr>
          <w:i/>
          <w:lang w:val="en-AU"/>
        </w:rPr>
        <w:t xml:space="preserve"> Standard Error). Median percentage cover at a site each monitoring event was scored relative to each site's guideline value, taking into account species and habitat.</w:t>
      </w:r>
      <w:r w:rsidR="0033652B" w:rsidRPr="00370E70">
        <w:rPr>
          <w:i/>
          <w:lang w:val="en-AU"/>
        </w:rPr>
        <w:t xml:space="preserve"> </w:t>
      </w:r>
    </w:p>
    <w:p w:rsidR="003057BF" w:rsidRPr="00370E70" w:rsidRDefault="00F679A8" w:rsidP="00034AD4">
      <w:pPr>
        <w:pStyle w:val="ListNosforConcept"/>
        <w:spacing w:after="0"/>
        <w:jc w:val="left"/>
        <w:rPr>
          <w:rFonts w:ascii="Calibri" w:hAnsi="Calibri"/>
          <w:color w:val="000000"/>
          <w:szCs w:val="22"/>
          <w:lang w:val="en-AU"/>
        </w:rPr>
      </w:pPr>
      <w:r w:rsidRPr="00370E70">
        <w:rPr>
          <w:rFonts w:ascii="Calibri" w:hAnsi="Calibri"/>
          <w:color w:val="000000"/>
          <w:szCs w:val="22"/>
          <w:lang w:val="en-AU"/>
        </w:rPr>
        <w:lastRenderedPageBreak/>
        <w:t xml:space="preserve">The </w:t>
      </w:r>
      <w:r w:rsidR="00E87F78" w:rsidRPr="00370E70">
        <w:rPr>
          <w:rFonts w:ascii="Calibri" w:hAnsi="Calibri"/>
          <w:color w:val="000000"/>
          <w:szCs w:val="22"/>
          <w:lang w:val="en-AU"/>
        </w:rPr>
        <w:t xml:space="preserve">GBR </w:t>
      </w:r>
      <w:r w:rsidRPr="00370E70">
        <w:rPr>
          <w:rFonts w:ascii="Calibri" w:hAnsi="Calibri"/>
          <w:color w:val="000000"/>
          <w:szCs w:val="22"/>
          <w:lang w:val="en-AU"/>
        </w:rPr>
        <w:t>seagrass abundance status in 2011/12 was the lowest since monitoring was established</w:t>
      </w:r>
      <w:r w:rsidR="00C64015" w:rsidRPr="00370E70">
        <w:rPr>
          <w:rFonts w:ascii="Calibri" w:hAnsi="Calibri"/>
          <w:color w:val="000000"/>
          <w:szCs w:val="22"/>
          <w:lang w:val="en-AU"/>
        </w:rPr>
        <w:t xml:space="preserve"> (</w:t>
      </w:r>
      <w:r w:rsidR="00E3256B" w:rsidRPr="00370E70">
        <w:rPr>
          <w:rFonts w:ascii="Calibri" w:hAnsi="Calibri"/>
          <w:color w:val="000000"/>
          <w:szCs w:val="22"/>
          <w:lang w:val="en-AU"/>
        </w:rPr>
        <w:fldChar w:fldCharType="begin"/>
      </w:r>
      <w:r w:rsidR="00E3256B" w:rsidRPr="00370E70">
        <w:rPr>
          <w:rFonts w:ascii="Calibri" w:hAnsi="Calibri"/>
          <w:color w:val="000000"/>
          <w:szCs w:val="22"/>
          <w:lang w:val="en-AU"/>
        </w:rPr>
        <w:instrText xml:space="preserve"> REF _Ref271194275 \h  \* MERGEFORMAT </w:instrText>
      </w:r>
      <w:r w:rsidR="00E3256B" w:rsidRPr="00370E70">
        <w:rPr>
          <w:rFonts w:ascii="Calibri" w:hAnsi="Calibri"/>
          <w:color w:val="000000"/>
          <w:szCs w:val="22"/>
          <w:lang w:val="en-AU"/>
        </w:rPr>
      </w:r>
      <w:r w:rsidR="00E3256B" w:rsidRPr="00370E70">
        <w:rPr>
          <w:rFonts w:ascii="Calibri" w:hAnsi="Calibri"/>
          <w:color w:val="000000"/>
          <w:szCs w:val="22"/>
          <w:lang w:val="en-AU"/>
        </w:rPr>
        <w:fldChar w:fldCharType="separate"/>
      </w:r>
      <w:r w:rsidR="005B5FD6" w:rsidRPr="00370E70">
        <w:rPr>
          <w:rStyle w:val="StyleCaptionCaptionCharCharLatinCalibri11ptBlackChar"/>
          <w:lang w:val="en-AU"/>
        </w:rPr>
        <w:t xml:space="preserve">Figure </w:t>
      </w:r>
      <w:r w:rsidR="005B5FD6" w:rsidRPr="005B5FD6">
        <w:rPr>
          <w:rFonts w:ascii="Calibri" w:hAnsi="Calibri"/>
          <w:noProof/>
          <w:lang w:val="en-AU"/>
        </w:rPr>
        <w:t>9</w:t>
      </w:r>
      <w:r w:rsidR="00E3256B" w:rsidRPr="00370E70">
        <w:rPr>
          <w:rFonts w:ascii="Calibri" w:hAnsi="Calibri"/>
          <w:color w:val="000000"/>
          <w:szCs w:val="22"/>
          <w:lang w:val="en-AU"/>
        </w:rPr>
        <w:fldChar w:fldCharType="end"/>
      </w:r>
      <w:r w:rsidR="00C64015" w:rsidRPr="00370E70">
        <w:rPr>
          <w:rFonts w:ascii="Calibri" w:hAnsi="Calibri"/>
          <w:color w:val="000000"/>
          <w:szCs w:val="22"/>
          <w:lang w:val="en-AU"/>
        </w:rPr>
        <w:t>)</w:t>
      </w:r>
      <w:r w:rsidRPr="00370E70">
        <w:rPr>
          <w:rFonts w:ascii="Calibri" w:hAnsi="Calibri"/>
          <w:color w:val="000000"/>
          <w:szCs w:val="22"/>
          <w:lang w:val="en-AU"/>
        </w:rPr>
        <w:t xml:space="preserve">. </w:t>
      </w:r>
      <w:r w:rsidR="00E87F78" w:rsidRPr="00370E70">
        <w:rPr>
          <w:rFonts w:ascii="Calibri" w:hAnsi="Calibri"/>
          <w:color w:val="000000"/>
          <w:szCs w:val="22"/>
          <w:lang w:val="en-AU"/>
        </w:rPr>
        <w:t>Th</w:t>
      </w:r>
      <w:r w:rsidR="00E3256B" w:rsidRPr="00370E70">
        <w:rPr>
          <w:rFonts w:ascii="Calibri" w:hAnsi="Calibri"/>
          <w:color w:val="000000"/>
          <w:szCs w:val="22"/>
          <w:lang w:val="en-AU"/>
        </w:rPr>
        <w:t xml:space="preserve">e overall abundance score appears to be heavily influenced by the large </w:t>
      </w:r>
      <w:r w:rsidR="00E87F78" w:rsidRPr="00370E70">
        <w:rPr>
          <w:rFonts w:ascii="Calibri" w:hAnsi="Calibri"/>
          <w:color w:val="000000"/>
          <w:szCs w:val="22"/>
          <w:lang w:val="en-AU"/>
        </w:rPr>
        <w:t xml:space="preserve">decline </w:t>
      </w:r>
      <w:r w:rsidR="00E3256B" w:rsidRPr="00370E70">
        <w:rPr>
          <w:rFonts w:ascii="Calibri" w:hAnsi="Calibri"/>
          <w:color w:val="000000"/>
          <w:szCs w:val="22"/>
          <w:lang w:val="en-AU"/>
        </w:rPr>
        <w:t>experienced</w:t>
      </w:r>
      <w:r w:rsidR="00E87F78" w:rsidRPr="00370E70">
        <w:rPr>
          <w:rFonts w:ascii="Calibri" w:hAnsi="Calibri"/>
          <w:color w:val="000000"/>
          <w:szCs w:val="22"/>
          <w:lang w:val="en-AU"/>
        </w:rPr>
        <w:t xml:space="preserve"> in the Wet Tropics (</w:t>
      </w:r>
      <w:r w:rsidR="00E87F78" w:rsidRPr="00370E70">
        <w:rPr>
          <w:rFonts w:ascii="Calibri" w:hAnsi="Calibri"/>
          <w:color w:val="000000"/>
          <w:szCs w:val="22"/>
          <w:lang w:val="en-AU"/>
        </w:rPr>
        <w:fldChar w:fldCharType="begin"/>
      </w:r>
      <w:r w:rsidR="00E87F78" w:rsidRPr="00370E70">
        <w:rPr>
          <w:rFonts w:ascii="Calibri" w:hAnsi="Calibri"/>
          <w:color w:val="000000"/>
          <w:szCs w:val="22"/>
          <w:lang w:val="en-AU"/>
        </w:rPr>
        <w:instrText xml:space="preserve"> REF _Ref382741616 \h </w:instrText>
      </w:r>
      <w:r w:rsidR="00E3256B" w:rsidRPr="00370E70">
        <w:rPr>
          <w:rFonts w:ascii="Calibri" w:hAnsi="Calibri"/>
          <w:color w:val="000000"/>
          <w:szCs w:val="22"/>
          <w:lang w:val="en-AU"/>
        </w:rPr>
        <w:instrText xml:space="preserve"> \* MERGEFORMAT </w:instrText>
      </w:r>
      <w:r w:rsidR="00E87F78" w:rsidRPr="00370E70">
        <w:rPr>
          <w:rFonts w:ascii="Calibri" w:hAnsi="Calibri"/>
          <w:color w:val="000000"/>
          <w:szCs w:val="22"/>
          <w:lang w:val="en-AU"/>
        </w:rPr>
      </w:r>
      <w:r w:rsidR="00E87F78" w:rsidRPr="00370E70">
        <w:rPr>
          <w:rFonts w:ascii="Calibri" w:hAnsi="Calibri"/>
          <w:color w:val="000000"/>
          <w:szCs w:val="22"/>
          <w:lang w:val="en-AU"/>
        </w:rPr>
        <w:fldChar w:fldCharType="separate"/>
      </w:r>
      <w:r w:rsidR="005B5FD6" w:rsidRPr="005B5FD6">
        <w:rPr>
          <w:rFonts w:ascii="Calibri" w:hAnsi="Calibri"/>
          <w:lang w:val="en-AU"/>
        </w:rPr>
        <w:t xml:space="preserve">Figure </w:t>
      </w:r>
      <w:r w:rsidR="005B5FD6" w:rsidRPr="005B5FD6">
        <w:rPr>
          <w:rFonts w:ascii="Calibri" w:hAnsi="Calibri"/>
          <w:noProof/>
          <w:lang w:val="en-AU"/>
        </w:rPr>
        <w:t>10</w:t>
      </w:r>
      <w:r w:rsidR="00E87F78" w:rsidRPr="00370E70">
        <w:rPr>
          <w:rFonts w:ascii="Calibri" w:hAnsi="Calibri"/>
          <w:color w:val="000000"/>
          <w:szCs w:val="22"/>
          <w:lang w:val="en-AU"/>
        </w:rPr>
        <w:fldChar w:fldCharType="end"/>
      </w:r>
      <w:r w:rsidR="00E87F78" w:rsidRPr="00370E70">
        <w:rPr>
          <w:rFonts w:ascii="Calibri" w:hAnsi="Calibri"/>
          <w:color w:val="000000"/>
          <w:szCs w:val="22"/>
          <w:lang w:val="en-AU"/>
        </w:rPr>
        <w:t xml:space="preserve">). </w:t>
      </w:r>
      <w:r w:rsidR="00E3256B" w:rsidRPr="00370E70">
        <w:rPr>
          <w:rFonts w:ascii="Calibri" w:hAnsi="Calibri"/>
          <w:color w:val="000000"/>
          <w:szCs w:val="22"/>
          <w:lang w:val="en-AU"/>
        </w:rPr>
        <w:t>Conversely, a</w:t>
      </w:r>
      <w:r w:rsidR="00E87F78" w:rsidRPr="00370E70">
        <w:rPr>
          <w:rFonts w:ascii="Calibri" w:hAnsi="Calibri"/>
          <w:color w:val="000000"/>
          <w:szCs w:val="22"/>
          <w:lang w:val="en-AU"/>
        </w:rPr>
        <w:t xml:space="preserve">ll other regions increased in abundance in 2011/12, with the exception of the Burnett Mary </w:t>
      </w:r>
      <w:r w:rsidR="00E3256B" w:rsidRPr="00370E70">
        <w:rPr>
          <w:rFonts w:ascii="Calibri" w:hAnsi="Calibri"/>
          <w:color w:val="000000"/>
          <w:szCs w:val="22"/>
          <w:lang w:val="en-AU"/>
        </w:rPr>
        <w:t xml:space="preserve">which remained </w:t>
      </w:r>
      <w:r w:rsidR="00E87F78" w:rsidRPr="00370E70">
        <w:rPr>
          <w:rFonts w:ascii="Calibri" w:hAnsi="Calibri"/>
          <w:color w:val="000000"/>
          <w:szCs w:val="22"/>
          <w:lang w:val="en-AU"/>
        </w:rPr>
        <w:t>unchanged (</w:t>
      </w:r>
      <w:r w:rsidR="00E3256B" w:rsidRPr="00370E70">
        <w:rPr>
          <w:rFonts w:ascii="Calibri" w:hAnsi="Calibri"/>
          <w:color w:val="000000"/>
          <w:szCs w:val="22"/>
          <w:lang w:val="en-AU"/>
        </w:rPr>
        <w:fldChar w:fldCharType="begin"/>
      </w:r>
      <w:r w:rsidR="00E3256B" w:rsidRPr="00370E70">
        <w:rPr>
          <w:rFonts w:ascii="Calibri" w:hAnsi="Calibri"/>
          <w:color w:val="000000"/>
          <w:szCs w:val="22"/>
          <w:lang w:val="en-AU"/>
        </w:rPr>
        <w:instrText xml:space="preserve"> REF _Ref382741616 \h  \* MERGEFORMAT </w:instrText>
      </w:r>
      <w:r w:rsidR="00E3256B" w:rsidRPr="00370E70">
        <w:rPr>
          <w:rFonts w:ascii="Calibri" w:hAnsi="Calibri"/>
          <w:color w:val="000000"/>
          <w:szCs w:val="22"/>
          <w:lang w:val="en-AU"/>
        </w:rPr>
      </w:r>
      <w:r w:rsidR="00E3256B" w:rsidRPr="00370E70">
        <w:rPr>
          <w:rFonts w:ascii="Calibri" w:hAnsi="Calibri"/>
          <w:color w:val="000000"/>
          <w:szCs w:val="22"/>
          <w:lang w:val="en-AU"/>
        </w:rPr>
        <w:fldChar w:fldCharType="separate"/>
      </w:r>
      <w:r w:rsidR="005B5FD6" w:rsidRPr="005B5FD6">
        <w:rPr>
          <w:rFonts w:ascii="Calibri" w:hAnsi="Calibri"/>
          <w:lang w:val="en-AU"/>
        </w:rPr>
        <w:t xml:space="preserve">Figure </w:t>
      </w:r>
      <w:r w:rsidR="005B5FD6" w:rsidRPr="005B5FD6">
        <w:rPr>
          <w:rFonts w:ascii="Calibri" w:hAnsi="Calibri"/>
          <w:noProof/>
          <w:lang w:val="en-AU"/>
        </w:rPr>
        <w:t>10</w:t>
      </w:r>
      <w:r w:rsidR="00E3256B" w:rsidRPr="00370E70">
        <w:rPr>
          <w:rFonts w:ascii="Calibri" w:hAnsi="Calibri"/>
          <w:color w:val="000000"/>
          <w:szCs w:val="22"/>
          <w:lang w:val="en-AU"/>
        </w:rPr>
        <w:fldChar w:fldCharType="end"/>
      </w:r>
      <w:r w:rsidR="00E87F78" w:rsidRPr="00370E70">
        <w:rPr>
          <w:rFonts w:ascii="Calibri" w:hAnsi="Calibri"/>
          <w:color w:val="000000"/>
          <w:szCs w:val="22"/>
          <w:lang w:val="en-AU"/>
        </w:rPr>
        <w:t>)</w:t>
      </w:r>
      <w:r w:rsidR="00E3256B" w:rsidRPr="00370E70">
        <w:rPr>
          <w:rFonts w:ascii="Calibri" w:hAnsi="Calibri"/>
          <w:color w:val="000000"/>
          <w:szCs w:val="22"/>
          <w:lang w:val="en-AU"/>
        </w:rPr>
        <w:t xml:space="preserve">. This suggests the onset of recovery across most of the GBR inshore seagrass meadows. </w:t>
      </w:r>
    </w:p>
    <w:p w:rsidR="00E87F78" w:rsidRPr="00370E70" w:rsidRDefault="007B15AB" w:rsidP="00831000">
      <w:pPr>
        <w:keepNext/>
        <w:jc w:val="center"/>
        <w:rPr>
          <w:szCs w:val="22"/>
        </w:rPr>
      </w:pPr>
      <w:r>
        <w:rPr>
          <w:noProof/>
          <w:szCs w:val="22"/>
          <w:lang w:eastAsia="en-AU"/>
        </w:rPr>
        <w:drawing>
          <wp:inline distT="0" distB="0" distL="0" distR="0">
            <wp:extent cx="5396230" cy="2021840"/>
            <wp:effectExtent l="0" t="0" r="0" b="0"/>
            <wp:docPr id="19" name="Picture 19" descr="Figure of regional report card scores for seagrass abundance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gure of regional report card scores for seagrass abundance over the life of the MMP"/>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96230" cy="2021840"/>
                    </a:xfrm>
                    <a:prstGeom prst="rect">
                      <a:avLst/>
                    </a:prstGeom>
                    <a:noFill/>
                    <a:ln>
                      <a:noFill/>
                    </a:ln>
                  </pic:spPr>
                </pic:pic>
              </a:graphicData>
            </a:graphic>
          </wp:inline>
        </w:drawing>
      </w:r>
    </w:p>
    <w:p w:rsidR="00E87F78" w:rsidRPr="00370E70" w:rsidRDefault="00E87F78" w:rsidP="00E87F78">
      <w:pPr>
        <w:pStyle w:val="Caption"/>
        <w:rPr>
          <w:i/>
          <w:vanish/>
          <w:szCs w:val="22"/>
          <w:lang w:val="en-AU"/>
          <w:specVanish/>
        </w:rPr>
      </w:pPr>
      <w:bookmarkStart w:id="148" w:name="_Ref382741616"/>
      <w:bookmarkStart w:id="149" w:name="_Toc384196357"/>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10</w:t>
      </w:r>
      <w:r w:rsidRPr="00370E70">
        <w:rPr>
          <w:lang w:val="en-AU"/>
        </w:rPr>
        <w:fldChar w:fldCharType="end"/>
      </w:r>
      <w:bookmarkEnd w:id="148"/>
      <w:r w:rsidRPr="00370E70">
        <w:rPr>
          <w:lang w:val="en-AU"/>
        </w:rPr>
        <w:t xml:space="preserve">. </w:t>
      </w:r>
      <w:r w:rsidRPr="00370E70">
        <w:rPr>
          <w:i/>
          <w:lang w:val="en-AU"/>
        </w:rPr>
        <w:t xml:space="preserve">Regional report card scores for </w:t>
      </w:r>
      <w:r w:rsidRPr="00370E70">
        <w:rPr>
          <w:b/>
          <w:i/>
          <w:lang w:val="en-AU"/>
        </w:rPr>
        <w:t>seagrass abundance</w:t>
      </w:r>
      <w:r w:rsidRPr="00370E70">
        <w:rPr>
          <w:i/>
          <w:lang w:val="en-AU"/>
        </w:rPr>
        <w:t xml:space="preserve"> over the life of the MMP.</w:t>
      </w:r>
      <w:bookmarkEnd w:id="149"/>
      <w:r w:rsidRPr="00370E70">
        <w:rPr>
          <w:i/>
          <w:lang w:val="en-AU"/>
        </w:rPr>
        <w:t xml:space="preserve"> </w:t>
      </w:r>
    </w:p>
    <w:p w:rsidR="00E87F78" w:rsidRPr="00370E70" w:rsidRDefault="00E87F78" w:rsidP="00E87F78">
      <w:pPr>
        <w:pStyle w:val="Caption"/>
        <w:rPr>
          <w:lang w:val="en-AU"/>
        </w:rPr>
      </w:pPr>
      <w:r w:rsidRPr="00370E70">
        <w:rPr>
          <w:i/>
          <w:lang w:val="en-AU"/>
        </w:rPr>
        <w:t xml:space="preserve">For Paddock to Reef reporting scores are categorised in to a five point scale; </w:t>
      </w:r>
      <w:r w:rsidRPr="00370E70">
        <w:rPr>
          <w:rFonts w:ascii="Arial" w:hAnsi="Arial" w:cs="Arial"/>
          <w:i/>
          <w:color w:val="008000"/>
          <w:lang w:val="en-AU"/>
        </w:rPr>
        <w:t>■</w:t>
      </w:r>
      <w:r w:rsidRPr="00370E70">
        <w:rPr>
          <w:rFonts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Pr="00370E70">
        <w:rPr>
          <w:lang w:val="en-AU"/>
        </w:rPr>
        <w:t xml:space="preserve"> </w:t>
      </w:r>
    </w:p>
    <w:p w:rsidR="00E87F78" w:rsidRPr="00370E70" w:rsidRDefault="00E3256B" w:rsidP="00034AD4">
      <w:pPr>
        <w:pStyle w:val="ListNosforConcept"/>
        <w:spacing w:after="0"/>
        <w:jc w:val="left"/>
        <w:rPr>
          <w:rFonts w:ascii="Calibri" w:hAnsi="Calibri"/>
          <w:color w:val="000000"/>
          <w:szCs w:val="22"/>
          <w:lang w:val="en-AU"/>
        </w:rPr>
      </w:pPr>
      <w:r w:rsidRPr="00370E70">
        <w:rPr>
          <w:rFonts w:ascii="Calibri" w:hAnsi="Calibri"/>
          <w:color w:val="000000"/>
          <w:szCs w:val="22"/>
          <w:lang w:val="en-AU"/>
        </w:rPr>
        <w:t>The decline in state was greatest in coastal habitats over the long-term, where abundance was initially good to very good in 2005/06, but declined to very poor in 2011/12 (</w:t>
      </w:r>
      <w:r w:rsidRPr="00370E70">
        <w:rPr>
          <w:rFonts w:ascii="Calibri" w:hAnsi="Calibri"/>
          <w:color w:val="000000"/>
          <w:szCs w:val="22"/>
          <w:lang w:val="en-AU"/>
        </w:rPr>
        <w:fldChar w:fldCharType="begin"/>
      </w:r>
      <w:r w:rsidRPr="00370E70">
        <w:rPr>
          <w:rFonts w:ascii="Calibri" w:hAnsi="Calibri"/>
          <w:color w:val="000000"/>
          <w:szCs w:val="22"/>
          <w:lang w:val="en-AU"/>
        </w:rPr>
        <w:instrText xml:space="preserve"> REF _Ref354836441 \h  \* MERGEFORMAT </w:instrText>
      </w:r>
      <w:r w:rsidRPr="00370E70">
        <w:rPr>
          <w:rFonts w:ascii="Calibri" w:hAnsi="Calibri"/>
          <w:color w:val="000000"/>
          <w:szCs w:val="22"/>
          <w:lang w:val="en-AU"/>
        </w:rPr>
      </w:r>
      <w:r w:rsidRPr="00370E70">
        <w:rPr>
          <w:rFonts w:ascii="Calibri" w:hAnsi="Calibri"/>
          <w:color w:val="000000"/>
          <w:szCs w:val="22"/>
          <w:lang w:val="en-AU"/>
        </w:rPr>
        <w:fldChar w:fldCharType="separate"/>
      </w:r>
      <w:r w:rsidR="005B5FD6" w:rsidRPr="005B5FD6">
        <w:rPr>
          <w:rFonts w:ascii="Calibri" w:hAnsi="Calibri"/>
          <w:lang w:val="en-AU"/>
        </w:rPr>
        <w:t xml:space="preserve">Table </w:t>
      </w:r>
      <w:r w:rsidR="005B5FD6" w:rsidRPr="005B5FD6">
        <w:rPr>
          <w:rFonts w:ascii="Calibri" w:hAnsi="Calibri"/>
          <w:noProof/>
          <w:lang w:val="en-AU"/>
        </w:rPr>
        <w:t>13</w:t>
      </w:r>
      <w:r w:rsidRPr="00370E70">
        <w:rPr>
          <w:rFonts w:ascii="Calibri" w:hAnsi="Calibri"/>
          <w:color w:val="000000"/>
          <w:szCs w:val="22"/>
          <w:lang w:val="en-AU"/>
        </w:rPr>
        <w:fldChar w:fldCharType="end"/>
      </w:r>
      <w:r w:rsidRPr="00370E70">
        <w:rPr>
          <w:rFonts w:ascii="Calibri" w:hAnsi="Calibri"/>
          <w:color w:val="000000"/>
          <w:szCs w:val="22"/>
          <w:lang w:val="en-AU"/>
        </w:rPr>
        <w:t>).</w:t>
      </w:r>
    </w:p>
    <w:p w:rsidR="0033652B" w:rsidRPr="00370E70" w:rsidRDefault="00F679A8" w:rsidP="0033652B">
      <w:pPr>
        <w:pStyle w:val="Caption"/>
        <w:jc w:val="center"/>
        <w:rPr>
          <w:i/>
          <w:vanish/>
          <w:szCs w:val="22"/>
          <w:lang w:val="en-AU"/>
          <w:specVanish/>
        </w:rPr>
      </w:pPr>
      <w:bookmarkStart w:id="150" w:name="_Ref354836441"/>
      <w:bookmarkStart w:id="151" w:name="_Toc384196549"/>
      <w:r w:rsidRPr="00370E70">
        <w:rP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13</w:t>
      </w:r>
      <w:r w:rsidRPr="00370E70">
        <w:rPr>
          <w:lang w:val="en-AU"/>
        </w:rPr>
        <w:fldChar w:fldCharType="end"/>
      </w:r>
      <w:bookmarkEnd w:id="150"/>
      <w:r w:rsidRPr="00370E70">
        <w:rPr>
          <w:lang w:val="en-AU"/>
        </w:rPr>
        <w:t xml:space="preserve">. </w:t>
      </w:r>
      <w:r w:rsidR="00C64015" w:rsidRPr="00370E70">
        <w:rPr>
          <w:i/>
          <w:lang w:val="en-AU"/>
        </w:rPr>
        <w:t>Long-term r</w:t>
      </w:r>
      <w:r w:rsidRPr="00370E70">
        <w:rPr>
          <w:i/>
          <w:lang w:val="en-AU"/>
        </w:rPr>
        <w:t>eport card for seagrass abundance status for each habitat in each NRM region: July 2005 – May 2012</w:t>
      </w:r>
      <w:bookmarkEnd w:id="151"/>
    </w:p>
    <w:p w:rsidR="0033652B" w:rsidRPr="00370E70" w:rsidRDefault="00F679A8" w:rsidP="0033652B">
      <w:pPr>
        <w:pStyle w:val="Caption"/>
        <w:jc w:val="center"/>
        <w:rPr>
          <w:i/>
          <w:lang w:val="en-AU"/>
        </w:rPr>
      </w:pPr>
      <w:r w:rsidRPr="00370E70">
        <w:rPr>
          <w:i/>
          <w:lang w:val="en-AU"/>
        </w:rPr>
        <w:t xml:space="preserve">. 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EB7C68" w:rsidRPr="00370E70">
        <w:rPr>
          <w:i/>
          <w:lang w:val="en-AU"/>
        </w:rPr>
        <w:t xml:space="preserve"> Overall GBR score is weighted, with the exclusion of </w:t>
      </w:r>
      <w:smartTag w:uri="urn:schemas-microsoft-com:office:smarttags" w:element="place">
        <w:r w:rsidR="00EB7C68" w:rsidRPr="00370E70">
          <w:rPr>
            <w:i/>
            <w:lang w:val="en-AU"/>
          </w:rPr>
          <w:t>Cape York</w:t>
        </w:r>
      </w:smartTag>
      <w:r w:rsidR="00EB7C68" w:rsidRPr="00370E70">
        <w:rPr>
          <w:i/>
          <w:lang w:val="en-AU"/>
        </w:rPr>
        <w:t>.</w:t>
      </w:r>
      <w:r w:rsidR="0033652B" w:rsidRPr="00370E70">
        <w:rPr>
          <w:i/>
          <w:lang w:val="en-AU"/>
        </w:rPr>
        <w:t xml:space="preserve"> </w:t>
      </w:r>
    </w:p>
    <w:tbl>
      <w:tblPr>
        <w:tblW w:w="9244" w:type="dxa"/>
        <w:jc w:val="center"/>
        <w:tblLook w:val="0000" w:firstRow="0" w:lastRow="0" w:firstColumn="0" w:lastColumn="0" w:noHBand="0" w:noVBand="0"/>
      </w:tblPr>
      <w:tblGrid>
        <w:gridCol w:w="1966"/>
        <w:gridCol w:w="1874"/>
        <w:gridCol w:w="772"/>
        <w:gridCol w:w="772"/>
        <w:gridCol w:w="772"/>
        <w:gridCol w:w="772"/>
        <w:gridCol w:w="772"/>
        <w:gridCol w:w="772"/>
        <w:gridCol w:w="772"/>
      </w:tblGrid>
      <w:tr w:rsidR="00C64015" w:rsidRPr="00370E70" w:rsidTr="00BF27A2">
        <w:trPr>
          <w:trHeight w:val="276"/>
          <w:jc w:val="center"/>
        </w:trPr>
        <w:tc>
          <w:tcPr>
            <w:tcW w:w="1966"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20"/>
                <w:szCs w:val="20"/>
                <w:lang w:eastAsia="en-AU"/>
              </w:rPr>
            </w:pPr>
            <w:r w:rsidRPr="00370E70">
              <w:rPr>
                <w:b/>
                <w:sz w:val="20"/>
                <w:szCs w:val="20"/>
                <w:lang w:eastAsia="en-AU"/>
              </w:rPr>
              <w:t>NRM region</w:t>
            </w:r>
          </w:p>
        </w:tc>
        <w:tc>
          <w:tcPr>
            <w:tcW w:w="1874" w:type="dxa"/>
            <w:tcBorders>
              <w:top w:val="single" w:sz="4" w:space="0" w:color="000000"/>
              <w:bottom w:val="single" w:sz="4" w:space="0" w:color="000000"/>
            </w:tcBorders>
            <w:shd w:val="clear" w:color="auto" w:fill="auto"/>
            <w:noWrap/>
            <w:vAlign w:val="center"/>
          </w:tcPr>
          <w:p w:rsidR="00F679A8" w:rsidRPr="00370E70" w:rsidRDefault="00F679A8" w:rsidP="00C64015">
            <w:pPr>
              <w:spacing w:before="0" w:after="0"/>
              <w:jc w:val="center"/>
              <w:rPr>
                <w:b/>
                <w:color w:val="000000"/>
                <w:sz w:val="20"/>
                <w:szCs w:val="20"/>
                <w:lang w:eastAsia="en-AU"/>
              </w:rPr>
            </w:pPr>
            <w:r w:rsidRPr="00370E70">
              <w:rPr>
                <w:b/>
                <w:color w:val="000000"/>
                <w:sz w:val="20"/>
                <w:szCs w:val="20"/>
                <w:lang w:eastAsia="en-AU"/>
              </w:rPr>
              <w:t>Habitat</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w:t>
            </w:r>
            <w:r w:rsidR="00C64015" w:rsidRPr="00370E70">
              <w:rPr>
                <w:b/>
                <w:sz w:val="16"/>
                <w:szCs w:val="16"/>
                <w:lang w:eastAsia="en-AU"/>
              </w:rPr>
              <w:t>05/06</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200</w:t>
            </w:r>
            <w:r w:rsidR="00C64015" w:rsidRPr="00370E70">
              <w:rPr>
                <w:b/>
                <w:sz w:val="16"/>
                <w:szCs w:val="16"/>
                <w:lang w:eastAsia="en-AU"/>
              </w:rPr>
              <w:t>6/0</w:t>
            </w:r>
            <w:r w:rsidRPr="00370E70">
              <w:rPr>
                <w:b/>
                <w:sz w:val="16"/>
                <w:szCs w:val="16"/>
                <w:lang w:eastAsia="en-AU"/>
              </w:rPr>
              <w:t>7</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200</w:t>
            </w:r>
            <w:r w:rsidR="00C64015" w:rsidRPr="00370E70">
              <w:rPr>
                <w:b/>
                <w:sz w:val="16"/>
                <w:szCs w:val="16"/>
                <w:lang w:eastAsia="en-AU"/>
              </w:rPr>
              <w:t>7/0</w:t>
            </w:r>
            <w:r w:rsidRPr="00370E70">
              <w:rPr>
                <w:b/>
                <w:sz w:val="16"/>
                <w:szCs w:val="16"/>
                <w:lang w:eastAsia="en-AU"/>
              </w:rPr>
              <w:t>8</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200</w:t>
            </w:r>
            <w:r w:rsidR="00C64015" w:rsidRPr="00370E70">
              <w:rPr>
                <w:b/>
                <w:sz w:val="16"/>
                <w:szCs w:val="16"/>
                <w:lang w:eastAsia="en-AU"/>
              </w:rPr>
              <w:t>8/0</w:t>
            </w:r>
            <w:r w:rsidRPr="00370E70">
              <w:rPr>
                <w:b/>
                <w:sz w:val="16"/>
                <w:szCs w:val="16"/>
                <w:lang w:eastAsia="en-AU"/>
              </w:rPr>
              <w:t>9</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w:t>
            </w:r>
            <w:r w:rsidR="00C64015" w:rsidRPr="00370E70">
              <w:rPr>
                <w:b/>
                <w:sz w:val="16"/>
                <w:szCs w:val="16"/>
                <w:lang w:eastAsia="en-AU"/>
              </w:rPr>
              <w:t>09/</w:t>
            </w:r>
            <w:r w:rsidRPr="00370E70">
              <w:rPr>
                <w:b/>
                <w:sz w:val="16"/>
                <w:szCs w:val="16"/>
                <w:lang w:eastAsia="en-AU"/>
              </w:rPr>
              <w:t>10</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w:t>
            </w:r>
            <w:r w:rsidR="00C64015" w:rsidRPr="00370E70">
              <w:rPr>
                <w:b/>
                <w:sz w:val="16"/>
                <w:szCs w:val="16"/>
                <w:lang w:eastAsia="en-AU"/>
              </w:rPr>
              <w:t>10/</w:t>
            </w:r>
            <w:r w:rsidRPr="00370E70">
              <w:rPr>
                <w:b/>
                <w:sz w:val="16"/>
                <w:szCs w:val="16"/>
                <w:lang w:eastAsia="en-AU"/>
              </w:rPr>
              <w:t>11</w:t>
            </w:r>
          </w:p>
        </w:tc>
        <w:tc>
          <w:tcPr>
            <w:tcW w:w="772" w:type="dxa"/>
            <w:tcBorders>
              <w:top w:val="single" w:sz="4" w:space="0" w:color="000000"/>
              <w:bottom w:val="single" w:sz="4" w:space="0" w:color="000000"/>
            </w:tcBorders>
            <w:shd w:val="clear" w:color="auto" w:fill="auto"/>
            <w:vAlign w:val="center"/>
          </w:tcPr>
          <w:p w:rsidR="00F679A8" w:rsidRPr="00370E70" w:rsidRDefault="00F679A8" w:rsidP="00C64015">
            <w:pPr>
              <w:spacing w:before="0" w:after="0"/>
              <w:jc w:val="center"/>
              <w:rPr>
                <w:b/>
                <w:sz w:val="16"/>
                <w:szCs w:val="16"/>
                <w:lang w:eastAsia="en-AU"/>
              </w:rPr>
            </w:pPr>
            <w:r w:rsidRPr="00370E70">
              <w:rPr>
                <w:b/>
                <w:sz w:val="16"/>
                <w:szCs w:val="16"/>
                <w:lang w:eastAsia="en-AU"/>
              </w:rPr>
              <w:t>20</w:t>
            </w:r>
            <w:r w:rsidR="00C64015" w:rsidRPr="00370E70">
              <w:rPr>
                <w:b/>
                <w:sz w:val="16"/>
                <w:szCs w:val="16"/>
                <w:lang w:eastAsia="en-AU"/>
              </w:rPr>
              <w:t>11/</w:t>
            </w:r>
            <w:r w:rsidRPr="00370E70">
              <w:rPr>
                <w:b/>
                <w:sz w:val="16"/>
                <w:szCs w:val="16"/>
                <w:lang w:eastAsia="en-AU"/>
              </w:rPr>
              <w:t>12</w:t>
            </w:r>
          </w:p>
        </w:tc>
      </w:tr>
      <w:tr w:rsidR="00F679A8" w:rsidRPr="00370E70" w:rsidTr="00BF27A2">
        <w:trPr>
          <w:trHeight w:val="312"/>
          <w:jc w:val="center"/>
        </w:trPr>
        <w:tc>
          <w:tcPr>
            <w:tcW w:w="1966" w:type="dxa"/>
            <w:tcBorders>
              <w:top w:val="single" w:sz="4" w:space="0" w:color="000000"/>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smartTag w:uri="urn:schemas-microsoft-com:office:smarttags" w:element="place">
              <w:r w:rsidRPr="00370E70">
                <w:rPr>
                  <w:sz w:val="20"/>
                  <w:szCs w:val="20"/>
                  <w:lang w:eastAsia="en-AU"/>
                </w:rPr>
                <w:t>Cape York</w:t>
              </w:r>
            </w:smartTag>
          </w:p>
        </w:tc>
        <w:tc>
          <w:tcPr>
            <w:tcW w:w="1874" w:type="dxa"/>
            <w:tcBorders>
              <w:top w:val="single" w:sz="4" w:space="0" w:color="000000"/>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reef intertidal</w:t>
            </w:r>
          </w:p>
        </w:tc>
        <w:tc>
          <w:tcPr>
            <w:tcW w:w="772" w:type="dxa"/>
            <w:tcBorders>
              <w:top w:val="single" w:sz="4" w:space="0" w:color="000000"/>
              <w:bottom w:val="single" w:sz="4" w:space="0" w:color="000000"/>
            </w:tcBorders>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80</w:t>
            </w:r>
          </w:p>
        </w:tc>
        <w:tc>
          <w:tcPr>
            <w:tcW w:w="772" w:type="dxa"/>
            <w:tcBorders>
              <w:top w:val="single" w:sz="4" w:space="0" w:color="000000"/>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20</w:t>
            </w:r>
          </w:p>
        </w:tc>
        <w:tc>
          <w:tcPr>
            <w:tcW w:w="772" w:type="dxa"/>
            <w:tcBorders>
              <w:top w:val="single" w:sz="4" w:space="0" w:color="000000"/>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30</w:t>
            </w:r>
          </w:p>
        </w:tc>
        <w:tc>
          <w:tcPr>
            <w:tcW w:w="772" w:type="dxa"/>
            <w:tcBorders>
              <w:top w:val="single" w:sz="4" w:space="0" w:color="000000"/>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38</w:t>
            </w:r>
          </w:p>
        </w:tc>
        <w:tc>
          <w:tcPr>
            <w:tcW w:w="772" w:type="dxa"/>
            <w:tcBorders>
              <w:top w:val="single" w:sz="4" w:space="0" w:color="000000"/>
              <w:bottom w:val="single" w:sz="4" w:space="0" w:color="000000"/>
            </w:tcBorders>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69</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15</w:t>
            </w:r>
          </w:p>
        </w:tc>
        <w:tc>
          <w:tcPr>
            <w:tcW w:w="772" w:type="dxa"/>
            <w:tcBorders>
              <w:top w:val="single" w:sz="4" w:space="0" w:color="000000"/>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r>
      <w:tr w:rsidR="00F679A8" w:rsidRPr="00370E70" w:rsidTr="00BF27A2">
        <w:trPr>
          <w:trHeight w:val="312"/>
          <w:jc w:val="center"/>
        </w:trPr>
        <w:tc>
          <w:tcPr>
            <w:tcW w:w="1966" w:type="dxa"/>
            <w:tcBorders>
              <w:top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Wet Tropics</w:t>
            </w:r>
          </w:p>
        </w:tc>
        <w:tc>
          <w:tcPr>
            <w:tcW w:w="1874" w:type="dxa"/>
            <w:tcBorders>
              <w:top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reef intertidal</w:t>
            </w:r>
          </w:p>
        </w:tc>
        <w:tc>
          <w:tcPr>
            <w:tcW w:w="772" w:type="dxa"/>
            <w:tcBorders>
              <w:top w:val="single" w:sz="4" w:space="0" w:color="000000"/>
            </w:tcBorders>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72</w:t>
            </w:r>
          </w:p>
        </w:tc>
        <w:tc>
          <w:tcPr>
            <w:tcW w:w="772" w:type="dxa"/>
            <w:tcBorders>
              <w:top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58</w:t>
            </w:r>
          </w:p>
        </w:tc>
        <w:tc>
          <w:tcPr>
            <w:tcW w:w="772" w:type="dxa"/>
            <w:tcBorders>
              <w:top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43</w:t>
            </w:r>
          </w:p>
        </w:tc>
        <w:tc>
          <w:tcPr>
            <w:tcW w:w="772" w:type="dxa"/>
            <w:tcBorders>
              <w:top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41</w:t>
            </w:r>
          </w:p>
        </w:tc>
        <w:tc>
          <w:tcPr>
            <w:tcW w:w="772" w:type="dxa"/>
            <w:tcBorders>
              <w:top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39</w:t>
            </w:r>
          </w:p>
        </w:tc>
        <w:tc>
          <w:tcPr>
            <w:tcW w:w="772" w:type="dxa"/>
            <w:tcBorders>
              <w:top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top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20</w:t>
            </w:r>
          </w:p>
        </w:tc>
      </w:tr>
      <w:tr w:rsidR="00F679A8" w:rsidRPr="00370E70" w:rsidTr="00BF27A2">
        <w:trPr>
          <w:trHeight w:val="312"/>
          <w:jc w:val="center"/>
        </w:trPr>
        <w:tc>
          <w:tcPr>
            <w:tcW w:w="1966" w:type="dxa"/>
            <w:tcBorders>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Wet Tropics</w:t>
            </w:r>
          </w:p>
        </w:tc>
        <w:tc>
          <w:tcPr>
            <w:tcW w:w="1874" w:type="dxa"/>
            <w:tcBorders>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coastal intertidal</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38</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32</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55</w:t>
            </w:r>
          </w:p>
        </w:tc>
        <w:tc>
          <w:tcPr>
            <w:tcW w:w="772" w:type="dxa"/>
            <w:tcBorders>
              <w:bottom w:val="single" w:sz="4" w:space="0" w:color="000000"/>
            </w:tcBorders>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70</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54</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46</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7</w:t>
            </w:r>
          </w:p>
        </w:tc>
      </w:tr>
      <w:tr w:rsidR="00F679A8" w:rsidRPr="00370E70" w:rsidTr="00BF27A2">
        <w:trPr>
          <w:trHeight w:val="312"/>
          <w:jc w:val="center"/>
        </w:trPr>
        <w:tc>
          <w:tcPr>
            <w:tcW w:w="1966" w:type="dxa"/>
            <w:tcBorders>
              <w:top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Burdekin</w:t>
            </w:r>
          </w:p>
        </w:tc>
        <w:tc>
          <w:tcPr>
            <w:tcW w:w="1874" w:type="dxa"/>
            <w:tcBorders>
              <w:top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reef intertidal</w:t>
            </w:r>
          </w:p>
        </w:tc>
        <w:tc>
          <w:tcPr>
            <w:tcW w:w="772" w:type="dxa"/>
            <w:tcBorders>
              <w:top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59</w:t>
            </w:r>
          </w:p>
        </w:tc>
        <w:tc>
          <w:tcPr>
            <w:tcW w:w="772" w:type="dxa"/>
            <w:tcBorders>
              <w:top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59</w:t>
            </w:r>
          </w:p>
        </w:tc>
        <w:tc>
          <w:tcPr>
            <w:tcW w:w="772" w:type="dxa"/>
            <w:tcBorders>
              <w:top w:val="single" w:sz="4" w:space="0" w:color="000000"/>
            </w:tcBorders>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75</w:t>
            </w:r>
          </w:p>
        </w:tc>
        <w:tc>
          <w:tcPr>
            <w:tcW w:w="772" w:type="dxa"/>
            <w:tcBorders>
              <w:top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38</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9</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19</w:t>
            </w:r>
          </w:p>
        </w:tc>
      </w:tr>
      <w:tr w:rsidR="00F679A8" w:rsidRPr="00370E70" w:rsidTr="00BF27A2">
        <w:trPr>
          <w:trHeight w:val="312"/>
          <w:jc w:val="center"/>
        </w:trPr>
        <w:tc>
          <w:tcPr>
            <w:tcW w:w="1966" w:type="dxa"/>
            <w:tcBorders>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Burdekin</w:t>
            </w:r>
          </w:p>
        </w:tc>
        <w:tc>
          <w:tcPr>
            <w:tcW w:w="1874" w:type="dxa"/>
            <w:tcBorders>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coastal intertidal</w:t>
            </w:r>
          </w:p>
        </w:tc>
        <w:tc>
          <w:tcPr>
            <w:tcW w:w="772" w:type="dxa"/>
            <w:tcBorders>
              <w:bottom w:val="single" w:sz="4" w:space="0" w:color="000000"/>
            </w:tcBorders>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81</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28</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31</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11</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w:t>
            </w:r>
          </w:p>
        </w:tc>
      </w:tr>
      <w:tr w:rsidR="00F679A8" w:rsidRPr="00370E70" w:rsidTr="00BF27A2">
        <w:trPr>
          <w:trHeight w:val="312"/>
          <w:jc w:val="center"/>
        </w:trPr>
        <w:tc>
          <w:tcPr>
            <w:tcW w:w="1966" w:type="dxa"/>
            <w:tcBorders>
              <w:top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Mackay Whitsunday</w:t>
            </w:r>
          </w:p>
        </w:tc>
        <w:tc>
          <w:tcPr>
            <w:tcW w:w="1874" w:type="dxa"/>
            <w:tcBorders>
              <w:top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reef intertidal</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0</w:t>
            </w:r>
          </w:p>
        </w:tc>
        <w:tc>
          <w:tcPr>
            <w:tcW w:w="772" w:type="dxa"/>
            <w:tcBorders>
              <w:top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r>
      <w:tr w:rsidR="00F679A8" w:rsidRPr="00370E70" w:rsidTr="00BF27A2">
        <w:trPr>
          <w:trHeight w:val="312"/>
          <w:jc w:val="center"/>
        </w:trPr>
        <w:tc>
          <w:tcPr>
            <w:tcW w:w="1966" w:type="dxa"/>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Mackay Whitsunday</w:t>
            </w:r>
          </w:p>
        </w:tc>
        <w:tc>
          <w:tcPr>
            <w:tcW w:w="1874" w:type="dxa"/>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coastal intertidal</w:t>
            </w:r>
          </w:p>
        </w:tc>
        <w:tc>
          <w:tcPr>
            <w:tcW w:w="772" w:type="dxa"/>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63</w:t>
            </w:r>
          </w:p>
        </w:tc>
        <w:tc>
          <w:tcPr>
            <w:tcW w:w="772" w:type="dxa"/>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88</w:t>
            </w:r>
          </w:p>
        </w:tc>
        <w:tc>
          <w:tcPr>
            <w:tcW w:w="772" w:type="dxa"/>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54</w:t>
            </w:r>
          </w:p>
        </w:tc>
        <w:tc>
          <w:tcPr>
            <w:tcW w:w="772" w:type="dxa"/>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63</w:t>
            </w:r>
          </w:p>
        </w:tc>
        <w:tc>
          <w:tcPr>
            <w:tcW w:w="772" w:type="dxa"/>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56</w:t>
            </w:r>
          </w:p>
        </w:tc>
        <w:tc>
          <w:tcPr>
            <w:tcW w:w="772" w:type="dxa"/>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w:t>
            </w:r>
          </w:p>
        </w:tc>
        <w:tc>
          <w:tcPr>
            <w:tcW w:w="772" w:type="dxa"/>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17</w:t>
            </w:r>
          </w:p>
        </w:tc>
      </w:tr>
      <w:tr w:rsidR="00F679A8" w:rsidRPr="00370E70" w:rsidTr="00BF27A2">
        <w:trPr>
          <w:trHeight w:val="312"/>
          <w:jc w:val="center"/>
        </w:trPr>
        <w:tc>
          <w:tcPr>
            <w:tcW w:w="1966" w:type="dxa"/>
            <w:tcBorders>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Mackay Whitsunday</w:t>
            </w:r>
          </w:p>
        </w:tc>
        <w:tc>
          <w:tcPr>
            <w:tcW w:w="1874" w:type="dxa"/>
            <w:tcBorders>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estuarine intertidal</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40</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20</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0</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r>
      <w:tr w:rsidR="00F679A8" w:rsidRPr="00370E70" w:rsidTr="00BF27A2">
        <w:trPr>
          <w:trHeight w:val="312"/>
          <w:jc w:val="center"/>
        </w:trPr>
        <w:tc>
          <w:tcPr>
            <w:tcW w:w="1966" w:type="dxa"/>
            <w:tcBorders>
              <w:top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Fitzroy</w:t>
            </w:r>
          </w:p>
        </w:tc>
        <w:tc>
          <w:tcPr>
            <w:tcW w:w="1874" w:type="dxa"/>
            <w:tcBorders>
              <w:top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reef intertidal</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0</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0</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c>
          <w:tcPr>
            <w:tcW w:w="772" w:type="dxa"/>
            <w:tcBorders>
              <w:top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6</w:t>
            </w:r>
          </w:p>
        </w:tc>
      </w:tr>
      <w:tr w:rsidR="00F679A8" w:rsidRPr="00370E70" w:rsidTr="00BF27A2">
        <w:trPr>
          <w:trHeight w:val="312"/>
          <w:jc w:val="center"/>
        </w:trPr>
        <w:tc>
          <w:tcPr>
            <w:tcW w:w="1966" w:type="dxa"/>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Fitzroy</w:t>
            </w:r>
          </w:p>
        </w:tc>
        <w:tc>
          <w:tcPr>
            <w:tcW w:w="1874" w:type="dxa"/>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coastal intertidal</w:t>
            </w:r>
          </w:p>
        </w:tc>
        <w:tc>
          <w:tcPr>
            <w:tcW w:w="772" w:type="dxa"/>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81</w:t>
            </w:r>
          </w:p>
        </w:tc>
        <w:tc>
          <w:tcPr>
            <w:tcW w:w="772" w:type="dxa"/>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81</w:t>
            </w:r>
          </w:p>
        </w:tc>
        <w:tc>
          <w:tcPr>
            <w:tcW w:w="772" w:type="dxa"/>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100</w:t>
            </w:r>
          </w:p>
        </w:tc>
        <w:tc>
          <w:tcPr>
            <w:tcW w:w="772" w:type="dxa"/>
            <w:shd w:val="clear" w:color="auto" w:fill="99CC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75</w:t>
            </w:r>
          </w:p>
        </w:tc>
        <w:tc>
          <w:tcPr>
            <w:tcW w:w="772" w:type="dxa"/>
            <w:shd w:val="clear" w:color="auto" w:fill="008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81</w:t>
            </w:r>
          </w:p>
        </w:tc>
        <w:tc>
          <w:tcPr>
            <w:tcW w:w="772" w:type="dxa"/>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31</w:t>
            </w:r>
          </w:p>
        </w:tc>
        <w:tc>
          <w:tcPr>
            <w:tcW w:w="772" w:type="dxa"/>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r>
      <w:tr w:rsidR="00F679A8" w:rsidRPr="00370E70" w:rsidTr="00BF27A2">
        <w:trPr>
          <w:trHeight w:val="312"/>
          <w:jc w:val="center"/>
        </w:trPr>
        <w:tc>
          <w:tcPr>
            <w:tcW w:w="1966" w:type="dxa"/>
            <w:tcBorders>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Fitzroy</w:t>
            </w:r>
          </w:p>
        </w:tc>
        <w:tc>
          <w:tcPr>
            <w:tcW w:w="1874" w:type="dxa"/>
            <w:tcBorders>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estuarine intertidal</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13</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44</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25</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50</w:t>
            </w:r>
          </w:p>
        </w:tc>
        <w:tc>
          <w:tcPr>
            <w:tcW w:w="772" w:type="dxa"/>
            <w:tcBorders>
              <w:bottom w:val="single" w:sz="4" w:space="0" w:color="000000"/>
            </w:tcBorders>
            <w:shd w:val="clear" w:color="auto" w:fill="FFC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34</w:t>
            </w:r>
          </w:p>
        </w:tc>
        <w:tc>
          <w:tcPr>
            <w:tcW w:w="772" w:type="dxa"/>
            <w:tcBorders>
              <w:bottom w:val="single" w:sz="4" w:space="0" w:color="000000"/>
            </w:tcBorders>
            <w:shd w:val="clear" w:color="auto" w:fill="FCF305"/>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47</w:t>
            </w:r>
          </w:p>
        </w:tc>
      </w:tr>
      <w:tr w:rsidR="00F679A8" w:rsidRPr="00370E70" w:rsidTr="00BF27A2">
        <w:trPr>
          <w:trHeight w:val="312"/>
          <w:jc w:val="center"/>
        </w:trPr>
        <w:tc>
          <w:tcPr>
            <w:tcW w:w="1966" w:type="dxa"/>
            <w:tcBorders>
              <w:top w:val="single" w:sz="4" w:space="0" w:color="000000"/>
              <w:bottom w:val="single" w:sz="4" w:space="0" w:color="000000"/>
            </w:tcBorders>
            <w:shd w:val="clear" w:color="auto" w:fill="auto"/>
            <w:noWrap/>
            <w:vAlign w:val="bottom"/>
          </w:tcPr>
          <w:p w:rsidR="00F679A8" w:rsidRPr="00370E70" w:rsidRDefault="00F679A8" w:rsidP="00F679A8">
            <w:pPr>
              <w:spacing w:before="0" w:after="0"/>
              <w:rPr>
                <w:sz w:val="20"/>
                <w:szCs w:val="20"/>
                <w:lang w:eastAsia="en-AU"/>
              </w:rPr>
            </w:pPr>
            <w:r w:rsidRPr="00370E70">
              <w:rPr>
                <w:sz w:val="20"/>
                <w:szCs w:val="20"/>
                <w:lang w:eastAsia="en-AU"/>
              </w:rPr>
              <w:t>Burnett Mary</w:t>
            </w:r>
          </w:p>
        </w:tc>
        <w:tc>
          <w:tcPr>
            <w:tcW w:w="1874" w:type="dxa"/>
            <w:tcBorders>
              <w:top w:val="single" w:sz="4" w:space="0" w:color="000000"/>
              <w:bottom w:val="single" w:sz="4" w:space="0" w:color="000000"/>
            </w:tcBorders>
            <w:shd w:val="clear" w:color="auto" w:fill="auto"/>
            <w:noWrap/>
            <w:vAlign w:val="bottom"/>
          </w:tcPr>
          <w:p w:rsidR="00F679A8" w:rsidRPr="00370E70" w:rsidRDefault="00F679A8" w:rsidP="00F679A8">
            <w:pPr>
              <w:spacing w:before="0" w:after="0"/>
              <w:rPr>
                <w:color w:val="000000"/>
                <w:sz w:val="20"/>
                <w:szCs w:val="20"/>
                <w:lang w:eastAsia="en-AU"/>
              </w:rPr>
            </w:pPr>
            <w:r w:rsidRPr="00370E70">
              <w:rPr>
                <w:color w:val="000000"/>
                <w:sz w:val="20"/>
                <w:szCs w:val="20"/>
                <w:lang w:eastAsia="en-AU"/>
              </w:rPr>
              <w:t>estuarine intertidal</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19</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0</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15</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10</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9</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w:t>
            </w:r>
          </w:p>
        </w:tc>
        <w:tc>
          <w:tcPr>
            <w:tcW w:w="772" w:type="dxa"/>
            <w:tcBorders>
              <w:top w:val="single" w:sz="4" w:space="0" w:color="000000"/>
              <w:bottom w:val="single" w:sz="4" w:space="0" w:color="000000"/>
            </w:tcBorders>
            <w:shd w:val="clear" w:color="auto" w:fill="FF0000"/>
            <w:noWrap/>
            <w:vAlign w:val="bottom"/>
          </w:tcPr>
          <w:p w:rsidR="00F679A8" w:rsidRPr="00370E70" w:rsidRDefault="00F679A8" w:rsidP="00F679A8">
            <w:pPr>
              <w:spacing w:before="0" w:after="0"/>
              <w:jc w:val="center"/>
              <w:rPr>
                <w:color w:val="000000"/>
                <w:sz w:val="20"/>
                <w:szCs w:val="20"/>
                <w:lang w:eastAsia="en-AU"/>
              </w:rPr>
            </w:pPr>
            <w:r w:rsidRPr="00370E70">
              <w:rPr>
                <w:color w:val="000000"/>
                <w:sz w:val="20"/>
                <w:szCs w:val="20"/>
                <w:lang w:eastAsia="en-AU"/>
              </w:rPr>
              <w:t>5</w:t>
            </w:r>
          </w:p>
        </w:tc>
      </w:tr>
      <w:tr w:rsidR="00BF27A2" w:rsidRPr="00370E70" w:rsidTr="00BF27A2">
        <w:trPr>
          <w:trHeight w:val="312"/>
          <w:jc w:val="center"/>
        </w:trPr>
        <w:tc>
          <w:tcPr>
            <w:tcW w:w="3840" w:type="dxa"/>
            <w:gridSpan w:val="2"/>
            <w:tcBorders>
              <w:top w:val="single" w:sz="4" w:space="0" w:color="000000"/>
              <w:bottom w:val="single" w:sz="4" w:space="0" w:color="000000"/>
            </w:tcBorders>
            <w:shd w:val="clear" w:color="auto" w:fill="auto"/>
            <w:noWrap/>
            <w:vAlign w:val="bottom"/>
          </w:tcPr>
          <w:p w:rsidR="00BF27A2" w:rsidRPr="00370E70" w:rsidRDefault="00BF27A2" w:rsidP="00F679A8">
            <w:pPr>
              <w:spacing w:before="0" w:after="0"/>
              <w:rPr>
                <w:b/>
                <w:color w:val="000000"/>
                <w:sz w:val="20"/>
                <w:szCs w:val="20"/>
                <w:lang w:eastAsia="en-AU"/>
              </w:rPr>
            </w:pPr>
            <w:smartTag w:uri="urn:schemas-microsoft-com:office:smarttags" w:element="place">
              <w:r w:rsidRPr="00370E70">
                <w:rPr>
                  <w:b/>
                  <w:sz w:val="20"/>
                  <w:szCs w:val="20"/>
                  <w:lang w:eastAsia="en-AU"/>
                </w:rPr>
                <w:t>Great Barrier Reef</w:t>
              </w:r>
            </w:smartTag>
            <w:r w:rsidRPr="00370E70">
              <w:rPr>
                <w:b/>
                <w:sz w:val="20"/>
                <w:szCs w:val="20"/>
                <w:lang w:eastAsia="en-AU"/>
              </w:rPr>
              <w:t xml:space="preserve"> </w:t>
            </w:r>
            <w:r w:rsidRPr="00370E70">
              <w:rPr>
                <w:i/>
                <w:sz w:val="20"/>
                <w:szCs w:val="20"/>
                <w:lang w:eastAsia="en-AU"/>
              </w:rPr>
              <w:t>(developed coast)</w:t>
            </w:r>
          </w:p>
        </w:tc>
        <w:tc>
          <w:tcPr>
            <w:tcW w:w="772" w:type="dxa"/>
            <w:tcBorders>
              <w:top w:val="single" w:sz="4" w:space="0" w:color="000000"/>
              <w:bottom w:val="single" w:sz="4" w:space="0" w:color="000000"/>
            </w:tcBorders>
            <w:shd w:val="clear" w:color="auto" w:fill="FFFF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58</w:t>
            </w:r>
          </w:p>
        </w:tc>
        <w:tc>
          <w:tcPr>
            <w:tcW w:w="772" w:type="dxa"/>
            <w:tcBorders>
              <w:top w:val="single" w:sz="4" w:space="0" w:color="000000"/>
              <w:bottom w:val="single" w:sz="4" w:space="0" w:color="000000"/>
            </w:tcBorders>
            <w:shd w:val="clear" w:color="auto" w:fill="FFFF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42</w:t>
            </w:r>
          </w:p>
        </w:tc>
        <w:tc>
          <w:tcPr>
            <w:tcW w:w="772" w:type="dxa"/>
            <w:tcBorders>
              <w:top w:val="single" w:sz="4" w:space="0" w:color="000000"/>
              <w:bottom w:val="single" w:sz="4" w:space="0" w:color="000000"/>
            </w:tcBorders>
            <w:shd w:val="clear" w:color="auto" w:fill="FFFF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46</w:t>
            </w:r>
          </w:p>
        </w:tc>
        <w:tc>
          <w:tcPr>
            <w:tcW w:w="772" w:type="dxa"/>
            <w:tcBorders>
              <w:top w:val="single" w:sz="4" w:space="0" w:color="000000"/>
              <w:bottom w:val="single" w:sz="4" w:space="0" w:color="000000"/>
            </w:tcBorders>
            <w:shd w:val="clear" w:color="auto" w:fill="FFC0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35</w:t>
            </w:r>
          </w:p>
        </w:tc>
        <w:tc>
          <w:tcPr>
            <w:tcW w:w="772" w:type="dxa"/>
            <w:tcBorders>
              <w:top w:val="single" w:sz="4" w:space="0" w:color="000000"/>
              <w:bottom w:val="single" w:sz="4" w:space="0" w:color="000000"/>
            </w:tcBorders>
            <w:shd w:val="clear" w:color="auto" w:fill="FFC0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24</w:t>
            </w:r>
          </w:p>
        </w:tc>
        <w:tc>
          <w:tcPr>
            <w:tcW w:w="772" w:type="dxa"/>
            <w:tcBorders>
              <w:top w:val="single" w:sz="4" w:space="0" w:color="000000"/>
              <w:bottom w:val="single" w:sz="4" w:space="0" w:color="000000"/>
            </w:tcBorders>
            <w:shd w:val="clear" w:color="auto" w:fill="FF00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16</w:t>
            </w:r>
          </w:p>
        </w:tc>
        <w:tc>
          <w:tcPr>
            <w:tcW w:w="772" w:type="dxa"/>
            <w:tcBorders>
              <w:top w:val="single" w:sz="4" w:space="0" w:color="000000"/>
              <w:bottom w:val="single" w:sz="4" w:space="0" w:color="000000"/>
            </w:tcBorders>
            <w:shd w:val="clear" w:color="auto" w:fill="FF0000"/>
            <w:noWrap/>
            <w:vAlign w:val="bottom"/>
          </w:tcPr>
          <w:p w:rsidR="00BF27A2" w:rsidRPr="00370E70" w:rsidRDefault="00BF27A2" w:rsidP="00EB7C68">
            <w:pPr>
              <w:spacing w:before="0" w:after="0"/>
              <w:jc w:val="center"/>
              <w:rPr>
                <w:b/>
                <w:color w:val="000000"/>
                <w:sz w:val="20"/>
                <w:szCs w:val="20"/>
                <w:lang w:eastAsia="en-AU"/>
              </w:rPr>
            </w:pPr>
            <w:r w:rsidRPr="00370E70">
              <w:rPr>
                <w:b/>
                <w:color w:val="000000"/>
                <w:sz w:val="20"/>
                <w:szCs w:val="20"/>
                <w:lang w:eastAsia="en-AU"/>
              </w:rPr>
              <w:t>15</w:t>
            </w:r>
          </w:p>
        </w:tc>
      </w:tr>
    </w:tbl>
    <w:p w:rsidR="00002C32" w:rsidRPr="00370E70" w:rsidRDefault="00002C32" w:rsidP="00002C32">
      <w:pPr>
        <w:rPr>
          <w:szCs w:val="22"/>
        </w:rPr>
      </w:pPr>
      <w:r w:rsidRPr="00370E70">
        <w:rPr>
          <w:szCs w:val="22"/>
        </w:rPr>
        <w:t xml:space="preserve">In late dry 2011, </w:t>
      </w:r>
      <w:r w:rsidR="00487F3F" w:rsidRPr="00370E70">
        <w:rPr>
          <w:szCs w:val="22"/>
        </w:rPr>
        <w:t>73</w:t>
      </w:r>
      <w:r w:rsidRPr="00370E70">
        <w:rPr>
          <w:szCs w:val="22"/>
        </w:rPr>
        <w:t>% of the 30 long-term monitoring sites had declined &gt;20% in cover relative to the same time in the previous year (</w:t>
      </w:r>
      <w:r w:rsidRPr="00370E70">
        <w:rPr>
          <w:szCs w:val="22"/>
        </w:rPr>
        <w:fldChar w:fldCharType="begin"/>
      </w:r>
      <w:r w:rsidRPr="00370E70">
        <w:rPr>
          <w:szCs w:val="22"/>
        </w:rPr>
        <w:instrText xml:space="preserve"> REF _Ref354837465 \h </w:instrText>
      </w:r>
      <w:r w:rsidRPr="00370E70">
        <w:rPr>
          <w:szCs w:val="22"/>
        </w:rPr>
      </w:r>
      <w:r w:rsidRPr="00370E70">
        <w:rPr>
          <w:szCs w:val="22"/>
        </w:rPr>
        <w:fldChar w:fldCharType="separate"/>
      </w:r>
      <w:r w:rsidR="005B5FD6" w:rsidRPr="00370E70">
        <w:rPr>
          <w:szCs w:val="22"/>
        </w:rPr>
        <w:t xml:space="preserve">Figure </w:t>
      </w:r>
      <w:r w:rsidR="005B5FD6">
        <w:rPr>
          <w:noProof/>
          <w:szCs w:val="22"/>
        </w:rPr>
        <w:t>11</w:t>
      </w:r>
      <w:r w:rsidRPr="00370E70">
        <w:rPr>
          <w:szCs w:val="22"/>
        </w:rPr>
        <w:fldChar w:fldCharType="end"/>
      </w:r>
      <w:r w:rsidRPr="00370E70">
        <w:rPr>
          <w:szCs w:val="22"/>
        </w:rPr>
        <w:t xml:space="preserve">). </w:t>
      </w:r>
      <w:r w:rsidR="00612353" w:rsidRPr="00370E70">
        <w:rPr>
          <w:szCs w:val="22"/>
        </w:rPr>
        <w:t>In the late monsoon 2012, the number of sites declining was half that of the same time in 2011, which suggests the onset of recovery.</w:t>
      </w:r>
    </w:p>
    <w:p w:rsidR="00002C32" w:rsidRPr="00370E70" w:rsidRDefault="007B15AB" w:rsidP="00002C32">
      <w:pPr>
        <w:keepNext/>
        <w:autoSpaceDE w:val="0"/>
        <w:autoSpaceDN w:val="0"/>
        <w:adjustRightInd w:val="0"/>
        <w:spacing w:before="0" w:after="0"/>
        <w:jc w:val="center"/>
        <w:rPr>
          <w:szCs w:val="22"/>
        </w:rPr>
      </w:pPr>
      <w:r>
        <w:rPr>
          <w:noProof/>
          <w:szCs w:val="22"/>
          <w:lang w:eastAsia="en-AU"/>
        </w:rPr>
        <w:lastRenderedPageBreak/>
        <w:drawing>
          <wp:inline distT="0" distB="0" distL="0" distR="0">
            <wp:extent cx="2962275" cy="1996440"/>
            <wp:effectExtent l="0" t="0" r="9525" b="3810"/>
            <wp:docPr id="20" name="Picture 20" descr="Figure of the proportion of sites where seagrass cover has declined &gt;20% relative to the same season in previous year or meadow is abs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igure of the proportion of sites where seagrass cover has declined &gt;20% relative to the same season in previous year or meadow is absen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62275" cy="1996440"/>
                    </a:xfrm>
                    <a:prstGeom prst="rect">
                      <a:avLst/>
                    </a:prstGeom>
                    <a:noFill/>
                    <a:ln>
                      <a:noFill/>
                    </a:ln>
                  </pic:spPr>
                </pic:pic>
              </a:graphicData>
            </a:graphic>
          </wp:inline>
        </w:drawing>
      </w:r>
    </w:p>
    <w:p w:rsidR="00002C32" w:rsidRPr="00370E70" w:rsidRDefault="00002C32" w:rsidP="00002C32">
      <w:pPr>
        <w:pStyle w:val="Caption"/>
        <w:rPr>
          <w:i/>
          <w:szCs w:val="22"/>
          <w:lang w:val="en-AU"/>
        </w:rPr>
      </w:pPr>
      <w:bookmarkStart w:id="152" w:name="_Ref354837465"/>
      <w:bookmarkStart w:id="153" w:name="_Toc384196358"/>
      <w:r w:rsidRPr="00370E70">
        <w:rPr>
          <w:szCs w:val="22"/>
          <w:lang w:val="en-AU"/>
        </w:rPr>
        <w:t xml:space="preserve">Figure </w:t>
      </w:r>
      <w:r w:rsidRPr="00370E70">
        <w:rPr>
          <w:szCs w:val="22"/>
          <w:lang w:val="en-AU"/>
        </w:rPr>
        <w:fldChar w:fldCharType="begin"/>
      </w:r>
      <w:r w:rsidRPr="00370E70">
        <w:rPr>
          <w:szCs w:val="22"/>
          <w:lang w:val="en-AU"/>
        </w:rPr>
        <w:instrText xml:space="preserve"> SEQ Figure \* ARABIC </w:instrText>
      </w:r>
      <w:r w:rsidRPr="00370E70">
        <w:rPr>
          <w:szCs w:val="22"/>
          <w:lang w:val="en-AU"/>
        </w:rPr>
        <w:fldChar w:fldCharType="separate"/>
      </w:r>
      <w:r w:rsidR="005B5FD6">
        <w:rPr>
          <w:noProof/>
          <w:szCs w:val="22"/>
          <w:lang w:val="en-AU"/>
        </w:rPr>
        <w:t>11</w:t>
      </w:r>
      <w:r w:rsidRPr="00370E70">
        <w:rPr>
          <w:szCs w:val="22"/>
          <w:lang w:val="en-AU"/>
        </w:rPr>
        <w:fldChar w:fldCharType="end"/>
      </w:r>
      <w:bookmarkEnd w:id="152"/>
      <w:r w:rsidRPr="00370E70">
        <w:rPr>
          <w:szCs w:val="22"/>
          <w:lang w:val="en-AU"/>
        </w:rPr>
        <w:t xml:space="preserve">. </w:t>
      </w:r>
      <w:r w:rsidRPr="00370E70">
        <w:rPr>
          <w:i/>
          <w:szCs w:val="22"/>
          <w:lang w:val="en-AU"/>
        </w:rPr>
        <w:t>Proportion of sites where seagrass cover has declined &gt;20% relative to the same season in previous year or meadow is absent.</w:t>
      </w:r>
      <w:bookmarkEnd w:id="153"/>
    </w:p>
    <w:p w:rsidR="005132EF" w:rsidRPr="00370E70" w:rsidRDefault="005132EF" w:rsidP="00034AD4">
      <w:pPr>
        <w:pStyle w:val="ListNosforConcept"/>
        <w:spacing w:after="0"/>
        <w:jc w:val="left"/>
        <w:rPr>
          <w:rFonts w:ascii="Calibri" w:hAnsi="Calibri"/>
          <w:color w:val="000000"/>
          <w:szCs w:val="22"/>
          <w:lang w:val="en-AU"/>
        </w:rPr>
      </w:pPr>
      <w:r w:rsidRPr="00370E70">
        <w:rPr>
          <w:rFonts w:ascii="Calibri" w:hAnsi="Calibri"/>
          <w:color w:val="000000"/>
          <w:szCs w:val="22"/>
          <w:lang w:val="en-AU"/>
        </w:rPr>
        <w:t>Over the past decade, the patterns of seagrass abundance at each GBR habitat type have differed (</w:t>
      </w:r>
      <w:r w:rsidRPr="00370E70">
        <w:rPr>
          <w:rFonts w:ascii="Calibri" w:hAnsi="Calibri"/>
          <w:color w:val="000000"/>
          <w:lang w:val="en-AU"/>
        </w:rPr>
        <w:fldChar w:fldCharType="begin"/>
      </w:r>
      <w:r w:rsidRPr="00370E70">
        <w:rPr>
          <w:rFonts w:ascii="Calibri" w:hAnsi="Calibri"/>
          <w:color w:val="000000"/>
          <w:lang w:val="en-AU"/>
        </w:rPr>
        <w:instrText xml:space="preserve"> REF _Ref271280043 \h  \* MERGEFORMAT </w:instrText>
      </w:r>
      <w:r w:rsidRPr="00370E70">
        <w:rPr>
          <w:rFonts w:ascii="Calibri" w:hAnsi="Calibri"/>
          <w:color w:val="000000"/>
          <w:lang w:val="en-AU"/>
        </w:rPr>
      </w:r>
      <w:r w:rsidRPr="00370E70">
        <w:rPr>
          <w:rFonts w:ascii="Calibri" w:hAnsi="Calibri"/>
          <w:color w:val="000000"/>
          <w:lang w:val="en-AU"/>
        </w:rPr>
        <w:fldChar w:fldCharType="separate"/>
      </w:r>
      <w:r w:rsidR="005B5FD6" w:rsidRPr="005B5FD6">
        <w:rPr>
          <w:szCs w:val="22"/>
        </w:rPr>
        <w:t xml:space="preserve">Figure </w:t>
      </w:r>
      <w:r w:rsidR="005B5FD6" w:rsidRPr="005B5FD6">
        <w:rPr>
          <w:rFonts w:ascii="Calibri" w:hAnsi="Calibri"/>
          <w:noProof/>
          <w:color w:val="000000"/>
          <w:szCs w:val="22"/>
          <w:lang w:val="en-AU"/>
        </w:rPr>
        <w:t>12</w:t>
      </w:r>
      <w:r w:rsidRPr="00370E70">
        <w:rPr>
          <w:rFonts w:ascii="Calibri" w:hAnsi="Calibri"/>
          <w:color w:val="000000"/>
          <w:lang w:val="en-AU"/>
        </w:rPr>
        <w:fldChar w:fldCharType="end"/>
      </w:r>
      <w:r w:rsidRPr="00370E70">
        <w:rPr>
          <w:rFonts w:ascii="Calibri" w:hAnsi="Calibri"/>
          <w:color w:val="000000"/>
          <w:szCs w:val="22"/>
          <w:lang w:val="en-AU"/>
        </w:rPr>
        <w:t>), however both reef and coastal habitats have declining trajectories since 2009. Seagrass abundance has fluctuated greatly in estuarine habitats; most often as a response to climate (</w:t>
      </w:r>
      <w:r w:rsidR="002C6536" w:rsidRPr="00370E70">
        <w:rPr>
          <w:rFonts w:ascii="Calibri" w:hAnsi="Calibri"/>
          <w:color w:val="000000"/>
          <w:szCs w:val="22"/>
          <w:lang w:val="en-AU"/>
        </w:rPr>
        <w:t>e.g.</w:t>
      </w:r>
      <w:r w:rsidRPr="00370E70">
        <w:rPr>
          <w:rFonts w:ascii="Calibri" w:hAnsi="Calibri"/>
          <w:color w:val="000000"/>
          <w:szCs w:val="22"/>
          <w:lang w:val="en-AU"/>
        </w:rPr>
        <w:t xml:space="preserve"> rainfall, temperature and desiccation) and </w:t>
      </w:r>
      <w:r w:rsidR="00C64015" w:rsidRPr="00370E70">
        <w:rPr>
          <w:rFonts w:ascii="Calibri" w:hAnsi="Calibri"/>
          <w:color w:val="000000"/>
          <w:szCs w:val="22"/>
          <w:lang w:val="en-AU"/>
        </w:rPr>
        <w:t>at smaller localis</w:t>
      </w:r>
      <w:r w:rsidRPr="00370E70">
        <w:rPr>
          <w:rFonts w:ascii="Calibri" w:hAnsi="Calibri"/>
          <w:color w:val="000000"/>
          <w:szCs w:val="22"/>
          <w:lang w:val="en-AU"/>
        </w:rPr>
        <w:t xml:space="preserve">ed scales there have been some acute event related changes. </w:t>
      </w:r>
    </w:p>
    <w:p w:rsidR="005132EF" w:rsidRPr="00370E70" w:rsidRDefault="007B15AB" w:rsidP="005F2472">
      <w:pPr>
        <w:keepNext/>
        <w:rPr>
          <w:color w:val="000000"/>
          <w:szCs w:val="22"/>
        </w:rPr>
      </w:pPr>
      <w:r>
        <w:rPr>
          <w:noProof/>
          <w:color w:val="000000"/>
          <w:szCs w:val="22"/>
          <w:lang w:eastAsia="en-AU"/>
        </w:rPr>
        <w:drawing>
          <wp:inline distT="0" distB="0" distL="0" distR="0">
            <wp:extent cx="5473700" cy="3876675"/>
            <wp:effectExtent l="0" t="0" r="0" b="9525"/>
            <wp:docPr id="21" name="Picture 21" descr="Figure showing the generalised trends in seagrass abundance for each habitat type (sites pooled) relative to the 95th percentile (equally scal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igure showing the generalised trends in seagrass abundance for each habitat type (sites pooled) relative to the 95th percentile (equally scaled). "/>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73700" cy="3876675"/>
                    </a:xfrm>
                    <a:prstGeom prst="rect">
                      <a:avLst/>
                    </a:prstGeom>
                    <a:noFill/>
                    <a:ln>
                      <a:noFill/>
                    </a:ln>
                  </pic:spPr>
                </pic:pic>
              </a:graphicData>
            </a:graphic>
          </wp:inline>
        </w:drawing>
      </w:r>
    </w:p>
    <w:p w:rsidR="000F74AA" w:rsidRPr="00370E70" w:rsidRDefault="005132EF" w:rsidP="000F74AA">
      <w:pPr>
        <w:pStyle w:val="Caption"/>
        <w:rPr>
          <w:i/>
          <w:vanish/>
          <w:lang w:val="en-AU"/>
          <w:specVanish/>
        </w:rPr>
      </w:pPr>
      <w:bookmarkStart w:id="154" w:name="_Ref271280043"/>
      <w:bookmarkStart w:id="155" w:name="_Toc38419635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12</w:t>
      </w:r>
      <w:r w:rsidRPr="00370E70">
        <w:rPr>
          <w:lang w:val="en-AU"/>
        </w:rPr>
        <w:fldChar w:fldCharType="end"/>
      </w:r>
      <w:bookmarkEnd w:id="154"/>
      <w:r w:rsidRPr="00370E70">
        <w:rPr>
          <w:rStyle w:val="StyleCaptionCaptionCharCharLatinCalibri11ptBlackChar"/>
          <w:lang w:val="en-AU"/>
        </w:rPr>
        <w:t>.</w:t>
      </w:r>
      <w:r w:rsidRPr="00370E70">
        <w:rPr>
          <w:rStyle w:val="StyleCaptionCaptionCharCharLatinCalibri11ptBlackChar"/>
          <w:i/>
          <w:lang w:val="en-AU"/>
        </w:rPr>
        <w:t xml:space="preserve"> </w:t>
      </w:r>
      <w:r w:rsidRPr="00370E70">
        <w:rPr>
          <w:i/>
          <w:lang w:val="en-AU"/>
        </w:rPr>
        <w:t>Generalised trends in seagrass abundance for each habitat type (sites pooled) relative to the 95</w:t>
      </w:r>
      <w:r w:rsidRPr="00370E70">
        <w:rPr>
          <w:i/>
          <w:vertAlign w:val="superscript"/>
          <w:lang w:val="en-AU"/>
        </w:rPr>
        <w:t>th</w:t>
      </w:r>
      <w:r w:rsidRPr="00370E70">
        <w:rPr>
          <w:i/>
          <w:lang w:val="en-AU"/>
        </w:rPr>
        <w:t xml:space="preserve"> percentile (equally scaled).</w:t>
      </w:r>
      <w:bookmarkEnd w:id="155"/>
      <w:r w:rsidRPr="00370E70">
        <w:rPr>
          <w:i/>
          <w:lang w:val="en-AU"/>
        </w:rPr>
        <w:t xml:space="preserve"> </w:t>
      </w:r>
    </w:p>
    <w:p w:rsidR="000F74AA" w:rsidRPr="00370E70" w:rsidRDefault="005132EF" w:rsidP="000F74AA">
      <w:pPr>
        <w:pStyle w:val="Caption"/>
        <w:rPr>
          <w:i/>
          <w:lang w:val="en-AU"/>
        </w:rPr>
      </w:pPr>
      <w:r w:rsidRPr="00370E70">
        <w:rPr>
          <w:i/>
          <w:lang w:val="en-AU"/>
        </w:rPr>
        <w:t>The 95</w:t>
      </w:r>
      <w:r w:rsidRPr="00370E70">
        <w:rPr>
          <w:i/>
          <w:vertAlign w:val="superscript"/>
          <w:lang w:val="en-AU"/>
        </w:rPr>
        <w:t>th</w:t>
      </w:r>
      <w:r w:rsidRPr="00370E70">
        <w:rPr>
          <w:i/>
          <w:lang w:val="en-AU"/>
        </w:rPr>
        <w:t xml:space="preserve"> percentile is calculated for each site across all data. Data prior and post implementation of the RRMMP displayed.</w:t>
      </w:r>
      <w:r w:rsidRPr="00370E70">
        <w:rPr>
          <w:b/>
          <w:i/>
          <w:lang w:val="en-AU"/>
        </w:rPr>
        <w:t xml:space="preserve"> </w:t>
      </w:r>
      <w:r w:rsidRPr="00370E70">
        <w:rPr>
          <w:i/>
          <w:lang w:val="en-AU"/>
        </w:rPr>
        <w:t>Trendline is 3rd order polynomial, 95% confidence intervals displayed, estuary (8 sites) r</w:t>
      </w:r>
      <w:r w:rsidRPr="00370E70">
        <w:rPr>
          <w:i/>
          <w:vertAlign w:val="superscript"/>
          <w:lang w:val="en-AU"/>
        </w:rPr>
        <w:t>2</w:t>
      </w:r>
      <w:r w:rsidRPr="00370E70">
        <w:rPr>
          <w:i/>
          <w:lang w:val="en-AU"/>
        </w:rPr>
        <w:t xml:space="preserve"> = 0.367, coastal (10 sites) r</w:t>
      </w:r>
      <w:r w:rsidRPr="00370E70">
        <w:rPr>
          <w:i/>
          <w:vertAlign w:val="superscript"/>
          <w:lang w:val="en-AU"/>
        </w:rPr>
        <w:t>2</w:t>
      </w:r>
      <w:r w:rsidRPr="00370E70">
        <w:rPr>
          <w:i/>
          <w:lang w:val="en-AU"/>
        </w:rPr>
        <w:t xml:space="preserve"> = 0.399, reef (12 sites) r</w:t>
      </w:r>
      <w:r w:rsidRPr="00370E70">
        <w:rPr>
          <w:i/>
          <w:vertAlign w:val="superscript"/>
          <w:lang w:val="en-AU"/>
        </w:rPr>
        <w:t>2</w:t>
      </w:r>
      <w:r w:rsidRPr="00370E70">
        <w:rPr>
          <w:i/>
          <w:lang w:val="en-AU"/>
        </w:rPr>
        <w:t xml:space="preserve"> =0.65, </w:t>
      </w:r>
      <w:r w:rsidR="00487F3F" w:rsidRPr="00370E70">
        <w:rPr>
          <w:i/>
          <w:lang w:val="en-AU"/>
        </w:rPr>
        <w:t xml:space="preserve">subtidal </w:t>
      </w:r>
      <w:r w:rsidRPr="00370E70">
        <w:rPr>
          <w:i/>
          <w:lang w:val="en-AU"/>
        </w:rPr>
        <w:t>reef (4 sites) r</w:t>
      </w:r>
      <w:r w:rsidRPr="00370E70">
        <w:rPr>
          <w:i/>
          <w:vertAlign w:val="superscript"/>
          <w:lang w:val="en-AU"/>
        </w:rPr>
        <w:t>2</w:t>
      </w:r>
      <w:r w:rsidRPr="00370E70">
        <w:rPr>
          <w:i/>
          <w:lang w:val="en-AU"/>
        </w:rPr>
        <w:t xml:space="preserve"> =0.807.</w:t>
      </w:r>
      <w:r w:rsidR="0033652B" w:rsidRPr="00370E70">
        <w:rPr>
          <w:i/>
          <w:lang w:val="en-AU"/>
        </w:rPr>
        <w:t xml:space="preserve"> </w:t>
      </w:r>
    </w:p>
    <w:p w:rsidR="000E4A7D" w:rsidRPr="00370E70" w:rsidRDefault="005132EF" w:rsidP="000E4A7D">
      <w:pPr>
        <w:rPr>
          <w:color w:val="000000"/>
          <w:szCs w:val="22"/>
        </w:rPr>
      </w:pPr>
      <w:r w:rsidRPr="00370E70">
        <w:rPr>
          <w:color w:val="000000"/>
          <w:szCs w:val="22"/>
        </w:rPr>
        <w:t>Seagrass abundance at estuarine monitoring sites continue</w:t>
      </w:r>
      <w:r w:rsidR="006D13A9" w:rsidRPr="00370E70">
        <w:rPr>
          <w:color w:val="000000"/>
          <w:szCs w:val="22"/>
        </w:rPr>
        <w:t>d</w:t>
      </w:r>
      <w:r w:rsidRPr="00370E70">
        <w:rPr>
          <w:color w:val="000000"/>
          <w:szCs w:val="22"/>
        </w:rPr>
        <w:t xml:space="preserve"> to vary greatly seasonally (</w:t>
      </w:r>
      <w:r w:rsidRPr="00370E70">
        <w:rPr>
          <w:color w:val="000000"/>
        </w:rPr>
        <w:fldChar w:fldCharType="begin"/>
      </w:r>
      <w:r w:rsidRPr="00370E70">
        <w:rPr>
          <w:color w:val="000000"/>
        </w:rPr>
        <w:instrText xml:space="preserve"> REF _Ref271280043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12</w:t>
      </w:r>
      <w:r w:rsidRPr="00370E70">
        <w:rPr>
          <w:color w:val="000000"/>
        </w:rPr>
        <w:fldChar w:fldCharType="end"/>
      </w:r>
      <w:r w:rsidRPr="00370E70">
        <w:rPr>
          <w:color w:val="000000"/>
          <w:szCs w:val="22"/>
        </w:rPr>
        <w:t>)</w:t>
      </w:r>
      <w:proofErr w:type="gramStart"/>
      <w:r w:rsidR="00271A77" w:rsidRPr="00370E70">
        <w:rPr>
          <w:color w:val="000000"/>
          <w:szCs w:val="22"/>
        </w:rPr>
        <w:t>,</w:t>
      </w:r>
      <w:proofErr w:type="gramEnd"/>
      <w:r w:rsidR="00271A77" w:rsidRPr="00370E70">
        <w:rPr>
          <w:color w:val="000000"/>
          <w:szCs w:val="22"/>
        </w:rPr>
        <w:t xml:space="preserve"> however abundances marginally increased </w:t>
      </w:r>
      <w:r w:rsidR="00B16EFF" w:rsidRPr="00370E70">
        <w:rPr>
          <w:color w:val="000000"/>
          <w:szCs w:val="22"/>
        </w:rPr>
        <w:t>in 2011/12</w:t>
      </w:r>
      <w:r w:rsidRPr="00370E70">
        <w:rPr>
          <w:color w:val="000000"/>
          <w:szCs w:val="22"/>
        </w:rPr>
        <w:t xml:space="preserve">. </w:t>
      </w:r>
      <w:r w:rsidR="006D13A9" w:rsidRPr="00370E70">
        <w:rPr>
          <w:color w:val="000000"/>
          <w:szCs w:val="22"/>
        </w:rPr>
        <w:t>Conversely</w:t>
      </w:r>
      <w:r w:rsidR="00487F3F" w:rsidRPr="00370E70">
        <w:rPr>
          <w:color w:val="000000"/>
          <w:szCs w:val="22"/>
        </w:rPr>
        <w:t xml:space="preserve">, seagrass abundance at </w:t>
      </w:r>
      <w:r w:rsidRPr="00370E70">
        <w:rPr>
          <w:color w:val="000000"/>
          <w:szCs w:val="22"/>
        </w:rPr>
        <w:t xml:space="preserve">coastal sites </w:t>
      </w:r>
      <w:r w:rsidR="000E4A7D" w:rsidRPr="00370E70">
        <w:rPr>
          <w:color w:val="000000"/>
          <w:szCs w:val="22"/>
        </w:rPr>
        <w:t xml:space="preserve">either declined or </w:t>
      </w:r>
      <w:r w:rsidRPr="00370E70">
        <w:rPr>
          <w:color w:val="000000"/>
          <w:szCs w:val="22"/>
        </w:rPr>
        <w:t xml:space="preserve">remained relatively </w:t>
      </w:r>
      <w:r w:rsidR="000E4A7D" w:rsidRPr="00370E70">
        <w:rPr>
          <w:color w:val="000000"/>
          <w:szCs w:val="22"/>
        </w:rPr>
        <w:t xml:space="preserve">low </w:t>
      </w:r>
      <w:r w:rsidRPr="00370E70">
        <w:rPr>
          <w:color w:val="000000"/>
          <w:szCs w:val="22"/>
        </w:rPr>
        <w:t>(</w:t>
      </w:r>
      <w:r w:rsidRPr="00370E70">
        <w:rPr>
          <w:color w:val="000000"/>
        </w:rPr>
        <w:fldChar w:fldCharType="begin"/>
      </w:r>
      <w:r w:rsidRPr="00370E70">
        <w:rPr>
          <w:color w:val="000000"/>
        </w:rPr>
        <w:instrText xml:space="preserve"> REF _Ref271280043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12</w:t>
      </w:r>
      <w:r w:rsidRPr="00370E70">
        <w:rPr>
          <w:color w:val="000000"/>
        </w:rPr>
        <w:fldChar w:fldCharType="end"/>
      </w:r>
      <w:r w:rsidRPr="00370E70">
        <w:rPr>
          <w:color w:val="000000"/>
          <w:szCs w:val="22"/>
        </w:rPr>
        <w:t xml:space="preserve">). </w:t>
      </w:r>
      <w:r w:rsidR="000E4A7D" w:rsidRPr="00370E70">
        <w:rPr>
          <w:color w:val="000000"/>
          <w:szCs w:val="22"/>
        </w:rPr>
        <w:t>Seagrass abundance at intertidal reef-</w:t>
      </w:r>
      <w:r w:rsidR="000E4A7D" w:rsidRPr="00370E70">
        <w:rPr>
          <w:color w:val="000000"/>
          <w:szCs w:val="22"/>
        </w:rPr>
        <w:lastRenderedPageBreak/>
        <w:t xml:space="preserve">platform meadows declined </w:t>
      </w:r>
      <w:r w:rsidR="00C24884" w:rsidRPr="00370E70">
        <w:rPr>
          <w:color w:val="000000"/>
          <w:szCs w:val="22"/>
        </w:rPr>
        <w:t xml:space="preserve">slightly </w:t>
      </w:r>
      <w:r w:rsidR="000E4A7D" w:rsidRPr="00370E70">
        <w:rPr>
          <w:color w:val="000000"/>
          <w:szCs w:val="22"/>
        </w:rPr>
        <w:t>at half the locations monitored in 2011/12</w:t>
      </w:r>
      <w:r w:rsidR="00C24884" w:rsidRPr="00370E70">
        <w:rPr>
          <w:color w:val="000000"/>
          <w:szCs w:val="22"/>
        </w:rPr>
        <w:t>, but increased at the others</w:t>
      </w:r>
      <w:r w:rsidR="000E4A7D" w:rsidRPr="00370E70">
        <w:rPr>
          <w:color w:val="000000"/>
          <w:szCs w:val="22"/>
        </w:rPr>
        <w:t xml:space="preserve"> (</w:t>
      </w:r>
      <w:r w:rsidR="000E4A7D" w:rsidRPr="00370E70">
        <w:rPr>
          <w:color w:val="000000"/>
        </w:rPr>
        <w:fldChar w:fldCharType="begin"/>
      </w:r>
      <w:r w:rsidR="000E4A7D" w:rsidRPr="00370E70">
        <w:rPr>
          <w:color w:val="000000"/>
        </w:rPr>
        <w:instrText xml:space="preserve"> REF _Ref271280043 \h  \* MERGEFORMAT </w:instrText>
      </w:r>
      <w:r w:rsidR="000E4A7D" w:rsidRPr="00370E70">
        <w:rPr>
          <w:color w:val="000000"/>
        </w:rPr>
      </w:r>
      <w:r w:rsidR="000E4A7D" w:rsidRPr="00370E70">
        <w:rPr>
          <w:color w:val="000000"/>
        </w:rPr>
        <w:fldChar w:fldCharType="separate"/>
      </w:r>
      <w:r w:rsidR="005B5FD6" w:rsidRPr="005B5FD6">
        <w:rPr>
          <w:szCs w:val="22"/>
        </w:rPr>
        <w:t xml:space="preserve">Figure </w:t>
      </w:r>
      <w:r w:rsidR="005B5FD6" w:rsidRPr="005B5FD6">
        <w:rPr>
          <w:noProof/>
          <w:color w:val="000000"/>
          <w:szCs w:val="22"/>
        </w:rPr>
        <w:t>12</w:t>
      </w:r>
      <w:r w:rsidR="000E4A7D" w:rsidRPr="00370E70">
        <w:rPr>
          <w:color w:val="000000"/>
        </w:rPr>
        <w:fldChar w:fldCharType="end"/>
      </w:r>
      <w:r w:rsidR="000E4A7D" w:rsidRPr="00370E70">
        <w:rPr>
          <w:color w:val="000000"/>
          <w:szCs w:val="22"/>
        </w:rPr>
        <w:t xml:space="preserve">). </w:t>
      </w:r>
    </w:p>
    <w:p w:rsidR="00C24884" w:rsidRPr="00370E70" w:rsidRDefault="00C24884" w:rsidP="00C24884">
      <w:pPr>
        <w:pStyle w:val="BodyText"/>
        <w:spacing w:after="0" w:line="240" w:lineRule="auto"/>
        <w:rPr>
          <w:color w:val="000000"/>
          <w:szCs w:val="22"/>
        </w:rPr>
      </w:pPr>
      <w:r w:rsidRPr="00370E70">
        <w:rPr>
          <w:color w:val="000000"/>
          <w:szCs w:val="22"/>
        </w:rPr>
        <w:t>Abundance of intertidal seagrasses at most locations in 2011/12 was marginally lower or remained low (unchanged) from declines in early 2011. At these locations, there was also little or no expansion of the meadows as the plants were possibly in an establishment phase or hadn't recovered enough to progress to expansion phase. The declines measured in 2011/12 were mainly in the coastal meadows in northern Wet Tropics and Fitzroy regions, which appear the consequence of local scale disturbances</w:t>
      </w:r>
      <w:r w:rsidR="002A3517" w:rsidRPr="00370E70">
        <w:rPr>
          <w:color w:val="000000"/>
          <w:szCs w:val="22"/>
        </w:rPr>
        <w:t xml:space="preserve"> (e.g. sediment or sand bank movement)</w:t>
      </w:r>
      <w:r w:rsidRPr="00370E70">
        <w:rPr>
          <w:i/>
          <w:color w:val="000000"/>
          <w:szCs w:val="22"/>
        </w:rPr>
        <w:t>.</w:t>
      </w:r>
      <w:r w:rsidRPr="00370E70">
        <w:rPr>
          <w:color w:val="000000"/>
          <w:szCs w:val="22"/>
        </w:rPr>
        <w:t xml:space="preserve"> In contrast, seagrass abundances observed in the estuarine meadows of the Fitzroy region in 2011/12 were some of the highest recorded since monitoring was established.</w:t>
      </w:r>
    </w:p>
    <w:p w:rsidR="002A3517" w:rsidRPr="00370E70" w:rsidRDefault="0077204F" w:rsidP="0077204F">
      <w:pPr>
        <w:pStyle w:val="BodyText"/>
        <w:spacing w:after="0" w:line="240" w:lineRule="auto"/>
        <w:rPr>
          <w:color w:val="000000"/>
          <w:szCs w:val="22"/>
        </w:rPr>
      </w:pPr>
      <w:r w:rsidRPr="00370E70">
        <w:rPr>
          <w:color w:val="000000"/>
          <w:szCs w:val="22"/>
        </w:rPr>
        <w:t xml:space="preserve">Locations where seagrass meadow extent increased relative to the previous monitoring period appears primarily a consequence of the proliferation of colonising seagrass species such as </w:t>
      </w:r>
      <w:r w:rsidRPr="00370E70">
        <w:rPr>
          <w:i/>
          <w:color w:val="000000"/>
          <w:szCs w:val="22"/>
        </w:rPr>
        <w:t>Halophila ovalis</w:t>
      </w:r>
      <w:r w:rsidRPr="00370E70">
        <w:rPr>
          <w:color w:val="000000"/>
          <w:szCs w:val="22"/>
        </w:rPr>
        <w:t xml:space="preserve">, rather than recovery of foundation species. </w:t>
      </w:r>
      <w:r w:rsidR="002A3517" w:rsidRPr="00370E70">
        <w:rPr>
          <w:color w:val="000000"/>
          <w:szCs w:val="22"/>
        </w:rPr>
        <w:t>Reproductive effort, representing per area estimates of the number of reproductive structures produced by any seagrass species during the sampling period, predominately declined (relative to the previous monitoring period) in 2011/12</w:t>
      </w:r>
      <w:r w:rsidR="00690F2B" w:rsidRPr="00370E70">
        <w:rPr>
          <w:color w:val="000000"/>
          <w:szCs w:val="22"/>
        </w:rPr>
        <w:t xml:space="preserve"> (</w:t>
      </w:r>
      <w:r w:rsidR="00690F2B" w:rsidRPr="00370E70">
        <w:rPr>
          <w:color w:val="000000"/>
          <w:szCs w:val="22"/>
        </w:rPr>
        <w:fldChar w:fldCharType="begin"/>
      </w:r>
      <w:r w:rsidR="00690F2B" w:rsidRPr="00370E70">
        <w:rPr>
          <w:color w:val="000000"/>
          <w:szCs w:val="22"/>
        </w:rPr>
        <w:instrText xml:space="preserve"> REF _Ref382745039 \h </w:instrText>
      </w:r>
      <w:r w:rsidR="00690F2B" w:rsidRPr="00370E70">
        <w:rPr>
          <w:color w:val="000000"/>
          <w:szCs w:val="22"/>
        </w:rPr>
      </w:r>
      <w:r w:rsidR="00690F2B" w:rsidRPr="00370E70">
        <w:rPr>
          <w:color w:val="000000"/>
          <w:szCs w:val="22"/>
        </w:rPr>
        <w:fldChar w:fldCharType="separate"/>
      </w:r>
      <w:r w:rsidR="005B5FD6" w:rsidRPr="00370E70">
        <w:t xml:space="preserve">Figure </w:t>
      </w:r>
      <w:r w:rsidR="005B5FD6">
        <w:rPr>
          <w:noProof/>
        </w:rPr>
        <w:t>13</w:t>
      </w:r>
      <w:r w:rsidR="00690F2B" w:rsidRPr="00370E70">
        <w:rPr>
          <w:color w:val="000000"/>
          <w:szCs w:val="22"/>
        </w:rPr>
        <w:fldChar w:fldCharType="end"/>
      </w:r>
      <w:r w:rsidR="00690F2B" w:rsidRPr="00370E70">
        <w:rPr>
          <w:color w:val="000000"/>
          <w:szCs w:val="22"/>
        </w:rPr>
        <w:t>)</w:t>
      </w:r>
      <w:r w:rsidR="002A3517" w:rsidRPr="00370E70">
        <w:rPr>
          <w:color w:val="000000"/>
          <w:szCs w:val="22"/>
        </w:rPr>
        <w:t>. The only habitat where reproductive effort increased was in the intertidal reef sites of the Burdekin region.</w:t>
      </w:r>
    </w:p>
    <w:p w:rsidR="00690F2B" w:rsidRPr="00370E70" w:rsidRDefault="007B15AB" w:rsidP="00690F2B">
      <w:pPr>
        <w:pStyle w:val="BodyText"/>
        <w:spacing w:after="0" w:line="240" w:lineRule="auto"/>
        <w:jc w:val="center"/>
        <w:rPr>
          <w:color w:val="000000"/>
          <w:szCs w:val="22"/>
        </w:rPr>
      </w:pPr>
      <w:r>
        <w:rPr>
          <w:noProof/>
          <w:color w:val="000000"/>
          <w:szCs w:val="22"/>
        </w:rPr>
        <w:drawing>
          <wp:inline distT="0" distB="0" distL="0" distR="0">
            <wp:extent cx="5396230" cy="2021840"/>
            <wp:effectExtent l="0" t="0" r="0" b="0"/>
            <wp:docPr id="22" name="Picture 22" descr="Figure of the regional report card scores for seagrass reproductive effort over the life of the M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igure of the regional report card scores for seagrass reproductive effort over the life of the MMP. "/>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96230" cy="2021840"/>
                    </a:xfrm>
                    <a:prstGeom prst="rect">
                      <a:avLst/>
                    </a:prstGeom>
                    <a:noFill/>
                    <a:ln>
                      <a:noFill/>
                    </a:ln>
                  </pic:spPr>
                </pic:pic>
              </a:graphicData>
            </a:graphic>
          </wp:inline>
        </w:drawing>
      </w:r>
    </w:p>
    <w:p w:rsidR="00690F2B" w:rsidRPr="00370E70" w:rsidRDefault="00690F2B" w:rsidP="00690F2B">
      <w:pPr>
        <w:pStyle w:val="Caption"/>
        <w:rPr>
          <w:i/>
          <w:vanish/>
          <w:lang w:val="en-AU"/>
          <w:specVanish/>
        </w:rPr>
      </w:pPr>
      <w:bookmarkStart w:id="156" w:name="_Ref382745039"/>
      <w:bookmarkStart w:id="157" w:name="_Toc384196360"/>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w:t>
      </w:r>
      <w:r w:rsidRPr="00370E70">
        <w:rPr>
          <w:lang w:val="en-AU"/>
        </w:rPr>
        <w:fldChar w:fldCharType="end"/>
      </w:r>
      <w:bookmarkEnd w:id="156"/>
      <w:r w:rsidRPr="00370E70">
        <w:rPr>
          <w:lang w:val="en-AU"/>
        </w:rPr>
        <w:t xml:space="preserve">. </w:t>
      </w:r>
      <w:r w:rsidRPr="00370E70">
        <w:rPr>
          <w:i/>
          <w:lang w:val="en-AU"/>
        </w:rPr>
        <w:t xml:space="preserve">Regional report card scores for </w:t>
      </w:r>
      <w:r w:rsidRPr="00370E70">
        <w:rPr>
          <w:b/>
          <w:i/>
          <w:lang w:val="en-AU"/>
        </w:rPr>
        <w:t>seagrass reproductive effort</w:t>
      </w:r>
      <w:r w:rsidRPr="00370E70">
        <w:rPr>
          <w:i/>
          <w:lang w:val="en-AU"/>
        </w:rPr>
        <w:t xml:space="preserve"> over the life of the MMP.</w:t>
      </w:r>
      <w:bookmarkEnd w:id="157"/>
      <w:r w:rsidRPr="00370E70">
        <w:rPr>
          <w:i/>
          <w:lang w:val="en-AU"/>
        </w:rPr>
        <w:t xml:space="preserve"> </w:t>
      </w:r>
    </w:p>
    <w:p w:rsidR="00690F2B" w:rsidRPr="00370E70" w:rsidRDefault="00690F2B" w:rsidP="00690F2B">
      <w:pPr>
        <w:pStyle w:val="Caption"/>
        <w:rPr>
          <w:lang w:val="en-AU"/>
        </w:rPr>
      </w:pPr>
      <w:r w:rsidRPr="00370E70">
        <w:rPr>
          <w:i/>
          <w:lang w:val="en-AU"/>
        </w:rPr>
        <w:t xml:space="preserve">For Paddock to Reef reporting scores are categorised in to a five point scale; </w:t>
      </w:r>
      <w:r w:rsidRPr="00370E70">
        <w:rPr>
          <w:rFonts w:ascii="Arial" w:hAnsi="Arial" w:cs="Arial"/>
          <w:i/>
          <w:color w:val="008000"/>
          <w:lang w:val="en-AU"/>
        </w:rPr>
        <w:t>■</w:t>
      </w:r>
      <w:r w:rsidRPr="00370E70">
        <w:rPr>
          <w:rFonts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Pr="00370E70">
        <w:rPr>
          <w:lang w:val="en-AU"/>
        </w:rPr>
        <w:t xml:space="preserve"> </w:t>
      </w:r>
    </w:p>
    <w:p w:rsidR="005132EF" w:rsidRPr="00370E70" w:rsidRDefault="0077204F" w:rsidP="00034AD4">
      <w:pPr>
        <w:rPr>
          <w:color w:val="000000"/>
          <w:szCs w:val="22"/>
        </w:rPr>
      </w:pPr>
      <w:r w:rsidRPr="00370E70">
        <w:rPr>
          <w:color w:val="000000"/>
          <w:szCs w:val="22"/>
        </w:rPr>
        <w:t>In contrast, seed banks generally increased over the 2011/12</w:t>
      </w:r>
      <w:r w:rsidR="002A3517" w:rsidRPr="00370E70">
        <w:rPr>
          <w:color w:val="000000"/>
          <w:szCs w:val="22"/>
        </w:rPr>
        <w:t xml:space="preserve">, indicating </w:t>
      </w:r>
      <w:r w:rsidR="000566E7" w:rsidRPr="00370E70">
        <w:rPr>
          <w:color w:val="000000"/>
          <w:szCs w:val="22"/>
        </w:rPr>
        <w:t xml:space="preserve">high reproductive </w:t>
      </w:r>
      <w:r w:rsidR="002A3517" w:rsidRPr="00370E70">
        <w:rPr>
          <w:color w:val="000000"/>
          <w:szCs w:val="22"/>
        </w:rPr>
        <w:t>success</w:t>
      </w:r>
      <w:r w:rsidR="000566E7" w:rsidRPr="00370E70">
        <w:rPr>
          <w:color w:val="000000"/>
          <w:szCs w:val="22"/>
        </w:rPr>
        <w:t xml:space="preserve"> from</w:t>
      </w:r>
      <w:r w:rsidR="002A3517" w:rsidRPr="00370E70">
        <w:rPr>
          <w:color w:val="000000"/>
          <w:szCs w:val="22"/>
        </w:rPr>
        <w:t xml:space="preserve"> the previous year. The larger seed banks </w:t>
      </w:r>
      <w:r w:rsidRPr="00370E70">
        <w:rPr>
          <w:color w:val="000000"/>
          <w:szCs w:val="22"/>
        </w:rPr>
        <w:t>suggest an improved capacity to recover once conditions are suitable</w:t>
      </w:r>
      <w:r w:rsidR="002A3517" w:rsidRPr="00370E70">
        <w:rPr>
          <w:color w:val="000000"/>
          <w:szCs w:val="22"/>
        </w:rPr>
        <w:t xml:space="preserve"> and the germinat</w:t>
      </w:r>
      <w:r w:rsidR="000566E7" w:rsidRPr="00370E70">
        <w:rPr>
          <w:color w:val="000000"/>
          <w:szCs w:val="22"/>
        </w:rPr>
        <w:t>ion occurs</w:t>
      </w:r>
      <w:r w:rsidRPr="00370E70">
        <w:rPr>
          <w:color w:val="000000"/>
          <w:szCs w:val="22"/>
        </w:rPr>
        <w:t xml:space="preserve">. The locations where seed banks declined or remain absent (e.g., southern Wet Tropics and Fitzroy reef habitats), when coupled with poor reproductive health, suggests </w:t>
      </w:r>
      <w:r w:rsidR="002A3517" w:rsidRPr="00370E70">
        <w:rPr>
          <w:color w:val="000000"/>
          <w:szCs w:val="22"/>
        </w:rPr>
        <w:t>recovery may be slow</w:t>
      </w:r>
      <w:r w:rsidRPr="00370E70">
        <w:rPr>
          <w:color w:val="000000"/>
          <w:szCs w:val="22"/>
        </w:rPr>
        <w:t xml:space="preserve"> and </w:t>
      </w:r>
      <w:r w:rsidR="000566E7" w:rsidRPr="00370E70">
        <w:rPr>
          <w:color w:val="000000"/>
          <w:szCs w:val="22"/>
        </w:rPr>
        <w:t xml:space="preserve">seagrass </w:t>
      </w:r>
      <w:r w:rsidRPr="00370E70">
        <w:rPr>
          <w:color w:val="000000"/>
          <w:szCs w:val="22"/>
        </w:rPr>
        <w:t>remain vulnerable</w:t>
      </w:r>
      <w:r w:rsidR="002A3517" w:rsidRPr="00370E70">
        <w:rPr>
          <w:color w:val="000000"/>
          <w:szCs w:val="22"/>
        </w:rPr>
        <w:t xml:space="preserve"> to major disturbances</w:t>
      </w:r>
      <w:r w:rsidRPr="00370E70">
        <w:rPr>
          <w:color w:val="000000"/>
          <w:szCs w:val="22"/>
        </w:rPr>
        <w:t>.</w:t>
      </w:r>
      <w:r w:rsidR="003D7476" w:rsidRPr="00370E70">
        <w:rPr>
          <w:color w:val="000000"/>
          <w:szCs w:val="22"/>
        </w:rPr>
        <w:t xml:space="preserve"> </w:t>
      </w:r>
      <w:r w:rsidR="005132EF" w:rsidRPr="00370E70">
        <w:rPr>
          <w:color w:val="000000"/>
          <w:szCs w:val="22"/>
        </w:rPr>
        <w:t xml:space="preserve">Observations of how seagrass meadows recover from recent poor ecological health will be important to evaluating the longer term capacity of seagrasses to recover from </w:t>
      </w:r>
      <w:r w:rsidR="002C6536" w:rsidRPr="00370E70">
        <w:rPr>
          <w:color w:val="000000"/>
          <w:szCs w:val="22"/>
        </w:rPr>
        <w:t>disturbance</w:t>
      </w:r>
      <w:r w:rsidR="005132EF" w:rsidRPr="00370E70">
        <w:rPr>
          <w:color w:val="000000"/>
          <w:szCs w:val="22"/>
        </w:rPr>
        <w:t xml:space="preserve"> and therefore their resilience. </w:t>
      </w:r>
    </w:p>
    <w:p w:rsidR="005132EF" w:rsidRPr="00370E70" w:rsidRDefault="005132EF" w:rsidP="00034AD4">
      <w:pPr>
        <w:pStyle w:val="Heading3"/>
        <w:rPr>
          <w:color w:val="000000"/>
        </w:rPr>
      </w:pPr>
      <w:bookmarkStart w:id="158" w:name="_Toc184101964"/>
      <w:bookmarkStart w:id="159" w:name="_Toc384196125"/>
      <w:r w:rsidRPr="00370E70">
        <w:rPr>
          <w:color w:val="000000"/>
        </w:rPr>
        <w:t>Status of the seagrass environment</w:t>
      </w:r>
      <w:bookmarkEnd w:id="158"/>
      <w:bookmarkEnd w:id="159"/>
    </w:p>
    <w:p w:rsidR="005132EF" w:rsidRPr="00370E70" w:rsidRDefault="005132EF" w:rsidP="00034AD4">
      <w:pPr>
        <w:pStyle w:val="Heading4"/>
        <w:rPr>
          <w:b/>
          <w:color w:val="000000"/>
        </w:rPr>
      </w:pPr>
      <w:bookmarkStart w:id="160" w:name="_Toc184101965"/>
      <w:r w:rsidRPr="00370E70">
        <w:rPr>
          <w:b/>
          <w:color w:val="000000"/>
        </w:rPr>
        <w:t>Seagrass tissue nutrients</w:t>
      </w:r>
      <w:bookmarkEnd w:id="160"/>
    </w:p>
    <w:p w:rsidR="005132EF" w:rsidRPr="00370E70" w:rsidRDefault="005132EF" w:rsidP="00034AD4">
      <w:pPr>
        <w:rPr>
          <w:color w:val="000000"/>
          <w:szCs w:val="22"/>
        </w:rPr>
      </w:pPr>
      <w:r w:rsidRPr="00370E70">
        <w:rPr>
          <w:color w:val="000000"/>
          <w:szCs w:val="22"/>
        </w:rPr>
        <w:t xml:space="preserve">Tissue nutrient concentrations were variable both across and within habitats between years. It was necessary at some sites (refer </w:t>
      </w:r>
      <w:r w:rsidRPr="00370E70">
        <w:fldChar w:fldCharType="begin"/>
      </w:r>
      <w:r w:rsidRPr="00370E70">
        <w:instrText xml:space="preserve"> REF _Ref318377132 \h  \* MERGEFORMAT </w:instrText>
      </w:r>
      <w:r w:rsidRPr="00370E70">
        <w:fldChar w:fldCharType="separate"/>
      </w:r>
      <w:r w:rsidR="005B5FD6" w:rsidRPr="005B5FD6">
        <w:rPr>
          <w:color w:val="000000"/>
          <w:szCs w:val="22"/>
        </w:rPr>
        <w:t xml:space="preserve">Table </w:t>
      </w:r>
      <w:r w:rsidR="005B5FD6" w:rsidRPr="005B5FD6">
        <w:rPr>
          <w:noProof/>
          <w:color w:val="000000"/>
          <w:szCs w:val="22"/>
        </w:rPr>
        <w:t>5</w:t>
      </w:r>
      <w:r w:rsidRPr="00370E70">
        <w:fldChar w:fldCharType="end"/>
      </w:r>
      <w:r w:rsidRPr="00370E70">
        <w:rPr>
          <w:color w:val="000000"/>
          <w:szCs w:val="22"/>
        </w:rPr>
        <w:t xml:space="preserve">) to pool across foundation species as the presence of individual species was not constant over time at all locations since monitoring was established. As tissue </w:t>
      </w:r>
      <w:r w:rsidR="002C6536" w:rsidRPr="00370E70">
        <w:rPr>
          <w:color w:val="000000"/>
          <w:szCs w:val="22"/>
        </w:rPr>
        <w:t>nutrient</w:t>
      </w:r>
      <w:r w:rsidRPr="00370E70">
        <w:rPr>
          <w:color w:val="000000"/>
          <w:szCs w:val="22"/>
        </w:rPr>
        <w:t xml:space="preserve"> ratios between co-occurring foundation species are not </w:t>
      </w:r>
      <w:r w:rsidR="002C6536" w:rsidRPr="00370E70">
        <w:rPr>
          <w:color w:val="000000"/>
          <w:szCs w:val="22"/>
        </w:rPr>
        <w:t>significantly</w:t>
      </w:r>
      <w:r w:rsidRPr="00370E70">
        <w:rPr>
          <w:color w:val="000000"/>
          <w:szCs w:val="22"/>
        </w:rPr>
        <w:t xml:space="preserve"> different (</w:t>
      </w:r>
      <w:hyperlink w:anchor="_ENREF_134" w:tooltip="McKenzie, 2012 #9287"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&lt;EndNote&gt;&lt;Cite&gt;&lt;Author&gt;McKenzie&lt;/Author&gt;&lt;Year&gt;2012&lt;/Year&gt;&lt;RecNum&gt;9287&lt;/RecNum&gt;&lt;DisplayText&gt;McKenzie&lt;style face="italic"&gt;, et al.&lt;/style&gt; 2012&lt;/DisplayText&gt;&lt;record&gt;&lt;rec-number&gt;9287&lt;/rec-number&gt;&lt;foreign-keys&gt;&lt;key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et al.</w:t>
        </w:r>
        <w:r w:rsidR="00964A70" w:rsidRPr="00370E70">
          <w:rPr>
            <w:noProof/>
            <w:color w:val="000000"/>
            <w:szCs w:val="22"/>
          </w:rPr>
          <w:t xml:space="preserve"> 2012</w:t>
        </w:r>
        <w:r w:rsidR="00964A70" w:rsidRPr="00370E70">
          <w:rPr>
            <w:color w:val="000000"/>
            <w:szCs w:val="22"/>
          </w:rPr>
          <w:fldChar w:fldCharType="end"/>
        </w:r>
      </w:hyperlink>
      <w:r w:rsidRPr="00370E70">
        <w:rPr>
          <w:color w:val="000000"/>
          <w:szCs w:val="22"/>
        </w:rPr>
        <w:t xml:space="preserve">), by pooling across species and habitat types, some trends are apparent. </w:t>
      </w:r>
    </w:p>
    <w:p w:rsidR="005132EF" w:rsidRPr="00370E70" w:rsidRDefault="005132EF" w:rsidP="00034AD4">
      <w:pPr>
        <w:rPr>
          <w:color w:val="000000"/>
          <w:szCs w:val="22"/>
        </w:rPr>
      </w:pPr>
      <w:r w:rsidRPr="00370E70">
        <w:rPr>
          <w:color w:val="000000"/>
          <w:szCs w:val="22"/>
        </w:rPr>
        <w:lastRenderedPageBreak/>
        <w:t>Tissue nutrient concentrations (%N and %P) appear to have increased since 2006 across all habitats (species pooled) (</w:t>
      </w:r>
      <w:r w:rsidRPr="00370E70">
        <w:fldChar w:fldCharType="begin"/>
      </w:r>
      <w:r w:rsidRPr="00370E70">
        <w:instrText xml:space="preserve"> REF _Ref271613914 \h  \* MERGEFORMAT </w:instrText>
      </w:r>
      <w:r w:rsidRPr="00370E70">
        <w:fldChar w:fldCharType="separate"/>
      </w:r>
      <w:r w:rsidR="005B5FD6" w:rsidRPr="005B5FD6">
        <w:rPr>
          <w:szCs w:val="22"/>
        </w:rPr>
        <w:t xml:space="preserve">Figure </w:t>
      </w:r>
      <w:r w:rsidR="005B5FD6" w:rsidRPr="005B5FD6">
        <w:rPr>
          <w:noProof/>
          <w:color w:val="000000"/>
          <w:szCs w:val="22"/>
        </w:rPr>
        <w:t>14</w:t>
      </w:r>
      <w:r w:rsidRPr="00370E70">
        <w:fldChar w:fldCharType="end"/>
      </w:r>
      <w:r w:rsidRPr="00370E70">
        <w:rPr>
          <w:color w:val="000000"/>
          <w:szCs w:val="22"/>
        </w:rPr>
        <w:t xml:space="preserve">). The 2005 values may be unreliable due to contamination of the samples during the grinding phase (see </w:t>
      </w:r>
      <w:hyperlink w:anchor="_ENREF_138" w:tooltip="McKenzie, 2006 #9609" w:history="1">
        <w:r w:rsidR="00964A70" w:rsidRPr="00370E70">
          <w:rPr>
            <w:color w:val="000000"/>
            <w:szCs w:val="22"/>
          </w:rPr>
          <w:fldChar w:fldCharType="begin"/>
        </w:r>
        <w:r w:rsidR="00964A70" w:rsidRPr="00370E70">
          <w:rPr>
            <w:color w:val="000000"/>
            <w:szCs w:val="22"/>
          </w:rPr>
          <w:instrText xml:space="preserve"> ADDIN EN.CITE &lt;EndNote&gt;&lt;Cite&gt;&lt;Author&gt;McKenzie&lt;/Author&gt;&lt;Year&gt;2006&lt;/Year&gt;&lt;RecNum&gt;9609&lt;/RecNum&gt;&lt;DisplayText&gt;McKenzie&lt;style face="italic"&gt; et al.&lt;/style&gt; 2006&lt;/DisplayText&gt;&lt;record&gt;&lt;rec-number&gt;9609&lt;/rec-number&gt;&lt;foreign-keys&gt;&lt;key app="EN" db-id="0eve55x9y5vfd6e9dacxtew4eatve2dzds9a"&gt;9609&lt;/key&gt;&lt;/foreign-keys&gt;&lt;ref-type name="Book Section"&gt;5&lt;/ref-type&gt;&lt;contributors&gt;&lt;authors&gt;&lt;author&gt;McKenzie, Len J,&lt;/author&gt;&lt;author&gt;Mellors, J E &lt;/author&gt;&lt;author&gt;Waycott, M &lt;/author&gt;&lt;author&gt;Udy, James &lt;/author&gt;&lt;author&gt;Coles, Robert G&lt;/author&gt;&lt;/authors&gt;&lt;secondary-authors&gt;&lt;author&gt;Schaffelke, B &lt;/author&gt;&lt;author&gt;Waterhouse, J&lt;/author&gt;&lt;/secondary-authors&gt;&lt;/contributors&gt;&lt;titles&gt;&lt;title&gt;Intertidal Monitoring&lt;/title&gt;&lt;secondary-title&gt;Water Quality and Ecosystem Monitoring Program - Reef Water Quality Protection Plan. Final Report August 2006 (revised November 2006).&lt;/secondary-title&gt;&lt;/titles&gt;&lt;pages&gt;230 -275&lt;/pages&gt;&lt;volume&gt;2&lt;/volume&gt;&lt;section&gt;6&lt;/section&gt;&lt;dates&gt;&lt;year&gt;2006&lt;/year&gt;&lt;/dates&gt;&lt;pub-location&gt;Townsville&lt;/pub-location&gt;&lt;publisher&gt;CRC Reef Research&lt;/publisher&gt;&lt;urls&gt;&lt;/urls&gt;&lt;/record&gt;&lt;/Cite&gt;&lt;/EndNote&gt;</w:instrText>
        </w:r>
        <w:r w:rsidR="00964A70" w:rsidRPr="00370E70">
          <w:rPr>
            <w:color w:val="000000"/>
            <w:szCs w:val="22"/>
          </w:rPr>
          <w:fldChar w:fldCharType="separate"/>
        </w:r>
        <w:r w:rsidR="00964A70" w:rsidRPr="00370E70">
          <w:rPr>
            <w:noProof/>
            <w:color w:val="000000"/>
            <w:szCs w:val="22"/>
          </w:rPr>
          <w:t>McKenzie</w:t>
        </w:r>
        <w:r w:rsidR="00964A70" w:rsidRPr="00370E70">
          <w:rPr>
            <w:i/>
            <w:noProof/>
            <w:color w:val="000000"/>
            <w:szCs w:val="22"/>
          </w:rPr>
          <w:t xml:space="preserve"> et al.</w:t>
        </w:r>
        <w:r w:rsidR="00964A70" w:rsidRPr="00370E70">
          <w:rPr>
            <w:noProof/>
            <w:color w:val="000000"/>
            <w:szCs w:val="22"/>
          </w:rPr>
          <w:t xml:space="preserve"> 2006</w:t>
        </w:r>
        <w:r w:rsidR="00964A70" w:rsidRPr="00370E70">
          <w:rPr>
            <w:color w:val="000000"/>
            <w:szCs w:val="22"/>
          </w:rPr>
          <w:fldChar w:fldCharType="end"/>
        </w:r>
      </w:hyperlink>
      <w:r w:rsidRPr="00370E70">
        <w:rPr>
          <w:color w:val="000000"/>
          <w:szCs w:val="22"/>
        </w:rPr>
        <w:t xml:space="preserve">) and should be interpreted with caution. </w:t>
      </w:r>
    </w:p>
    <w:p w:rsidR="005132EF" w:rsidRPr="00370E70" w:rsidRDefault="007B15AB" w:rsidP="00E31FE6">
      <w:pPr>
        <w:keepNext/>
        <w:spacing w:before="0" w:after="0"/>
        <w:jc w:val="center"/>
        <w:rPr>
          <w:color w:val="000000"/>
          <w:szCs w:val="22"/>
        </w:rPr>
      </w:pPr>
      <w:r>
        <w:rPr>
          <w:noProof/>
          <w:color w:val="000000"/>
          <w:lang w:eastAsia="en-AU"/>
        </w:rPr>
        <w:drawing>
          <wp:inline distT="0" distB="0" distL="0" distR="0">
            <wp:extent cx="4314190" cy="2099310"/>
            <wp:effectExtent l="0" t="0" r="0" b="0"/>
            <wp:docPr id="23" name="Picture 36" descr="Figure of the GBR median tissue nutrient concentrations (±Standard Error) in seagrass leaves for each habitat type (species pooled) over the entir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Figure of the GBR median tissue nutrient concentrations (±Standard Error) in seagrass leaves for each habitat type (species pooled) over the entire monitoring program"/>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14190" cy="2099310"/>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161" w:name="_Ref271613914"/>
      <w:bookmarkStart w:id="162" w:name="_Toc38419636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w:t>
      </w:r>
      <w:r w:rsidRPr="00370E70">
        <w:rPr>
          <w:lang w:val="en-AU"/>
        </w:rPr>
        <w:fldChar w:fldCharType="end"/>
      </w:r>
      <w:bookmarkEnd w:id="161"/>
      <w:r w:rsidRPr="00370E70">
        <w:rPr>
          <w:rStyle w:val="StyleCaptionCaptionCharCharLatinCalibri11ptBlackChar"/>
          <w:lang w:val="en-AU"/>
        </w:rPr>
        <w:t xml:space="preserve">. </w:t>
      </w:r>
      <w:r w:rsidR="0033652B" w:rsidRPr="00370E70">
        <w:rPr>
          <w:rStyle w:val="StyleCaptionCaptionCharCharLatinCalibri11ptBlackChar"/>
          <w:i/>
          <w:lang w:val="en-AU"/>
        </w:rPr>
        <w:t>GBR m</w:t>
      </w:r>
      <w:r w:rsidRPr="00370E70">
        <w:rPr>
          <w:i/>
          <w:lang w:val="en-AU"/>
        </w:rPr>
        <w:t>edian tissue nutrient concentrations (±Standard Error) in seagrass leaves for each habitat type (species pooled) over the entire monitoring program</w:t>
      </w:r>
      <w:bookmarkEnd w:id="162"/>
    </w:p>
    <w:p w:rsidR="0033652B" w:rsidRPr="00370E70" w:rsidRDefault="005132EF" w:rsidP="0033652B">
      <w:pPr>
        <w:pStyle w:val="Caption"/>
        <w:rPr>
          <w:i/>
          <w:lang w:val="en-AU"/>
        </w:rPr>
      </w:pPr>
      <w:r w:rsidRPr="00370E70">
        <w:rPr>
          <w:i/>
          <w:lang w:val="en-AU"/>
        </w:rPr>
        <w:t>. Dashed lines indicate global median values of 1.8% and 0.2% for tissue nitrogen and phosphorus, respectively (</w:t>
      </w:r>
      <w:hyperlink w:anchor="_ENREF_66" w:tooltip="Duarte, 1990 #1954" w:history="1">
        <w:r w:rsidR="00964A70" w:rsidRPr="00370E70">
          <w:rPr>
            <w:i/>
            <w:lang w:val="en-AU"/>
          </w:rPr>
          <w:fldChar w:fldCharType="begin"/>
        </w:r>
        <w:r w:rsidR="00964A70" w:rsidRPr="00370E70">
          <w:rPr>
            <w:i/>
            <w:lang w:val="en-AU"/>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i/>
            <w:lang w:val="en-AU"/>
          </w:rPr>
          <w:fldChar w:fldCharType="separate"/>
        </w:r>
        <w:r w:rsidR="00964A70" w:rsidRPr="00370E70">
          <w:rPr>
            <w:i/>
            <w:noProof/>
            <w:lang w:val="en-AU"/>
          </w:rPr>
          <w:t>Duarte 1990</w:t>
        </w:r>
        <w:r w:rsidR="00964A70" w:rsidRPr="00370E70">
          <w:rPr>
            <w:i/>
            <w:lang w:val="en-AU"/>
          </w:rPr>
          <w:fldChar w:fldCharType="end"/>
        </w:r>
      </w:hyperlink>
      <w:r w:rsidRPr="00370E70">
        <w:rPr>
          <w:i/>
          <w:lang w:val="en-AU"/>
        </w:rPr>
        <w:t>).</w:t>
      </w:r>
      <w:r w:rsidR="0033652B" w:rsidRPr="00370E70">
        <w:rPr>
          <w:i/>
          <w:lang w:val="en-AU"/>
        </w:rPr>
        <w:t xml:space="preserve"> </w:t>
      </w:r>
    </w:p>
    <w:p w:rsidR="005132EF" w:rsidRPr="00370E70" w:rsidRDefault="005132EF" w:rsidP="00034AD4">
      <w:pPr>
        <w:rPr>
          <w:color w:val="000000"/>
          <w:szCs w:val="22"/>
        </w:rPr>
      </w:pPr>
      <w:r w:rsidRPr="00370E70">
        <w:rPr>
          <w:color w:val="000000"/>
          <w:szCs w:val="22"/>
        </w:rPr>
        <w:t>Since 2005, median tissue nitrogen concentrations for all habitats have exceeded the global value of 1.8% (</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Duarte 1990</w:t>
        </w:r>
        <w:r w:rsidR="00964A70" w:rsidRPr="00370E70">
          <w:rPr>
            <w:color w:val="000000"/>
            <w:szCs w:val="22"/>
          </w:rPr>
          <w:fldChar w:fldCharType="end"/>
        </w:r>
      </w:hyperlink>
      <w:r w:rsidRPr="00370E70">
        <w:rPr>
          <w:color w:val="000000"/>
          <w:szCs w:val="22"/>
        </w:rPr>
        <w:t xml:space="preserve">; </w:t>
      </w:r>
      <w:hyperlink w:anchor="_ENREF_169" w:tooltip="Schaffelke, 2005 #3782" w:history="1">
        <w:r w:rsidR="00964A70" w:rsidRPr="00370E70">
          <w:rPr>
            <w:color w:val="000000"/>
            <w:szCs w:val="22"/>
          </w:rPr>
          <w:fldChar w:fldCharType="begin"/>
        </w:r>
        <w:r w:rsidR="00964A70" w:rsidRPr="00370E70">
          <w:rPr>
            <w:color w:val="000000"/>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964A70" w:rsidRPr="00370E70">
          <w:rPr>
            <w:color w:val="000000"/>
            <w:szCs w:val="22"/>
          </w:rPr>
          <w:fldChar w:fldCharType="separate"/>
        </w:r>
        <w:r w:rsidR="00964A70" w:rsidRPr="00370E70">
          <w:rPr>
            <w:noProof/>
            <w:color w:val="000000"/>
            <w:szCs w:val="22"/>
          </w:rPr>
          <w:t>Schaffelke</w:t>
        </w:r>
        <w:r w:rsidR="00964A70" w:rsidRPr="00370E70">
          <w:rPr>
            <w:i/>
            <w:noProof/>
            <w:color w:val="000000"/>
            <w:szCs w:val="22"/>
          </w:rPr>
          <w:t xml:space="preserve"> et al.</w:t>
        </w:r>
        <w:r w:rsidR="00964A70" w:rsidRPr="00370E70">
          <w:rPr>
            <w:noProof/>
            <w:color w:val="000000"/>
            <w:szCs w:val="22"/>
          </w:rPr>
          <w:t xml:space="preserve"> 2005</w:t>
        </w:r>
        <w:r w:rsidR="00964A70" w:rsidRPr="00370E70">
          <w:rPr>
            <w:color w:val="000000"/>
            <w:szCs w:val="22"/>
          </w:rPr>
          <w:fldChar w:fldCharType="end"/>
        </w:r>
      </w:hyperlink>
      <w:r w:rsidRPr="00370E70">
        <w:rPr>
          <w:color w:val="000000"/>
          <w:szCs w:val="22"/>
        </w:rPr>
        <w:t>) (</w:t>
      </w:r>
      <w:r w:rsidRPr="00370E70">
        <w:fldChar w:fldCharType="begin"/>
      </w:r>
      <w:r w:rsidRPr="00370E70">
        <w:instrText xml:space="preserve"> REF _Ref271613914 \h  \* MERGEFORMAT </w:instrText>
      </w:r>
      <w:r w:rsidRPr="00370E70">
        <w:fldChar w:fldCharType="separate"/>
      </w:r>
      <w:r w:rsidR="005B5FD6" w:rsidRPr="005B5FD6">
        <w:rPr>
          <w:szCs w:val="22"/>
        </w:rPr>
        <w:t xml:space="preserve">Figure </w:t>
      </w:r>
      <w:r w:rsidR="005B5FD6" w:rsidRPr="005B5FD6">
        <w:rPr>
          <w:noProof/>
          <w:color w:val="000000"/>
          <w:szCs w:val="22"/>
        </w:rPr>
        <w:t>14</w:t>
      </w:r>
      <w:r w:rsidRPr="00370E70">
        <w:fldChar w:fldCharType="end"/>
      </w:r>
      <w:r w:rsidRPr="00370E70">
        <w:rPr>
          <w:color w:val="000000"/>
          <w:szCs w:val="22"/>
        </w:rPr>
        <w:t xml:space="preserve">).  </w:t>
      </w:r>
      <w:r w:rsidR="006B765B" w:rsidRPr="00370E70">
        <w:rPr>
          <w:color w:val="000000"/>
          <w:szCs w:val="22"/>
        </w:rPr>
        <w:t>In 2011, m</w:t>
      </w:r>
      <w:r w:rsidRPr="00370E70">
        <w:rPr>
          <w:color w:val="000000"/>
          <w:szCs w:val="22"/>
        </w:rPr>
        <w:t xml:space="preserve">edian tissue phosphorus concentrations for all habitats remained above the global value of 0.2% </w:t>
      </w:r>
      <w:r w:rsidR="006B765B" w:rsidRPr="00370E70">
        <w:rPr>
          <w:color w:val="000000"/>
          <w:szCs w:val="22"/>
        </w:rPr>
        <w:t>(</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Duarte 1990</w:t>
        </w:r>
        <w:r w:rsidR="00964A70" w:rsidRPr="00370E70">
          <w:rPr>
            <w:color w:val="000000"/>
            <w:szCs w:val="22"/>
          </w:rPr>
          <w:fldChar w:fldCharType="end"/>
        </w:r>
      </w:hyperlink>
      <w:r w:rsidR="006B765B" w:rsidRPr="00370E70">
        <w:rPr>
          <w:color w:val="000000"/>
          <w:szCs w:val="22"/>
        </w:rPr>
        <w:t xml:space="preserve">; </w:t>
      </w:r>
      <w:hyperlink w:anchor="_ENREF_169" w:tooltip="Schaffelke, 2005 #3782" w:history="1">
        <w:r w:rsidR="00964A70" w:rsidRPr="00370E70">
          <w:rPr>
            <w:color w:val="000000"/>
            <w:szCs w:val="22"/>
          </w:rPr>
          <w:fldChar w:fldCharType="begin"/>
        </w:r>
        <w:r w:rsidR="00964A70" w:rsidRPr="00370E70">
          <w:rPr>
            <w:color w:val="000000"/>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964A70" w:rsidRPr="00370E70">
          <w:rPr>
            <w:color w:val="000000"/>
            <w:szCs w:val="22"/>
          </w:rPr>
          <w:fldChar w:fldCharType="separate"/>
        </w:r>
        <w:r w:rsidR="00964A70" w:rsidRPr="00370E70">
          <w:rPr>
            <w:noProof/>
            <w:color w:val="000000"/>
            <w:szCs w:val="22"/>
          </w:rPr>
          <w:t>Schaffelke</w:t>
        </w:r>
        <w:r w:rsidR="00964A70" w:rsidRPr="00370E70">
          <w:rPr>
            <w:i/>
            <w:noProof/>
            <w:color w:val="000000"/>
            <w:szCs w:val="22"/>
          </w:rPr>
          <w:t>, et al.</w:t>
        </w:r>
        <w:r w:rsidR="00964A70" w:rsidRPr="00370E70">
          <w:rPr>
            <w:noProof/>
            <w:color w:val="000000"/>
            <w:szCs w:val="22"/>
          </w:rPr>
          <w:t xml:space="preserve"> 2005</w:t>
        </w:r>
        <w:r w:rsidR="00964A70" w:rsidRPr="00370E70">
          <w:rPr>
            <w:color w:val="000000"/>
            <w:szCs w:val="22"/>
          </w:rPr>
          <w:fldChar w:fldCharType="end"/>
        </w:r>
      </w:hyperlink>
      <w:r w:rsidR="006B765B" w:rsidRPr="00370E70">
        <w:rPr>
          <w:color w:val="000000"/>
          <w:szCs w:val="22"/>
        </w:rPr>
        <w:t>)</w:t>
      </w:r>
      <w:r w:rsidRPr="00370E70">
        <w:rPr>
          <w:color w:val="000000"/>
          <w:szCs w:val="22"/>
        </w:rPr>
        <w:t>, but decreased in coastal and estuarine habitats from the peaks reported in 2010 (</w:t>
      </w:r>
      <w:r w:rsidRPr="00370E70">
        <w:fldChar w:fldCharType="begin"/>
      </w:r>
      <w:r w:rsidRPr="00370E70">
        <w:instrText xml:space="preserve"> REF _Ref271613914 \h  \* MERGEFORMAT </w:instrText>
      </w:r>
      <w:r w:rsidRPr="00370E70">
        <w:fldChar w:fldCharType="separate"/>
      </w:r>
      <w:r w:rsidR="005B5FD6" w:rsidRPr="005B5FD6">
        <w:rPr>
          <w:szCs w:val="22"/>
        </w:rPr>
        <w:t xml:space="preserve">Figure </w:t>
      </w:r>
      <w:r w:rsidR="005B5FD6" w:rsidRPr="005B5FD6">
        <w:rPr>
          <w:noProof/>
          <w:color w:val="000000"/>
          <w:szCs w:val="22"/>
        </w:rPr>
        <w:t>14</w:t>
      </w:r>
      <w:r w:rsidRPr="00370E70">
        <w:fldChar w:fldCharType="end"/>
      </w:r>
      <w:r w:rsidRPr="00370E70">
        <w:rPr>
          <w:color w:val="000000"/>
          <w:szCs w:val="22"/>
        </w:rPr>
        <w:t>). Duarte (</w:t>
      </w:r>
      <w:hyperlink w:anchor="_ENREF_66" w:tooltip="Duarte, 1990 #1954" w:history="1">
        <w:r w:rsidR="00964A70" w:rsidRPr="00370E70">
          <w:rPr>
            <w:color w:val="000000"/>
            <w:szCs w:val="22"/>
          </w:rPr>
          <w:fldChar w:fldCharType="begin"/>
        </w:r>
        <w:r w:rsidR="00964A70" w:rsidRPr="00370E70">
          <w:rPr>
            <w:color w:val="000000"/>
            <w:szCs w:val="22"/>
          </w:rPr>
          <w:instrText xml:space="preserve"> ADDIN EN.CITE &lt;EndNote&gt;&lt;Cite ExcludeAuth="1"&gt;&lt;Author&gt;Duarte&lt;/Author&gt;&lt;Year&gt;1990&lt;/Year&gt;&lt;RecNum&gt;1954&lt;/RecNum&gt;&lt;DisplayText&gt;1990&lt;/DisplayText&gt;&lt;record&gt;&lt;rec-number&gt;1954&lt;/rec-number&gt;&lt;foreign-keys&gt;&lt;key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1990</w:t>
        </w:r>
        <w:r w:rsidR="00964A70" w:rsidRPr="00370E70">
          <w:rPr>
            <w:color w:val="000000"/>
            <w:szCs w:val="22"/>
          </w:rPr>
          <w:fldChar w:fldCharType="end"/>
        </w:r>
      </w:hyperlink>
      <w:r w:rsidRPr="00370E70">
        <w:rPr>
          <w:color w:val="000000"/>
          <w:szCs w:val="22"/>
        </w:rPr>
        <w:t>) suggested tissue nutrient concentrations less that the global average implied nutrient limitation to seagrass growth. Although some concerns have been raised as to accuracy of the global tissue nutrient values (</w:t>
      </w:r>
      <w:hyperlink w:anchor="_ENREF_169" w:tooltip="Schaffelke, 2005 #3782" w:history="1">
        <w:r w:rsidR="00964A70" w:rsidRPr="00370E70">
          <w:rPr>
            <w:color w:val="000000"/>
            <w:szCs w:val="22"/>
          </w:rPr>
          <w:fldChar w:fldCharType="begin"/>
        </w:r>
        <w:r w:rsidR="00964A70" w:rsidRPr="00370E70">
          <w:rPr>
            <w:color w:val="000000"/>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964A70" w:rsidRPr="00370E70">
          <w:rPr>
            <w:color w:val="000000"/>
            <w:szCs w:val="22"/>
          </w:rPr>
          <w:fldChar w:fldCharType="separate"/>
        </w:r>
        <w:r w:rsidR="00964A70" w:rsidRPr="00370E70">
          <w:rPr>
            <w:noProof/>
            <w:color w:val="000000"/>
            <w:szCs w:val="22"/>
          </w:rPr>
          <w:t>Schaffelke</w:t>
        </w:r>
        <w:r w:rsidR="00964A70" w:rsidRPr="00370E70">
          <w:rPr>
            <w:i/>
            <w:noProof/>
            <w:color w:val="000000"/>
            <w:szCs w:val="22"/>
          </w:rPr>
          <w:t>, et al.</w:t>
        </w:r>
        <w:r w:rsidR="00964A70" w:rsidRPr="00370E70">
          <w:rPr>
            <w:noProof/>
            <w:color w:val="000000"/>
            <w:szCs w:val="22"/>
          </w:rPr>
          <w:t xml:space="preserve"> 2005</w:t>
        </w:r>
        <w:r w:rsidR="00964A70" w:rsidRPr="00370E70">
          <w:rPr>
            <w:color w:val="000000"/>
            <w:szCs w:val="22"/>
          </w:rPr>
          <w:fldChar w:fldCharType="end"/>
        </w:r>
      </w:hyperlink>
      <w:r w:rsidRPr="00370E70">
        <w:rPr>
          <w:color w:val="000000"/>
          <w:szCs w:val="22"/>
        </w:rPr>
        <w:t>), nitrogen and phosphorus concentrations for reef habitats reached their highest level in 2011 since monitoring commenced</w:t>
      </w:r>
      <w:r w:rsidR="00112C22" w:rsidRPr="00370E70">
        <w:rPr>
          <w:color w:val="000000"/>
          <w:szCs w:val="22"/>
        </w:rPr>
        <w:t xml:space="preserve"> (</w:t>
      </w:r>
      <w:r w:rsidR="00112C22" w:rsidRPr="00370E70">
        <w:rPr>
          <w:color w:val="000000"/>
          <w:szCs w:val="22"/>
        </w:rPr>
        <w:fldChar w:fldCharType="begin"/>
      </w:r>
      <w:r w:rsidR="00112C22" w:rsidRPr="00370E70">
        <w:rPr>
          <w:color w:val="000000"/>
          <w:szCs w:val="22"/>
        </w:rPr>
        <w:instrText xml:space="preserve"> REF _Ref354837822 \h </w:instrText>
      </w:r>
      <w:r w:rsidR="008A5E1E" w:rsidRPr="00370E70">
        <w:rPr>
          <w:color w:val="000000"/>
          <w:szCs w:val="22"/>
        </w:rPr>
        <w:instrText xml:space="preserve"> \* MERGEFORMAT </w:instrText>
      </w:r>
      <w:r w:rsidR="00112C22" w:rsidRPr="00370E70">
        <w:rPr>
          <w:color w:val="000000"/>
          <w:szCs w:val="22"/>
        </w:rPr>
      </w:r>
      <w:r w:rsidR="00112C22" w:rsidRPr="00370E70">
        <w:rPr>
          <w:color w:val="000000"/>
          <w:szCs w:val="22"/>
        </w:rPr>
        <w:fldChar w:fldCharType="separate"/>
      </w:r>
      <w:r w:rsidR="005B5FD6" w:rsidRPr="005B5FD6">
        <w:rPr>
          <w:rStyle w:val="StyleCaptionCaptionCharCharLatinCalibri11ptBlackChar"/>
          <w:lang w:val="en-AU"/>
        </w:rPr>
        <w:t xml:space="preserve">Figure </w:t>
      </w:r>
      <w:r w:rsidR="005B5FD6" w:rsidRPr="005B5FD6">
        <w:rPr>
          <w:noProof/>
        </w:rPr>
        <w:t>15</w:t>
      </w:r>
      <w:r w:rsidR="00112C22" w:rsidRPr="00370E70">
        <w:rPr>
          <w:color w:val="000000"/>
          <w:szCs w:val="22"/>
        </w:rPr>
        <w:fldChar w:fldCharType="end"/>
      </w:r>
      <w:r w:rsidR="00112C22" w:rsidRPr="00370E70">
        <w:rPr>
          <w:color w:val="000000"/>
          <w:szCs w:val="22"/>
        </w:rPr>
        <w:t>)</w:t>
      </w:r>
      <w:r w:rsidRPr="00370E70">
        <w:rPr>
          <w:color w:val="000000"/>
          <w:szCs w:val="22"/>
        </w:rPr>
        <w:t>.</w:t>
      </w:r>
    </w:p>
    <w:p w:rsidR="005132EF" w:rsidRPr="00370E70" w:rsidRDefault="007B15AB" w:rsidP="00162342">
      <w:pPr>
        <w:keepNext/>
        <w:jc w:val="center"/>
        <w:rPr>
          <w:color w:val="000000"/>
          <w:szCs w:val="22"/>
        </w:rPr>
      </w:pPr>
      <w:r>
        <w:rPr>
          <w:noProof/>
          <w:color w:val="000000"/>
          <w:szCs w:val="22"/>
          <w:lang w:eastAsia="en-AU"/>
        </w:rPr>
        <w:drawing>
          <wp:inline distT="0" distB="0" distL="0" distR="0">
            <wp:extent cx="2163445" cy="2163445"/>
            <wp:effectExtent l="0" t="0" r="8255" b="8255"/>
            <wp:docPr id="24" name="Picture 37" descr="Figure of the GBR median tissue %N concentrations (±Standard Error) in Halodule uninervis leaves for each habitat type over the entir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Figure of the GBR median tissue %N concentrations (±Standard Error) in Halodule uninervis leaves for each habitat type over the entire monitoring program"/>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163445" cy="2163445"/>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163" w:name="_Ref354837822"/>
      <w:bookmarkStart w:id="164" w:name="_Toc384196362"/>
      <w:r w:rsidRPr="00370E70">
        <w:rPr>
          <w:rStyle w:val="StyleCaptionCaptionCharCharLatinCalibri11ptBlackChar"/>
          <w:i/>
          <w:lang w:val="en-AU"/>
        </w:rPr>
        <w:t xml:space="preserve">Figure </w:t>
      </w:r>
      <w:r w:rsidRPr="00370E70">
        <w:rPr>
          <w:i/>
          <w:lang w:val="en-AU"/>
        </w:rPr>
        <w:fldChar w:fldCharType="begin"/>
      </w:r>
      <w:r w:rsidRPr="00370E70">
        <w:rPr>
          <w:i/>
          <w:lang w:val="en-AU"/>
        </w:rPr>
        <w:instrText xml:space="preserve"> SEQ Figure \* ARABIC </w:instrText>
      </w:r>
      <w:r w:rsidRPr="00370E70">
        <w:rPr>
          <w:i/>
          <w:lang w:val="en-AU"/>
        </w:rPr>
        <w:fldChar w:fldCharType="separate"/>
      </w:r>
      <w:r w:rsidR="005B5FD6">
        <w:rPr>
          <w:i/>
          <w:noProof/>
          <w:lang w:val="en-AU"/>
        </w:rPr>
        <w:t>15</w:t>
      </w:r>
      <w:r w:rsidRPr="00370E70">
        <w:rPr>
          <w:i/>
          <w:lang w:val="en-AU"/>
        </w:rPr>
        <w:fldChar w:fldCharType="end"/>
      </w:r>
      <w:bookmarkEnd w:id="163"/>
      <w:r w:rsidRPr="00370E70">
        <w:rPr>
          <w:rStyle w:val="StyleCaptionCaptionCharCharLatinCalibri11ptBlackChar"/>
          <w:i/>
          <w:lang w:val="en-AU"/>
        </w:rPr>
        <w:t xml:space="preserve">. </w:t>
      </w:r>
      <w:r w:rsidR="0033652B" w:rsidRPr="00370E70">
        <w:rPr>
          <w:rStyle w:val="StyleCaptionCaptionCharCharLatinCalibri11ptBlackChar"/>
          <w:i/>
          <w:lang w:val="en-AU"/>
        </w:rPr>
        <w:t>GBR m</w:t>
      </w:r>
      <w:r w:rsidRPr="00370E70">
        <w:rPr>
          <w:i/>
          <w:lang w:val="en-AU"/>
        </w:rPr>
        <w:t>edian tissue %N concentrations (±Standard Error) in Halodule uninervis leaves for each habitat type over the entire monitoring program</w:t>
      </w:r>
      <w:bookmarkEnd w:id="164"/>
    </w:p>
    <w:p w:rsidR="0033652B" w:rsidRPr="00370E70" w:rsidRDefault="005132EF" w:rsidP="0033652B">
      <w:pPr>
        <w:pStyle w:val="Caption"/>
        <w:rPr>
          <w:i/>
          <w:lang w:val="en-AU"/>
        </w:rPr>
      </w:pPr>
      <w:r w:rsidRPr="00370E70">
        <w:rPr>
          <w:i/>
          <w:lang w:val="en-AU"/>
        </w:rPr>
        <w:t>. Dashed line indicates critical nitrogen saturation level of 2.5% during the dry season (</w:t>
      </w:r>
      <w:hyperlink w:anchor="_ENREF_122" w:tooltip="Lobb, 2006 #9758" w:history="1">
        <w:r w:rsidR="00964A70" w:rsidRPr="00370E70">
          <w:rPr>
            <w:i/>
            <w:lang w:val="en-AU"/>
          </w:rPr>
          <w:fldChar w:fldCharType="begin"/>
        </w:r>
        <w:r w:rsidR="00964A70" w:rsidRPr="00370E70">
          <w:rPr>
            <w:i/>
            <w:lang w:val="en-AU"/>
          </w:rPr>
          <w:instrText xml:space="preserve"> ADDIN EN.CITE &lt;EndNote&gt;&lt;Cite&gt;&lt;Author&gt;Lobb&lt;/Author&gt;&lt;Year&gt;2006&lt;/Year&gt;&lt;RecNum&gt;9758&lt;/RecNum&gt;&lt;DisplayText&gt;Lobb 2006&lt;/DisplayText&gt;&lt;record&gt;&lt;rec-number&gt;9758&lt;/rec-number&gt;&lt;foreign-keys&gt;&lt;key app="EN" db-id="0eve55x9y5vfd6e9dacxtew4eatve2dzds9a"&gt;9758&lt;/key&gt;&lt;/foreign-keys&gt;&lt;ref-type name="Thesis"&gt;32&lt;/ref-type&gt;&lt;contributors&gt;&lt;authors&gt;&lt;author&gt;Lobb, Kellie F&lt;/author&gt;&lt;/authors&gt;&lt;/contributors&gt;&lt;titles&gt;&lt;title&gt;Broad scale coastal nutrient assessment of the inshore Great Barrier Reef using carbon and nitrogen in marine plants and sediments&lt;/title&gt;&lt;secondary-title&gt;School of Integrative Biology&lt;/secondary-title&gt;&lt;/titles&gt;&lt;pages&gt;62&lt;/pages&gt;&lt;volume&gt;Bachelor of Science with Honours&lt;/volume&gt;&lt;dates&gt;&lt;year&gt;2006&lt;/year&gt;&lt;pub-dates&gt;&lt;date&gt;October 2006&lt;/date&gt;&lt;/pub-dates&gt;&lt;/dates&gt;&lt;pub-location&gt;Brisbane&lt;/pub-location&gt;&lt;publisher&gt;The University of Queensland&lt;/publisher&gt;&lt;urls&gt;&lt;/urls&gt;&lt;/record&gt;&lt;/Cite&gt;&lt;/EndNote&gt;</w:instrText>
        </w:r>
        <w:r w:rsidR="00964A70" w:rsidRPr="00370E70">
          <w:rPr>
            <w:i/>
            <w:lang w:val="en-AU"/>
          </w:rPr>
          <w:fldChar w:fldCharType="separate"/>
        </w:r>
        <w:r w:rsidR="00964A70" w:rsidRPr="00370E70">
          <w:rPr>
            <w:i/>
            <w:noProof/>
            <w:lang w:val="en-AU"/>
          </w:rPr>
          <w:t>Lobb 2006</w:t>
        </w:r>
        <w:r w:rsidR="00964A70" w:rsidRPr="00370E70">
          <w:rPr>
            <w:i/>
            <w:lang w:val="en-AU"/>
          </w:rPr>
          <w:fldChar w:fldCharType="end"/>
        </w:r>
      </w:hyperlink>
      <w:r w:rsidRPr="00370E70">
        <w:rPr>
          <w:i/>
          <w:lang w:val="en-AU"/>
        </w:rPr>
        <w:t>).</w:t>
      </w:r>
      <w:r w:rsidR="0033652B" w:rsidRPr="00370E70">
        <w:rPr>
          <w:i/>
          <w:lang w:val="en-AU"/>
        </w:rPr>
        <w:t xml:space="preserve"> </w:t>
      </w:r>
    </w:p>
    <w:p w:rsidR="00E31FE6" w:rsidRPr="00370E70" w:rsidRDefault="00E31FE6" w:rsidP="00E31FE6">
      <w:pPr>
        <w:pStyle w:val="NormalWeb"/>
        <w:tabs>
          <w:tab w:val="left" w:pos="720"/>
        </w:tabs>
        <w:spacing w:before="120" w:beforeAutospacing="0" w:after="120" w:afterAutospacing="0"/>
        <w:rPr>
          <w:color w:val="000000"/>
          <w:szCs w:val="22"/>
        </w:rPr>
      </w:pPr>
      <w:r w:rsidRPr="00370E70">
        <w:rPr>
          <w:color w:val="000000"/>
          <w:szCs w:val="22"/>
        </w:rPr>
        <w:t>Seagrass nutrient status scores (using only C</w:t>
      </w:r>
      <w:proofErr w:type="gramStart"/>
      <w:r w:rsidRPr="00370E70">
        <w:rPr>
          <w:color w:val="000000"/>
          <w:szCs w:val="22"/>
        </w:rPr>
        <w:t>:N</w:t>
      </w:r>
      <w:proofErr w:type="gramEnd"/>
      <w:r w:rsidRPr="00370E70">
        <w:rPr>
          <w:color w:val="000000"/>
          <w:szCs w:val="22"/>
        </w:rPr>
        <w:t>) across the GBR NRM regions, improved in the Burdekin and southern NRMs (Fitzroy and Burnett Mary) from 2010 to 2011 (</w:t>
      </w:r>
      <w:r w:rsidRPr="00370E70">
        <w:rPr>
          <w:color w:val="000000"/>
          <w:szCs w:val="22"/>
        </w:rPr>
        <w:fldChar w:fldCharType="begin"/>
      </w:r>
      <w:r w:rsidRPr="00370E70">
        <w:rPr>
          <w:color w:val="000000"/>
          <w:szCs w:val="22"/>
        </w:rPr>
        <w:instrText xml:space="preserve"> REF _Ref382744759 \h </w:instrText>
      </w:r>
      <w:r w:rsidRPr="00370E70">
        <w:rPr>
          <w:color w:val="000000"/>
          <w:szCs w:val="22"/>
        </w:rPr>
      </w:r>
      <w:r w:rsidRPr="00370E70">
        <w:rPr>
          <w:color w:val="000000"/>
          <w:szCs w:val="22"/>
        </w:rPr>
        <w:fldChar w:fldCharType="separate"/>
      </w:r>
      <w:r w:rsidR="005B5FD6" w:rsidRPr="00370E70">
        <w:t xml:space="preserve">Figure </w:t>
      </w:r>
      <w:r w:rsidR="005B5FD6">
        <w:rPr>
          <w:noProof/>
        </w:rPr>
        <w:t>16</w:t>
      </w:r>
      <w:r w:rsidRPr="00370E70">
        <w:rPr>
          <w:color w:val="000000"/>
          <w:szCs w:val="22"/>
        </w:rPr>
        <w:fldChar w:fldCharType="end"/>
      </w:r>
      <w:r w:rsidRPr="00370E70">
        <w:rPr>
          <w:color w:val="000000"/>
          <w:szCs w:val="22"/>
        </w:rPr>
        <w:t xml:space="preserve">).  Although the largest decline occurred in </w:t>
      </w:r>
      <w:smartTag w:uri="urn:schemas-microsoft-com:office:smarttags" w:element="place">
        <w:r w:rsidRPr="00370E70">
          <w:rPr>
            <w:color w:val="000000"/>
            <w:szCs w:val="22"/>
          </w:rPr>
          <w:t>Cape York</w:t>
        </w:r>
      </w:smartTag>
      <w:r w:rsidRPr="00370E70">
        <w:rPr>
          <w:color w:val="000000"/>
          <w:szCs w:val="22"/>
        </w:rPr>
        <w:t>, Mackay Whitsunday was the only region where nutrient status was very poor (</w:t>
      </w:r>
      <w:r w:rsidRPr="00370E70">
        <w:rPr>
          <w:color w:val="000000"/>
          <w:szCs w:val="22"/>
        </w:rPr>
        <w:fldChar w:fldCharType="begin"/>
      </w:r>
      <w:r w:rsidRPr="00370E70">
        <w:rPr>
          <w:color w:val="000000"/>
          <w:szCs w:val="22"/>
        </w:rPr>
        <w:instrText xml:space="preserve"> REF _Ref382744759 \h </w:instrText>
      </w:r>
      <w:r w:rsidRPr="00370E70">
        <w:rPr>
          <w:color w:val="000000"/>
          <w:szCs w:val="22"/>
        </w:rPr>
      </w:r>
      <w:r w:rsidRPr="00370E70">
        <w:rPr>
          <w:color w:val="000000"/>
          <w:szCs w:val="22"/>
        </w:rPr>
        <w:fldChar w:fldCharType="separate"/>
      </w:r>
      <w:r w:rsidR="005B5FD6" w:rsidRPr="00370E70">
        <w:t xml:space="preserve">Figure </w:t>
      </w:r>
      <w:r w:rsidR="005B5FD6">
        <w:rPr>
          <w:noProof/>
        </w:rPr>
        <w:t>16</w:t>
      </w:r>
      <w:r w:rsidRPr="00370E70">
        <w:rPr>
          <w:color w:val="000000"/>
          <w:szCs w:val="22"/>
        </w:rPr>
        <w:fldChar w:fldCharType="end"/>
      </w:r>
      <w:r w:rsidRPr="00370E70">
        <w:rPr>
          <w:color w:val="000000"/>
          <w:szCs w:val="22"/>
        </w:rPr>
        <w:t>).</w:t>
      </w:r>
    </w:p>
    <w:p w:rsidR="008A5E1E" w:rsidRPr="00370E70" w:rsidRDefault="007B15AB" w:rsidP="00E31FE6">
      <w:pPr>
        <w:keepNext/>
        <w:jc w:val="center"/>
        <w:rPr>
          <w:color w:val="000000"/>
          <w:szCs w:val="22"/>
        </w:rPr>
      </w:pPr>
      <w:r>
        <w:rPr>
          <w:noProof/>
          <w:color w:val="000000"/>
          <w:szCs w:val="22"/>
          <w:lang w:eastAsia="en-AU"/>
        </w:rPr>
        <w:lastRenderedPageBreak/>
        <w:drawing>
          <wp:inline distT="0" distB="0" distL="0" distR="0">
            <wp:extent cx="5396230" cy="2035175"/>
            <wp:effectExtent l="0" t="0" r="0" b="3175"/>
            <wp:docPr id="25" name="Picture 25" descr="Figure of the regional report card scores for seagrass leaf tissue nutrient status (C: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igure of the regional report card scores for seagrass leaf tissue nutrient status (C:N) over the life of the MMP"/>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396230" cy="2035175"/>
                    </a:xfrm>
                    <a:prstGeom prst="rect">
                      <a:avLst/>
                    </a:prstGeom>
                    <a:noFill/>
                    <a:ln>
                      <a:noFill/>
                    </a:ln>
                  </pic:spPr>
                </pic:pic>
              </a:graphicData>
            </a:graphic>
          </wp:inline>
        </w:drawing>
      </w:r>
    </w:p>
    <w:p w:rsidR="00E31FE6" w:rsidRPr="00370E70" w:rsidRDefault="00E31FE6" w:rsidP="00E31FE6">
      <w:pPr>
        <w:pStyle w:val="Caption"/>
        <w:rPr>
          <w:i/>
          <w:vanish/>
          <w:szCs w:val="22"/>
          <w:lang w:val="en-AU"/>
          <w:specVanish/>
        </w:rPr>
      </w:pPr>
      <w:bookmarkStart w:id="165" w:name="_Ref382744759"/>
      <w:bookmarkStart w:id="166" w:name="_Toc384196363"/>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w:t>
      </w:r>
      <w:r w:rsidRPr="00370E70">
        <w:rPr>
          <w:lang w:val="en-AU"/>
        </w:rPr>
        <w:fldChar w:fldCharType="end"/>
      </w:r>
      <w:bookmarkEnd w:id="165"/>
      <w:r w:rsidRPr="00370E70">
        <w:rPr>
          <w:lang w:val="en-AU"/>
        </w:rPr>
        <w:t xml:space="preserve">. </w:t>
      </w:r>
      <w:r w:rsidRPr="00370E70">
        <w:rPr>
          <w:i/>
          <w:lang w:val="en-AU"/>
        </w:rPr>
        <w:t xml:space="preserve">Regional report card scores for </w:t>
      </w:r>
      <w:r w:rsidRPr="00370E70">
        <w:rPr>
          <w:b/>
          <w:i/>
          <w:lang w:val="en-AU"/>
        </w:rPr>
        <w:t>seagrass leaf tissue nutrient status</w:t>
      </w:r>
      <w:r w:rsidRPr="00370E70">
        <w:rPr>
          <w:i/>
          <w:lang w:val="en-AU"/>
        </w:rPr>
        <w:t xml:space="preserve"> (C:N) over the life of the MMP.</w:t>
      </w:r>
      <w:bookmarkEnd w:id="166"/>
      <w:r w:rsidRPr="00370E70">
        <w:rPr>
          <w:i/>
          <w:lang w:val="en-AU"/>
        </w:rPr>
        <w:t xml:space="preserve"> </w:t>
      </w:r>
    </w:p>
    <w:p w:rsidR="008A5E1E" w:rsidRPr="00370E70" w:rsidRDefault="00E31FE6" w:rsidP="00E31FE6">
      <w:pPr>
        <w:pStyle w:val="Caption"/>
        <w:rPr>
          <w:color w:val="000000"/>
          <w:szCs w:val="22"/>
          <w:lang w:val="en-AU"/>
        </w:rPr>
      </w:pPr>
      <w:r w:rsidRPr="00370E70">
        <w:rPr>
          <w:i/>
          <w:lang w:val="en-AU"/>
        </w:rPr>
        <w:t xml:space="preserve">For Paddock to Reef reporting scores are categorised in to a five point scale; </w:t>
      </w:r>
      <w:r w:rsidRPr="00370E70">
        <w:rPr>
          <w:rFonts w:ascii="Arial" w:hAnsi="Arial" w:cs="Arial"/>
          <w:i/>
          <w:color w:val="008000"/>
          <w:lang w:val="en-AU"/>
        </w:rPr>
        <w:t>■</w:t>
      </w:r>
      <w:r w:rsidRPr="00370E70">
        <w:rPr>
          <w:rFonts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Pr="00370E70">
        <w:rPr>
          <w:i/>
          <w:color w:val="000000"/>
          <w:szCs w:val="22"/>
          <w:lang w:val="en-AU"/>
        </w:rPr>
        <w:t xml:space="preserve"> </w:t>
      </w:r>
    </w:p>
    <w:p w:rsidR="00371F57" w:rsidRPr="00370E70" w:rsidRDefault="00371F57" w:rsidP="008A5E1E">
      <w:pPr>
        <w:pStyle w:val="NormalWeb"/>
        <w:spacing w:before="120" w:beforeAutospacing="0" w:after="120" w:afterAutospacing="0"/>
        <w:rPr>
          <w:color w:val="000000"/>
          <w:szCs w:val="22"/>
        </w:rPr>
      </w:pPr>
      <w:r w:rsidRPr="00370E70">
        <w:rPr>
          <w:color w:val="000000"/>
          <w:szCs w:val="22"/>
        </w:rPr>
        <w:t xml:space="preserve">Experiments on seagrasses in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 have suggested that at an atomic C:N ratio &lt;20, may suggest reduced light availability (</w:t>
      </w:r>
      <w:r w:rsidRPr="00370E70">
        <w:rPr>
          <w:color w:val="000000"/>
          <w:szCs w:val="22"/>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color w:val="000000"/>
          <w:szCs w:val="22"/>
        </w:rPr>
        <w:instrText xml:space="preserve"> ADDIN EN.CITE </w:instrText>
      </w:r>
      <w:r w:rsidR="00126051" w:rsidRPr="00370E70">
        <w:rPr>
          <w:color w:val="000000"/>
          <w:szCs w:val="22"/>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color w:val="000000"/>
          <w:szCs w:val="22"/>
        </w:rPr>
        <w:instrText xml:space="preserve"> ADDIN EN.CITE.DATA </w:instrText>
      </w:r>
      <w:r w:rsidR="00126051" w:rsidRPr="00370E70">
        <w:rPr>
          <w:color w:val="000000"/>
          <w:szCs w:val="22"/>
        </w:rPr>
      </w:r>
      <w:r w:rsidR="00126051" w:rsidRPr="00370E70">
        <w:rPr>
          <w:color w:val="000000"/>
          <w:szCs w:val="22"/>
        </w:rPr>
        <w:fldChar w:fldCharType="end"/>
      </w:r>
      <w:r w:rsidRPr="00370E70">
        <w:rPr>
          <w:color w:val="000000"/>
          <w:szCs w:val="22"/>
        </w:rPr>
      </w:r>
      <w:r w:rsidRPr="00370E70">
        <w:rPr>
          <w:color w:val="000000"/>
          <w:szCs w:val="22"/>
        </w:rPr>
        <w:fldChar w:fldCharType="separate"/>
      </w:r>
      <w:hyperlink w:anchor="_ENREF_3" w:tooltip="Abal, 1994 #7405" w:history="1">
        <w:r w:rsidR="00964A70" w:rsidRPr="00370E70">
          <w:rPr>
            <w:noProof/>
            <w:color w:val="000000"/>
            <w:szCs w:val="22"/>
          </w:rPr>
          <w:t>Abal</w:t>
        </w:r>
        <w:r w:rsidR="00964A70" w:rsidRPr="00370E70">
          <w:rPr>
            <w:i/>
            <w:noProof/>
            <w:color w:val="000000"/>
            <w:szCs w:val="22"/>
          </w:rPr>
          <w:t>, et al.</w:t>
        </w:r>
        <w:r w:rsidR="00964A70" w:rsidRPr="00370E70">
          <w:rPr>
            <w:noProof/>
            <w:color w:val="000000"/>
            <w:szCs w:val="22"/>
          </w:rPr>
          <w:t xml:space="preserve"> 1994</w:t>
        </w:r>
      </w:hyperlink>
      <w:r w:rsidR="00126051" w:rsidRPr="00370E70">
        <w:rPr>
          <w:noProof/>
          <w:color w:val="000000"/>
          <w:szCs w:val="22"/>
        </w:rPr>
        <w:t xml:space="preserve">; </w:t>
      </w:r>
      <w:hyperlink w:anchor="_ENREF_93" w:tooltip="Grice, 1996 #1346" w:history="1">
        <w:r w:rsidR="00964A70" w:rsidRPr="00370E70">
          <w:rPr>
            <w:noProof/>
            <w:color w:val="000000"/>
            <w:szCs w:val="22"/>
          </w:rPr>
          <w:t>Grice</w:t>
        </w:r>
        <w:r w:rsidR="00964A70" w:rsidRPr="00370E70">
          <w:rPr>
            <w:i/>
            <w:noProof/>
            <w:color w:val="000000"/>
            <w:szCs w:val="22"/>
          </w:rPr>
          <w:t>, et al.</w:t>
        </w:r>
        <w:r w:rsidR="00964A70" w:rsidRPr="00370E70">
          <w:rPr>
            <w:noProof/>
            <w:color w:val="000000"/>
            <w:szCs w:val="22"/>
          </w:rPr>
          <w:t xml:space="preserve"> 1996</w:t>
        </w:r>
      </w:hyperlink>
      <w:r w:rsidRPr="00370E70">
        <w:rPr>
          <w:color w:val="000000"/>
          <w:szCs w:val="22"/>
        </w:rPr>
        <w:fldChar w:fldCharType="end"/>
      </w:r>
      <w:r w:rsidRPr="00370E70">
        <w:rPr>
          <w:color w:val="000000"/>
          <w:szCs w:val="22"/>
        </w:rPr>
        <w:t>). However, the level of N can also influence the ratio in oligotrophic environments (</w:t>
      </w:r>
      <w:r w:rsidRPr="00370E70">
        <w:rPr>
          <w:color w:val="000000"/>
          <w:szCs w:val="22"/>
        </w:rPr>
        <w:fldChar w:fldCharType="begin"/>
      </w:r>
      <w:r w:rsidR="00494624" w:rsidRPr="00370E70">
        <w:rPr>
          <w:color w:val="000000"/>
          <w:szCs w:val="22"/>
        </w:rPr>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Pr="00370E70">
        <w:rPr>
          <w:color w:val="000000"/>
          <w:szCs w:val="22"/>
        </w:rPr>
        <w:fldChar w:fldCharType="separate"/>
      </w:r>
      <w:hyperlink w:anchor="_ENREF_9" w:tooltip="Atkinson, 1983 #6292" w:history="1">
        <w:r w:rsidR="00964A70" w:rsidRPr="00370E70">
          <w:rPr>
            <w:noProof/>
            <w:color w:val="000000"/>
            <w:szCs w:val="22"/>
          </w:rPr>
          <w:t>Atkinson and Smith 1983</w:t>
        </w:r>
      </w:hyperlink>
      <w:r w:rsidR="00494624" w:rsidRPr="00370E70">
        <w:rPr>
          <w:noProof/>
          <w:color w:val="000000"/>
          <w:szCs w:val="22"/>
        </w:rPr>
        <w:t xml:space="preserve">; </w:t>
      </w:r>
      <w:hyperlink w:anchor="_ENREF_80" w:tooltip="Fourqurean, 1992 #9493" w:history="1">
        <w:r w:rsidR="00964A70" w:rsidRPr="00370E70">
          <w:rPr>
            <w:noProof/>
            <w:color w:val="000000"/>
            <w:szCs w:val="22"/>
          </w:rPr>
          <w:t>Fourqurean</w:t>
        </w:r>
        <w:r w:rsidR="00964A70" w:rsidRPr="00370E70">
          <w:rPr>
            <w:i/>
            <w:noProof/>
            <w:color w:val="000000"/>
            <w:szCs w:val="22"/>
          </w:rPr>
          <w:t>, et al.</w:t>
        </w:r>
        <w:r w:rsidR="00964A70" w:rsidRPr="00370E70">
          <w:rPr>
            <w:noProof/>
            <w:color w:val="000000"/>
            <w:szCs w:val="22"/>
          </w:rPr>
          <w:t xml:space="preserve"> 1992b</w:t>
        </w:r>
      </w:hyperlink>
      <w:r w:rsidRPr="00370E70">
        <w:rPr>
          <w:color w:val="000000"/>
          <w:szCs w:val="22"/>
        </w:rPr>
        <w:fldChar w:fldCharType="end"/>
      </w:r>
      <w:r w:rsidRPr="00370E70">
        <w:rPr>
          <w:color w:val="000000"/>
          <w:szCs w:val="22"/>
        </w:rPr>
        <w:t>). In 2011, all three habitat types (coast, reef and estuary) had C:N ratios &lt;20. These levels have mostly declined since 2005, and continue to decline in reef habitats. The low C:N levels in 2011 potentially indicate reduced light availability (</w:t>
      </w:r>
      <w:r w:rsidRPr="00370E70">
        <w:fldChar w:fldCharType="begin"/>
      </w:r>
      <w:r w:rsidRPr="00370E70">
        <w:instrText xml:space="preserve"> REF _Ref271287568 \h  \* MERGEFORMAT </w:instrText>
      </w:r>
      <w:r w:rsidRPr="00370E70">
        <w:fldChar w:fldCharType="separate"/>
      </w:r>
      <w:r w:rsidR="005B5FD6" w:rsidRPr="005B5FD6">
        <w:rPr>
          <w:szCs w:val="22"/>
        </w:rPr>
        <w:t xml:space="preserve">Figure </w:t>
      </w:r>
      <w:r w:rsidR="005B5FD6" w:rsidRPr="005B5FD6">
        <w:rPr>
          <w:noProof/>
          <w:color w:val="000000"/>
          <w:szCs w:val="22"/>
        </w:rPr>
        <w:t>17</w:t>
      </w:r>
      <w:r w:rsidRPr="00370E70">
        <w:fldChar w:fldCharType="end"/>
      </w:r>
      <w:r w:rsidRPr="00370E70">
        <w:rPr>
          <w:color w:val="000000"/>
          <w:szCs w:val="22"/>
        </w:rPr>
        <w:t xml:space="preserve">), however the </w:t>
      </w:r>
      <w:r w:rsidR="00E86388" w:rsidRPr="00370E70">
        <w:rPr>
          <w:color w:val="000000"/>
          <w:szCs w:val="22"/>
        </w:rPr>
        <w:t>equivalent changes in</w:t>
      </w:r>
      <w:r w:rsidRPr="00370E70">
        <w:rPr>
          <w:color w:val="000000"/>
          <w:szCs w:val="22"/>
        </w:rPr>
        <w:t xml:space="preserve"> tissue %N (</w:t>
      </w:r>
      <w:r w:rsidRPr="00370E70">
        <w:fldChar w:fldCharType="begin"/>
      </w:r>
      <w:r w:rsidRPr="00370E70">
        <w:instrText xml:space="preserve"> REF _Ref271613914 \h  \* MERGEFORMAT </w:instrText>
      </w:r>
      <w:r w:rsidRPr="00370E70">
        <w:fldChar w:fldCharType="separate"/>
      </w:r>
      <w:r w:rsidR="005B5FD6" w:rsidRPr="005B5FD6">
        <w:rPr>
          <w:szCs w:val="22"/>
        </w:rPr>
        <w:t xml:space="preserve">Figure </w:t>
      </w:r>
      <w:r w:rsidR="005B5FD6" w:rsidRPr="005B5FD6">
        <w:rPr>
          <w:noProof/>
          <w:color w:val="000000"/>
          <w:szCs w:val="22"/>
        </w:rPr>
        <w:t>14</w:t>
      </w:r>
      <w:r w:rsidRPr="00370E70">
        <w:fldChar w:fldCharType="end"/>
      </w:r>
      <w:r w:rsidRPr="00370E70">
        <w:rPr>
          <w:color w:val="000000"/>
          <w:szCs w:val="22"/>
        </w:rPr>
        <w:t xml:space="preserve">) across all habitats suggests the ratio is driven </w:t>
      </w:r>
      <w:r w:rsidR="00E86388" w:rsidRPr="00370E70">
        <w:rPr>
          <w:color w:val="000000"/>
          <w:szCs w:val="22"/>
        </w:rPr>
        <w:t xml:space="preserve">predominately </w:t>
      </w:r>
      <w:r w:rsidRPr="00370E70">
        <w:rPr>
          <w:color w:val="000000"/>
          <w:szCs w:val="22"/>
        </w:rPr>
        <w:t>by high (possibly elevated) N.</w:t>
      </w:r>
    </w:p>
    <w:p w:rsidR="005132EF" w:rsidRPr="00370E70" w:rsidRDefault="007B15AB" w:rsidP="008A5E1E">
      <w:pPr>
        <w:pStyle w:val="NormalWeb"/>
        <w:keepNext/>
        <w:spacing w:before="0" w:beforeAutospacing="0" w:after="0" w:afterAutospacing="0"/>
        <w:jc w:val="center"/>
        <w:rPr>
          <w:szCs w:val="22"/>
        </w:rPr>
      </w:pPr>
      <w:r>
        <w:rPr>
          <w:noProof/>
        </w:rPr>
        <w:drawing>
          <wp:inline distT="0" distB="0" distL="0" distR="0">
            <wp:extent cx="4327525" cy="1468120"/>
            <wp:effectExtent l="0" t="0" r="0" b="0"/>
            <wp:docPr id="26" name="Picture 38" descr="Figure of the elemental ratios (atomic) of seagrass leaf tissue C:N for each GBR habitat each year (foundation species pool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igure of the elemental ratios (atomic) of seagrass leaf tissue C:N for each GBR habitat each year (foundation species pooled). "/>
                    <pic:cNvPicPr>
                      <a:picLocks noChangeAspect="1" noChangeArrowheads="1"/>
                    </pic:cNvPicPr>
                  </pic:nvPicPr>
                  <pic:blipFill>
                    <a:blip r:embed="rId51">
                      <a:extLst>
                        <a:ext uri="{28A0092B-C50C-407E-A947-70E740481C1C}">
                          <a14:useLocalDpi xmlns:a14="http://schemas.microsoft.com/office/drawing/2010/main" val="0"/>
                        </a:ext>
                      </a:extLst>
                    </a:blip>
                    <a:srcRect t="3873" b="5551"/>
                    <a:stretch>
                      <a:fillRect/>
                    </a:stretch>
                  </pic:blipFill>
                  <pic:spPr bwMode="auto">
                    <a:xfrm>
                      <a:off x="0" y="0"/>
                      <a:ext cx="4327525" cy="1468120"/>
                    </a:xfrm>
                    <a:prstGeom prst="rect">
                      <a:avLst/>
                    </a:prstGeom>
                    <a:noFill/>
                    <a:ln>
                      <a:noFill/>
                    </a:ln>
                  </pic:spPr>
                </pic:pic>
              </a:graphicData>
            </a:graphic>
          </wp:inline>
        </w:drawing>
      </w:r>
    </w:p>
    <w:p w:rsidR="00F72AB5" w:rsidRPr="00370E70" w:rsidRDefault="005132EF" w:rsidP="00F72AB5">
      <w:pPr>
        <w:pStyle w:val="Caption"/>
        <w:rPr>
          <w:i/>
          <w:iCs/>
          <w:vanish/>
          <w:color w:val="000000"/>
          <w:szCs w:val="22"/>
          <w:lang w:val="en-AU" w:eastAsia="en-AU"/>
          <w:specVanish/>
        </w:rPr>
      </w:pPr>
      <w:bookmarkStart w:id="167" w:name="_Ref271287568"/>
      <w:bookmarkStart w:id="168" w:name="_Toc384196364"/>
      <w:r w:rsidRPr="00370E70">
        <w:rPr>
          <w:rStyle w:val="StyleCaptionCaptionCharCharLatinCalibri11ptBlackChar"/>
          <w:i/>
          <w:lang w:val="en-AU"/>
        </w:rPr>
        <w:t xml:space="preserve">Figure </w:t>
      </w:r>
      <w:r w:rsidRPr="00370E70">
        <w:rPr>
          <w:i/>
          <w:lang w:val="en-AU"/>
        </w:rPr>
        <w:fldChar w:fldCharType="begin"/>
      </w:r>
      <w:r w:rsidRPr="00370E70">
        <w:rPr>
          <w:i/>
          <w:lang w:val="en-AU"/>
        </w:rPr>
        <w:instrText xml:space="preserve"> SEQ Figure \* ARABIC </w:instrText>
      </w:r>
      <w:r w:rsidRPr="00370E70">
        <w:rPr>
          <w:i/>
          <w:lang w:val="en-AU"/>
        </w:rPr>
        <w:fldChar w:fldCharType="separate"/>
      </w:r>
      <w:r w:rsidR="005B5FD6">
        <w:rPr>
          <w:i/>
          <w:noProof/>
          <w:lang w:val="en-AU"/>
        </w:rPr>
        <w:t>17</w:t>
      </w:r>
      <w:r w:rsidRPr="00370E70">
        <w:rPr>
          <w:i/>
          <w:lang w:val="en-AU"/>
        </w:rPr>
        <w:fldChar w:fldCharType="end"/>
      </w:r>
      <w:bookmarkEnd w:id="167"/>
      <w:r w:rsidRPr="00370E70">
        <w:rPr>
          <w:rStyle w:val="StyleCaptionCaptionCharCharLatinCalibri11ptBlackChar"/>
          <w:i/>
          <w:lang w:val="en-AU"/>
        </w:rPr>
        <w:t xml:space="preserve">. </w:t>
      </w:r>
      <w:r w:rsidRPr="00370E70">
        <w:rPr>
          <w:i/>
          <w:lang w:val="en-AU" w:eastAsia="en-AU"/>
        </w:rPr>
        <w:t xml:space="preserve">Elemental ratios (atomic) of seagrass leaf tissue C:N for each </w:t>
      </w:r>
      <w:r w:rsidR="0033652B" w:rsidRPr="00370E70">
        <w:rPr>
          <w:i/>
          <w:lang w:val="en-AU" w:eastAsia="en-AU"/>
        </w:rPr>
        <w:t xml:space="preserve">GBR </w:t>
      </w:r>
      <w:r w:rsidRPr="00370E70">
        <w:rPr>
          <w:i/>
          <w:lang w:val="en-AU" w:eastAsia="en-AU"/>
        </w:rPr>
        <w:t>habitat each year</w:t>
      </w:r>
      <w:bookmarkEnd w:id="168"/>
    </w:p>
    <w:p w:rsidR="00F72AB5" w:rsidRPr="00370E70" w:rsidRDefault="005132EF" w:rsidP="00F72AB5">
      <w:pPr>
        <w:pStyle w:val="Caption"/>
        <w:rPr>
          <w:i/>
          <w:lang w:val="en-AU" w:eastAsia="en-AU"/>
        </w:rPr>
      </w:pPr>
      <w:r w:rsidRPr="00370E70">
        <w:rPr>
          <w:lang w:val="en-AU" w:eastAsia="en-AU"/>
        </w:rPr>
        <w:t xml:space="preserve"> </w:t>
      </w:r>
      <w:r w:rsidRPr="00370E70">
        <w:rPr>
          <w:i/>
          <w:lang w:val="en-AU" w:eastAsia="en-AU"/>
        </w:rPr>
        <w:t xml:space="preserve">(foundation species pooled). Horizontal dashed line on the C:N ratio panel represents the accepted </w:t>
      </w:r>
      <w:r w:rsidRPr="00370E70">
        <w:rPr>
          <w:i/>
          <w:lang w:val="en-AU"/>
        </w:rPr>
        <w:t xml:space="preserve">guideline </w:t>
      </w:r>
      <w:r w:rsidRPr="00370E70">
        <w:rPr>
          <w:i/>
          <w:lang w:val="en-AU" w:eastAsia="en-AU"/>
        </w:rPr>
        <w:t xml:space="preserve">seagrass “Redfield” ratio </w:t>
      </w:r>
      <w:r w:rsidRPr="00370E70">
        <w:rPr>
          <w:i/>
          <w:lang w:val="en-AU"/>
        </w:rPr>
        <w:t xml:space="preserve">of 20:1 </w:t>
      </w:r>
      <w:r w:rsidR="00E86388" w:rsidRPr="00370E70">
        <w:rPr>
          <w:i/>
          <w:lang w:val="en-AU"/>
        </w:rPr>
        <w:t>(</w:t>
      </w:r>
      <w:r w:rsidR="00E86388"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E86388" w:rsidRPr="00370E70">
        <w:rPr>
          <w:i/>
          <w:lang w:val="en-AU"/>
        </w:rPr>
      </w:r>
      <w:r w:rsidR="00E86388"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E86388" w:rsidRPr="00370E70">
        <w:rPr>
          <w:i/>
          <w:lang w:val="en-AU"/>
        </w:rPr>
        <w:fldChar w:fldCharType="end"/>
      </w:r>
      <w:r w:rsidR="00E86388" w:rsidRPr="00370E70">
        <w:rPr>
          <w:i/>
          <w:lang w:val="en-AU"/>
        </w:rPr>
        <w:t>)</w:t>
      </w:r>
      <w:r w:rsidRPr="00370E70">
        <w:rPr>
          <w:i/>
          <w:lang w:val="en-AU" w:eastAsia="en-AU"/>
        </w:rPr>
        <w:t xml:space="preserve">. C:N ratios below this line may </w:t>
      </w:r>
      <w:r w:rsidRPr="00370E70">
        <w:rPr>
          <w:i/>
          <w:lang w:val="en-AU"/>
        </w:rPr>
        <w:t>indicate reduced light availability</w:t>
      </w:r>
      <w:r w:rsidR="00E86388" w:rsidRPr="00370E70">
        <w:rPr>
          <w:i/>
          <w:lang w:val="en-AU"/>
        </w:rPr>
        <w:t xml:space="preserve"> and/or N enrichment</w:t>
      </w:r>
      <w:r w:rsidRPr="00370E70">
        <w:rPr>
          <w:i/>
          <w:lang w:val="en-AU" w:eastAsia="en-AU"/>
        </w:rPr>
        <w:t>.</w:t>
      </w:r>
      <w:r w:rsidR="00F72AB5" w:rsidRPr="00370E70">
        <w:rPr>
          <w:i/>
          <w:lang w:val="en-AU" w:eastAsia="en-AU"/>
        </w:rPr>
        <w:t xml:space="preserve"> </w:t>
      </w:r>
    </w:p>
    <w:p w:rsidR="005132EF" w:rsidRPr="00370E70" w:rsidRDefault="005132EF" w:rsidP="00034AD4">
      <w:pPr>
        <w:rPr>
          <w:color w:val="000000"/>
          <w:szCs w:val="22"/>
        </w:rPr>
      </w:pPr>
      <w:r w:rsidRPr="00370E70">
        <w:rPr>
          <w:color w:val="000000"/>
          <w:szCs w:val="22"/>
        </w:rPr>
        <w:t>Seagrass habitats across the GBR were consistently rich in nutrients relative to carbon with C</w:t>
      </w:r>
      <w:proofErr w:type="gramStart"/>
      <w:r w:rsidRPr="00370E70">
        <w:rPr>
          <w:color w:val="000000"/>
          <w:szCs w:val="22"/>
        </w:rPr>
        <w:t>:P</w:t>
      </w:r>
      <w:proofErr w:type="gramEnd"/>
      <w:r w:rsidRPr="00370E70">
        <w:rPr>
          <w:color w:val="000000"/>
          <w:szCs w:val="22"/>
        </w:rPr>
        <w:t xml:space="preserve"> ratios below 500, indicating a relatively large P pool (</w:t>
      </w:r>
      <w:r w:rsidRPr="00370E70">
        <w:fldChar w:fldCharType="begin"/>
      </w:r>
      <w:r w:rsidRPr="00370E70">
        <w:instrText xml:space="preserve"> REF _Ref271308829 \h  \* MERGEFORMAT </w:instrText>
      </w:r>
      <w:r w:rsidRPr="00370E70">
        <w:fldChar w:fldCharType="separate"/>
      </w:r>
      <w:r w:rsidR="005B5FD6" w:rsidRPr="005B5FD6">
        <w:rPr>
          <w:szCs w:val="22"/>
        </w:rPr>
        <w:t xml:space="preserve">Figure </w:t>
      </w:r>
      <w:r w:rsidR="005B5FD6" w:rsidRPr="005B5FD6">
        <w:rPr>
          <w:color w:val="000000"/>
          <w:szCs w:val="22"/>
        </w:rPr>
        <w:t>18</w:t>
      </w:r>
      <w:r w:rsidRPr="00370E70">
        <w:fldChar w:fldCharType="end"/>
      </w:r>
      <w:r w:rsidRPr="00370E70">
        <w:rPr>
          <w:color w:val="000000"/>
          <w:szCs w:val="22"/>
        </w:rPr>
        <w:t>). In 2011, N</w:t>
      </w:r>
      <w:proofErr w:type="gramStart"/>
      <w:r w:rsidRPr="00370E70">
        <w:rPr>
          <w:color w:val="000000"/>
          <w:szCs w:val="22"/>
        </w:rPr>
        <w:t>:P</w:t>
      </w:r>
      <w:proofErr w:type="gramEnd"/>
      <w:r w:rsidRPr="00370E70">
        <w:rPr>
          <w:color w:val="000000"/>
          <w:szCs w:val="22"/>
        </w:rPr>
        <w:t xml:space="preserve"> ratios in the leaf tissue increased across all habitats (</w:t>
      </w:r>
      <w:r w:rsidRPr="00370E70">
        <w:fldChar w:fldCharType="begin"/>
      </w:r>
      <w:r w:rsidRPr="00370E70">
        <w:instrText xml:space="preserve"> REF _Ref271308829 \h  \* MERGEFORMAT </w:instrText>
      </w:r>
      <w:r w:rsidRPr="00370E70">
        <w:fldChar w:fldCharType="separate"/>
      </w:r>
      <w:r w:rsidR="005B5FD6" w:rsidRPr="005B5FD6">
        <w:rPr>
          <w:szCs w:val="22"/>
        </w:rPr>
        <w:t xml:space="preserve">Figure </w:t>
      </w:r>
      <w:r w:rsidR="005B5FD6" w:rsidRPr="005B5FD6">
        <w:rPr>
          <w:color w:val="000000"/>
          <w:szCs w:val="22"/>
        </w:rPr>
        <w:t>18</w:t>
      </w:r>
      <w:r w:rsidRPr="00370E70">
        <w:fldChar w:fldCharType="end"/>
      </w:r>
      <w:r w:rsidRPr="00370E70">
        <w:rPr>
          <w:color w:val="000000"/>
          <w:szCs w:val="22"/>
        </w:rPr>
        <w:t>). Reef habitats had N:P ratios between 25 and 30, indicating seagrass to be nutrient replete</w:t>
      </w:r>
      <w:r w:rsidR="006B4FAF" w:rsidRPr="00370E70">
        <w:rPr>
          <w:color w:val="000000"/>
          <w:szCs w:val="22"/>
        </w:rPr>
        <w:t xml:space="preserve"> </w:t>
      </w:r>
      <w:r w:rsidR="006B4FAF" w:rsidRPr="00370E70">
        <w:rPr>
          <w:rFonts w:cs="TimesNewRoman,Italic"/>
          <w:iCs/>
          <w:color w:val="000000"/>
          <w:szCs w:val="22"/>
        </w:rPr>
        <w:t>(balanced macronutrients for growth)</w:t>
      </w:r>
      <w:r w:rsidRPr="00370E70">
        <w:rPr>
          <w:color w:val="000000"/>
          <w:szCs w:val="22"/>
        </w:rPr>
        <w:t>, and potentially nutrient saturated. Within coastal habitats these levels increased in 2011, after declining in the previous 2 years (</w:t>
      </w:r>
      <w:r w:rsidRPr="00370E70">
        <w:fldChar w:fldCharType="begin"/>
      </w:r>
      <w:r w:rsidRPr="00370E70">
        <w:instrText xml:space="preserve"> REF _Ref271308829 \h  \* MERGEFORMAT </w:instrText>
      </w:r>
      <w:r w:rsidRPr="00370E70">
        <w:fldChar w:fldCharType="separate"/>
      </w:r>
      <w:r w:rsidR="005B5FD6" w:rsidRPr="005B5FD6">
        <w:rPr>
          <w:szCs w:val="22"/>
        </w:rPr>
        <w:t xml:space="preserve">Figure </w:t>
      </w:r>
      <w:r w:rsidR="005B5FD6" w:rsidRPr="005B5FD6">
        <w:rPr>
          <w:color w:val="000000"/>
          <w:szCs w:val="22"/>
        </w:rPr>
        <w:t>18</w:t>
      </w:r>
      <w:r w:rsidRPr="00370E70">
        <w:fldChar w:fldCharType="end"/>
      </w:r>
      <w:r w:rsidRPr="00370E70">
        <w:rPr>
          <w:color w:val="000000"/>
          <w:szCs w:val="22"/>
        </w:rPr>
        <w:t>). In estuary habitats, N</w:t>
      </w:r>
      <w:proofErr w:type="gramStart"/>
      <w:r w:rsidRPr="00370E70">
        <w:rPr>
          <w:color w:val="000000"/>
          <w:szCs w:val="22"/>
        </w:rPr>
        <w:t>:P</w:t>
      </w:r>
      <w:proofErr w:type="gramEnd"/>
      <w:r w:rsidRPr="00370E70">
        <w:rPr>
          <w:color w:val="000000"/>
          <w:szCs w:val="22"/>
        </w:rPr>
        <w:t xml:space="preserve"> ratios remained below 25, suggesting the enrichment in P remained greater than the N enrichment (</w:t>
      </w:r>
      <w:r w:rsidRPr="00370E70">
        <w:fldChar w:fldCharType="begin"/>
      </w:r>
      <w:r w:rsidRPr="00370E70">
        <w:instrText xml:space="preserve"> REF _Ref271308829 \h  \* MERGEFORMAT </w:instrText>
      </w:r>
      <w:r w:rsidRPr="00370E70">
        <w:fldChar w:fldCharType="separate"/>
      </w:r>
      <w:r w:rsidR="005B5FD6" w:rsidRPr="005B5FD6">
        <w:rPr>
          <w:szCs w:val="22"/>
        </w:rPr>
        <w:t xml:space="preserve">Figure </w:t>
      </w:r>
      <w:r w:rsidR="005B5FD6" w:rsidRPr="005B5FD6">
        <w:rPr>
          <w:color w:val="000000"/>
          <w:szCs w:val="22"/>
        </w:rPr>
        <w:t>18</w:t>
      </w:r>
      <w:r w:rsidRPr="00370E70">
        <w:fldChar w:fldCharType="end"/>
      </w:r>
      <w:r w:rsidRPr="00370E70">
        <w:rPr>
          <w:color w:val="000000"/>
          <w:szCs w:val="22"/>
        </w:rPr>
        <w:t>).</w:t>
      </w:r>
    </w:p>
    <w:p w:rsidR="005132EF" w:rsidRPr="00370E70" w:rsidRDefault="007B15AB" w:rsidP="00034AD4">
      <w:pPr>
        <w:keepNext/>
        <w:jc w:val="center"/>
        <w:rPr>
          <w:szCs w:val="22"/>
        </w:rPr>
      </w:pPr>
      <w:r>
        <w:rPr>
          <w:noProof/>
          <w:lang w:eastAsia="en-AU"/>
        </w:rPr>
        <w:lastRenderedPageBreak/>
        <w:drawing>
          <wp:inline distT="0" distB="0" distL="0" distR="0">
            <wp:extent cx="4327525" cy="2833370"/>
            <wp:effectExtent l="0" t="0" r="0" b="5080"/>
            <wp:docPr id="27" name="Picture 39" descr="Figure of the elemental ratios (atomic) of seagrass leaf tissue N:P and C:P for each GBR habitat each year (foundation speci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Figure of the elemental ratios (atomic) of seagrass leaf tissue N:P and C:P for each GBR habitat each year (foundation species pool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27525" cy="2833370"/>
                    </a:xfrm>
                    <a:prstGeom prst="rect">
                      <a:avLst/>
                    </a:prstGeom>
                    <a:noFill/>
                    <a:ln>
                      <a:noFill/>
                    </a:ln>
                  </pic:spPr>
                </pic:pic>
              </a:graphicData>
            </a:graphic>
          </wp:inline>
        </w:drawing>
      </w:r>
    </w:p>
    <w:p w:rsidR="0033652B" w:rsidRPr="00370E70" w:rsidRDefault="005132EF" w:rsidP="0033652B">
      <w:pPr>
        <w:pStyle w:val="Caption"/>
        <w:rPr>
          <w:i/>
          <w:iCs/>
          <w:vanish/>
          <w:color w:val="000000"/>
          <w:szCs w:val="22"/>
          <w:lang w:val="en-AU" w:eastAsia="en-AU"/>
          <w:specVanish/>
        </w:rPr>
      </w:pPr>
      <w:bookmarkStart w:id="169" w:name="_Ref271308829"/>
      <w:bookmarkStart w:id="170" w:name="_Toc38419636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w:t>
      </w:r>
      <w:r w:rsidRPr="00370E70">
        <w:rPr>
          <w:lang w:val="en-AU"/>
        </w:rPr>
        <w:fldChar w:fldCharType="end"/>
      </w:r>
      <w:bookmarkEnd w:id="169"/>
      <w:r w:rsidRPr="00370E70">
        <w:rPr>
          <w:rStyle w:val="StyleCaptionCaptionCharCharLatinCalibri11ptBlackChar"/>
          <w:lang w:val="en-AU"/>
        </w:rPr>
        <w:t xml:space="preserve">. </w:t>
      </w:r>
      <w:r w:rsidRPr="00370E70">
        <w:rPr>
          <w:i/>
          <w:lang w:val="en-AU" w:eastAsia="en-AU"/>
        </w:rPr>
        <w:t xml:space="preserve">Elemental ratios (atomic) of seagrass leaf tissue N:P and C:P for each </w:t>
      </w:r>
      <w:r w:rsidR="0033652B" w:rsidRPr="00370E70">
        <w:rPr>
          <w:i/>
          <w:lang w:val="en-AU" w:eastAsia="en-AU"/>
        </w:rPr>
        <w:t xml:space="preserve">GBR </w:t>
      </w:r>
      <w:r w:rsidRPr="00370E70">
        <w:rPr>
          <w:i/>
          <w:lang w:val="en-AU" w:eastAsia="en-AU"/>
        </w:rPr>
        <w:t>habitat each year</w:t>
      </w:r>
      <w:bookmarkEnd w:id="170"/>
    </w:p>
    <w:p w:rsidR="0033652B" w:rsidRPr="00370E70" w:rsidRDefault="005132EF" w:rsidP="0033652B">
      <w:pPr>
        <w:pStyle w:val="Caption"/>
        <w:rPr>
          <w:i/>
          <w:lang w:val="en-AU" w:eastAsia="en-AU"/>
        </w:rPr>
      </w:pPr>
      <w:r w:rsidRPr="00370E70">
        <w:rPr>
          <w:i/>
          <w:lang w:val="en-AU" w:eastAsia="en-AU"/>
        </w:rPr>
        <w:t xml:space="preserve"> (foundation species pooled) (± Standard Error). Horizontal shaded band on the N:P ratio panel represents the range of value associated with N:P balance ratio in the plant tissues, i.e. a seagrass “Redfield” ratio (</w:t>
      </w:r>
      <w:r w:rsidR="00463369" w:rsidRPr="00370E70">
        <w:rPr>
          <w:i/>
          <w:lang w:val="en-AU"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494624" w:rsidRPr="00370E70">
        <w:rPr>
          <w:i/>
          <w:lang w:val="en-AU" w:eastAsia="en-AU"/>
        </w:rPr>
        <w:instrText xml:space="preserve"> ADDIN EN.CITE </w:instrText>
      </w:r>
      <w:r w:rsidR="00494624" w:rsidRPr="00370E70">
        <w:rPr>
          <w:i/>
          <w:lang w:val="en-AU"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494624" w:rsidRPr="00370E70">
        <w:rPr>
          <w:i/>
          <w:lang w:val="en-AU" w:eastAsia="en-AU"/>
        </w:rPr>
        <w:instrText xml:space="preserve"> ADDIN EN.CITE.DATA </w:instrText>
      </w:r>
      <w:r w:rsidR="00494624" w:rsidRPr="00370E70">
        <w:rPr>
          <w:i/>
          <w:lang w:val="en-AU" w:eastAsia="en-AU"/>
        </w:rPr>
      </w:r>
      <w:r w:rsidR="00494624" w:rsidRPr="00370E70">
        <w:rPr>
          <w:i/>
          <w:lang w:val="en-AU" w:eastAsia="en-AU"/>
        </w:rPr>
        <w:fldChar w:fldCharType="end"/>
      </w:r>
      <w:r w:rsidR="00463369" w:rsidRPr="00370E70">
        <w:rPr>
          <w:i/>
          <w:lang w:val="en-AU" w:eastAsia="en-AU"/>
        </w:rPr>
      </w:r>
      <w:r w:rsidR="00463369" w:rsidRPr="00370E70">
        <w:rPr>
          <w:i/>
          <w:lang w:val="en-AU" w:eastAsia="en-AU"/>
        </w:rPr>
        <w:fldChar w:fldCharType="separate"/>
      </w:r>
      <w:hyperlink w:anchor="_ENREF_9" w:tooltip="Atkinson, 1983 #6292" w:history="1">
        <w:r w:rsidR="00964A70" w:rsidRPr="00370E70">
          <w:rPr>
            <w:i/>
            <w:noProof/>
            <w:lang w:val="en-AU" w:eastAsia="en-AU"/>
          </w:rPr>
          <w:t>Atkinson and Smith 1983</w:t>
        </w:r>
      </w:hyperlink>
      <w:r w:rsidR="00494624" w:rsidRPr="00370E70">
        <w:rPr>
          <w:i/>
          <w:noProof/>
          <w:lang w:val="en-AU" w:eastAsia="en-AU"/>
        </w:rPr>
        <w:t xml:space="preserve">; </w:t>
      </w:r>
      <w:hyperlink w:anchor="_ENREF_66" w:tooltip="Duarte, 1990 #1954" w:history="1">
        <w:r w:rsidR="00964A70" w:rsidRPr="00370E70">
          <w:rPr>
            <w:i/>
            <w:noProof/>
            <w:lang w:val="en-AU" w:eastAsia="en-AU"/>
          </w:rPr>
          <w:t>Duarte 1990</w:t>
        </w:r>
      </w:hyperlink>
      <w:r w:rsidR="00494624" w:rsidRPr="00370E70">
        <w:rPr>
          <w:i/>
          <w:noProof/>
          <w:lang w:val="en-AU" w:eastAsia="en-AU"/>
        </w:rPr>
        <w:t xml:space="preserve">; </w:t>
      </w:r>
      <w:hyperlink w:anchor="_ENREF_80" w:tooltip="Fourqurean, 1992 #9493" w:history="1">
        <w:r w:rsidR="00964A70" w:rsidRPr="00370E70">
          <w:rPr>
            <w:i/>
            <w:noProof/>
            <w:lang w:val="en-AU" w:eastAsia="en-AU"/>
          </w:rPr>
          <w:t>Fourqurean, et al. 1992b</w:t>
        </w:r>
      </w:hyperlink>
      <w:r w:rsidR="00463369" w:rsidRPr="00370E70">
        <w:rPr>
          <w:i/>
          <w:lang w:val="en-AU" w:eastAsia="en-AU"/>
        </w:rPr>
        <w:fldChar w:fldCharType="end"/>
      </w:r>
      <w:r w:rsidRPr="00370E70">
        <w:rPr>
          <w:i/>
          <w:lang w:val="en-AU" w:eastAsia="en-AU"/>
        </w:rPr>
        <w:t xml:space="preserve">; </w:t>
      </w:r>
      <w:hyperlink w:anchor="_ENREF_76" w:tooltip="Fourqurean, 2001 #9492" w:history="1">
        <w:r w:rsidR="00964A70" w:rsidRPr="00370E70">
          <w:rPr>
            <w:i/>
            <w:lang w:val="en-AU" w:eastAsia="en-AU"/>
          </w:rPr>
          <w:fldChar w:fldCharType="begin"/>
        </w:r>
        <w:r w:rsidR="00964A70" w:rsidRPr="00370E70">
          <w:rPr>
            <w:i/>
            <w:lang w:val="en-AU"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964A70" w:rsidRPr="00370E70">
          <w:rPr>
            <w:i/>
            <w:lang w:val="en-AU" w:eastAsia="en-AU"/>
          </w:rPr>
          <w:fldChar w:fldCharType="separate"/>
        </w:r>
        <w:r w:rsidR="00964A70" w:rsidRPr="00370E70">
          <w:rPr>
            <w:i/>
            <w:noProof/>
            <w:lang w:val="en-AU" w:eastAsia="en-AU"/>
          </w:rPr>
          <w:t>Fourqurean and Cai 2001</w:t>
        </w:r>
        <w:r w:rsidR="00964A70" w:rsidRPr="00370E70">
          <w:rPr>
            <w:i/>
            <w:lang w:val="en-AU" w:eastAsia="en-AU"/>
          </w:rPr>
          <w:fldChar w:fldCharType="end"/>
        </w:r>
      </w:hyperlink>
      <w:r w:rsidRPr="00370E70">
        <w:rPr>
          <w:i/>
          <w:lang w:val="en-AU" w:eastAsia="en-AU"/>
        </w:rPr>
        <w:t>). N:P ratio above this band indicates P limitation, below indicates N limitation and within indicates replete</w:t>
      </w:r>
      <w:r w:rsidR="006B4FAF" w:rsidRPr="00370E70">
        <w:rPr>
          <w:i/>
          <w:lang w:val="en-AU" w:eastAsia="en-AU"/>
        </w:rPr>
        <w:t xml:space="preserve"> (balanced)</w:t>
      </w:r>
      <w:r w:rsidRPr="00370E70">
        <w:rPr>
          <w:i/>
          <w:lang w:val="en-AU" w:eastAsia="en-AU"/>
        </w:rPr>
        <w:t>. Horizontal dashed line on the C:P panel at 500 represents the value associated with C:P balance ratio in the plant tissues, C:P values &lt;500 may indicate nutrient rich habitats (large P pool).</w:t>
      </w:r>
      <w:r w:rsidR="0033652B" w:rsidRPr="00370E70">
        <w:rPr>
          <w:i/>
          <w:lang w:val="en-AU" w:eastAsia="en-AU"/>
        </w:rPr>
        <w:t xml:space="preserve"> </w:t>
      </w:r>
    </w:p>
    <w:p w:rsidR="0071743D" w:rsidRPr="00370E70" w:rsidRDefault="005132EF" w:rsidP="00034AD4">
      <w:pPr>
        <w:autoSpaceDE w:val="0"/>
        <w:autoSpaceDN w:val="0"/>
        <w:adjustRightInd w:val="0"/>
        <w:rPr>
          <w:rFonts w:cs="TimesNewRoman"/>
          <w:color w:val="000000"/>
          <w:szCs w:val="22"/>
          <w:lang w:eastAsia="en-AU"/>
        </w:rPr>
      </w:pPr>
      <w:r w:rsidRPr="00370E70">
        <w:rPr>
          <w:rFonts w:cs="TimesNewRoman"/>
          <w:color w:val="000000"/>
          <w:szCs w:val="22"/>
          <w:lang w:eastAsia="en-AU"/>
        </w:rPr>
        <w:t xml:space="preserve">Across the majority of </w:t>
      </w:r>
      <w:r w:rsidR="0071743D" w:rsidRPr="00370E70">
        <w:rPr>
          <w:rFonts w:cs="TimesNewRoman"/>
          <w:color w:val="000000"/>
          <w:szCs w:val="22"/>
          <w:lang w:eastAsia="en-AU"/>
        </w:rPr>
        <w:t xml:space="preserve">GBR habitats and </w:t>
      </w:r>
      <w:r w:rsidRPr="00370E70">
        <w:rPr>
          <w:rFonts w:cs="TimesNewRoman"/>
          <w:color w:val="000000"/>
          <w:szCs w:val="22"/>
          <w:lang w:eastAsia="en-AU"/>
        </w:rPr>
        <w:t xml:space="preserve">locations, </w:t>
      </w:r>
      <w:r w:rsidR="0071743D" w:rsidRPr="00370E70">
        <w:rPr>
          <w:rFonts w:cs="TimesNewRoman"/>
          <w:color w:val="000000"/>
          <w:szCs w:val="22"/>
          <w:lang w:eastAsia="en-AU"/>
        </w:rPr>
        <w:t>s</w:t>
      </w:r>
      <w:r w:rsidR="0071743D" w:rsidRPr="00370E70">
        <w:rPr>
          <w:color w:val="000000"/>
          <w:szCs w:val="22"/>
        </w:rPr>
        <w:t>eagrass tissue nutrient</w:t>
      </w:r>
      <w:r w:rsidR="00B44D57" w:rsidRPr="00370E70">
        <w:rPr>
          <w:color w:val="000000"/>
          <w:szCs w:val="22"/>
        </w:rPr>
        <w:t xml:space="preserve"> concentrations</w:t>
      </w:r>
      <w:r w:rsidR="0071743D" w:rsidRPr="00370E70">
        <w:rPr>
          <w:color w:val="000000"/>
          <w:szCs w:val="22"/>
        </w:rPr>
        <w:t xml:space="preserve"> </w:t>
      </w:r>
      <w:r w:rsidR="00B44D57" w:rsidRPr="00370E70">
        <w:rPr>
          <w:color w:val="000000"/>
          <w:szCs w:val="22"/>
        </w:rPr>
        <w:t xml:space="preserve">for foundation species </w:t>
      </w:r>
      <w:r w:rsidR="0071743D" w:rsidRPr="00370E70">
        <w:rPr>
          <w:color w:val="000000"/>
          <w:szCs w:val="22"/>
        </w:rPr>
        <w:t xml:space="preserve">in late 2011 </w:t>
      </w:r>
      <w:r w:rsidR="00B44D57" w:rsidRPr="00370E70">
        <w:rPr>
          <w:color w:val="000000"/>
          <w:szCs w:val="22"/>
        </w:rPr>
        <w:t>s</w:t>
      </w:r>
      <w:r w:rsidR="0071743D" w:rsidRPr="00370E70">
        <w:rPr>
          <w:color w:val="000000"/>
          <w:szCs w:val="22"/>
        </w:rPr>
        <w:t>uggest</w:t>
      </w:r>
      <w:r w:rsidR="00B44D57" w:rsidRPr="00370E70">
        <w:rPr>
          <w:color w:val="000000"/>
          <w:szCs w:val="22"/>
        </w:rPr>
        <w:t>ed</w:t>
      </w:r>
      <w:r w:rsidR="0071743D" w:rsidRPr="00370E70">
        <w:rPr>
          <w:color w:val="000000"/>
          <w:szCs w:val="22"/>
        </w:rPr>
        <w:t xml:space="preserve"> P and N surplus to C requirements.</w:t>
      </w:r>
      <w:r w:rsidR="00B44D57" w:rsidRPr="00370E70">
        <w:rPr>
          <w:color w:val="000000"/>
          <w:szCs w:val="22"/>
        </w:rPr>
        <w:t xml:space="preserve"> The low C:N ratios measured across most locations was likely a consequence of the elevated N, where the low </w:t>
      </w:r>
      <w:r w:rsidR="00B44D57" w:rsidRPr="00370E70">
        <w:rPr>
          <w:color w:val="000000"/>
          <w:sz w:val="18"/>
          <w:szCs w:val="18"/>
        </w:rPr>
        <w:t>δ</w:t>
      </w:r>
      <w:r w:rsidR="00B44D57" w:rsidRPr="00370E70">
        <w:rPr>
          <w:color w:val="000000"/>
          <w:sz w:val="18"/>
          <w:szCs w:val="18"/>
          <w:vertAlign w:val="superscript"/>
        </w:rPr>
        <w:t>15</w:t>
      </w:r>
      <w:r w:rsidR="00B44D57" w:rsidRPr="00370E70">
        <w:rPr>
          <w:color w:val="000000"/>
          <w:sz w:val="18"/>
          <w:szCs w:val="18"/>
        </w:rPr>
        <w:t>N</w:t>
      </w:r>
      <w:r w:rsidR="00B44D57" w:rsidRPr="00370E70">
        <w:rPr>
          <w:color w:val="000000"/>
          <w:szCs w:val="22"/>
        </w:rPr>
        <w:t xml:space="preserve"> value in the leaf tissue suggested that their primary source of N was either from N</w:t>
      </w:r>
      <w:r w:rsidR="00B44D57" w:rsidRPr="00370E70">
        <w:rPr>
          <w:color w:val="000000"/>
          <w:szCs w:val="22"/>
          <w:vertAlign w:val="subscript"/>
        </w:rPr>
        <w:t>2</w:t>
      </w:r>
      <w:r w:rsidR="00B44D57" w:rsidRPr="00370E70">
        <w:rPr>
          <w:color w:val="000000"/>
          <w:szCs w:val="22"/>
        </w:rPr>
        <w:t xml:space="preserve"> fixation or fertiliser. At three locations (</w:t>
      </w:r>
      <w:smartTag w:uri="urn:schemas-microsoft-com:office:smarttags" w:element="PlaceName">
        <w:r w:rsidR="00B44D57" w:rsidRPr="00370E70">
          <w:rPr>
            <w:szCs w:val="22"/>
          </w:rPr>
          <w:t>Magnetic</w:t>
        </w:r>
      </w:smartTag>
      <w:r w:rsidR="00B44D57" w:rsidRPr="00370E70">
        <w:rPr>
          <w:szCs w:val="22"/>
        </w:rPr>
        <w:t xml:space="preserve"> </w:t>
      </w:r>
      <w:smartTag w:uri="urn:schemas-microsoft-com:office:smarttags" w:element="PlaceType">
        <w:r w:rsidR="00B44D57" w:rsidRPr="00370E70">
          <w:rPr>
            <w:szCs w:val="22"/>
          </w:rPr>
          <w:t>Island</w:t>
        </w:r>
      </w:smartTag>
      <w:r w:rsidR="00B44D57" w:rsidRPr="00370E70">
        <w:rPr>
          <w:szCs w:val="22"/>
        </w:rPr>
        <w:t xml:space="preserve">, </w:t>
      </w:r>
      <w:smartTag w:uri="urn:schemas-microsoft-com:office:smarttags" w:element="place">
        <w:smartTag w:uri="urn:schemas-microsoft-com:office:smarttags" w:element="PlaceName">
          <w:r w:rsidR="00B44D57" w:rsidRPr="00370E70">
            <w:rPr>
              <w:szCs w:val="22"/>
            </w:rPr>
            <w:t>Hamilton</w:t>
          </w:r>
        </w:smartTag>
        <w:r w:rsidR="00B44D57" w:rsidRPr="00370E70">
          <w:rPr>
            <w:szCs w:val="22"/>
          </w:rPr>
          <w:t xml:space="preserve"> </w:t>
        </w:r>
        <w:smartTag w:uri="urn:schemas-microsoft-com:office:smarttags" w:element="PlaceType">
          <w:r w:rsidR="00B44D57" w:rsidRPr="00370E70">
            <w:rPr>
              <w:szCs w:val="22"/>
            </w:rPr>
            <w:t>Island</w:t>
          </w:r>
        </w:smartTag>
      </w:smartTag>
      <w:r w:rsidR="00B44D57" w:rsidRPr="00370E70">
        <w:rPr>
          <w:szCs w:val="22"/>
        </w:rPr>
        <w:t xml:space="preserve"> and Urangan) the </w:t>
      </w:r>
      <w:r w:rsidR="00B44D57" w:rsidRPr="00370E70">
        <w:rPr>
          <w:color w:val="000000"/>
          <w:szCs w:val="22"/>
        </w:rPr>
        <w:t xml:space="preserve">higher </w:t>
      </w:r>
      <w:r w:rsidR="00B44D57" w:rsidRPr="00370E70">
        <w:rPr>
          <w:color w:val="000000"/>
          <w:sz w:val="18"/>
          <w:szCs w:val="18"/>
        </w:rPr>
        <w:t>δ</w:t>
      </w:r>
      <w:r w:rsidR="00B44D57" w:rsidRPr="00370E70">
        <w:rPr>
          <w:color w:val="000000"/>
          <w:sz w:val="18"/>
          <w:szCs w:val="18"/>
          <w:vertAlign w:val="superscript"/>
        </w:rPr>
        <w:t>15</w:t>
      </w:r>
      <w:r w:rsidR="00B44D57" w:rsidRPr="00370E70">
        <w:rPr>
          <w:color w:val="000000"/>
          <w:sz w:val="18"/>
          <w:szCs w:val="18"/>
        </w:rPr>
        <w:t>N</w:t>
      </w:r>
      <w:r w:rsidR="00B44D57" w:rsidRPr="00370E70">
        <w:rPr>
          <w:color w:val="000000"/>
          <w:szCs w:val="22"/>
        </w:rPr>
        <w:t xml:space="preserve"> values in the leaf tissue indicated </w:t>
      </w:r>
      <w:r w:rsidR="00B44D57" w:rsidRPr="00370E70">
        <w:rPr>
          <w:szCs w:val="22"/>
        </w:rPr>
        <w:t>some sewage influence. The only location where N was limited</w:t>
      </w:r>
      <w:r w:rsidR="006B4FAF" w:rsidRPr="00370E70">
        <w:rPr>
          <w:szCs w:val="22"/>
        </w:rPr>
        <w:t xml:space="preserve"> relative to P</w:t>
      </w:r>
      <w:r w:rsidR="00B44D57" w:rsidRPr="00370E70">
        <w:rPr>
          <w:szCs w:val="22"/>
        </w:rPr>
        <w:t xml:space="preserve">, was in the estuarine meadows of </w:t>
      </w:r>
      <w:smartTag w:uri="urn:schemas-microsoft-com:office:smarttags" w:element="place">
        <w:smartTag w:uri="urn:schemas-microsoft-com:office:smarttags" w:element="PlaceName">
          <w:r w:rsidR="00B44D57" w:rsidRPr="00370E70">
            <w:rPr>
              <w:szCs w:val="22"/>
            </w:rPr>
            <w:t>Gladstone</w:t>
          </w:r>
        </w:smartTag>
        <w:r w:rsidR="00B44D57" w:rsidRPr="00370E70">
          <w:rPr>
            <w:szCs w:val="22"/>
          </w:rPr>
          <w:t xml:space="preserve"> </w:t>
        </w:r>
        <w:smartTag w:uri="urn:schemas-microsoft-com:office:smarttags" w:element="PlaceType">
          <w:r w:rsidR="00B44D57" w:rsidRPr="00370E70">
            <w:rPr>
              <w:szCs w:val="22"/>
            </w:rPr>
            <w:t>Harbour</w:t>
          </w:r>
        </w:smartTag>
      </w:smartTag>
      <w:r w:rsidR="00B44D57" w:rsidRPr="00370E70">
        <w:rPr>
          <w:szCs w:val="22"/>
        </w:rPr>
        <w:t>.</w:t>
      </w:r>
      <w:r w:rsidR="00001AA5" w:rsidRPr="00370E70">
        <w:rPr>
          <w:szCs w:val="22"/>
        </w:rPr>
        <w:t xml:space="preserve"> </w:t>
      </w:r>
    </w:p>
    <w:p w:rsidR="005132EF" w:rsidRPr="00370E70" w:rsidRDefault="005132EF" w:rsidP="00034AD4">
      <w:pPr>
        <w:pStyle w:val="Heading4"/>
        <w:rPr>
          <w:b/>
          <w:color w:val="000000"/>
        </w:rPr>
      </w:pPr>
      <w:bookmarkStart w:id="171" w:name="_Toc184101966"/>
      <w:r w:rsidRPr="00370E70">
        <w:rPr>
          <w:b/>
          <w:color w:val="000000"/>
        </w:rPr>
        <w:t>Epiphytes and macro-algae</w:t>
      </w:r>
      <w:bookmarkEnd w:id="171"/>
    </w:p>
    <w:p w:rsidR="00001AA5" w:rsidRPr="00370E70" w:rsidRDefault="005132EF" w:rsidP="00001AA5">
      <w:pPr>
        <w:rPr>
          <w:rFonts w:cs="TimesNewRoman"/>
          <w:color w:val="000000"/>
          <w:szCs w:val="22"/>
          <w:lang w:eastAsia="en-AU"/>
        </w:rPr>
      </w:pPr>
      <w:r w:rsidRPr="00370E70">
        <w:rPr>
          <w:color w:val="000000"/>
          <w:szCs w:val="22"/>
        </w:rPr>
        <w:t xml:space="preserve">Epiphyte abundance </w:t>
      </w:r>
      <w:r w:rsidR="00001AA5" w:rsidRPr="00370E70">
        <w:rPr>
          <w:color w:val="000000"/>
          <w:szCs w:val="22"/>
        </w:rPr>
        <w:t>was h</w:t>
      </w:r>
      <w:r w:rsidR="00001AA5" w:rsidRPr="00370E70">
        <w:rPr>
          <w:rFonts w:cs="TimesNewRoman"/>
          <w:color w:val="000000"/>
          <w:szCs w:val="22"/>
          <w:lang w:eastAsia="en-AU"/>
        </w:rPr>
        <w:t xml:space="preserve">igh or increasing </w:t>
      </w:r>
      <w:r w:rsidR="00001AA5" w:rsidRPr="00370E70">
        <w:rPr>
          <w:color w:val="000000"/>
          <w:szCs w:val="22"/>
        </w:rPr>
        <w:t>in 2011/12</w:t>
      </w:r>
      <w:r w:rsidR="00001AA5" w:rsidRPr="00370E70">
        <w:rPr>
          <w:rFonts w:cs="TimesNewRoman"/>
          <w:color w:val="000000"/>
          <w:szCs w:val="22"/>
          <w:lang w:eastAsia="en-AU"/>
        </w:rPr>
        <w:t xml:space="preserve">, </w:t>
      </w:r>
      <w:r w:rsidR="00001AA5" w:rsidRPr="00370E70">
        <w:rPr>
          <w:color w:val="000000"/>
          <w:szCs w:val="22"/>
        </w:rPr>
        <w:t>relative to the long-term average, at the majority of locations. Epiphyte abundance at coastal habitats increased above the long-term average (</w:t>
      </w:r>
      <w:r w:rsidR="00001AA5" w:rsidRPr="00370E70">
        <w:rPr>
          <w:color w:val="000000"/>
          <w:szCs w:val="22"/>
        </w:rPr>
        <w:fldChar w:fldCharType="begin"/>
      </w:r>
      <w:r w:rsidR="00001AA5" w:rsidRPr="00370E70">
        <w:rPr>
          <w:color w:val="000000"/>
          <w:szCs w:val="22"/>
        </w:rPr>
        <w:instrText xml:space="preserve"> REF _Ref271537821 \h </w:instrText>
      </w:r>
      <w:r w:rsidR="00001AA5" w:rsidRPr="00370E70">
        <w:rPr>
          <w:color w:val="000000"/>
          <w:szCs w:val="22"/>
        </w:rPr>
      </w:r>
      <w:r w:rsidR="00001AA5"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19</w:t>
      </w:r>
      <w:r w:rsidR="00001AA5" w:rsidRPr="00370E70">
        <w:rPr>
          <w:color w:val="000000"/>
          <w:szCs w:val="22"/>
        </w:rPr>
        <w:fldChar w:fldCharType="end"/>
      </w:r>
      <w:r w:rsidR="00001AA5" w:rsidRPr="00370E70">
        <w:rPr>
          <w:color w:val="000000"/>
          <w:szCs w:val="22"/>
        </w:rPr>
        <w:t>), which may have been a consequence of the elevated N.</w:t>
      </w:r>
    </w:p>
    <w:p w:rsidR="005132EF" w:rsidRPr="00370E70" w:rsidRDefault="007B15AB" w:rsidP="00104000">
      <w:pPr>
        <w:keepNext/>
        <w:jc w:val="center"/>
      </w:pPr>
      <w:r>
        <w:rPr>
          <w:noProof/>
          <w:lang w:eastAsia="en-AU"/>
        </w:rPr>
        <w:drawing>
          <wp:inline distT="0" distB="0" distL="0" distR="0">
            <wp:extent cx="5434965" cy="1352550"/>
            <wp:effectExtent l="0" t="0" r="0" b="0"/>
            <wp:docPr id="28" name="Picture 40" descr="Figure shoiwng epiphyte abundance (% cover) at each seagrass habitat monitored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igure shoiwng epiphyte abundance (% cover) at each seagrass habitat monitored (sites pooled)"/>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34965" cy="1352550"/>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172" w:name="_Ref271537821"/>
      <w:bookmarkStart w:id="173" w:name="_Toc38419636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19</w:t>
      </w:r>
      <w:r w:rsidRPr="00370E70">
        <w:rPr>
          <w:lang w:val="en-AU"/>
        </w:rPr>
        <w:fldChar w:fldCharType="end"/>
      </w:r>
      <w:bookmarkEnd w:id="172"/>
      <w:r w:rsidRPr="00370E70">
        <w:rPr>
          <w:rStyle w:val="StyleCaptionCaptionCharCharLatinCalibri11ptBlackChar"/>
          <w:lang w:val="en-AU"/>
        </w:rPr>
        <w:t xml:space="preserve">. </w:t>
      </w:r>
      <w:r w:rsidRPr="00370E70">
        <w:rPr>
          <w:i/>
          <w:lang w:val="en-AU"/>
        </w:rPr>
        <w:t>Epiphyte abundance (% cover) at</w:t>
      </w:r>
      <w:r w:rsidRPr="00370E70">
        <w:rPr>
          <w:rStyle w:val="StyleCaptionCaptionCharCharLatinCalibri11ptBlackChar"/>
          <w:i/>
          <w:lang w:val="en-AU"/>
        </w:rPr>
        <w:t xml:space="preserve"> </w:t>
      </w:r>
      <w:r w:rsidRPr="00370E70">
        <w:rPr>
          <w:i/>
          <w:lang w:val="en-AU"/>
        </w:rPr>
        <w:t>each seagrass habitat monitored (sites pooled)</w:t>
      </w:r>
      <w:bookmarkEnd w:id="173"/>
    </w:p>
    <w:p w:rsidR="0033652B" w:rsidRPr="00370E70" w:rsidRDefault="005132EF" w:rsidP="0033652B">
      <w:pPr>
        <w:pStyle w:val="Caption"/>
        <w:rPr>
          <w:i/>
          <w:lang w:val="en-AU"/>
        </w:rPr>
      </w:pPr>
      <w:r w:rsidRPr="00370E70">
        <w:rPr>
          <w:i/>
          <w:lang w:val="en-AU"/>
        </w:rPr>
        <w:t xml:space="preserve"> (±SE). Red line = GBR long-term average; estuarine = 25% coastal=17%, reef = 28%.</w:t>
      </w:r>
      <w:r w:rsidR="0033652B" w:rsidRPr="00370E70">
        <w:rPr>
          <w:i/>
          <w:lang w:val="en-AU"/>
        </w:rPr>
        <w:t xml:space="preserve"> </w:t>
      </w:r>
    </w:p>
    <w:p w:rsidR="005132EF" w:rsidRPr="00370E70" w:rsidRDefault="005132EF" w:rsidP="00034AD4">
      <w:pPr>
        <w:rPr>
          <w:color w:val="000000"/>
          <w:szCs w:val="22"/>
        </w:rPr>
      </w:pPr>
      <w:r w:rsidRPr="00370E70">
        <w:rPr>
          <w:color w:val="000000"/>
          <w:szCs w:val="22"/>
        </w:rPr>
        <w:t xml:space="preserve">Macro-algae abundance continued to decline </w:t>
      </w:r>
      <w:r w:rsidR="00001AA5" w:rsidRPr="00370E70">
        <w:rPr>
          <w:color w:val="000000"/>
          <w:szCs w:val="22"/>
        </w:rPr>
        <w:t xml:space="preserve">or </w:t>
      </w:r>
      <w:proofErr w:type="gramStart"/>
      <w:r w:rsidR="00001AA5" w:rsidRPr="00370E70">
        <w:rPr>
          <w:color w:val="000000"/>
          <w:szCs w:val="22"/>
        </w:rPr>
        <w:t>remain</w:t>
      </w:r>
      <w:proofErr w:type="gramEnd"/>
      <w:r w:rsidR="00001AA5" w:rsidRPr="00370E70">
        <w:rPr>
          <w:color w:val="000000"/>
          <w:szCs w:val="22"/>
        </w:rPr>
        <w:t xml:space="preserve"> low </w:t>
      </w:r>
      <w:r w:rsidRPr="00370E70">
        <w:rPr>
          <w:color w:val="000000"/>
          <w:szCs w:val="22"/>
        </w:rPr>
        <w:t>across all habitats and was below the GBR long-term average during the 201</w:t>
      </w:r>
      <w:r w:rsidR="00001AA5" w:rsidRPr="00370E70">
        <w:rPr>
          <w:color w:val="000000"/>
          <w:szCs w:val="22"/>
        </w:rPr>
        <w:t>1</w:t>
      </w:r>
      <w:r w:rsidRPr="00370E70">
        <w:rPr>
          <w:color w:val="000000"/>
          <w:szCs w:val="22"/>
        </w:rPr>
        <w:t>/1</w:t>
      </w:r>
      <w:r w:rsidR="00001AA5" w:rsidRPr="00370E70">
        <w:rPr>
          <w:color w:val="000000"/>
          <w:szCs w:val="22"/>
        </w:rPr>
        <w:t>2</w:t>
      </w:r>
      <w:r w:rsidRPr="00370E70">
        <w:rPr>
          <w:color w:val="000000"/>
          <w:szCs w:val="22"/>
        </w:rPr>
        <w:t xml:space="preserve"> monitoring period (</w:t>
      </w:r>
      <w:r w:rsidRPr="00370E70">
        <w:rPr>
          <w:color w:val="000000"/>
        </w:rPr>
        <w:fldChar w:fldCharType="begin"/>
      </w:r>
      <w:r w:rsidRPr="00370E70">
        <w:rPr>
          <w:color w:val="000000"/>
        </w:rPr>
        <w:instrText xml:space="preserve"> REF _Ref271537893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20</w:t>
      </w:r>
      <w:r w:rsidRPr="00370E70">
        <w:rPr>
          <w:color w:val="000000"/>
        </w:rPr>
        <w:fldChar w:fldCharType="end"/>
      </w:r>
      <w:r w:rsidRPr="00370E70">
        <w:rPr>
          <w:color w:val="000000"/>
          <w:szCs w:val="22"/>
        </w:rPr>
        <w:t xml:space="preserve">). </w:t>
      </w:r>
    </w:p>
    <w:p w:rsidR="005132EF" w:rsidRPr="00370E70" w:rsidRDefault="005132EF" w:rsidP="00034AD4">
      <w:pPr>
        <w:jc w:val="center"/>
        <w:rPr>
          <w:color w:val="000000"/>
          <w:szCs w:val="22"/>
        </w:rPr>
      </w:pPr>
    </w:p>
    <w:p w:rsidR="005132EF" w:rsidRPr="00370E70" w:rsidRDefault="007B15AB" w:rsidP="00104000">
      <w:pPr>
        <w:keepNext/>
        <w:jc w:val="center"/>
      </w:pPr>
      <w:r>
        <w:rPr>
          <w:noProof/>
          <w:lang w:eastAsia="en-AU"/>
        </w:rPr>
        <w:drawing>
          <wp:inline distT="0" distB="0" distL="0" distR="0">
            <wp:extent cx="5357495" cy="1313815"/>
            <wp:effectExtent l="0" t="0" r="0" b="635"/>
            <wp:docPr id="29" name="Picture 41" descr="Figure showing the macro-algae abundance (% cover) at each seagrass habitat monito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igure showing the macro-algae abundance (% cover) at each seagrass habitat monitored"/>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57495" cy="1313815"/>
                    </a:xfrm>
                    <a:prstGeom prst="rect">
                      <a:avLst/>
                    </a:prstGeom>
                    <a:noFill/>
                    <a:ln>
                      <a:noFill/>
                    </a:ln>
                  </pic:spPr>
                </pic:pic>
              </a:graphicData>
            </a:graphic>
          </wp:inline>
        </w:drawing>
      </w:r>
    </w:p>
    <w:p w:rsidR="00957E83" w:rsidRPr="00370E70" w:rsidRDefault="005132EF" w:rsidP="00957E83">
      <w:pPr>
        <w:pStyle w:val="Caption"/>
        <w:rPr>
          <w:i/>
          <w:vanish/>
          <w:lang w:val="en-AU"/>
          <w:specVanish/>
        </w:rPr>
      </w:pPr>
      <w:bookmarkStart w:id="174" w:name="_Ref271537893"/>
      <w:bookmarkStart w:id="175" w:name="_Toc38419636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20</w:t>
      </w:r>
      <w:r w:rsidRPr="00370E70">
        <w:rPr>
          <w:lang w:val="en-AU"/>
        </w:rPr>
        <w:fldChar w:fldCharType="end"/>
      </w:r>
      <w:bookmarkEnd w:id="174"/>
      <w:r w:rsidRPr="00370E70">
        <w:rPr>
          <w:rStyle w:val="StyleCaptionCaptionCharCharLatinCalibri11ptBlackChar"/>
          <w:lang w:val="en-AU"/>
        </w:rPr>
        <w:t xml:space="preserve">. </w:t>
      </w:r>
      <w:r w:rsidRPr="00370E70">
        <w:rPr>
          <w:i/>
          <w:lang w:val="en-AU"/>
        </w:rPr>
        <w:t>Macro-algae abundance (% cover) at</w:t>
      </w:r>
      <w:r w:rsidRPr="00370E70">
        <w:rPr>
          <w:rStyle w:val="StyleCaptionCaptionCharCharLatinCalibri11ptBlackChar"/>
          <w:i/>
          <w:lang w:val="en-AU"/>
        </w:rPr>
        <w:t xml:space="preserve"> </w:t>
      </w:r>
      <w:r w:rsidRPr="00370E70">
        <w:rPr>
          <w:i/>
          <w:lang w:val="en-AU"/>
        </w:rPr>
        <w:t>each seagrass habitat monitored</w:t>
      </w:r>
      <w:bookmarkEnd w:id="175"/>
    </w:p>
    <w:p w:rsidR="00957E83" w:rsidRPr="00370E70" w:rsidRDefault="005132EF" w:rsidP="00957E83">
      <w:pPr>
        <w:pStyle w:val="Caption"/>
        <w:rPr>
          <w:lang w:val="en-AU"/>
        </w:rPr>
      </w:pPr>
      <w:r w:rsidRPr="00370E70">
        <w:rPr>
          <w:i/>
          <w:lang w:val="en-AU"/>
        </w:rPr>
        <w:t xml:space="preserve"> (sites pooled)</w:t>
      </w:r>
      <w:r w:rsidR="000F74AA" w:rsidRPr="00370E70">
        <w:rPr>
          <w:i/>
          <w:vanish/>
          <w:lang w:val="en-AU"/>
          <w:specVanish/>
        </w:rPr>
        <w:t xml:space="preserve"> </w:t>
      </w:r>
      <w:r w:rsidRPr="00370E70">
        <w:rPr>
          <w:i/>
          <w:lang w:val="en-AU"/>
        </w:rPr>
        <w:t>(±SE). Red line = GBR long-term average; estuarine = 3.2%, coastal=4.7%, reef = 6.2%.</w:t>
      </w:r>
      <w:r w:rsidR="00957E83" w:rsidRPr="00370E70">
        <w:rPr>
          <w:i/>
          <w:lang w:val="en-AU"/>
        </w:rPr>
        <w:t xml:space="preserve"> </w:t>
      </w:r>
    </w:p>
    <w:p w:rsidR="005132EF" w:rsidRPr="00370E70" w:rsidRDefault="005132EF" w:rsidP="009D7C0A">
      <w:pPr>
        <w:pStyle w:val="Heading4"/>
        <w:rPr>
          <w:b/>
          <w:color w:val="000000"/>
        </w:rPr>
      </w:pPr>
      <w:bookmarkStart w:id="176" w:name="_Toc184101967"/>
      <w:r w:rsidRPr="00370E70">
        <w:rPr>
          <w:b/>
          <w:color w:val="000000"/>
        </w:rPr>
        <w:t>Light</w:t>
      </w:r>
      <w:bookmarkEnd w:id="176"/>
      <w:r w:rsidRPr="00370E70">
        <w:rPr>
          <w:b/>
          <w:color w:val="000000"/>
        </w:rPr>
        <w:t xml:space="preserve"> and turbidity</w:t>
      </w:r>
    </w:p>
    <w:p w:rsidR="005132EF" w:rsidRPr="00370E70" w:rsidRDefault="005132EF" w:rsidP="00523CD6">
      <w:pPr>
        <w:rPr>
          <w:color w:val="000000"/>
          <w:szCs w:val="22"/>
        </w:rPr>
      </w:pPr>
      <w:r w:rsidRPr="00370E70">
        <w:rPr>
          <w:color w:val="000000"/>
          <w:szCs w:val="22"/>
        </w:rPr>
        <w:t>Daily light (I</w:t>
      </w:r>
      <w:r w:rsidRPr="00370E70">
        <w:rPr>
          <w:color w:val="000000"/>
          <w:szCs w:val="22"/>
          <w:vertAlign w:val="subscript"/>
        </w:rPr>
        <w:t>d</w:t>
      </w:r>
      <w:r w:rsidRPr="00370E70">
        <w:rPr>
          <w:color w:val="000000"/>
          <w:szCs w:val="22"/>
        </w:rPr>
        <w:t>,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reaching the top of the seagrass canopy was higher at most sites in the 2011/12 year compared to previous years (monitoring began 2008-2009 for most sites) (Figure 18). Mean I</w:t>
      </w:r>
      <w:r w:rsidRPr="00370E70">
        <w:rPr>
          <w:color w:val="000000"/>
          <w:szCs w:val="22"/>
          <w:vertAlign w:val="subscript"/>
        </w:rPr>
        <w:t>d</w:t>
      </w:r>
      <w:r w:rsidRPr="00370E70">
        <w:rPr>
          <w:color w:val="000000"/>
          <w:szCs w:val="22"/>
        </w:rPr>
        <w:t xml:space="preserve"> across the GBR for intertidal sites was 16.8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in 2011/12 compared to long-term average of 14.5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 a 14% increase. Sites in the Burdekin Dry Tropics (BDT;  Shelley Beach and </w:t>
      </w:r>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r w:rsidRPr="00370E70">
        <w:rPr>
          <w:color w:val="000000"/>
          <w:szCs w:val="22"/>
        </w:rPr>
        <w:t xml:space="preserve">) and in the Mackay Whitsundays (M-W;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had I</w:t>
      </w:r>
      <w:r w:rsidRPr="00370E70">
        <w:rPr>
          <w:color w:val="000000"/>
          <w:szCs w:val="22"/>
          <w:vertAlign w:val="subscript"/>
        </w:rPr>
        <w:t>d</w:t>
      </w:r>
      <w:r w:rsidRPr="00370E70">
        <w:rPr>
          <w:color w:val="000000"/>
          <w:szCs w:val="22"/>
        </w:rPr>
        <w:t xml:space="preserve"> that was well below the GBR-wide average for 2011/2012 at 8.7, 5.1 and 8.6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respectively. Furthermore, at </w:t>
      </w:r>
      <w:r w:rsidR="002C6536" w:rsidRPr="00370E70">
        <w:rPr>
          <w:color w:val="000000"/>
          <w:szCs w:val="22"/>
        </w:rPr>
        <w:t>these</w:t>
      </w:r>
      <w:r w:rsidRPr="00370E70">
        <w:rPr>
          <w:color w:val="000000"/>
          <w:szCs w:val="22"/>
        </w:rPr>
        <w:t xml:space="preserve"> sites, I</w:t>
      </w:r>
      <w:r w:rsidRPr="00370E70">
        <w:rPr>
          <w:color w:val="000000"/>
          <w:szCs w:val="22"/>
          <w:vertAlign w:val="subscript"/>
        </w:rPr>
        <w:t>d</w:t>
      </w:r>
      <w:r w:rsidRPr="00370E70">
        <w:rPr>
          <w:color w:val="000000"/>
          <w:szCs w:val="22"/>
        </w:rPr>
        <w:t xml:space="preserve"> did not increase in 2011/2012 relative to previous years, which is against the GBR-wide trend, and </w:t>
      </w:r>
      <w:r w:rsidR="00463369" w:rsidRPr="00370E70">
        <w:rPr>
          <w:color w:val="000000"/>
          <w:szCs w:val="22"/>
        </w:rPr>
        <w:t xml:space="preserve">minimum </w:t>
      </w:r>
      <w:r w:rsidRPr="00370E70">
        <w:rPr>
          <w:color w:val="000000"/>
          <w:szCs w:val="22"/>
        </w:rPr>
        <w:t xml:space="preserve">light thresholds were exceeded more frequently than at other sites (Figure 19). At </w:t>
      </w:r>
      <w:smartTag w:uri="urn:schemas-microsoft-com:office:smarttags" w:element="place">
        <w:smartTag w:uri="urn:schemas-microsoft-com:office:smarttags" w:element="PlaceName">
          <w:r w:rsidRPr="00370E70">
            <w:rPr>
              <w:color w:val="000000"/>
              <w:szCs w:val="22"/>
            </w:rPr>
            <w:t>Hamilt</w:t>
          </w:r>
          <w:r w:rsidR="00463369" w:rsidRPr="00370E70">
            <w:rPr>
              <w:color w:val="000000"/>
              <w:szCs w:val="22"/>
            </w:rPr>
            <w:t>on</w:t>
          </w:r>
        </w:smartTag>
        <w:r w:rsidR="00463369" w:rsidRPr="00370E70">
          <w:rPr>
            <w:color w:val="000000"/>
            <w:szCs w:val="22"/>
          </w:rPr>
          <w:t xml:space="preserve"> </w:t>
        </w:r>
        <w:smartTag w:uri="urn:schemas-microsoft-com:office:smarttags" w:element="PlaceType">
          <w:r w:rsidR="00463369" w:rsidRPr="00370E70">
            <w:rPr>
              <w:color w:val="000000"/>
              <w:szCs w:val="22"/>
            </w:rPr>
            <w:t>Island</w:t>
          </w:r>
        </w:smartTag>
      </w:smartTag>
      <w:r w:rsidR="00463369" w:rsidRPr="00370E70">
        <w:rPr>
          <w:color w:val="000000"/>
          <w:szCs w:val="22"/>
        </w:rPr>
        <w:t xml:space="preserve"> (M</w:t>
      </w:r>
      <w:r w:rsidRPr="00370E70">
        <w:rPr>
          <w:color w:val="000000"/>
          <w:szCs w:val="22"/>
        </w:rPr>
        <w:t>-W), Sarina Inlet (M-W) and Urangan (B-M), I</w:t>
      </w:r>
      <w:r w:rsidRPr="00370E70">
        <w:rPr>
          <w:color w:val="000000"/>
          <w:szCs w:val="22"/>
          <w:vertAlign w:val="subscript"/>
        </w:rPr>
        <w:t>d</w:t>
      </w:r>
      <w:r w:rsidRPr="00370E70">
        <w:rPr>
          <w:color w:val="000000"/>
          <w:szCs w:val="22"/>
        </w:rPr>
        <w:t xml:space="preserve"> was around the GBR-wide average while all other sites were above the GBR-wide average. Highest I</w:t>
      </w:r>
      <w:r w:rsidRPr="00370E70">
        <w:rPr>
          <w:color w:val="000000"/>
          <w:szCs w:val="22"/>
          <w:vertAlign w:val="subscript"/>
        </w:rPr>
        <w:t>d</w:t>
      </w:r>
      <w:r w:rsidRPr="00370E70">
        <w:rPr>
          <w:color w:val="000000"/>
          <w:szCs w:val="22"/>
        </w:rPr>
        <w:t xml:space="preserve"> occurred at </w:t>
      </w:r>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(20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in the Fitzroy region, and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(22.9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in the Burnett-Mary region. Mean I</w:t>
      </w:r>
      <w:r w:rsidRPr="00370E70">
        <w:rPr>
          <w:color w:val="000000"/>
          <w:szCs w:val="22"/>
          <w:vertAlign w:val="subscript"/>
        </w:rPr>
        <w:t>d</w:t>
      </w:r>
      <w:r w:rsidRPr="00370E70">
        <w:rPr>
          <w:color w:val="000000"/>
          <w:szCs w:val="22"/>
        </w:rPr>
        <w:t xml:space="preserve"> across the GBR for subtidal sites (WT and BDT only) was 9.7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in 2011/2012 compared to the long-term average of 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representing an increase of 17%. Of the subtidal sites, </w:t>
      </w:r>
      <w:smartTag w:uri="urn:schemas-microsoft-com:office:smarttags" w:element="PlaceName">
        <w:r w:rsidRPr="00370E70">
          <w:rPr>
            <w:color w:val="000000"/>
            <w:szCs w:val="22"/>
          </w:rPr>
          <w:t>Magnetic</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w:t>
      </w:r>
      <w:smartTag w:uri="urn:schemas-microsoft-com:office:smarttags" w:element="place">
        <w:smartTag w:uri="urn:schemas-microsoft-com:office:smarttags" w:element="PlaceName">
          <w:r w:rsidRPr="00370E70">
            <w:rPr>
              <w:color w:val="000000"/>
              <w:szCs w:val="22"/>
            </w:rPr>
            <w:t>Picnic</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in the BDT had the lowest average I</w:t>
      </w:r>
      <w:r w:rsidRPr="00370E70">
        <w:rPr>
          <w:color w:val="000000"/>
          <w:szCs w:val="22"/>
          <w:vertAlign w:val="subscript"/>
        </w:rPr>
        <w:t>d</w:t>
      </w:r>
      <w:r w:rsidRPr="00370E70">
        <w:rPr>
          <w:color w:val="000000"/>
          <w:szCs w:val="22"/>
        </w:rPr>
        <w:t xml:space="preserve"> at 7.5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t>
      </w:r>
    </w:p>
    <w:p w:rsidR="005132EF" w:rsidRPr="00370E70" w:rsidRDefault="005132EF" w:rsidP="00523CD6">
      <w:pPr>
        <w:rPr>
          <w:color w:val="000000"/>
          <w:szCs w:val="22"/>
        </w:rPr>
      </w:pPr>
      <w:r w:rsidRPr="00370E70">
        <w:rPr>
          <w:color w:val="000000"/>
          <w:szCs w:val="22"/>
        </w:rPr>
        <w:t xml:space="preserve">Daily light in shallow habitats can be affected by water quality, cloudiness and the depth of the site, which affects the frequency and duration of exposure to full sunlight at low tide </w:t>
      </w:r>
      <w:r w:rsidRPr="00370E70">
        <w:rPr>
          <w:color w:val="000000"/>
          <w:szCs w:val="22"/>
        </w:rPr>
        <w:fldChar w:fldCharType="begin"/>
      </w:r>
      <w:r w:rsidR="00126051" w:rsidRPr="00370E70">
        <w:rPr>
          <w:color w:val="000000"/>
          <w:szCs w:val="22"/>
        </w:rPr>
        <w:instrText xml:space="preserve"> ADDIN EN.CITE &lt;EndNote&gt;&lt;Cite&gt;&lt;Author&gt;Anthony&lt;/Author&gt;&lt;Year&gt;2004&lt;/Year&gt;&lt;RecNum&gt;960&lt;/RecNum&gt;&lt;DisplayText&gt;Anthony&lt;style face="italic"&gt;, et al.&lt;/style&gt; 2004; Fabricius&lt;style face="italic"&gt; et al.&lt;/style&gt; 2012b&lt;/DisplayText&gt;&lt;record&gt;&lt;rec-number&gt;960&lt;/rec-number&gt;&lt;foreign-keys&gt;&lt;key app="EN" db-id="xp95r2wt4pwtpyeavf5vadf4pa05f0ae5f0d"&gt;960&lt;/key&gt;&lt;/foreign-keys&gt;&lt;ref-type name="Journal Article"&gt;17&lt;/ref-type&gt;&lt;contributors&gt;&lt;authors&gt;&lt;author&gt;Anthony, K. R. N.&lt;/author&gt;&lt;author&gt;Ridd, P.V.&lt;/author&gt;&lt;author&gt;Orpin, A.R.&lt;/author&gt;&lt;author&gt;Larcombe, P.&lt;/author&gt;&lt;author&gt;Lough, J.&lt;/author&gt;&lt;/authors&gt;&lt;/contributors&gt;&lt;titles&gt;&lt;title&gt;Temporal variation of light availability in coastal benthic habitats: effects of clouds, turbidity, and tides&lt;/title&gt;&lt;secondary-title&gt;Limnology and Oceanography&lt;/secondary-title&gt;&lt;/titles&gt;&lt;periodical&gt;&lt;full-title&gt;Limnology and Oceanography&lt;/full-title&gt;&lt;abbr-1&gt;Limnol. Oceanogr.&lt;/abbr-1&gt;&lt;abbr-2&gt;Limnol Oceanogr&lt;/abbr-2&gt;&lt;abbr-3&gt;Limnology &amp;amp; Oceanography&lt;/abbr-3&gt;&lt;/periodical&gt;&lt;pages&gt;2201-2211&lt;/pages&gt;&lt;volume&gt;49&lt;/volume&gt;&lt;number&gt;6&lt;/number&gt;&lt;dates&gt;&lt;year&gt;2004&lt;/year&gt;&lt;/dates&gt;&lt;urls&gt;&lt;/urls&gt;&lt;/record&gt;&lt;/Cite&gt;&lt;Cite&gt;&lt;Author&gt;Fabricius&lt;/Author&gt;&lt;Year&gt;2012&lt;/Year&gt;&lt;RecNum&gt;1027&lt;/RecNum&gt;&lt;record&gt;&lt;rec-number&gt;1027&lt;/rec-number&gt;&lt;foreign-keys&gt;&lt;key app="EN" db-id="xp95r2wt4pwtpyeavf5vadf4pa05f0ae5f0d"&gt;1027&lt;/key&gt;&lt;/foreign-keys&gt;&lt;ref-type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Science&lt;/full-title&gt;&lt;/periodical&gt;&lt;pages&gt;458-470&lt;/pages&gt;&lt;volume&gt;3&lt;/volume&gt;&lt;number&gt;1&lt;/number&gt;&lt;dates&gt;&lt;year&gt;2012&lt;/year&gt;&lt;/dates&gt;&lt;urls&gt;&lt;/urls&gt;&lt;/record&gt;&lt;/Cite&gt;&lt;/EndNote&gt;</w:instrText>
      </w:r>
      <w:r w:rsidRPr="00370E70">
        <w:rPr>
          <w:color w:val="000000"/>
          <w:szCs w:val="22"/>
        </w:rPr>
        <w:fldChar w:fldCharType="separate"/>
      </w:r>
      <w:hyperlink w:anchor="_ENREF_5" w:tooltip="Anthony, 2004 #960" w:history="1">
        <w:r w:rsidR="00964A70" w:rsidRPr="00370E70">
          <w:rPr>
            <w:noProof/>
            <w:color w:val="000000"/>
            <w:szCs w:val="22"/>
          </w:rPr>
          <w:t>Anthony</w:t>
        </w:r>
        <w:r w:rsidR="00964A70" w:rsidRPr="00370E70">
          <w:rPr>
            <w:i/>
            <w:noProof/>
            <w:color w:val="000000"/>
            <w:szCs w:val="22"/>
          </w:rPr>
          <w:t>, et al.</w:t>
        </w:r>
        <w:r w:rsidR="00964A70" w:rsidRPr="00370E70">
          <w:rPr>
            <w:noProof/>
            <w:color w:val="000000"/>
            <w:szCs w:val="22"/>
          </w:rPr>
          <w:t xml:space="preserve"> 2004</w:t>
        </w:r>
      </w:hyperlink>
      <w:r w:rsidR="00126051" w:rsidRPr="00370E70">
        <w:rPr>
          <w:noProof/>
          <w:color w:val="000000"/>
          <w:szCs w:val="22"/>
        </w:rPr>
        <w:t xml:space="preserve">; </w:t>
      </w:r>
      <w:hyperlink w:anchor="_ENREF_75" w:tooltip="Fabricius, 2012 #1027" w:history="1">
        <w:r w:rsidR="00964A70" w:rsidRPr="00370E70">
          <w:rPr>
            <w:noProof/>
            <w:color w:val="000000"/>
            <w:szCs w:val="22"/>
          </w:rPr>
          <w:t>Fabricius</w:t>
        </w:r>
        <w:r w:rsidR="00964A70" w:rsidRPr="00370E70">
          <w:rPr>
            <w:i/>
            <w:noProof/>
            <w:color w:val="000000"/>
            <w:szCs w:val="22"/>
          </w:rPr>
          <w:t xml:space="preserve"> et al.</w:t>
        </w:r>
        <w:r w:rsidR="00964A70" w:rsidRPr="00370E70">
          <w:rPr>
            <w:noProof/>
            <w:color w:val="000000"/>
            <w:szCs w:val="22"/>
          </w:rPr>
          <w:t xml:space="preserve"> 2012b</w:t>
        </w:r>
      </w:hyperlink>
      <w:r w:rsidRPr="00370E70">
        <w:rPr>
          <w:color w:val="000000"/>
          <w:szCs w:val="22"/>
        </w:rPr>
        <w:fldChar w:fldCharType="end"/>
      </w:r>
      <w:r w:rsidRPr="00370E70">
        <w:rPr>
          <w:color w:val="000000"/>
          <w:szCs w:val="22"/>
        </w:rPr>
        <w:t>; however, the differences in I</w:t>
      </w:r>
      <w:r w:rsidRPr="00370E70">
        <w:rPr>
          <w:color w:val="000000"/>
          <w:szCs w:val="22"/>
          <w:vertAlign w:val="subscript"/>
        </w:rPr>
        <w:t>d</w:t>
      </w:r>
      <w:r w:rsidRPr="00370E70">
        <w:rPr>
          <w:color w:val="000000"/>
          <w:szCs w:val="22"/>
        </w:rPr>
        <w:t xml:space="preserve"> among seagrass sites is largely a reflection of site-specific differences in water quality. For example, turbidity at Green Island (WT) was lower than at Picnic Bay (BDT) (Figure 20), which is consistent with the trends in light at these sites. The spatial variability in I</w:t>
      </w:r>
      <w:r w:rsidRPr="00370E70">
        <w:rPr>
          <w:color w:val="000000"/>
          <w:szCs w:val="22"/>
          <w:vertAlign w:val="subscript"/>
        </w:rPr>
        <w:t>d</w:t>
      </w:r>
      <w:r w:rsidRPr="00370E70">
        <w:rPr>
          <w:color w:val="000000"/>
          <w:szCs w:val="22"/>
        </w:rPr>
        <w:t xml:space="preserve"> is also consistent with spatial patterns in water quality observed at larger spatial scales by remote sensing (</w:t>
      </w:r>
      <w:hyperlink w:anchor="_ENREF_63" w:tooltip="Devlin, 2013 #9717" w:history="1">
        <w:r w:rsidR="00964A70" w:rsidRPr="00370E70">
          <w:rPr>
            <w:color w:val="000000"/>
            <w:szCs w:val="22"/>
          </w:rPr>
          <w:fldChar w:fldCharType="begin"/>
        </w:r>
        <w:r w:rsidR="00964A70" w:rsidRPr="00370E70">
          <w:rPr>
            <w:color w:val="000000"/>
            <w:szCs w:val="22"/>
          </w:rPr>
          <w:instrText xml:space="preserve"> ADDIN EN.CITE &lt;EndNote&gt;&lt;Cite&gt;&lt;Author&gt;Devlin&lt;/Author&gt;&lt;Year&gt;2013&lt;/Year&gt;&lt;RecNum&gt;9717&lt;/RecNum&gt;&lt;DisplayText&gt;Devlin&lt;style face="italic"&gt; et al.&lt;/style&gt; 2013&lt;/DisplayText&gt;&lt;record&gt;&lt;rec-number&gt;9717&lt;/rec-number&gt;&lt;foreign-keys&gt;&lt;key app="EN" db-id="0eve55x9y5vfd6e9dacxtew4eatve2dzds9a"&gt;9717&lt;/key&gt;&lt;/foreign-keys&gt;&lt;ref-type name="Conference Proceedings"&gt;10&lt;/ref-type&gt;&lt;contributors&gt;&lt;authors&gt;&lt;author&gt;Devlin, Michelle&lt;/author&gt;&lt;author&gt;Collier, Catherine&lt;/author&gt;&lt;author&gt;McKenzie, Len&lt;/author&gt;&lt;author&gt;Petus, Caroline&lt;/author&gt;&lt;author&gt;Waycott, Michelle&lt;/author&gt;&lt;/authors&gt;&lt;/contributors&gt;&lt;titles&gt;&lt;title&gt;Large scale water quality impacts on seagrass communities in the Great Barrier Reef.&lt;/title&gt;&lt;secondary-title&gt;CERF 2013, 22nd Biennial Conference of the Coast al and Estuarine Research Federation Abstracts. 3-7 November 2013, &lt;/secondary-title&gt;&lt;/titles&gt;&lt;pages&gt;56&lt;/pages&gt;&lt;dates&gt;&lt;year&gt;2013&lt;/year&gt;&lt;/dates&gt;&lt;pub-location&gt;San Diego, California, USA. Session SCI-042A.&lt;/pub-location&gt;&lt;publisher&gt;The Coastal &amp;amp; Estuarine Research Federation (CERF)&lt;/publisher&gt;&lt;urls&gt;&lt;/urls&gt;&lt;/record&gt;&lt;/Cite&gt;&lt;/EndNote&gt;</w:instrText>
        </w:r>
        <w:r w:rsidR="00964A70" w:rsidRPr="00370E70">
          <w:rPr>
            <w:color w:val="000000"/>
            <w:szCs w:val="22"/>
          </w:rPr>
          <w:fldChar w:fldCharType="separate"/>
        </w:r>
        <w:r w:rsidR="00964A70" w:rsidRPr="00370E70">
          <w:rPr>
            <w:noProof/>
            <w:color w:val="000000"/>
            <w:szCs w:val="22"/>
          </w:rPr>
          <w:t>Devlin</w:t>
        </w:r>
        <w:r w:rsidR="00964A70" w:rsidRPr="00370E70">
          <w:rPr>
            <w:i/>
            <w:noProof/>
            <w:color w:val="000000"/>
            <w:szCs w:val="22"/>
          </w:rPr>
          <w:t xml:space="preserve"> et al.</w:t>
        </w:r>
        <w:r w:rsidR="00964A70" w:rsidRPr="00370E70">
          <w:rPr>
            <w:noProof/>
            <w:color w:val="000000"/>
            <w:szCs w:val="22"/>
          </w:rPr>
          <w:t xml:space="preserve"> 2013</w:t>
        </w:r>
        <w:r w:rsidR="00964A70" w:rsidRPr="00370E70">
          <w:rPr>
            <w:color w:val="000000"/>
            <w:szCs w:val="22"/>
          </w:rPr>
          <w:fldChar w:fldCharType="end"/>
        </w:r>
      </w:hyperlink>
      <w:r w:rsidRPr="00370E70">
        <w:rPr>
          <w:color w:val="000000"/>
          <w:szCs w:val="22"/>
        </w:rPr>
        <w:t>) and by in situ water quality measurements at reef sites (</w:t>
      </w:r>
      <w:hyperlink w:anchor="_ENREF_168" w:tooltip="Schaffelke, 2013 #9502" w:history="1">
        <w:r w:rsidR="00964A70" w:rsidRPr="00370E70">
          <w:rPr>
            <w:color w:val="000000"/>
            <w:szCs w:val="22"/>
          </w:rPr>
          <w:fldChar w:fldCharType="begin"/>
        </w:r>
        <w:r w:rsidR="00964A70" w:rsidRPr="00370E70">
          <w:rPr>
            <w:color w:val="000000"/>
            <w:szCs w:val="22"/>
          </w:rPr>
          <w:instrText xml:space="preserve"> ADDIN EN.CITE &lt;EndNote&gt;&lt;Cite&gt;&lt;Author&gt;Schaffelke&lt;/Author&gt;&lt;Year&gt;2013&lt;/Year&gt;&lt;RecNum&gt;9502&lt;/RecNum&gt;&lt;DisplayText&gt;Schaffelke&lt;style face="italic"&gt; et al.&lt;/style&gt; 2013&lt;/DisplayText&gt;&lt;record&gt;&lt;rec-number&gt;9502&lt;/rec-number&gt;&lt;foreign-keys&gt;&lt;key app="EN" db-id="0eve55x9y5vfd6e9dacxtew4eatve2dzds9a"&gt;9502&lt;/key&gt;&lt;/foreign-keys&gt;&lt;ref-type name="Book Section"&gt;5&lt;/ref-type&gt;&lt;contributors&gt;&lt;authors&gt;&lt;author&gt;Schaffelke, B&lt;/author&gt;&lt;author&gt;Anthony, K&lt;/author&gt;&lt;author&gt;Blake, J&lt;/author&gt;&lt;author&gt;Brodie, J&lt;/author&gt;&lt;author&gt;Collier, C&lt;/author&gt;&lt;author&gt;Devlin, M&lt;/author&gt;&lt;author&gt;Fabricius, K&lt;/author&gt;&lt;author&gt;Martin, K&lt;/author&gt;&lt;author&gt;McKenzie, Len J&lt;/author&gt;&lt;author&gt;Negri, A&lt;/author&gt;&lt;author&gt;Ronan, M&lt;/author&gt;&lt;author&gt;Thompson, A&lt;/author&gt;&lt;author&gt;Warne, M&lt;/author&gt;&lt;/authors&gt;&lt;/contributors&gt;&lt;titles&gt;&lt;title&gt;Marine and coastal ecosystem impacts&lt;/title&gt;&lt;secondary-title&gt;Synthesis of evidence to support the Reef Water Quality Scientific Consensus Statement 2013&lt;/secondary-title&gt;&lt;/titles&gt;&lt;pages&gt;47&lt;/pages&gt;&lt;section&gt;1&lt;/section&gt;&lt;dates&gt;&lt;year&gt;2013&lt;/year&gt;&lt;/dates&gt;&lt;pub-location&gt;Brisbane&lt;/pub-location&gt;&lt;publisher&gt;Department of the Premier and Cabinet, Queensland Government&lt;/publisher&gt;&lt;urls&gt;&lt;/urls&gt;&lt;/record&gt;&lt;/Cite&gt;&lt;/EndNote&gt;</w:instrText>
        </w:r>
        <w:r w:rsidR="00964A70" w:rsidRPr="00370E70">
          <w:rPr>
            <w:color w:val="000000"/>
            <w:szCs w:val="22"/>
          </w:rPr>
          <w:fldChar w:fldCharType="separate"/>
        </w:r>
        <w:r w:rsidR="00964A70" w:rsidRPr="00370E70">
          <w:rPr>
            <w:noProof/>
            <w:color w:val="000000"/>
            <w:szCs w:val="22"/>
          </w:rPr>
          <w:t>Schaffelke</w:t>
        </w:r>
        <w:r w:rsidR="00964A70" w:rsidRPr="00370E70">
          <w:rPr>
            <w:i/>
            <w:noProof/>
            <w:color w:val="000000"/>
            <w:szCs w:val="22"/>
          </w:rPr>
          <w:t xml:space="preserve"> et al.</w:t>
        </w:r>
        <w:r w:rsidR="00964A70" w:rsidRPr="00370E70">
          <w:rPr>
            <w:noProof/>
            <w:color w:val="000000"/>
            <w:szCs w:val="22"/>
          </w:rPr>
          <w:t xml:space="preserve"> 2013</w:t>
        </w:r>
        <w:r w:rsidR="00964A70" w:rsidRPr="00370E70">
          <w:rPr>
            <w:color w:val="000000"/>
            <w:szCs w:val="22"/>
          </w:rPr>
          <w:fldChar w:fldCharType="end"/>
        </w:r>
      </w:hyperlink>
      <w:r w:rsidRPr="00370E70">
        <w:rPr>
          <w:color w:val="000000"/>
          <w:szCs w:val="22"/>
        </w:rPr>
        <w:t xml:space="preserve">) confirming the role of water quality in the observed patterns of canopy incident light. The temporal trend for increasing light in 2011/12 compared to previous years was also partly a result of improved water quality (e.g. turbidity was lower at the two turbidity monitoring sites, than previous years </w:t>
      </w:r>
      <w:r w:rsidR="00463369" w:rsidRPr="00370E70">
        <w:rPr>
          <w:color w:val="000000"/>
          <w:szCs w:val="22"/>
        </w:rPr>
        <w:t>(</w:t>
      </w:r>
      <w:r w:rsidRPr="00370E70">
        <w:rPr>
          <w:color w:val="000000"/>
          <w:szCs w:val="22"/>
        </w:rPr>
        <w:t>Figure 20)</w:t>
      </w:r>
      <w:r w:rsidR="00463369" w:rsidRPr="00370E70">
        <w:rPr>
          <w:color w:val="000000"/>
          <w:szCs w:val="22"/>
        </w:rPr>
        <w:t>)</w:t>
      </w:r>
      <w:r w:rsidRPr="00370E70">
        <w:rPr>
          <w:color w:val="000000"/>
          <w:szCs w:val="22"/>
        </w:rPr>
        <w:t>. However, I</w:t>
      </w:r>
      <w:r w:rsidRPr="00370E70">
        <w:rPr>
          <w:color w:val="000000"/>
          <w:szCs w:val="22"/>
          <w:vertAlign w:val="subscript"/>
        </w:rPr>
        <w:t>d</w:t>
      </w:r>
      <w:r w:rsidRPr="00370E70">
        <w:rPr>
          <w:color w:val="000000"/>
          <w:szCs w:val="22"/>
        </w:rPr>
        <w:t xml:space="preserve"> was most notably elevated during the dry season when record high I</w:t>
      </w:r>
      <w:r w:rsidRPr="00370E70">
        <w:rPr>
          <w:color w:val="000000"/>
          <w:szCs w:val="22"/>
          <w:vertAlign w:val="subscript"/>
        </w:rPr>
        <w:t>d</w:t>
      </w:r>
      <w:r w:rsidRPr="00370E70">
        <w:rPr>
          <w:color w:val="000000"/>
          <w:szCs w:val="22"/>
        </w:rPr>
        <w:t xml:space="preserve"> occurred at a number of sites, particularly in the wet tropics. Reduced cloud cover in the dry season of 2011/12 compared to previous years, has most likely contributed to this trend. </w:t>
      </w:r>
    </w:p>
    <w:p w:rsidR="005132EF" w:rsidRPr="00370E70" w:rsidRDefault="005132EF" w:rsidP="00523CD6">
      <w:pPr>
        <w:rPr>
          <w:color w:val="000000"/>
        </w:rPr>
      </w:pPr>
    </w:p>
    <w:p w:rsidR="005132EF" w:rsidRPr="00370E70" w:rsidRDefault="007B15AB" w:rsidP="00043759">
      <w:pPr>
        <w:keepNext/>
        <w:jc w:val="center"/>
      </w:pPr>
      <w:r>
        <w:rPr>
          <w:noProof/>
          <w:lang w:eastAsia="en-AU"/>
        </w:rPr>
        <w:lastRenderedPageBreak/>
        <w:drawing>
          <wp:inline distT="0" distB="0" distL="0" distR="0">
            <wp:extent cx="4327525" cy="3606165"/>
            <wp:effectExtent l="0" t="0" r="0" b="0"/>
            <wp:docPr id="30" name="Picture 42" descr="Figure showing the daily light and 2011-2012 average for intertidal and sub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igure showing the daily light and 2011-2012 average for intertidal and subtidal sites"/>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327525" cy="3606165"/>
                    </a:xfrm>
                    <a:prstGeom prst="rect">
                      <a:avLst/>
                    </a:prstGeom>
                    <a:noFill/>
                    <a:ln>
                      <a:noFill/>
                    </a:ln>
                  </pic:spPr>
                </pic:pic>
              </a:graphicData>
            </a:graphic>
          </wp:inline>
        </w:drawing>
      </w:r>
    </w:p>
    <w:p w:rsidR="000F74AA" w:rsidRPr="00370E70" w:rsidRDefault="005132EF" w:rsidP="000F74AA">
      <w:pPr>
        <w:pStyle w:val="Caption"/>
        <w:rPr>
          <w:i/>
          <w:vanish/>
          <w:lang w:val="en-AU"/>
          <w:specVanish/>
        </w:rPr>
      </w:pPr>
      <w:bookmarkStart w:id="177" w:name="_Toc38419636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21</w:t>
      </w:r>
      <w:r w:rsidRPr="00370E70">
        <w:rPr>
          <w:lang w:val="en-AU"/>
        </w:rPr>
        <w:fldChar w:fldCharType="end"/>
      </w:r>
      <w:r w:rsidRPr="00370E70">
        <w:rPr>
          <w:rStyle w:val="StyleCaptionCaptionCharCharLatinCalibri11ptBlackChar"/>
          <w:lang w:val="en-AU"/>
        </w:rPr>
        <w:t xml:space="preserve">. </w:t>
      </w:r>
      <w:r w:rsidRPr="00370E70">
        <w:rPr>
          <w:i/>
          <w:lang w:val="en-AU"/>
        </w:rPr>
        <w:t>Daily light (</w:t>
      </w:r>
      <w:r w:rsidR="00463369" w:rsidRPr="00370E70">
        <w:rPr>
          <w:i/>
          <w:lang w:val="en-AU"/>
        </w:rPr>
        <w:t>l</w:t>
      </w:r>
      <w:r w:rsidRPr="00370E70">
        <w:rPr>
          <w:i/>
          <w:lang w:val="en-AU"/>
        </w:rPr>
        <w:t xml:space="preserve">ong-term average (dots) and 2011-2012 </w:t>
      </w:r>
      <w:r w:rsidR="00463369" w:rsidRPr="00370E70">
        <w:rPr>
          <w:i/>
          <w:lang w:val="en-AU"/>
        </w:rPr>
        <w:t xml:space="preserve">average </w:t>
      </w:r>
      <w:r w:rsidRPr="00370E70">
        <w:rPr>
          <w:i/>
          <w:lang w:val="en-AU"/>
        </w:rPr>
        <w:t xml:space="preserve">(bars)) for </w:t>
      </w:r>
      <w:r w:rsidR="002C6536" w:rsidRPr="00370E70">
        <w:rPr>
          <w:i/>
          <w:lang w:val="en-AU"/>
        </w:rPr>
        <w:t>intertidal</w:t>
      </w:r>
      <w:r w:rsidRPr="00370E70">
        <w:rPr>
          <w:i/>
          <w:lang w:val="en-AU"/>
        </w:rPr>
        <w:t xml:space="preserve"> sites (left) and subtidal sites (right).</w:t>
      </w:r>
      <w:bookmarkEnd w:id="177"/>
      <w:r w:rsidRPr="00370E70">
        <w:rPr>
          <w:i/>
          <w:lang w:val="en-AU"/>
        </w:rPr>
        <w:t xml:space="preserve">  </w:t>
      </w:r>
    </w:p>
    <w:p w:rsidR="005132EF" w:rsidRPr="00370E70" w:rsidRDefault="00463369" w:rsidP="000F74AA">
      <w:pPr>
        <w:pStyle w:val="Caption"/>
        <w:rPr>
          <w:i/>
          <w:lang w:val="en-AU"/>
        </w:rPr>
      </w:pPr>
      <w:r w:rsidRPr="00370E70">
        <w:rPr>
          <w:i/>
          <w:lang w:val="en-AU"/>
        </w:rPr>
        <w:t>NB: only 4 subtidal sites.</w:t>
      </w:r>
      <w:r w:rsidR="0033652B" w:rsidRPr="00370E70">
        <w:rPr>
          <w:i/>
          <w:lang w:val="en-AU"/>
        </w:rPr>
        <w:t xml:space="preserve"> </w:t>
      </w:r>
    </w:p>
    <w:p w:rsidR="005132EF" w:rsidRPr="00370E70" w:rsidRDefault="007B15AB" w:rsidP="000F74AA">
      <w:pPr>
        <w:jc w:val="center"/>
      </w:pPr>
      <w:r>
        <w:rPr>
          <w:i/>
          <w:noProof/>
          <w:lang w:eastAsia="en-AU"/>
        </w:rPr>
        <w:drawing>
          <wp:inline distT="0" distB="0" distL="0" distR="0">
            <wp:extent cx="4133850" cy="3438525"/>
            <wp:effectExtent l="0" t="0" r="0" b="9525"/>
            <wp:docPr id="31" name="Picture 43" descr="Figure showing the minimal light threshold exceedance at intertidal and subtidal sites  including long-term average and 2011-2012 average. Thresholds were adapted from Collier, et al., (2012b) for northern GBR Halodule uninervis dominated meadows and Chartrand, et al., (2012) for southern GBR Zostera muelleri dominated me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igure showing the minimal light threshold exceedance at intertidal and subtidal sites  including long-term average and 2011-2012 average. Thresholds were adapted from Collier, et al., (2012b) for northern GBR Halodule uninervis dominated meadows and Chartrand, et al., (2012) for southern GBR Zostera muelleri dominated meadows."/>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133850" cy="3438525"/>
                    </a:xfrm>
                    <a:prstGeom prst="rect">
                      <a:avLst/>
                    </a:prstGeom>
                    <a:noFill/>
                    <a:ln>
                      <a:noFill/>
                    </a:ln>
                  </pic:spPr>
                </pic:pic>
              </a:graphicData>
            </a:graphic>
          </wp:inline>
        </w:drawing>
      </w:r>
    </w:p>
    <w:p w:rsidR="0033652B" w:rsidRPr="00370E70" w:rsidRDefault="0033652B" w:rsidP="0033652B">
      <w:pPr>
        <w:pStyle w:val="Caption"/>
        <w:rPr>
          <w:i/>
          <w:vanish/>
          <w:lang w:val="en-AU"/>
          <w:specVanish/>
        </w:rPr>
      </w:pPr>
      <w:bookmarkStart w:id="178" w:name="_Toc384196369"/>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22</w:t>
      </w:r>
      <w:r w:rsidRPr="00370E70">
        <w:rPr>
          <w:lang w:val="en-AU"/>
        </w:rPr>
        <w:fldChar w:fldCharType="end"/>
      </w:r>
      <w:r w:rsidRPr="00370E70">
        <w:rPr>
          <w:i/>
          <w:lang w:val="en-AU"/>
        </w:rPr>
        <w:t xml:space="preserve">. </w:t>
      </w:r>
      <w:r w:rsidR="00463369" w:rsidRPr="00370E70">
        <w:rPr>
          <w:i/>
          <w:lang w:val="en-AU"/>
        </w:rPr>
        <w:t>Minimal light t</w:t>
      </w:r>
      <w:r w:rsidR="005132EF" w:rsidRPr="00370E70">
        <w:rPr>
          <w:i/>
          <w:lang w:val="en-AU"/>
        </w:rPr>
        <w:t>hreshold exceedance at intertidal sites (left) and subtidal sites (right) including long-term average (dots) and 2011-2012 average (bars).</w:t>
      </w:r>
      <w:bookmarkEnd w:id="178"/>
    </w:p>
    <w:p w:rsidR="0033652B" w:rsidRPr="00370E70" w:rsidRDefault="005132EF" w:rsidP="0033652B">
      <w:pPr>
        <w:pStyle w:val="Caption"/>
        <w:rPr>
          <w:i/>
          <w:lang w:val="en-AU"/>
        </w:rPr>
      </w:pPr>
      <w:r w:rsidRPr="00370E70">
        <w:rPr>
          <w:i/>
          <w:lang w:val="en-AU"/>
        </w:rPr>
        <w:t xml:space="preserve"> Thresholds adapted from</w:t>
      </w:r>
      <w:r w:rsidR="000F74AA" w:rsidRPr="00370E70">
        <w:rPr>
          <w:i/>
          <w:lang w:val="en-AU"/>
        </w:rPr>
        <w:t xml:space="preserve"> Collier et al.</w:t>
      </w:r>
      <w:r w:rsidRPr="00370E70">
        <w:rPr>
          <w:i/>
          <w:lang w:val="en-AU"/>
        </w:rPr>
        <w:t xml:space="preserve"> </w:t>
      </w:r>
      <w:r w:rsidR="000F74AA"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 ExcludeAuth="1"&gt;&lt;Author&gt;Collier&lt;/Author&gt;&lt;Year&gt;2012&lt;/Year&gt;&lt;RecNum&gt;9288&lt;/RecNum&gt;&lt;DisplayText&gt;2012b&lt;/DisplayText&gt;&lt;record&gt;&lt;rec-number&gt;9288&lt;/rec-number&gt;&lt;foreign-keys&gt;&lt;key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2012b</w:t>
        </w:r>
        <w:r w:rsidR="00964A70" w:rsidRPr="00370E70">
          <w:rPr>
            <w:i/>
            <w:lang w:val="en-AU"/>
          </w:rPr>
          <w:fldChar w:fldCharType="end"/>
        </w:r>
      </w:hyperlink>
      <w:r w:rsidR="000F74AA" w:rsidRPr="00370E70">
        <w:rPr>
          <w:i/>
          <w:lang w:val="en-AU"/>
        </w:rPr>
        <w:t>)</w:t>
      </w:r>
      <w:r w:rsidRPr="00370E70">
        <w:rPr>
          <w:i/>
          <w:lang w:val="en-AU"/>
        </w:rPr>
        <w:t xml:space="preserve"> for </w:t>
      </w:r>
      <w:r w:rsidR="00463369" w:rsidRPr="00370E70">
        <w:rPr>
          <w:i/>
          <w:lang w:val="en-AU"/>
        </w:rPr>
        <w:t xml:space="preserve">northern GBR Halodule uninervis </w:t>
      </w:r>
      <w:r w:rsidRPr="00370E70">
        <w:rPr>
          <w:i/>
          <w:lang w:val="en-AU"/>
        </w:rPr>
        <w:t>dominated meadows and</w:t>
      </w:r>
      <w:r w:rsidR="000F74AA" w:rsidRPr="00370E70">
        <w:rPr>
          <w:i/>
          <w:lang w:val="en-AU"/>
        </w:rPr>
        <w:t xml:space="preserve"> Chartrand et al. (</w:t>
      </w:r>
      <w:hyperlink w:anchor="_ENREF_33" w:tooltip="Chartrand, 2012 #9309" w:history="1">
        <w:r w:rsidR="00964A70" w:rsidRPr="00370E70">
          <w:rPr>
            <w:i/>
            <w:lang w:val="en-AU"/>
          </w:rPr>
          <w:fldChar w:fldCharType="begin"/>
        </w:r>
        <w:r w:rsidR="00964A70" w:rsidRPr="00370E70">
          <w:rPr>
            <w:i/>
            <w:lang w:val="en-AU"/>
          </w:rPr>
          <w:instrText xml:space="preserve"> ADDIN EN.CITE &lt;EndNote&gt;&lt;Cite ExcludeAuth="1"&gt;&lt;Author&gt;Chartrand&lt;/Author&gt;&lt;Year&gt;2012&lt;/Year&gt;&lt;RecNum&gt;9309&lt;/RecNum&gt;&lt;DisplayText&gt;2012&lt;/DisplayText&gt;&lt;record&gt;&lt;rec-number&gt;9309&lt;/rec-number&gt;&lt;foreign-keys&gt;&lt;key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i/>
            <w:lang w:val="en-AU"/>
          </w:rPr>
          <w:fldChar w:fldCharType="separate"/>
        </w:r>
        <w:r w:rsidR="00964A70" w:rsidRPr="00370E70">
          <w:rPr>
            <w:i/>
            <w:noProof/>
            <w:lang w:val="en-AU"/>
          </w:rPr>
          <w:t>2012</w:t>
        </w:r>
        <w:r w:rsidR="00964A70" w:rsidRPr="00370E70">
          <w:rPr>
            <w:i/>
            <w:lang w:val="en-AU"/>
          </w:rPr>
          <w:fldChar w:fldCharType="end"/>
        </w:r>
      </w:hyperlink>
      <w:r w:rsidR="000F74AA" w:rsidRPr="00370E70">
        <w:rPr>
          <w:i/>
          <w:lang w:val="en-AU"/>
        </w:rPr>
        <w:t>)</w:t>
      </w:r>
      <w:r w:rsidRPr="00370E70">
        <w:rPr>
          <w:i/>
          <w:lang w:val="en-AU"/>
        </w:rPr>
        <w:t xml:space="preserve"> for</w:t>
      </w:r>
      <w:r w:rsidR="000F74AA" w:rsidRPr="00370E70">
        <w:rPr>
          <w:i/>
          <w:color w:val="000000"/>
          <w:szCs w:val="22"/>
          <w:lang w:val="en-AU"/>
        </w:rPr>
        <w:t xml:space="preserve"> southern GBR Zostera muelleri </w:t>
      </w:r>
      <w:r w:rsidRPr="00370E70">
        <w:rPr>
          <w:i/>
          <w:color w:val="000000"/>
          <w:szCs w:val="22"/>
          <w:lang w:val="en-AU"/>
        </w:rPr>
        <w:t>dominated meadows.</w:t>
      </w:r>
      <w:r w:rsidR="00463369" w:rsidRPr="00370E70">
        <w:rPr>
          <w:i/>
          <w:color w:val="000000"/>
          <w:szCs w:val="22"/>
          <w:lang w:val="en-AU"/>
        </w:rPr>
        <w:t xml:space="preserve"> NB: only 4 subtidal sites.</w:t>
      </w:r>
      <w:r w:rsidR="0033652B" w:rsidRPr="00370E70">
        <w:rPr>
          <w:i/>
          <w:lang w:val="en-AU"/>
        </w:rPr>
        <w:t xml:space="preserve"> </w:t>
      </w:r>
    </w:p>
    <w:p w:rsidR="00831000" w:rsidRPr="00370E70" w:rsidRDefault="00831000" w:rsidP="00831000"/>
    <w:p w:rsidR="0033652B" w:rsidRPr="00370E70" w:rsidRDefault="005132EF" w:rsidP="0033652B">
      <w:pPr>
        <w:pStyle w:val="Caption"/>
        <w:keepNext/>
        <w:jc w:val="center"/>
        <w:rPr>
          <w:i/>
          <w:vanish/>
          <w:color w:val="000000"/>
          <w:szCs w:val="22"/>
          <w:lang w:val="en-AU"/>
          <w:specVanish/>
        </w:rPr>
      </w:pPr>
      <w:bookmarkStart w:id="179" w:name="_Toc384196550"/>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14</w:t>
      </w:r>
      <w:r w:rsidRPr="00370E70">
        <w:rPr>
          <w:lang w:val="en-AU"/>
        </w:rPr>
        <w:fldChar w:fldCharType="end"/>
      </w:r>
      <w:r w:rsidRPr="00370E70">
        <w:rPr>
          <w:rStyle w:val="StyleCaptionCaptionCharCharLatinCalibri11ptBlackChar"/>
          <w:lang w:val="en-AU"/>
        </w:rPr>
        <w:t xml:space="preserve">. </w:t>
      </w:r>
      <w:r w:rsidR="00463369" w:rsidRPr="00370E70">
        <w:rPr>
          <w:i/>
          <w:lang w:val="en-AU"/>
        </w:rPr>
        <w:t>Minimal light t</w:t>
      </w:r>
      <w:r w:rsidRPr="00370E70">
        <w:rPr>
          <w:i/>
          <w:lang w:val="en-AU"/>
        </w:rPr>
        <w:t>hreshold exce</w:t>
      </w:r>
      <w:r w:rsidR="00957EBE" w:rsidRPr="00370E70">
        <w:rPr>
          <w:i/>
          <w:lang w:val="en-AU"/>
        </w:rPr>
        <w:t>e</w:t>
      </w:r>
      <w:r w:rsidRPr="00370E70">
        <w:rPr>
          <w:i/>
          <w:lang w:val="en-AU"/>
        </w:rPr>
        <w:t>dance for days below defined threshold</w:t>
      </w:r>
      <w:bookmarkEnd w:id="179"/>
    </w:p>
    <w:p w:rsidR="0033652B" w:rsidRPr="00370E70" w:rsidRDefault="005132EF" w:rsidP="0033652B">
      <w:pPr>
        <w:pStyle w:val="Caption"/>
        <w:keepNext/>
        <w:jc w:val="center"/>
        <w:rPr>
          <w:i/>
          <w:lang w:val="en-AU"/>
        </w:rPr>
      </w:pPr>
      <w:r w:rsidRPr="00370E70">
        <w:rPr>
          <w:i/>
          <w:lang w:val="en-AU"/>
        </w:rPr>
        <w:t xml:space="preserve">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(90-day average data)</w:t>
      </w:r>
      <w:r w:rsidR="00E27919" w:rsidRPr="00370E70">
        <w:rPr>
          <w:i/>
          <w:lang w:val="en-AU"/>
        </w:rPr>
        <w:t>)</w:t>
      </w:r>
      <w:r w:rsidRPr="00370E70">
        <w:rPr>
          <w:i/>
          <w:lang w:val="en-AU"/>
        </w:rPr>
        <w:t xml:space="preserve"> – an approximate threshold enabling expansion of Halodule uninervis dominated meadows in northern GBR </w:t>
      </w:r>
      <w:r w:rsidR="00463369"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Pr="00370E70">
        <w:rPr>
          <w:i/>
          <w:lang w:val="en-AU"/>
        </w:rPr>
        <w:t>) and 6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for intertidal Zostera </w:t>
      </w:r>
      <w:r w:rsidR="00145BB9" w:rsidRPr="00370E70">
        <w:rPr>
          <w:i/>
          <w:lang w:val="en-AU"/>
        </w:rPr>
        <w:t>muelleri</w:t>
      </w:r>
      <w:r w:rsidRPr="00370E70">
        <w:rPr>
          <w:i/>
          <w:lang w:val="en-AU"/>
        </w:rPr>
        <w:t xml:space="preserve"> communities in the southern GBR </w:t>
      </w:r>
      <w:r w:rsidR="00463369" w:rsidRPr="00370E70">
        <w:rPr>
          <w:i/>
          <w:lang w:val="en-AU"/>
        </w:rPr>
        <w:t>(</w:t>
      </w:r>
      <w:hyperlink w:anchor="_ENREF_33" w:tooltip="Chartrand, 2012 #9309" w:history="1">
        <w:r w:rsidR="00964A70" w:rsidRPr="00370E70">
          <w:rPr>
            <w:i/>
            <w:lang w:val="en-AU"/>
          </w:rPr>
          <w:fldChar w:fldCharType="begin"/>
        </w:r>
        <w:r w:rsidR="00964A70" w:rsidRPr="00370E70">
          <w:rPr>
            <w:i/>
            <w:lang w:val="en-AU"/>
          </w:rPr>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i/>
            <w:lang w:val="en-AU"/>
          </w:rPr>
          <w:fldChar w:fldCharType="separate"/>
        </w:r>
        <w:r w:rsidR="00964A70" w:rsidRPr="00370E70">
          <w:rPr>
            <w:i/>
            <w:noProof/>
            <w:lang w:val="en-AU"/>
          </w:rPr>
          <w:t>Chartrand, et al. 2012</w:t>
        </w:r>
        <w:r w:rsidR="00964A70" w:rsidRPr="00370E70">
          <w:rPr>
            <w:i/>
            <w:lang w:val="en-AU"/>
          </w:rPr>
          <w:fldChar w:fldCharType="end"/>
        </w:r>
      </w:hyperlink>
      <w:r w:rsidR="00463369" w:rsidRPr="00370E70">
        <w:rPr>
          <w:i/>
          <w:lang w:val="en-AU"/>
        </w:rPr>
        <w:t>)</w:t>
      </w:r>
      <w:r w:rsidRPr="00370E70">
        <w:rPr>
          <w:i/>
          <w:lang w:val="en-AU"/>
        </w:rPr>
        <w:t xml:space="preserve"> including annual average, reporting year (1 May 2011-30 April 2012) and wet season (Jan-Mar). </w:t>
      </w:r>
    </w:p>
    <w:tbl>
      <w:tblPr>
        <w:tblW w:w="9227" w:type="dxa"/>
        <w:tblLook w:val="00A0" w:firstRow="1" w:lastRow="0" w:firstColumn="1" w:lastColumn="0" w:noHBand="0" w:noVBand="0"/>
      </w:tblPr>
      <w:tblGrid>
        <w:gridCol w:w="1900"/>
        <w:gridCol w:w="1564"/>
        <w:gridCol w:w="1054"/>
        <w:gridCol w:w="1192"/>
        <w:gridCol w:w="1192"/>
        <w:gridCol w:w="1080"/>
        <w:gridCol w:w="1245"/>
      </w:tblGrid>
      <w:tr w:rsidR="00E27919" w:rsidRPr="00370E70" w:rsidTr="00E27919">
        <w:tc>
          <w:tcPr>
            <w:tcW w:w="1900" w:type="dxa"/>
            <w:vMerge w:val="restart"/>
            <w:tcBorders>
              <w:top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Region</w:t>
            </w:r>
          </w:p>
        </w:tc>
        <w:tc>
          <w:tcPr>
            <w:tcW w:w="1564" w:type="dxa"/>
            <w:vMerge w:val="restart"/>
            <w:tcBorders>
              <w:top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Location</w:t>
            </w:r>
          </w:p>
        </w:tc>
        <w:tc>
          <w:tcPr>
            <w:tcW w:w="1054" w:type="dxa"/>
            <w:vMerge w:val="restart"/>
            <w:tcBorders>
              <w:top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Site</w:t>
            </w:r>
          </w:p>
        </w:tc>
        <w:tc>
          <w:tcPr>
            <w:tcW w:w="2384" w:type="dxa"/>
            <w:gridSpan w:val="2"/>
            <w:tcBorders>
              <w:top w:val="single" w:sz="4" w:space="0" w:color="auto"/>
              <w:bottom w:val="single" w:sz="4" w:space="0" w:color="auto"/>
            </w:tcBorders>
            <w:shd w:val="clear" w:color="auto" w:fill="BBE0E3"/>
            <w:vAlign w:val="center"/>
          </w:tcPr>
          <w:p w:rsidR="007D51EB" w:rsidRPr="00370E70" w:rsidRDefault="00E27919" w:rsidP="00E27919">
            <w:pPr>
              <w:spacing w:before="0" w:after="0"/>
              <w:jc w:val="center"/>
              <w:rPr>
                <w:b/>
                <w:sz w:val="20"/>
                <w:szCs w:val="20"/>
              </w:rPr>
            </w:pPr>
            <w:r w:rsidRPr="00370E70">
              <w:rPr>
                <w:b/>
                <w:sz w:val="20"/>
                <w:szCs w:val="20"/>
              </w:rPr>
              <w:t>Threshold exceedance</w:t>
            </w:r>
            <w:r w:rsidR="007D51EB" w:rsidRPr="00370E70">
              <w:rPr>
                <w:b/>
                <w:sz w:val="20"/>
                <w:szCs w:val="20"/>
              </w:rPr>
              <w:t xml:space="preserve"> </w:t>
            </w:r>
          </w:p>
          <w:p w:rsidR="00E27919" w:rsidRPr="00370E70" w:rsidRDefault="007D51EB" w:rsidP="00E27919">
            <w:pPr>
              <w:spacing w:before="0" w:after="0"/>
              <w:jc w:val="center"/>
              <w:rPr>
                <w:b/>
                <w:sz w:val="20"/>
                <w:szCs w:val="20"/>
              </w:rPr>
            </w:pPr>
            <w:r w:rsidRPr="00370E70">
              <w:rPr>
                <w:sz w:val="20"/>
                <w:szCs w:val="20"/>
              </w:rPr>
              <w:t>(% days)</w:t>
            </w:r>
          </w:p>
        </w:tc>
        <w:tc>
          <w:tcPr>
            <w:tcW w:w="2325" w:type="dxa"/>
            <w:gridSpan w:val="2"/>
            <w:tcBorders>
              <w:top w:val="single" w:sz="4" w:space="0" w:color="auto"/>
              <w:bottom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Jan-Mar</w:t>
            </w:r>
          </w:p>
        </w:tc>
      </w:tr>
      <w:tr w:rsidR="00E27919" w:rsidRPr="00370E70" w:rsidTr="00E27919">
        <w:tc>
          <w:tcPr>
            <w:tcW w:w="1900" w:type="dxa"/>
            <w:vMerge/>
            <w:tcBorders>
              <w:bottom w:val="single" w:sz="4" w:space="0" w:color="auto"/>
            </w:tcBorders>
            <w:shd w:val="clear" w:color="auto" w:fill="BBE0E3"/>
            <w:vAlign w:val="center"/>
          </w:tcPr>
          <w:p w:rsidR="00E27919" w:rsidRPr="00370E70" w:rsidRDefault="00E27919" w:rsidP="00E27919">
            <w:pPr>
              <w:spacing w:before="0" w:after="0"/>
              <w:jc w:val="center"/>
              <w:rPr>
                <w:b/>
                <w:sz w:val="20"/>
                <w:szCs w:val="20"/>
              </w:rPr>
            </w:pPr>
          </w:p>
        </w:tc>
        <w:tc>
          <w:tcPr>
            <w:tcW w:w="1564" w:type="dxa"/>
            <w:vMerge/>
            <w:tcBorders>
              <w:bottom w:val="single" w:sz="4" w:space="0" w:color="auto"/>
            </w:tcBorders>
            <w:shd w:val="clear" w:color="auto" w:fill="BBE0E3"/>
            <w:vAlign w:val="center"/>
          </w:tcPr>
          <w:p w:rsidR="00E27919" w:rsidRPr="00370E70" w:rsidRDefault="00E27919" w:rsidP="00E27919">
            <w:pPr>
              <w:spacing w:before="0" w:after="0"/>
              <w:jc w:val="center"/>
              <w:rPr>
                <w:b/>
                <w:sz w:val="20"/>
                <w:szCs w:val="20"/>
              </w:rPr>
            </w:pPr>
          </w:p>
        </w:tc>
        <w:tc>
          <w:tcPr>
            <w:tcW w:w="1054" w:type="dxa"/>
            <w:vMerge/>
            <w:tcBorders>
              <w:bottom w:val="single" w:sz="4" w:space="0" w:color="auto"/>
            </w:tcBorders>
            <w:shd w:val="clear" w:color="auto" w:fill="BBE0E3"/>
            <w:vAlign w:val="center"/>
          </w:tcPr>
          <w:p w:rsidR="00E27919" w:rsidRPr="00370E70" w:rsidRDefault="00E27919" w:rsidP="00E27919">
            <w:pPr>
              <w:spacing w:before="0" w:after="0"/>
              <w:jc w:val="center"/>
              <w:rPr>
                <w:b/>
                <w:sz w:val="20"/>
                <w:szCs w:val="20"/>
              </w:rPr>
            </w:pPr>
          </w:p>
        </w:tc>
        <w:tc>
          <w:tcPr>
            <w:tcW w:w="1192" w:type="dxa"/>
            <w:tcBorders>
              <w:top w:val="single" w:sz="4" w:space="0" w:color="auto"/>
              <w:bottom w:val="single" w:sz="4" w:space="0" w:color="auto"/>
            </w:tcBorders>
            <w:shd w:val="clear" w:color="auto" w:fill="BBE0E3"/>
            <w:vAlign w:val="center"/>
          </w:tcPr>
          <w:p w:rsidR="00E27919" w:rsidRPr="00370E70" w:rsidRDefault="007D51EB" w:rsidP="00E27919">
            <w:pPr>
              <w:spacing w:before="0" w:after="0"/>
              <w:jc w:val="center"/>
              <w:rPr>
                <w:b/>
                <w:sz w:val="20"/>
                <w:szCs w:val="20"/>
              </w:rPr>
            </w:pPr>
            <w:r w:rsidRPr="00370E70">
              <w:rPr>
                <w:b/>
                <w:sz w:val="20"/>
                <w:szCs w:val="20"/>
              </w:rPr>
              <w:t>Long-term</w:t>
            </w:r>
          </w:p>
        </w:tc>
        <w:tc>
          <w:tcPr>
            <w:tcW w:w="1192" w:type="dxa"/>
            <w:tcBorders>
              <w:top w:val="single" w:sz="4" w:space="0" w:color="auto"/>
              <w:bottom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2011-12</w:t>
            </w:r>
          </w:p>
        </w:tc>
        <w:tc>
          <w:tcPr>
            <w:tcW w:w="1080" w:type="dxa"/>
            <w:tcBorders>
              <w:top w:val="single" w:sz="4" w:space="0" w:color="auto"/>
              <w:bottom w:val="single" w:sz="4" w:space="0" w:color="auto"/>
            </w:tcBorders>
            <w:shd w:val="clear" w:color="auto" w:fill="BBE0E3"/>
            <w:vAlign w:val="center"/>
          </w:tcPr>
          <w:p w:rsidR="00E27919" w:rsidRPr="00370E70" w:rsidRDefault="007D51EB" w:rsidP="00E27919">
            <w:pPr>
              <w:spacing w:before="0" w:after="0"/>
              <w:jc w:val="center"/>
              <w:rPr>
                <w:b/>
                <w:sz w:val="20"/>
                <w:szCs w:val="20"/>
              </w:rPr>
            </w:pPr>
            <w:r w:rsidRPr="00370E70">
              <w:rPr>
                <w:b/>
                <w:sz w:val="20"/>
                <w:szCs w:val="20"/>
              </w:rPr>
              <w:t>Long-term</w:t>
            </w:r>
          </w:p>
        </w:tc>
        <w:tc>
          <w:tcPr>
            <w:tcW w:w="1245" w:type="dxa"/>
            <w:tcBorders>
              <w:top w:val="single" w:sz="4" w:space="0" w:color="auto"/>
              <w:bottom w:val="single" w:sz="4" w:space="0" w:color="auto"/>
            </w:tcBorders>
            <w:shd w:val="clear" w:color="auto" w:fill="BBE0E3"/>
            <w:vAlign w:val="center"/>
          </w:tcPr>
          <w:p w:rsidR="00E27919" w:rsidRPr="00370E70" w:rsidRDefault="00E27919" w:rsidP="00E27919">
            <w:pPr>
              <w:spacing w:before="0" w:after="0"/>
              <w:jc w:val="center"/>
              <w:rPr>
                <w:b/>
                <w:sz w:val="20"/>
                <w:szCs w:val="20"/>
              </w:rPr>
            </w:pPr>
            <w:r w:rsidRPr="00370E70">
              <w:rPr>
                <w:b/>
                <w:sz w:val="20"/>
                <w:szCs w:val="20"/>
              </w:rPr>
              <w:t>2012</w:t>
            </w:r>
          </w:p>
        </w:tc>
      </w:tr>
      <w:tr w:rsidR="00E27919" w:rsidRPr="00370E70" w:rsidTr="000F74AA">
        <w:trPr>
          <w:trHeight w:val="170"/>
        </w:trPr>
        <w:tc>
          <w:tcPr>
            <w:tcW w:w="1900" w:type="dxa"/>
            <w:vMerge w:val="restart"/>
            <w:tcBorders>
              <w:top w:val="single" w:sz="4" w:space="0" w:color="auto"/>
            </w:tcBorders>
          </w:tcPr>
          <w:p w:rsidR="00E27919" w:rsidRPr="00370E70" w:rsidRDefault="00E27919" w:rsidP="00F51FC3">
            <w:pPr>
              <w:spacing w:before="0" w:after="0"/>
              <w:rPr>
                <w:sz w:val="20"/>
                <w:szCs w:val="20"/>
              </w:rPr>
            </w:pPr>
            <w:r w:rsidRPr="00370E70">
              <w:rPr>
                <w:sz w:val="20"/>
                <w:szCs w:val="20"/>
              </w:rPr>
              <w:t>Wet Tropics</w:t>
            </w:r>
          </w:p>
        </w:tc>
        <w:tc>
          <w:tcPr>
            <w:tcW w:w="1564" w:type="dxa"/>
            <w:tcBorders>
              <w:top w:val="single" w:sz="4" w:space="0" w:color="auto"/>
            </w:tcBorders>
          </w:tcPr>
          <w:p w:rsidR="00E27919" w:rsidRPr="00370E70" w:rsidRDefault="00E27919" w:rsidP="00F51FC3">
            <w:pPr>
              <w:spacing w:before="0" w:after="0"/>
              <w:rPr>
                <w:sz w:val="20"/>
                <w:szCs w:val="20"/>
              </w:rPr>
            </w:pPr>
            <w:r w:rsidRPr="00370E70">
              <w:rPr>
                <w:sz w:val="20"/>
                <w:szCs w:val="20"/>
              </w:rPr>
              <w:t>Low Isles</w:t>
            </w:r>
          </w:p>
        </w:tc>
        <w:tc>
          <w:tcPr>
            <w:tcW w:w="1054" w:type="dxa"/>
            <w:tcBorders>
              <w:top w:val="single" w:sz="4" w:space="0" w:color="auto"/>
            </w:tcBorders>
          </w:tcPr>
          <w:p w:rsidR="00E27919" w:rsidRPr="00370E70" w:rsidRDefault="00E27919" w:rsidP="00F51FC3">
            <w:pPr>
              <w:spacing w:before="0" w:after="0"/>
              <w:rPr>
                <w:sz w:val="20"/>
                <w:szCs w:val="20"/>
              </w:rPr>
            </w:pPr>
            <w:r w:rsidRPr="00370E70">
              <w:rPr>
                <w:sz w:val="20"/>
                <w:szCs w:val="20"/>
              </w:rPr>
              <w:t>subtidal</w:t>
            </w:r>
          </w:p>
        </w:tc>
        <w:tc>
          <w:tcPr>
            <w:tcW w:w="1192"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37.4</w:t>
            </w:r>
          </w:p>
        </w:tc>
        <w:tc>
          <w:tcPr>
            <w:tcW w:w="1192"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26.5</w:t>
            </w:r>
          </w:p>
        </w:tc>
        <w:tc>
          <w:tcPr>
            <w:tcW w:w="1080"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51.5</w:t>
            </w:r>
          </w:p>
        </w:tc>
        <w:tc>
          <w:tcPr>
            <w:tcW w:w="1245"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NA</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bottom w:val="single" w:sz="4" w:space="0" w:color="auto"/>
            </w:tcBorders>
          </w:tcPr>
          <w:p w:rsidR="00E27919" w:rsidRPr="00370E70" w:rsidRDefault="00E27919" w:rsidP="00F51FC3">
            <w:pPr>
              <w:spacing w:before="0" w:after="0"/>
              <w:rPr>
                <w:sz w:val="20"/>
                <w:szCs w:val="20"/>
              </w:rPr>
            </w:pPr>
          </w:p>
        </w:tc>
        <w:tc>
          <w:tcPr>
            <w:tcW w:w="1054" w:type="dxa"/>
            <w:tcBorders>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5.1</w:t>
            </w:r>
          </w:p>
        </w:tc>
        <w:tc>
          <w:tcPr>
            <w:tcW w:w="1192"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0</w:t>
            </w:r>
          </w:p>
        </w:tc>
        <w:tc>
          <w:tcPr>
            <w:tcW w:w="1080"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12.7</w:t>
            </w:r>
          </w:p>
        </w:tc>
        <w:tc>
          <w:tcPr>
            <w:tcW w:w="1245"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0</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Yule Point</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16.3</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2.3</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32.8</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NA</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Green</w:t>
                </w:r>
              </w:smartTag>
              <w:r w:rsidRPr="00370E70">
                <w:rPr>
                  <w:sz w:val="20"/>
                  <w:szCs w:val="20"/>
                </w:rPr>
                <w:t xml:space="preserve"> </w:t>
              </w:r>
              <w:smartTag w:uri="urn:schemas-microsoft-com:office:smarttags" w:element="PlaceType">
                <w:r w:rsidRPr="00370E70">
                  <w:rPr>
                    <w:sz w:val="20"/>
                    <w:szCs w:val="20"/>
                  </w:rPr>
                  <w:t>Island</w:t>
                </w:r>
              </w:smartTag>
            </w:smartTag>
          </w:p>
        </w:tc>
        <w:tc>
          <w:tcPr>
            <w:tcW w:w="1054" w:type="dxa"/>
            <w:tcBorders>
              <w:top w:val="single" w:sz="4" w:space="0" w:color="auto"/>
            </w:tcBorders>
          </w:tcPr>
          <w:p w:rsidR="00E27919" w:rsidRPr="00370E70" w:rsidRDefault="00E27919" w:rsidP="00B07551">
            <w:pPr>
              <w:spacing w:before="0" w:after="0"/>
              <w:rPr>
                <w:sz w:val="20"/>
                <w:szCs w:val="20"/>
              </w:rPr>
            </w:pPr>
            <w:r w:rsidRPr="00370E70">
              <w:rPr>
                <w:sz w:val="20"/>
                <w:szCs w:val="20"/>
              </w:rPr>
              <w:t>subtidal</w:t>
            </w:r>
          </w:p>
        </w:tc>
        <w:tc>
          <w:tcPr>
            <w:tcW w:w="1192"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9.8</w:t>
            </w:r>
          </w:p>
        </w:tc>
        <w:tc>
          <w:tcPr>
            <w:tcW w:w="1192"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3.5</w:t>
            </w:r>
          </w:p>
        </w:tc>
        <w:tc>
          <w:tcPr>
            <w:tcW w:w="1080"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14.6</w:t>
            </w:r>
          </w:p>
        </w:tc>
        <w:tc>
          <w:tcPr>
            <w:tcW w:w="1245"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0^</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bottom w:val="single" w:sz="4" w:space="0" w:color="auto"/>
            </w:tcBorders>
          </w:tcPr>
          <w:p w:rsidR="00E27919" w:rsidRPr="00370E70" w:rsidRDefault="00E27919" w:rsidP="00F51FC3">
            <w:pPr>
              <w:spacing w:before="0" w:after="0"/>
              <w:rPr>
                <w:sz w:val="20"/>
                <w:szCs w:val="20"/>
              </w:rPr>
            </w:pPr>
          </w:p>
        </w:tc>
        <w:tc>
          <w:tcPr>
            <w:tcW w:w="1054" w:type="dxa"/>
            <w:tcBorders>
              <w:bottom w:val="single" w:sz="4" w:space="0" w:color="auto"/>
            </w:tcBorders>
          </w:tcPr>
          <w:p w:rsidR="00E27919" w:rsidRPr="00370E70" w:rsidRDefault="00E27919" w:rsidP="00B07551">
            <w:pPr>
              <w:spacing w:before="0" w:after="0"/>
              <w:rPr>
                <w:sz w:val="20"/>
                <w:szCs w:val="20"/>
              </w:rPr>
            </w:pPr>
            <w:r w:rsidRPr="00370E70">
              <w:rPr>
                <w:sz w:val="20"/>
                <w:szCs w:val="20"/>
              </w:rPr>
              <w:t>intertidal</w:t>
            </w:r>
          </w:p>
        </w:tc>
        <w:tc>
          <w:tcPr>
            <w:tcW w:w="1192"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13.4</w:t>
            </w:r>
          </w:p>
        </w:tc>
        <w:tc>
          <w:tcPr>
            <w:tcW w:w="1192"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1.0</w:t>
            </w:r>
          </w:p>
        </w:tc>
        <w:tc>
          <w:tcPr>
            <w:tcW w:w="1080"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7.7</w:t>
            </w:r>
          </w:p>
        </w:tc>
        <w:tc>
          <w:tcPr>
            <w:tcW w:w="1245"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NA</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Dunk</w:t>
                </w:r>
              </w:smartTag>
              <w:r w:rsidRPr="00370E70">
                <w:rPr>
                  <w:sz w:val="20"/>
                  <w:szCs w:val="20"/>
                </w:rPr>
                <w:t xml:space="preserve"> </w:t>
              </w:r>
              <w:smartTag w:uri="urn:schemas-microsoft-com:office:smarttags" w:element="PlaceType">
                <w:r w:rsidRPr="00370E70">
                  <w:rPr>
                    <w:sz w:val="20"/>
                    <w:szCs w:val="20"/>
                  </w:rPr>
                  <w:t>Island</w:t>
                </w:r>
              </w:smartTag>
            </w:smartTag>
          </w:p>
        </w:tc>
        <w:tc>
          <w:tcPr>
            <w:tcW w:w="1054" w:type="dxa"/>
            <w:tcBorders>
              <w:top w:val="single" w:sz="4" w:space="0" w:color="auto"/>
            </w:tcBorders>
          </w:tcPr>
          <w:p w:rsidR="00E27919" w:rsidRPr="00370E70" w:rsidRDefault="00E27919" w:rsidP="00B07551">
            <w:pPr>
              <w:spacing w:before="0" w:after="0"/>
              <w:rPr>
                <w:sz w:val="20"/>
                <w:szCs w:val="20"/>
              </w:rPr>
            </w:pPr>
            <w:r w:rsidRPr="00370E70">
              <w:rPr>
                <w:sz w:val="20"/>
                <w:szCs w:val="20"/>
              </w:rPr>
              <w:t>subtidal</w:t>
            </w:r>
          </w:p>
        </w:tc>
        <w:tc>
          <w:tcPr>
            <w:tcW w:w="1192"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30.0</w:t>
            </w:r>
          </w:p>
        </w:tc>
        <w:tc>
          <w:tcPr>
            <w:tcW w:w="1192"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19.6</w:t>
            </w:r>
          </w:p>
        </w:tc>
        <w:tc>
          <w:tcPr>
            <w:tcW w:w="1080"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34.3</w:t>
            </w:r>
          </w:p>
        </w:tc>
        <w:tc>
          <w:tcPr>
            <w:tcW w:w="1245"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22.8</w:t>
            </w:r>
          </w:p>
        </w:tc>
      </w:tr>
      <w:tr w:rsidR="00E27919" w:rsidRPr="00370E70" w:rsidTr="000F74AA">
        <w:trPr>
          <w:trHeight w:val="170"/>
        </w:trPr>
        <w:tc>
          <w:tcPr>
            <w:tcW w:w="1900" w:type="dxa"/>
            <w:vMerge/>
            <w:tcBorders>
              <w:bottom w:val="single" w:sz="4" w:space="0" w:color="auto"/>
            </w:tcBorders>
          </w:tcPr>
          <w:p w:rsidR="00E27919" w:rsidRPr="00370E70" w:rsidRDefault="00E27919" w:rsidP="00F51FC3">
            <w:pPr>
              <w:spacing w:before="0" w:after="0"/>
              <w:rPr>
                <w:sz w:val="20"/>
                <w:szCs w:val="20"/>
              </w:rPr>
            </w:pPr>
          </w:p>
        </w:tc>
        <w:tc>
          <w:tcPr>
            <w:tcW w:w="1564" w:type="dxa"/>
            <w:tcBorders>
              <w:bottom w:val="single" w:sz="4" w:space="0" w:color="auto"/>
            </w:tcBorders>
          </w:tcPr>
          <w:p w:rsidR="00E27919" w:rsidRPr="00370E70" w:rsidRDefault="00E27919" w:rsidP="00F51FC3">
            <w:pPr>
              <w:spacing w:before="0" w:after="0"/>
              <w:rPr>
                <w:sz w:val="20"/>
                <w:szCs w:val="20"/>
              </w:rPr>
            </w:pPr>
          </w:p>
        </w:tc>
        <w:tc>
          <w:tcPr>
            <w:tcW w:w="1054" w:type="dxa"/>
            <w:tcBorders>
              <w:bottom w:val="single" w:sz="4" w:space="0" w:color="auto"/>
            </w:tcBorders>
          </w:tcPr>
          <w:p w:rsidR="00E27919" w:rsidRPr="00370E70" w:rsidRDefault="00E27919" w:rsidP="00B07551">
            <w:pPr>
              <w:spacing w:before="0" w:after="0"/>
              <w:rPr>
                <w:sz w:val="20"/>
                <w:szCs w:val="20"/>
              </w:rPr>
            </w:pPr>
            <w:r w:rsidRPr="00370E70">
              <w:rPr>
                <w:sz w:val="20"/>
                <w:szCs w:val="20"/>
              </w:rPr>
              <w:t>intertidal</w:t>
            </w:r>
          </w:p>
        </w:tc>
        <w:tc>
          <w:tcPr>
            <w:tcW w:w="1192"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5.3</w:t>
            </w:r>
          </w:p>
        </w:tc>
        <w:tc>
          <w:tcPr>
            <w:tcW w:w="1192"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5.0</w:t>
            </w:r>
          </w:p>
        </w:tc>
        <w:tc>
          <w:tcPr>
            <w:tcW w:w="1080"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7.3</w:t>
            </w:r>
          </w:p>
        </w:tc>
        <w:tc>
          <w:tcPr>
            <w:tcW w:w="1245"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4.5</w:t>
            </w:r>
          </w:p>
        </w:tc>
      </w:tr>
      <w:tr w:rsidR="00E27919" w:rsidRPr="00370E70" w:rsidTr="000F74AA">
        <w:trPr>
          <w:trHeight w:val="170"/>
        </w:trPr>
        <w:tc>
          <w:tcPr>
            <w:tcW w:w="1900" w:type="dxa"/>
            <w:vMerge w:val="restart"/>
            <w:tcBorders>
              <w:top w:val="single" w:sz="4" w:space="0" w:color="auto"/>
            </w:tcBorders>
          </w:tcPr>
          <w:p w:rsidR="00E27919" w:rsidRPr="00370E70" w:rsidRDefault="00E27919" w:rsidP="00F51FC3">
            <w:pPr>
              <w:spacing w:before="0" w:after="0"/>
              <w:rPr>
                <w:sz w:val="20"/>
                <w:szCs w:val="20"/>
              </w:rPr>
            </w:pPr>
            <w:r w:rsidRPr="00370E70">
              <w:rPr>
                <w:sz w:val="20"/>
                <w:szCs w:val="20"/>
              </w:rPr>
              <w:t>Burdekin</w:t>
            </w:r>
          </w:p>
        </w:tc>
        <w:tc>
          <w:tcPr>
            <w:tcW w:w="1564" w:type="dxa"/>
            <w:tcBorders>
              <w:top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Picnic</w:t>
                </w:r>
              </w:smartTag>
              <w:r w:rsidRPr="00370E70">
                <w:rPr>
                  <w:sz w:val="20"/>
                  <w:szCs w:val="20"/>
                </w:rPr>
                <w:t xml:space="preserve"> </w:t>
              </w:r>
              <w:smartTag w:uri="urn:schemas-microsoft-com:office:smarttags" w:element="PlaceType">
                <w:r w:rsidRPr="00370E70">
                  <w:rPr>
                    <w:sz w:val="20"/>
                    <w:szCs w:val="20"/>
                  </w:rPr>
                  <w:t>Bay</w:t>
                </w:r>
              </w:smartTag>
            </w:smartTag>
          </w:p>
        </w:tc>
        <w:tc>
          <w:tcPr>
            <w:tcW w:w="1054" w:type="dxa"/>
            <w:tcBorders>
              <w:top w:val="single" w:sz="4" w:space="0" w:color="auto"/>
            </w:tcBorders>
          </w:tcPr>
          <w:p w:rsidR="00E27919" w:rsidRPr="00370E70" w:rsidRDefault="00E27919" w:rsidP="00B07551">
            <w:pPr>
              <w:spacing w:before="0" w:after="0"/>
              <w:rPr>
                <w:sz w:val="20"/>
                <w:szCs w:val="20"/>
              </w:rPr>
            </w:pPr>
            <w:r w:rsidRPr="00370E70">
              <w:rPr>
                <w:sz w:val="20"/>
                <w:szCs w:val="20"/>
              </w:rPr>
              <w:t>subtidal</w:t>
            </w:r>
          </w:p>
        </w:tc>
        <w:tc>
          <w:tcPr>
            <w:tcW w:w="1192"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43.1</w:t>
            </w:r>
          </w:p>
        </w:tc>
        <w:tc>
          <w:tcPr>
            <w:tcW w:w="1192"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24.5</w:t>
            </w:r>
          </w:p>
        </w:tc>
        <w:tc>
          <w:tcPr>
            <w:tcW w:w="1080" w:type="dxa"/>
            <w:tcBorders>
              <w:top w:val="single" w:sz="4" w:space="0" w:color="auto"/>
            </w:tcBorders>
          </w:tcPr>
          <w:p w:rsidR="00E27919" w:rsidRPr="00370E70" w:rsidRDefault="00E27919" w:rsidP="00E27919">
            <w:pPr>
              <w:spacing w:before="0" w:after="0"/>
              <w:jc w:val="center"/>
              <w:rPr>
                <w:sz w:val="20"/>
                <w:szCs w:val="20"/>
              </w:rPr>
            </w:pPr>
            <w:r w:rsidRPr="00370E70">
              <w:rPr>
                <w:sz w:val="20"/>
                <w:szCs w:val="20"/>
              </w:rPr>
              <w:t>55.4</w:t>
            </w:r>
          </w:p>
        </w:tc>
        <w:tc>
          <w:tcPr>
            <w:tcW w:w="1245" w:type="dxa"/>
            <w:tcBorders>
              <w:top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28.2</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bottom w:val="single" w:sz="4" w:space="0" w:color="auto"/>
            </w:tcBorders>
          </w:tcPr>
          <w:p w:rsidR="00E27919" w:rsidRPr="00370E70" w:rsidRDefault="00E27919" w:rsidP="00F51FC3">
            <w:pPr>
              <w:spacing w:before="0" w:after="0"/>
              <w:rPr>
                <w:sz w:val="20"/>
                <w:szCs w:val="20"/>
              </w:rPr>
            </w:pPr>
          </w:p>
        </w:tc>
        <w:tc>
          <w:tcPr>
            <w:tcW w:w="1054" w:type="dxa"/>
            <w:tcBorders>
              <w:bottom w:val="single" w:sz="4" w:space="0" w:color="auto"/>
            </w:tcBorders>
          </w:tcPr>
          <w:p w:rsidR="00E27919" w:rsidRPr="00370E70" w:rsidRDefault="00E27919" w:rsidP="00B07551">
            <w:pPr>
              <w:spacing w:before="0" w:after="0"/>
              <w:rPr>
                <w:sz w:val="20"/>
                <w:szCs w:val="20"/>
              </w:rPr>
            </w:pPr>
            <w:r w:rsidRPr="00370E70">
              <w:rPr>
                <w:sz w:val="20"/>
                <w:szCs w:val="20"/>
              </w:rPr>
              <w:t>intertidal</w:t>
            </w:r>
          </w:p>
        </w:tc>
        <w:tc>
          <w:tcPr>
            <w:tcW w:w="1192"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11.3</w:t>
            </w:r>
          </w:p>
        </w:tc>
        <w:tc>
          <w:tcPr>
            <w:tcW w:w="1192"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3.5</w:t>
            </w:r>
          </w:p>
        </w:tc>
        <w:tc>
          <w:tcPr>
            <w:tcW w:w="1080" w:type="dxa"/>
            <w:tcBorders>
              <w:bottom w:val="single" w:sz="4" w:space="0" w:color="auto"/>
            </w:tcBorders>
          </w:tcPr>
          <w:p w:rsidR="00E27919" w:rsidRPr="00370E70" w:rsidRDefault="00E27919" w:rsidP="00E27919">
            <w:pPr>
              <w:spacing w:before="0" w:after="0"/>
              <w:jc w:val="center"/>
              <w:rPr>
                <w:sz w:val="20"/>
                <w:szCs w:val="20"/>
              </w:rPr>
            </w:pPr>
            <w:r w:rsidRPr="00370E70">
              <w:rPr>
                <w:sz w:val="20"/>
                <w:szCs w:val="20"/>
              </w:rPr>
              <w:t>17.2</w:t>
            </w:r>
          </w:p>
        </w:tc>
        <w:tc>
          <w:tcPr>
            <w:tcW w:w="1245" w:type="dxa"/>
            <w:tcBorders>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2.2</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Shelley Beach</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c>
          <w:tcPr>
            <w:tcW w:w="1080"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Bushland</w:t>
                </w:r>
              </w:smartTag>
              <w:r w:rsidRPr="00370E70">
                <w:rPr>
                  <w:sz w:val="20"/>
                  <w:szCs w:val="20"/>
                </w:rPr>
                <w:t xml:space="preserve"> </w:t>
              </w:r>
              <w:smartTag w:uri="urn:schemas-microsoft-com:office:smarttags" w:element="PlaceType">
                <w:r w:rsidRPr="00370E70">
                  <w:rPr>
                    <w:sz w:val="20"/>
                    <w:szCs w:val="20"/>
                  </w:rPr>
                  <w:t>Beach</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58.3</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58.1</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84.2</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79.3</w:t>
            </w:r>
          </w:p>
        </w:tc>
      </w:tr>
      <w:tr w:rsidR="00E27919" w:rsidRPr="00370E70" w:rsidTr="000F74AA">
        <w:trPr>
          <w:trHeight w:val="170"/>
        </w:trPr>
        <w:tc>
          <w:tcPr>
            <w:tcW w:w="1900" w:type="dxa"/>
            <w:vMerge/>
            <w:tcBorders>
              <w:bottom w:val="single" w:sz="4" w:space="0" w:color="auto"/>
            </w:tcBorders>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Cockle</w:t>
                </w:r>
              </w:smartTag>
              <w:r w:rsidRPr="00370E70">
                <w:rPr>
                  <w:sz w:val="20"/>
                  <w:szCs w:val="20"/>
                </w:rPr>
                <w:t xml:space="preserve"> </w:t>
              </w:r>
              <w:smartTag w:uri="urn:schemas-microsoft-com:office:smarttags" w:element="PlaceType">
                <w:r w:rsidRPr="00370E70">
                  <w:rPr>
                    <w:sz w:val="20"/>
                    <w:szCs w:val="20"/>
                  </w:rPr>
                  <w:t>Bay</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9.3</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4.6</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10.2</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5.5</w:t>
            </w:r>
          </w:p>
        </w:tc>
      </w:tr>
      <w:tr w:rsidR="00E27919" w:rsidRPr="00370E70" w:rsidTr="000F74AA">
        <w:trPr>
          <w:trHeight w:val="170"/>
        </w:trPr>
        <w:tc>
          <w:tcPr>
            <w:tcW w:w="1900" w:type="dxa"/>
            <w:vMerge w:val="restart"/>
            <w:tcBorders>
              <w:top w:val="single" w:sz="4" w:space="0" w:color="auto"/>
            </w:tcBorders>
          </w:tcPr>
          <w:p w:rsidR="00E27919" w:rsidRPr="00370E70" w:rsidRDefault="00E27919" w:rsidP="00F51FC3">
            <w:pPr>
              <w:spacing w:before="0" w:after="0"/>
              <w:rPr>
                <w:sz w:val="20"/>
                <w:szCs w:val="20"/>
              </w:rPr>
            </w:pPr>
            <w:r w:rsidRPr="00370E70">
              <w:rPr>
                <w:sz w:val="20"/>
                <w:szCs w:val="20"/>
              </w:rPr>
              <w:t>Mackay Whitsunday</w:t>
            </w: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Pioneer</w:t>
                </w:r>
              </w:smartTag>
              <w:r w:rsidRPr="00370E70">
                <w:rPr>
                  <w:sz w:val="20"/>
                  <w:szCs w:val="20"/>
                </w:rPr>
                <w:t xml:space="preserve"> </w:t>
              </w:r>
              <w:smartTag w:uri="urn:schemas-microsoft-com:office:smarttags" w:element="PlaceType">
                <w:r w:rsidRPr="00370E70">
                  <w:rPr>
                    <w:sz w:val="20"/>
                    <w:szCs w:val="20"/>
                  </w:rPr>
                  <w:t>Bay</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32.4</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30.0</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56.0</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60.7</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Hamilton</w:t>
                </w:r>
              </w:smartTag>
              <w:r w:rsidRPr="00370E70">
                <w:rPr>
                  <w:sz w:val="20"/>
                  <w:szCs w:val="20"/>
                </w:rPr>
                <w:t xml:space="preserve"> </w:t>
              </w:r>
              <w:smartTag w:uri="urn:schemas-microsoft-com:office:smarttags" w:element="PlaceType">
                <w:r w:rsidRPr="00370E70">
                  <w:rPr>
                    <w:sz w:val="20"/>
                    <w:szCs w:val="20"/>
                  </w:rPr>
                  <w:t>Island</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15.0</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20.5</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9.7</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8.2</w:t>
            </w:r>
          </w:p>
        </w:tc>
      </w:tr>
      <w:tr w:rsidR="00E27919" w:rsidRPr="00370E70" w:rsidTr="000F74AA">
        <w:trPr>
          <w:trHeight w:val="170"/>
        </w:trPr>
        <w:tc>
          <w:tcPr>
            <w:tcW w:w="1900" w:type="dxa"/>
            <w:vMerge/>
            <w:tcBorders>
              <w:bottom w:val="single" w:sz="4" w:space="0" w:color="auto"/>
            </w:tcBorders>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Sarina Inlet</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28.2</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16.7</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35.4**</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NA</w:t>
            </w:r>
          </w:p>
        </w:tc>
      </w:tr>
      <w:tr w:rsidR="00E27919" w:rsidRPr="00370E70" w:rsidTr="000F74AA">
        <w:trPr>
          <w:trHeight w:val="170"/>
        </w:trPr>
        <w:tc>
          <w:tcPr>
            <w:tcW w:w="1900" w:type="dxa"/>
            <w:vMerge w:val="restart"/>
            <w:tcBorders>
              <w:top w:val="single" w:sz="4" w:space="0" w:color="auto"/>
            </w:tcBorders>
          </w:tcPr>
          <w:p w:rsidR="00E27919" w:rsidRPr="00370E70" w:rsidRDefault="00E27919" w:rsidP="00F51FC3">
            <w:pPr>
              <w:spacing w:before="0" w:after="0"/>
              <w:rPr>
                <w:sz w:val="20"/>
                <w:szCs w:val="20"/>
              </w:rPr>
            </w:pPr>
            <w:r w:rsidRPr="00370E70">
              <w:rPr>
                <w:sz w:val="20"/>
                <w:szCs w:val="20"/>
              </w:rPr>
              <w:t>Fitzroy</w:t>
            </w: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Shoalwater</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4.3</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4.3</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7.7</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10.3</w:t>
            </w:r>
          </w:p>
        </w:tc>
      </w:tr>
      <w:tr w:rsidR="00E27919" w:rsidRPr="00370E70" w:rsidTr="000F74AA">
        <w:trPr>
          <w:trHeight w:val="170"/>
        </w:trPr>
        <w:tc>
          <w:tcPr>
            <w:tcW w:w="1900" w:type="dxa"/>
            <w:vMerge/>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Great Keppel Is</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c>
          <w:tcPr>
            <w:tcW w:w="1080"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r>
      <w:tr w:rsidR="00E27919" w:rsidRPr="00370E70" w:rsidTr="000F74AA">
        <w:trPr>
          <w:trHeight w:val="170"/>
        </w:trPr>
        <w:tc>
          <w:tcPr>
            <w:tcW w:w="1900" w:type="dxa"/>
            <w:vMerge/>
            <w:tcBorders>
              <w:bottom w:val="single" w:sz="4" w:space="0" w:color="auto"/>
            </w:tcBorders>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City">
                <w:r w:rsidRPr="00370E70">
                  <w:rPr>
                    <w:sz w:val="20"/>
                    <w:szCs w:val="20"/>
                  </w:rPr>
                  <w:t>Gladstone</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c>
          <w:tcPr>
            <w:tcW w:w="1080" w:type="dxa"/>
            <w:tcBorders>
              <w:top w:val="single" w:sz="4" w:space="0" w:color="auto"/>
              <w:bottom w:val="single" w:sz="4" w:space="0" w:color="auto"/>
            </w:tcBorders>
          </w:tcPr>
          <w:p w:rsidR="00E27919" w:rsidRPr="00370E70" w:rsidRDefault="00E27919" w:rsidP="00E27919">
            <w:pPr>
              <w:spacing w:before="0" w:after="0"/>
              <w:jc w:val="center"/>
              <w:rPr>
                <w:i/>
                <w:sz w:val="20"/>
                <w:szCs w:val="20"/>
              </w:rPr>
            </w:pPr>
            <w:r w:rsidRPr="00370E70">
              <w:rPr>
                <w:i/>
                <w:sz w:val="20"/>
                <w:szCs w:val="20"/>
              </w:rPr>
              <w:t>NA</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i/>
                <w:sz w:val="20"/>
                <w:szCs w:val="20"/>
              </w:rPr>
            </w:pPr>
            <w:r w:rsidRPr="00370E70">
              <w:rPr>
                <w:i/>
                <w:sz w:val="20"/>
                <w:szCs w:val="20"/>
              </w:rPr>
              <w:t>NA</w:t>
            </w:r>
          </w:p>
        </w:tc>
      </w:tr>
      <w:tr w:rsidR="00E27919" w:rsidRPr="00370E70" w:rsidTr="000F74AA">
        <w:trPr>
          <w:trHeight w:val="170"/>
        </w:trPr>
        <w:tc>
          <w:tcPr>
            <w:tcW w:w="1900" w:type="dxa"/>
            <w:vMerge w:val="restart"/>
            <w:tcBorders>
              <w:top w:val="single" w:sz="4" w:space="0" w:color="auto"/>
            </w:tcBorders>
          </w:tcPr>
          <w:p w:rsidR="00E27919" w:rsidRPr="00370E70" w:rsidRDefault="00E27919" w:rsidP="00F51FC3">
            <w:pPr>
              <w:spacing w:before="0" w:after="0"/>
              <w:rPr>
                <w:sz w:val="20"/>
                <w:szCs w:val="20"/>
              </w:rPr>
            </w:pPr>
            <w:r w:rsidRPr="00370E70">
              <w:rPr>
                <w:sz w:val="20"/>
                <w:szCs w:val="20"/>
              </w:rPr>
              <w:t>Burnett Mary</w:t>
            </w: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smartTag w:uri="urn:schemas-microsoft-com:office:smarttags" w:element="place">
              <w:smartTag w:uri="urn:schemas-microsoft-com:office:smarttags" w:element="PlaceName">
                <w:r w:rsidRPr="00370E70">
                  <w:rPr>
                    <w:sz w:val="20"/>
                    <w:szCs w:val="20"/>
                  </w:rPr>
                  <w:t>Rodds</w:t>
                </w:r>
              </w:smartTag>
              <w:r w:rsidRPr="00370E70">
                <w:rPr>
                  <w:sz w:val="20"/>
                  <w:szCs w:val="20"/>
                </w:rPr>
                <w:t xml:space="preserve"> </w:t>
              </w:r>
              <w:smartTag w:uri="urn:schemas-microsoft-com:office:smarttags" w:element="PlaceType">
                <w:r w:rsidRPr="00370E70">
                  <w:rPr>
                    <w:sz w:val="20"/>
                    <w:szCs w:val="20"/>
                  </w:rPr>
                  <w:t>Bay</w:t>
                </w:r>
              </w:smartTag>
            </w:smartTag>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1.4</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0</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NA</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NA</w:t>
            </w:r>
          </w:p>
        </w:tc>
      </w:tr>
      <w:tr w:rsidR="00E27919" w:rsidRPr="00370E70" w:rsidTr="000F74AA">
        <w:trPr>
          <w:trHeight w:val="170"/>
        </w:trPr>
        <w:tc>
          <w:tcPr>
            <w:tcW w:w="1900" w:type="dxa"/>
            <w:vMerge/>
            <w:tcBorders>
              <w:bottom w:val="single" w:sz="4" w:space="0" w:color="auto"/>
            </w:tcBorders>
          </w:tcPr>
          <w:p w:rsidR="00E27919" w:rsidRPr="00370E70" w:rsidRDefault="00E27919" w:rsidP="00F51FC3">
            <w:pPr>
              <w:spacing w:before="0" w:after="0"/>
              <w:rPr>
                <w:sz w:val="20"/>
                <w:szCs w:val="20"/>
              </w:rPr>
            </w:pPr>
          </w:p>
        </w:tc>
        <w:tc>
          <w:tcPr>
            <w:tcW w:w="156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Urangan</w:t>
            </w:r>
          </w:p>
        </w:tc>
        <w:tc>
          <w:tcPr>
            <w:tcW w:w="1054" w:type="dxa"/>
            <w:tcBorders>
              <w:top w:val="single" w:sz="4" w:space="0" w:color="auto"/>
              <w:bottom w:val="single" w:sz="4" w:space="0" w:color="auto"/>
            </w:tcBorders>
          </w:tcPr>
          <w:p w:rsidR="00E27919" w:rsidRPr="00370E70" w:rsidRDefault="00E27919" w:rsidP="00F51FC3">
            <w:pPr>
              <w:spacing w:before="0" w:after="0"/>
              <w:rPr>
                <w:sz w:val="20"/>
                <w:szCs w:val="20"/>
              </w:rPr>
            </w:pPr>
            <w:r w:rsidRPr="00370E70">
              <w:rPr>
                <w:sz w:val="20"/>
                <w:szCs w:val="20"/>
              </w:rPr>
              <w:t>intertidal</w:t>
            </w:r>
          </w:p>
        </w:tc>
        <w:tc>
          <w:tcPr>
            <w:tcW w:w="1192"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22.2</w:t>
            </w:r>
          </w:p>
        </w:tc>
        <w:tc>
          <w:tcPr>
            <w:tcW w:w="1192"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16.2</w:t>
            </w:r>
          </w:p>
        </w:tc>
        <w:tc>
          <w:tcPr>
            <w:tcW w:w="1080" w:type="dxa"/>
            <w:tcBorders>
              <w:top w:val="single" w:sz="4" w:space="0" w:color="auto"/>
              <w:bottom w:val="single" w:sz="4" w:space="0" w:color="auto"/>
            </w:tcBorders>
          </w:tcPr>
          <w:p w:rsidR="00E27919" w:rsidRPr="00370E70" w:rsidRDefault="00E27919" w:rsidP="00E27919">
            <w:pPr>
              <w:spacing w:before="0" w:after="0"/>
              <w:jc w:val="center"/>
              <w:rPr>
                <w:sz w:val="20"/>
                <w:szCs w:val="20"/>
              </w:rPr>
            </w:pPr>
            <w:r w:rsidRPr="00370E70">
              <w:rPr>
                <w:sz w:val="20"/>
                <w:szCs w:val="20"/>
              </w:rPr>
              <w:t>41.2</w:t>
            </w:r>
          </w:p>
        </w:tc>
        <w:tc>
          <w:tcPr>
            <w:tcW w:w="1245" w:type="dxa"/>
            <w:tcBorders>
              <w:top w:val="single" w:sz="4" w:space="0" w:color="auto"/>
              <w:bottom w:val="single" w:sz="4" w:space="0" w:color="auto"/>
            </w:tcBorders>
            <w:shd w:val="clear" w:color="auto" w:fill="E6E6E6"/>
          </w:tcPr>
          <w:p w:rsidR="00E27919" w:rsidRPr="00370E70" w:rsidRDefault="00E27919" w:rsidP="00E27919">
            <w:pPr>
              <w:spacing w:before="0" w:after="0"/>
              <w:jc w:val="center"/>
              <w:rPr>
                <w:sz w:val="20"/>
                <w:szCs w:val="20"/>
              </w:rPr>
            </w:pPr>
            <w:r w:rsidRPr="00370E70">
              <w:rPr>
                <w:sz w:val="20"/>
                <w:szCs w:val="20"/>
              </w:rPr>
              <w:t>38.3</w:t>
            </w:r>
          </w:p>
        </w:tc>
      </w:tr>
    </w:tbl>
    <w:p w:rsidR="005132EF" w:rsidRPr="00370E70" w:rsidRDefault="005132EF" w:rsidP="00F51FC3">
      <w:pPr>
        <w:spacing w:before="0"/>
        <w:jc w:val="right"/>
        <w:rPr>
          <w:rFonts w:ascii="Arial Narrow" w:hAnsi="Arial Narrow"/>
          <w:i/>
          <w:sz w:val="16"/>
          <w:szCs w:val="16"/>
        </w:rPr>
      </w:pPr>
      <w:r w:rsidRPr="00370E70">
        <w:rPr>
          <w:rFonts w:ascii="Arial Narrow" w:hAnsi="Arial Narrow"/>
          <w:i/>
          <w:sz w:val="16"/>
          <w:szCs w:val="16"/>
        </w:rPr>
        <w:t>**2010 wet season data only</w:t>
      </w:r>
    </w:p>
    <w:p w:rsidR="005132EF" w:rsidRPr="00370E70" w:rsidRDefault="007B15AB" w:rsidP="0030647E">
      <w:pPr>
        <w:keepNext/>
        <w:spacing w:before="0" w:after="0"/>
        <w:jc w:val="center"/>
      </w:pPr>
      <w:r>
        <w:rPr>
          <w:noProof/>
          <w:lang w:eastAsia="en-AU"/>
        </w:rPr>
        <w:drawing>
          <wp:inline distT="0" distB="0" distL="0" distR="0">
            <wp:extent cx="3683635" cy="1442720"/>
            <wp:effectExtent l="0" t="0" r="0" b="5080"/>
            <wp:docPr id="32" name="Picture 59" descr="Figure showing annual average (2009-2012) and 2011-2012 reporting period average turbidity for seagrass meadows where turbidity loggers were deploy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Figure showing annual average (2009-2012) and 2011-2012 reporting period average turbidity for seagrass meadows where turbidity loggers were deployed"/>
                    <pic:cNvPicPr>
                      <a:picLocks noChangeAspect="1" noChangeArrowheads="1"/>
                    </pic:cNvPicPr>
                  </pic:nvPicPr>
                  <pic:blipFill>
                    <a:blip r:embed="rId57">
                      <a:extLst>
                        <a:ext uri="{28A0092B-C50C-407E-A947-70E740481C1C}">
                          <a14:useLocalDpi xmlns:a14="http://schemas.microsoft.com/office/drawing/2010/main" val="0"/>
                        </a:ext>
                      </a:extLst>
                    </a:blip>
                    <a:srcRect b="1781"/>
                    <a:stretch>
                      <a:fillRect/>
                    </a:stretch>
                  </pic:blipFill>
                  <pic:spPr bwMode="auto">
                    <a:xfrm>
                      <a:off x="0" y="0"/>
                      <a:ext cx="3683635" cy="1442720"/>
                    </a:xfrm>
                    <a:prstGeom prst="rect">
                      <a:avLst/>
                    </a:prstGeom>
                    <a:noFill/>
                    <a:ln>
                      <a:noFill/>
                    </a:ln>
                  </pic:spPr>
                </pic:pic>
              </a:graphicData>
            </a:graphic>
          </wp:inline>
        </w:drawing>
      </w:r>
    </w:p>
    <w:p w:rsidR="005132EF" w:rsidRPr="00370E70" w:rsidRDefault="007B15AB" w:rsidP="0030647E">
      <w:pPr>
        <w:keepNext/>
        <w:spacing w:before="0" w:after="0"/>
        <w:jc w:val="center"/>
      </w:pPr>
      <w:r>
        <w:rPr>
          <w:noProof/>
          <w:lang w:eastAsia="en-AU"/>
        </w:rPr>
        <w:drawing>
          <wp:inline distT="0" distB="0" distL="0" distR="0">
            <wp:extent cx="3618865" cy="1442720"/>
            <wp:effectExtent l="0" t="0" r="635" b="5080"/>
            <wp:docPr id="33" name="Picture 58" descr="Figure showing annual average (2009-2012) and 2011-2012 reporting period average turbidity for seagrass meadows where threshold were excee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Figure showing annual average (2009-2012) and 2011-2012 reporting period average turbidity for seagrass meadows where threshold were exceed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618865" cy="1442720"/>
                    </a:xfrm>
                    <a:prstGeom prst="rect">
                      <a:avLst/>
                    </a:prstGeom>
                    <a:noFill/>
                    <a:ln>
                      <a:noFill/>
                    </a:ln>
                  </pic:spPr>
                </pic:pic>
              </a:graphicData>
            </a:graphic>
          </wp:inline>
        </w:drawing>
      </w:r>
    </w:p>
    <w:p w:rsidR="0033652B" w:rsidRPr="00370E70" w:rsidRDefault="005132EF" w:rsidP="0033652B">
      <w:pPr>
        <w:pStyle w:val="Caption"/>
        <w:rPr>
          <w:i/>
          <w:vanish/>
          <w:color w:val="000000"/>
          <w:szCs w:val="22"/>
          <w:lang w:val="en-AU"/>
          <w:specVanish/>
        </w:rPr>
      </w:pPr>
      <w:bookmarkStart w:id="180" w:name="_Toc38419637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23</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Annual average turbidity (2009-2012) and 2011-2012 reporting period average turbidity for seagrass meadows where turbidity loggers </w:t>
      </w:r>
      <w:r w:rsidR="001B2E78" w:rsidRPr="00370E70">
        <w:rPr>
          <w:i/>
          <w:lang w:val="en-AU"/>
        </w:rPr>
        <w:t>we</w:t>
      </w:r>
      <w:r w:rsidRPr="00370E70">
        <w:rPr>
          <w:i/>
          <w:lang w:val="en-AU"/>
        </w:rPr>
        <w:t>re deployed (top) and threshold exce</w:t>
      </w:r>
      <w:r w:rsidR="002C6536" w:rsidRPr="00370E70">
        <w:rPr>
          <w:i/>
          <w:lang w:val="en-AU"/>
        </w:rPr>
        <w:t>e</w:t>
      </w:r>
      <w:r w:rsidRPr="00370E70">
        <w:rPr>
          <w:i/>
          <w:lang w:val="en-AU"/>
        </w:rPr>
        <w:t>dance (bottom).</w:t>
      </w:r>
      <w:bookmarkEnd w:id="180"/>
    </w:p>
    <w:p w:rsidR="0033652B" w:rsidRPr="00370E70" w:rsidRDefault="005132EF" w:rsidP="0033652B">
      <w:pPr>
        <w:pStyle w:val="Caption"/>
        <w:rPr>
          <w:i/>
          <w:lang w:val="en-AU"/>
        </w:rPr>
      </w:pPr>
      <w:r w:rsidRPr="00370E70">
        <w:rPr>
          <w:i/>
          <w:lang w:val="en-AU"/>
        </w:rPr>
        <w:t xml:space="preserve"> Note, the turbidity logger at </w:t>
      </w:r>
      <w:smartTag w:uri="urn:schemas-microsoft-com:office:smarttags" w:element="place">
        <w:smartTag w:uri="urn:schemas-microsoft-com:office:smarttags" w:element="PlaceName">
          <w:r w:rsidRPr="00370E70">
            <w:rPr>
              <w:i/>
              <w:lang w:val="en-AU"/>
            </w:rPr>
            <w:t>Dunk</w:t>
          </w:r>
        </w:smartTag>
        <w:r w:rsidRPr="00370E70">
          <w:rPr>
            <w:i/>
            <w:lang w:val="en-AU"/>
          </w:rPr>
          <w:t xml:space="preserve"> </w:t>
        </w:r>
        <w:smartTag w:uri="urn:schemas-microsoft-com:office:smarttags" w:element="PlaceType">
          <w:r w:rsidRPr="00370E70">
            <w:rPr>
              <w:i/>
              <w:lang w:val="en-AU"/>
            </w:rPr>
            <w:t>Island</w:t>
          </w:r>
        </w:smartTag>
      </w:smartTag>
      <w:r w:rsidRPr="00370E70">
        <w:rPr>
          <w:i/>
          <w:lang w:val="en-AU"/>
        </w:rPr>
        <w:t xml:space="preserve"> went missing after TC Yasi in 2011, so no data exists for the current reporting period. Turbidity threshold value (1.54 NTU) was derived by transforming the suspended solids trigger value (see </w:t>
      </w:r>
      <w:hyperlink w:anchor="_ENREF_170" w:tooltip="Schaffelke, 2009 #9788" w:history="1">
        <w:r w:rsidR="00964A70" w:rsidRPr="00370E70">
          <w:rPr>
            <w:i/>
            <w:lang w:val="en-AU"/>
          </w:rPr>
          <w:fldChar w:fldCharType="begin"/>
        </w:r>
        <w:r w:rsidR="00964A70" w:rsidRPr="00370E70">
          <w:rPr>
            <w:i/>
            <w:lang w:val="en-AU"/>
          </w:rPr>
          <w:instrText xml:space="preserve"> ADDIN EN.CITE &lt;EndNote&gt;&lt;Cite&gt;&lt;Author&gt;Schaffelke&lt;/Author&gt;&lt;Year&gt;2009&lt;/Year&gt;&lt;RecNum&gt;9788&lt;/RecNum&gt;&lt;DisplayText&gt;Schaffelke&lt;style face="italic"&gt; et al.&lt;/style&gt; 2009&lt;/DisplayText&gt;&lt;record&gt;&lt;rec-number&gt;9788&lt;/rec-number&gt;&lt;foreign-keys&gt;&lt;key app="EN" db-id="0eve55x9y5vfd6e9dacxtew4eatve2dzds9a"&gt;9788&lt;/key&gt;&lt;/foreign-keys&gt;&lt;ref-type name="Book"&gt;6&lt;/ref-type&gt;&lt;contributors&gt;&lt;authors&gt;&lt;author&gt;Schaffelke, Britta&lt;/author&gt;&lt;author&gt;Thompson, Angus&lt;/author&gt;&lt;author&gt;Carleton, J&lt;/author&gt;&lt;author&gt;Davidson,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2008/09. Report for Reef and Rainforest Research Centre. &lt;/title&gt;&lt;/titles&gt;&lt;section&gt;146&lt;/section&gt;&lt;dates&gt;&lt;year&gt;2009&lt;/year&gt;&lt;/dates&gt;&lt;pub-location&gt;Townsville&lt;/pub-location&gt;&lt;publisher&gt;Australian Institute of Marine Science&lt;/publisher&gt;&lt;urls&gt;&lt;/urls&gt;&lt;/record&gt;&lt;/Cite&gt;&lt;/EndNote&gt;</w:instrText>
        </w:r>
        <w:r w:rsidR="00964A70" w:rsidRPr="00370E70">
          <w:rPr>
            <w:i/>
            <w:lang w:val="en-AU"/>
          </w:rPr>
          <w:fldChar w:fldCharType="separate"/>
        </w:r>
        <w:r w:rsidR="00964A70" w:rsidRPr="00370E70">
          <w:rPr>
            <w:i/>
            <w:noProof/>
            <w:lang w:val="en-AU"/>
          </w:rPr>
          <w:t>Schaffelke et al. 2009</w:t>
        </w:r>
        <w:r w:rsidR="00964A70" w:rsidRPr="00370E70">
          <w:rPr>
            <w:i/>
            <w:lang w:val="en-AU"/>
          </w:rPr>
          <w:fldChar w:fldCharType="end"/>
        </w:r>
      </w:hyperlink>
      <w:r w:rsidRPr="00370E70">
        <w:rPr>
          <w:i/>
          <w:lang w:val="en-AU"/>
        </w:rPr>
        <w:t xml:space="preserve">). </w:t>
      </w:r>
    </w:p>
    <w:p w:rsidR="00690F2B" w:rsidRPr="00370E70" w:rsidRDefault="00690F2B" w:rsidP="00690F2B"/>
    <w:p w:rsidR="00564242" w:rsidRPr="00370E70" w:rsidRDefault="00564242" w:rsidP="00564242">
      <w:r w:rsidRPr="00370E70">
        <w:lastRenderedPageBreak/>
        <w:t xml:space="preserve">The relationship between changes in seagrass cover and light availability at three of the subtidal monitoring sites </w:t>
      </w:r>
      <w:r w:rsidR="00FD67B5" w:rsidRPr="00370E70">
        <w:t xml:space="preserve">(Green, Dunk and Magnetic Islands) </w:t>
      </w:r>
      <w:r w:rsidRPr="00370E70">
        <w:t xml:space="preserve">was described in Collier </w:t>
      </w:r>
      <w:r w:rsidRPr="00370E70">
        <w:rPr>
          <w:i/>
        </w:rPr>
        <w:t>et al.</w:t>
      </w:r>
      <w:r w:rsidRPr="00370E70">
        <w:t xml:space="preserve"> (</w:t>
      </w:r>
      <w:hyperlink w:anchor="_ENREF_45" w:tooltip="Collier, 2012 #9288" w:history="1">
        <w:r w:rsidR="00964A70" w:rsidRPr="00370E70">
          <w:fldChar w:fldCharType="begin"/>
        </w:r>
        <w:r w:rsidR="00964A70" w:rsidRPr="00370E70">
          <w:instrText xml:space="preserve"> ADDIN EN.CITE &lt;EndNote&gt;&lt;Cite ExcludeAuth="1"&gt;&lt;Author&gt;Collier&lt;/Author&gt;&lt;Year&gt;2012&lt;/Year&gt;&lt;RecNum&gt;9288&lt;/RecNum&gt;&lt;DisplayText&gt;2012b&lt;/DisplayText&gt;&lt;record&gt;&lt;rec-number&gt;9288&lt;/rec-number&gt;&lt;foreign-keys&gt;&lt;key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fldChar w:fldCharType="separate"/>
        </w:r>
        <w:r w:rsidR="00964A70" w:rsidRPr="00370E70">
          <w:rPr>
            <w:noProof/>
          </w:rPr>
          <w:t>2012b</w:t>
        </w:r>
        <w:r w:rsidR="00964A70" w:rsidRPr="00370E70">
          <w:fldChar w:fldCharType="end"/>
        </w:r>
      </w:hyperlink>
      <w:r w:rsidRPr="00370E70">
        <w:t xml:space="preserve">). This analysis was conducted for 2008 to 2011 when there was flood-driven loss of seagrass. In this analysis, three light metrics were related to changes in seagrass cover. </w:t>
      </w:r>
      <w:r w:rsidR="00FD67B5" w:rsidRPr="00370E70">
        <w:t xml:space="preserve">The </w:t>
      </w:r>
      <w:r w:rsidRPr="00370E70">
        <w:t>relationship between daily light and changes in abundance</w:t>
      </w:r>
      <w:r w:rsidR="00FD67B5" w:rsidRPr="00370E70">
        <w:t xml:space="preserve"> is presented below (</w:t>
      </w:r>
      <w:r w:rsidR="00FD67B5" w:rsidRPr="00370E70">
        <w:fldChar w:fldCharType="begin"/>
      </w:r>
      <w:r w:rsidR="00FD67B5" w:rsidRPr="00370E70">
        <w:instrText xml:space="preserve"> REF _Ref383363692 \h </w:instrText>
      </w:r>
      <w:r w:rsidR="00FD67B5" w:rsidRPr="00370E70">
        <w:fldChar w:fldCharType="separate"/>
      </w:r>
      <w:r w:rsidR="005B5FD6" w:rsidRPr="00370E70">
        <w:t xml:space="preserve">Figure </w:t>
      </w:r>
      <w:r w:rsidR="005B5FD6">
        <w:rPr>
          <w:noProof/>
        </w:rPr>
        <w:t>24</w:t>
      </w:r>
      <w:r w:rsidR="00FD67B5" w:rsidRPr="00370E70">
        <w:fldChar w:fldCharType="end"/>
      </w:r>
      <w:r w:rsidR="00FD67B5" w:rsidRPr="00370E70">
        <w:t>)</w:t>
      </w:r>
      <w:r w:rsidRPr="00370E70">
        <w:t>. The other light metrics (days below 3 mol m</w:t>
      </w:r>
      <w:r w:rsidRPr="00370E70">
        <w:rPr>
          <w:vertAlign w:val="superscript"/>
        </w:rPr>
        <w:t>-2</w:t>
      </w:r>
      <w:r w:rsidRPr="00370E70">
        <w:t xml:space="preserve"> d</w:t>
      </w:r>
      <w:r w:rsidRPr="00370E70">
        <w:rPr>
          <w:vertAlign w:val="superscript"/>
        </w:rPr>
        <w:t>-1</w:t>
      </w:r>
      <w:r w:rsidRPr="00370E70">
        <w:t>, and H</w:t>
      </w:r>
      <w:r w:rsidRPr="00370E70">
        <w:rPr>
          <w:vertAlign w:val="subscript"/>
        </w:rPr>
        <w:t>sat</w:t>
      </w:r>
      <w:r w:rsidRPr="00370E70">
        <w:t>), showed even stronger relationships with changing seagrass abundance, however</w:t>
      </w:r>
      <w:r w:rsidR="00DF7AAF" w:rsidRPr="00370E70">
        <w:t>,</w:t>
      </w:r>
      <w:r w:rsidRPr="00370E70">
        <w:t xml:space="preserve"> these are not presented here as the methodology for their calculation is not included as part of the methods for the MMP. When the same analysis was </w:t>
      </w:r>
      <w:r w:rsidR="00FD67B5" w:rsidRPr="00370E70">
        <w:t>applied</w:t>
      </w:r>
      <w:r w:rsidRPr="00370E70">
        <w:t xml:space="preserve"> for </w:t>
      </w:r>
      <w:r w:rsidR="00FD67B5" w:rsidRPr="00370E70">
        <w:t>the paired</w:t>
      </w:r>
      <w:r w:rsidRPr="00370E70">
        <w:t xml:space="preserve"> intertidal sites, the relationships were not as clear (poor correlation, </w:t>
      </w:r>
      <w:r w:rsidR="00DF7AAF" w:rsidRPr="00370E70">
        <w:fldChar w:fldCharType="begin"/>
      </w:r>
      <w:r w:rsidR="00DF7AAF" w:rsidRPr="00370E70">
        <w:instrText xml:space="preserve"> REF _Ref383363973 \h </w:instrText>
      </w:r>
      <w:r w:rsidR="00DF7AAF" w:rsidRPr="00370E70">
        <w:fldChar w:fldCharType="separate"/>
      </w:r>
      <w:r w:rsidR="005B5FD6" w:rsidRPr="00370E70">
        <w:t xml:space="preserve">Figure </w:t>
      </w:r>
      <w:r w:rsidR="005B5FD6">
        <w:rPr>
          <w:noProof/>
        </w:rPr>
        <w:t>25</w:t>
      </w:r>
      <w:r w:rsidR="00DF7AAF" w:rsidRPr="00370E70">
        <w:fldChar w:fldCharType="end"/>
      </w:r>
      <w:r w:rsidRPr="00370E70">
        <w:t xml:space="preserve">). This is likely </w:t>
      </w:r>
      <w:r w:rsidR="00FD67B5" w:rsidRPr="00370E70">
        <w:t>a consequence of</w:t>
      </w:r>
      <w:r w:rsidRPr="00370E70">
        <w:t xml:space="preserve"> the light metrics </w:t>
      </w:r>
      <w:r w:rsidR="00FD67B5" w:rsidRPr="00370E70">
        <w:t>tested</w:t>
      </w:r>
      <w:r w:rsidRPr="00370E70">
        <w:t xml:space="preserve">, rather than </w:t>
      </w:r>
      <w:r w:rsidR="00FD67B5" w:rsidRPr="00370E70">
        <w:t>the</w:t>
      </w:r>
      <w:r w:rsidRPr="00370E70">
        <w:t xml:space="preserve"> absence of </w:t>
      </w:r>
      <w:r w:rsidR="00FD67B5" w:rsidRPr="00370E70">
        <w:t>a</w:t>
      </w:r>
      <w:r w:rsidRPr="00370E70">
        <w:t xml:space="preserve"> </w:t>
      </w:r>
      <w:r w:rsidR="00FD67B5" w:rsidRPr="00370E70">
        <w:t xml:space="preserve">relationship </w:t>
      </w:r>
      <w:r w:rsidRPr="00370E70">
        <w:t>between light levels and changing abundance. For example, daily light (I</w:t>
      </w:r>
      <w:r w:rsidRPr="00370E70">
        <w:rPr>
          <w:vertAlign w:val="subscript"/>
        </w:rPr>
        <w:t>d</w:t>
      </w:r>
      <w:r w:rsidRPr="00370E70">
        <w:t xml:space="preserve">) includes high light levels occurring before, during and after </w:t>
      </w:r>
      <w:r w:rsidR="00DF7AAF" w:rsidRPr="00370E70">
        <w:t>low</w:t>
      </w:r>
      <w:r w:rsidRPr="00370E70">
        <w:t xml:space="preserve"> tides and these do not convert to equivalent increases in photosynthetic rates (</w:t>
      </w:r>
      <w:hyperlink w:anchor="_ENREF_155" w:tooltip="Petrou, 2013 #9780" w:history="1">
        <w:r w:rsidR="00964A70" w:rsidRPr="00370E70">
          <w:fldChar w:fldCharType="begin"/>
        </w:r>
        <w:r w:rsidR="00964A70" w:rsidRPr="00370E70">
          <w:instrText xml:space="preserve"> ADDIN EN.CITE &lt;EndNote&gt;&lt;Cite&gt;&lt;Author&gt;Petrou&lt;/Author&gt;&lt;Year&gt;2013&lt;/Year&gt;&lt;RecNum&gt;9780&lt;/RecNum&gt;&lt;DisplayText&gt;Petrou&lt;style face="italic"&gt; et al.&lt;/style&gt; 2013&lt;/DisplayText&gt;&lt;record&gt;&lt;rec-number&gt;9780&lt;/rec-number&gt;&lt;foreign-keys&gt;&lt;key app="EN" db-id="0eve55x9y5vfd6e9dacxtew4eatve2dzds9a"&gt;9780&lt;/key&gt;&lt;/foreign-keys&gt;&lt;ref-type name="Journal Article"&gt;17&lt;/ref-type&gt;&lt;contributors&gt;&lt;authors&gt;&lt;author&gt;Petrou, K&lt;/author&gt;&lt;author&gt;Jimenez-Denness, I&lt;/author&gt;&lt;author&gt;Chartrand, K&lt;/author&gt;&lt;author&gt;McCormack, C&lt;/author&gt;&lt;author&gt;Rasheed, M&lt;/author&gt;&lt;author&gt;Ralph, PJ&lt;/author&gt;&lt;/authors&gt;&lt;/contributors&gt;&lt;titles&gt;&lt;title&gt;Seasonal heterogeneity in the photophysiological response to air exposure in two tropical intertidal seagrass species&lt;/title&gt;&lt;secondary-title&gt;Marine Ecology Progress Series&lt;/secondary-title&gt;&lt;/titles&gt;&lt;periodical&gt;&lt;full-title&gt;Marine Ecology Progress Series&lt;/full-title&gt;&lt;/periodical&gt;&lt;pages&gt;93-106&lt;/pages&gt;&lt;volume&gt;482&lt;/volume&gt;&lt;dates&gt;&lt;year&gt;2013&lt;/year&gt;&lt;pub-dates&gt;&lt;date&gt;May 22, 2013&lt;/date&gt;&lt;/pub-dates&gt;&lt;/dates&gt;&lt;urls&gt;&lt;related-urls&gt;&lt;url&gt;http://www.int-res.com/abstracts/meps/v482/p93-106/&lt;/url&gt;&lt;/related-urls&gt;&lt;/urls&gt;&lt;electronic-resource-num&gt;10.3354/meps10229&lt;/electronic-resource-num&gt;&lt;/record&gt;&lt;/Cite&gt;&lt;/EndNote&gt;</w:instrText>
        </w:r>
        <w:r w:rsidR="00964A70" w:rsidRPr="00370E70">
          <w:fldChar w:fldCharType="separate"/>
        </w:r>
        <w:r w:rsidR="00964A70" w:rsidRPr="00370E70">
          <w:rPr>
            <w:noProof/>
          </w:rPr>
          <w:t>Petrou</w:t>
        </w:r>
        <w:r w:rsidR="00964A70" w:rsidRPr="00370E70">
          <w:rPr>
            <w:i/>
            <w:noProof/>
          </w:rPr>
          <w:t xml:space="preserve"> et al.</w:t>
        </w:r>
        <w:r w:rsidR="00964A70" w:rsidRPr="00370E70">
          <w:rPr>
            <w:noProof/>
          </w:rPr>
          <w:t xml:space="preserve"> 2013</w:t>
        </w:r>
        <w:r w:rsidR="00964A70" w:rsidRPr="00370E70">
          <w:fldChar w:fldCharType="end"/>
        </w:r>
      </w:hyperlink>
      <w:r w:rsidRPr="00370E70">
        <w:t>). We strongly recommend analysis of intertidal seagrass light-photosynthesis-growth responses (e.g. light response curves) as low light levels are a major driver of changing seagrass abundance, including intertidal seagrass meadows (</w:t>
      </w:r>
      <w:hyperlink w:anchor="_ENREF_33" w:tooltip="Chartrand, 2012 #9309" w:history="1">
        <w:r w:rsidR="00964A70" w:rsidRPr="00370E70">
          <w:fldChar w:fldCharType="begin"/>
        </w:r>
        <w:r w:rsidR="00964A70" w:rsidRPr="00370E70">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fldChar w:fldCharType="separate"/>
        </w:r>
        <w:r w:rsidR="00964A70" w:rsidRPr="00370E70">
          <w:rPr>
            <w:noProof/>
          </w:rPr>
          <w:t>Chartrand</w:t>
        </w:r>
        <w:r w:rsidR="00964A70" w:rsidRPr="00370E70">
          <w:rPr>
            <w:i/>
            <w:noProof/>
          </w:rPr>
          <w:t>, et al.</w:t>
        </w:r>
        <w:r w:rsidR="00964A70" w:rsidRPr="00370E70">
          <w:rPr>
            <w:noProof/>
          </w:rPr>
          <w:t xml:space="preserve"> 2012</w:t>
        </w:r>
        <w:r w:rsidR="00964A70" w:rsidRPr="00370E70">
          <w:fldChar w:fldCharType="end"/>
        </w:r>
      </w:hyperlink>
      <w:r w:rsidRPr="00370E70">
        <w:t>). From a targeted appro</w:t>
      </w:r>
      <w:r w:rsidR="00DF7AAF" w:rsidRPr="00370E70">
        <w:t>ach,</w:t>
      </w:r>
      <w:r w:rsidRPr="00370E70">
        <w:t xml:space="preserve"> light metrics could be developed for intertidal seagrass meadows. These metrics could be included in routine reporting of light and seagrass relationships as an annual</w:t>
      </w:r>
      <w:r w:rsidR="00DF7AAF" w:rsidRPr="00370E70">
        <w:t xml:space="preserve"> update of monitoring results. </w:t>
      </w:r>
      <w:r w:rsidRPr="00370E70">
        <w:t xml:space="preserve">These analyses will be </w:t>
      </w:r>
      <w:r w:rsidR="00DF7AAF" w:rsidRPr="00370E70">
        <w:t>conducted</w:t>
      </w:r>
      <w:r w:rsidRPr="00370E70">
        <w:t xml:space="preserve"> when recruitment limitation is no longer assumed to be a major driver (as it is in 2011/12) of changes in abundance.</w:t>
      </w:r>
    </w:p>
    <w:p w:rsidR="00564242" w:rsidRPr="00370E70" w:rsidRDefault="007B15AB" w:rsidP="00564242">
      <w:pPr>
        <w:jc w:val="center"/>
      </w:pPr>
      <w:r>
        <w:rPr>
          <w:noProof/>
          <w:lang w:eastAsia="en-AU"/>
        </w:rPr>
        <w:drawing>
          <wp:inline distT="0" distB="0" distL="0" distR="0">
            <wp:extent cx="4674870" cy="1790065"/>
            <wp:effectExtent l="0" t="0" r="0" b="635"/>
            <wp:docPr id="34" name="Picture 34" descr="Figure showing the change in total seagrass cover and Id at three subtidal sites from 2008 to 2011 (from Collier, et al. 201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igure showing the change in total seagrass cover and Id at three subtidal sites from 2008 to 2011 (from Collier, et al. 2012b)."/>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674870" cy="1790065"/>
                    </a:xfrm>
                    <a:prstGeom prst="rect">
                      <a:avLst/>
                    </a:prstGeom>
                    <a:noFill/>
                    <a:ln>
                      <a:noFill/>
                    </a:ln>
                  </pic:spPr>
                </pic:pic>
              </a:graphicData>
            </a:graphic>
          </wp:inline>
        </w:drawing>
      </w:r>
    </w:p>
    <w:p w:rsidR="00564242" w:rsidRPr="00370E70" w:rsidRDefault="00564242" w:rsidP="00564242">
      <w:pPr>
        <w:pStyle w:val="Caption"/>
        <w:rPr>
          <w:lang w:val="en-AU"/>
        </w:rPr>
      </w:pPr>
      <w:bookmarkStart w:id="181" w:name="_Ref383363692"/>
      <w:bookmarkStart w:id="182" w:name="_Toc384196371"/>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24</w:t>
      </w:r>
      <w:r w:rsidRPr="00370E70">
        <w:rPr>
          <w:lang w:val="en-AU"/>
        </w:rPr>
        <w:fldChar w:fldCharType="end"/>
      </w:r>
      <w:bookmarkEnd w:id="181"/>
      <w:r w:rsidRPr="00370E70">
        <w:rPr>
          <w:lang w:val="en-AU"/>
        </w:rPr>
        <w:t xml:space="preserve">. </w:t>
      </w:r>
      <w:r w:rsidRPr="00370E70">
        <w:rPr>
          <w:i/>
          <w:lang w:val="en-AU"/>
        </w:rPr>
        <w:t>Change in total seagrass cover and I</w:t>
      </w:r>
      <w:r w:rsidRPr="00370E70">
        <w:rPr>
          <w:i/>
          <w:vertAlign w:val="subscript"/>
          <w:lang w:val="en-AU"/>
        </w:rPr>
        <w:t>d</w:t>
      </w:r>
      <w:r w:rsidRPr="00370E70">
        <w:rPr>
          <w:i/>
          <w:lang w:val="en-AU"/>
        </w:rPr>
        <w:t xml:space="preserve"> at three subtidal sites from 2008 to 2011 (from </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Pr="00370E70">
        <w:rPr>
          <w:i/>
          <w:lang w:val="en-AU"/>
        </w:rPr>
        <w:t>)</w:t>
      </w:r>
      <w:r w:rsidRPr="00370E70">
        <w:rPr>
          <w:lang w:val="en-AU"/>
        </w:rPr>
        <w:t>.</w:t>
      </w:r>
      <w:bookmarkEnd w:id="182"/>
    </w:p>
    <w:p w:rsidR="00564242" w:rsidRPr="00370E70" w:rsidRDefault="00564242" w:rsidP="00564242"/>
    <w:p w:rsidR="00DF7AAF" w:rsidRPr="00370E70" w:rsidRDefault="007B15AB" w:rsidP="00DF7AAF">
      <w:pPr>
        <w:jc w:val="center"/>
      </w:pPr>
      <w:r>
        <w:rPr>
          <w:noProof/>
          <w:lang w:eastAsia="en-AU"/>
        </w:rPr>
        <w:drawing>
          <wp:inline distT="0" distB="0" distL="0" distR="0">
            <wp:extent cx="4674870" cy="1751330"/>
            <wp:effectExtent l="0" t="0" r="0" b="1270"/>
            <wp:docPr id="35" name="Picture 35" descr="Figure showing change in total seagrass cover and I d at three intertidal sites from 2008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Figure showing change in total seagrass cover and I d at three intertidal sites from 2008 to 201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674870" cy="1751330"/>
                    </a:xfrm>
                    <a:prstGeom prst="rect">
                      <a:avLst/>
                    </a:prstGeom>
                    <a:noFill/>
                    <a:ln>
                      <a:noFill/>
                    </a:ln>
                  </pic:spPr>
                </pic:pic>
              </a:graphicData>
            </a:graphic>
          </wp:inline>
        </w:drawing>
      </w:r>
    </w:p>
    <w:p w:rsidR="00DF7AAF" w:rsidRPr="00370E70" w:rsidRDefault="00DF7AAF" w:rsidP="00DF7AAF">
      <w:pPr>
        <w:pStyle w:val="Caption"/>
        <w:rPr>
          <w:lang w:val="en-AU"/>
        </w:rPr>
      </w:pPr>
      <w:bookmarkStart w:id="183" w:name="_Ref383363973"/>
      <w:bookmarkStart w:id="184" w:name="_Toc384196372"/>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25</w:t>
      </w:r>
      <w:r w:rsidRPr="00370E70">
        <w:rPr>
          <w:lang w:val="en-AU"/>
        </w:rPr>
        <w:fldChar w:fldCharType="end"/>
      </w:r>
      <w:bookmarkEnd w:id="183"/>
      <w:r w:rsidRPr="00370E70">
        <w:rPr>
          <w:lang w:val="en-AU"/>
        </w:rPr>
        <w:t xml:space="preserve">. </w:t>
      </w:r>
      <w:r w:rsidRPr="00370E70">
        <w:rPr>
          <w:i/>
          <w:lang w:val="en-AU"/>
        </w:rPr>
        <w:t>Change in total seagrass cover and I</w:t>
      </w:r>
      <w:r w:rsidRPr="00370E70">
        <w:rPr>
          <w:i/>
          <w:vertAlign w:val="subscript"/>
          <w:lang w:val="en-AU"/>
        </w:rPr>
        <w:t>d</w:t>
      </w:r>
      <w:r w:rsidRPr="00370E70">
        <w:rPr>
          <w:i/>
          <w:lang w:val="en-AU"/>
        </w:rPr>
        <w:t xml:space="preserve"> at three intertidal sites from 2008 to 2011</w:t>
      </w:r>
      <w:bookmarkEnd w:id="184"/>
    </w:p>
    <w:p w:rsidR="00DF7AAF" w:rsidRPr="00370E70" w:rsidRDefault="00DF7AAF"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CB390E" w:rsidRPr="00370E70" w:rsidRDefault="00CB390E" w:rsidP="00564242"/>
    <w:p w:rsidR="00564242" w:rsidRPr="00370E70" w:rsidRDefault="00564242" w:rsidP="00564242">
      <w:pPr>
        <w:spacing w:before="0" w:after="0"/>
      </w:pPr>
      <w:r w:rsidRPr="00370E70">
        <w:br w:type="page"/>
      </w:r>
      <w:r w:rsidR="007B15AB">
        <w:rPr>
          <w:noProof/>
          <w:lang w:eastAsia="en-AU"/>
        </w:rPr>
        <w:lastRenderedPageBreak/>
        <w:drawing>
          <wp:inline distT="0" distB="0" distL="0" distR="0">
            <wp:extent cx="5692775" cy="1983105"/>
            <wp:effectExtent l="0" t="0" r="3175" b="0"/>
            <wp:docPr id="36" name="Picture 46" descr="Photograph of reef flat at Stanley Island with seagrass in fore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hotograph of reef flat at Stanley Island with seagrass in foreground"/>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92775" cy="198310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185" w:name="_Toc175991058"/>
      <w:bookmarkStart w:id="186" w:name="_Toc232845904"/>
      <w:bookmarkStart w:id="187" w:name="_Toc184101968"/>
      <w:bookmarkStart w:id="188" w:name="_Toc384196126"/>
      <w:smartTag w:uri="urn:schemas-microsoft-com:office:smarttags" w:element="place">
        <w:r w:rsidRPr="00370E70">
          <w:rPr>
            <w:rFonts w:ascii="Century Gothic" w:hAnsi="Century Gothic"/>
            <w:color w:val="000000"/>
          </w:rPr>
          <w:t>Cape York</w:t>
        </w:r>
      </w:smartTag>
      <w:bookmarkEnd w:id="185"/>
      <w:bookmarkEnd w:id="186"/>
      <w:bookmarkEnd w:id="187"/>
      <w:bookmarkEnd w:id="188"/>
    </w:p>
    <w:p w:rsidR="005132EF" w:rsidRPr="00370E70" w:rsidRDefault="005132EF" w:rsidP="00034AD4">
      <w:pPr>
        <w:pStyle w:val="Heading3"/>
      </w:pPr>
      <w:bookmarkStart w:id="189" w:name="_Toc184101969"/>
      <w:bookmarkStart w:id="190" w:name="_Toc384196127"/>
      <w:r w:rsidRPr="00370E70">
        <w:t>201</w:t>
      </w:r>
      <w:r w:rsidR="00801DBE" w:rsidRPr="00370E70">
        <w:t>1</w:t>
      </w:r>
      <w:r w:rsidRPr="00370E70">
        <w:t>/1</w:t>
      </w:r>
      <w:r w:rsidR="00801DBE" w:rsidRPr="00370E70">
        <w:t>2</w:t>
      </w:r>
      <w:r w:rsidRPr="00370E70">
        <w:t xml:space="preserve"> Summary</w:t>
      </w:r>
      <w:bookmarkEnd w:id="189"/>
      <w:bookmarkEnd w:id="190"/>
    </w:p>
    <w:p w:rsidR="005132EF" w:rsidRPr="00370E70" w:rsidRDefault="005132EF" w:rsidP="00034AD4">
      <w:pPr>
        <w:pStyle w:val="BodyText"/>
        <w:spacing w:after="0" w:line="240" w:lineRule="auto"/>
        <w:rPr>
          <w:color w:val="000000"/>
          <w:szCs w:val="22"/>
        </w:rPr>
      </w:pPr>
      <w:r w:rsidRPr="00370E70">
        <w:rPr>
          <w:color w:val="000000"/>
          <w:szCs w:val="22"/>
        </w:rPr>
        <w:t xml:space="preserve">The majority of the land in </w:t>
      </w:r>
      <w:smartTag w:uri="urn:schemas-microsoft-com:office:smarttags" w:element="place">
        <w:r w:rsidRPr="00370E70">
          <w:rPr>
            <w:color w:val="000000"/>
            <w:szCs w:val="22"/>
          </w:rPr>
          <w:t>Cape York Peninsula</w:t>
        </w:r>
      </w:smartTag>
      <w:r w:rsidRPr="00370E70">
        <w:rPr>
          <w:color w:val="000000"/>
          <w:szCs w:val="22"/>
        </w:rPr>
        <w:t xml:space="preserve"> is relatively undeveloped and waters entering the </w:t>
      </w:r>
      <w:r w:rsidR="006C017A" w:rsidRPr="00370E70">
        <w:rPr>
          <w:color w:val="000000"/>
          <w:szCs w:val="22"/>
        </w:rPr>
        <w:t xml:space="preserve">GBR </w:t>
      </w:r>
      <w:r w:rsidRPr="00370E70">
        <w:rPr>
          <w:color w:val="000000"/>
          <w:szCs w:val="22"/>
        </w:rPr>
        <w:t xml:space="preserve">lagoon are perceived to be of a high quality. </w:t>
      </w:r>
      <w:r w:rsidR="005137AB" w:rsidRPr="00370E70">
        <w:rPr>
          <w:color w:val="000000"/>
          <w:szCs w:val="22"/>
        </w:rPr>
        <w:t xml:space="preserve">In April/May 2012, new monitoring locations were established across </w:t>
      </w:r>
      <w:r w:rsidR="00CF7903" w:rsidRPr="00370E70">
        <w:rPr>
          <w:color w:val="000000"/>
          <w:szCs w:val="22"/>
        </w:rPr>
        <w:t>the region at</w:t>
      </w:r>
      <w:r w:rsidR="005137AB" w:rsidRPr="00370E70">
        <w:rPr>
          <w:color w:val="000000"/>
          <w:szCs w:val="22"/>
        </w:rPr>
        <w:t xml:space="preserve"> two reef habitats and two coastal habitats. Seagrass growth on r</w:t>
      </w:r>
      <w:r w:rsidRPr="00370E70">
        <w:rPr>
          <w:color w:val="000000"/>
          <w:szCs w:val="22"/>
        </w:rPr>
        <w:t>eef habitat</w:t>
      </w:r>
      <w:r w:rsidR="005137AB" w:rsidRPr="00370E70">
        <w:rPr>
          <w:color w:val="000000"/>
          <w:szCs w:val="22"/>
        </w:rPr>
        <w:t xml:space="preserve">s in the region </w:t>
      </w:r>
      <w:r w:rsidRPr="00370E70">
        <w:rPr>
          <w:color w:val="000000"/>
          <w:szCs w:val="22"/>
        </w:rPr>
        <w:t>is primarily controlled by physical disturbance from waves</w:t>
      </w:r>
      <w:r w:rsidR="000C6CC2" w:rsidRPr="00370E70">
        <w:rPr>
          <w:color w:val="000000"/>
          <w:szCs w:val="22"/>
        </w:rPr>
        <w:t>/</w:t>
      </w:r>
      <w:r w:rsidRPr="00370E70">
        <w:rPr>
          <w:color w:val="000000"/>
          <w:szCs w:val="22"/>
        </w:rPr>
        <w:t xml:space="preserve">swell and associated sediment movement. </w:t>
      </w:r>
      <w:r w:rsidR="00CF7903" w:rsidRPr="00370E70">
        <w:rPr>
          <w:color w:val="000000"/>
          <w:szCs w:val="22"/>
        </w:rPr>
        <w:t>Similarly, the dominant influence a</w:t>
      </w:r>
      <w:r w:rsidR="005137AB" w:rsidRPr="00370E70">
        <w:rPr>
          <w:color w:val="000000"/>
          <w:szCs w:val="22"/>
        </w:rPr>
        <w:t xml:space="preserve">t coastal habitats is exposure to wind/wave disturbance, </w:t>
      </w:r>
      <w:r w:rsidR="00CF7903" w:rsidRPr="00370E70">
        <w:rPr>
          <w:color w:val="000000"/>
          <w:szCs w:val="22"/>
        </w:rPr>
        <w:t xml:space="preserve">but with </w:t>
      </w:r>
      <w:r w:rsidR="005137AB" w:rsidRPr="00370E70">
        <w:rPr>
          <w:color w:val="000000"/>
          <w:szCs w:val="22"/>
        </w:rPr>
        <w:t>temperature extremes and pulsed terrigenous runoff from seasonal rains</w:t>
      </w:r>
      <w:r w:rsidR="00127078" w:rsidRPr="00370E70">
        <w:rPr>
          <w:color w:val="000000"/>
          <w:szCs w:val="22"/>
        </w:rPr>
        <w:t xml:space="preserve"> increasing stress and reducing seagrass growth</w:t>
      </w:r>
      <w:r w:rsidR="005137AB" w:rsidRPr="00370E70">
        <w:rPr>
          <w:color w:val="000000"/>
          <w:szCs w:val="22"/>
        </w:rPr>
        <w:t xml:space="preserve">. </w:t>
      </w:r>
      <w:r w:rsidR="00392838" w:rsidRPr="00370E70">
        <w:rPr>
          <w:color w:val="000000"/>
          <w:szCs w:val="22"/>
        </w:rPr>
        <w:t xml:space="preserve">Seagrass status in 2011/12 is only interpreted from the </w:t>
      </w:r>
      <w:smartTag w:uri="urn:schemas-microsoft-com:office:smarttags" w:element="place">
        <w:smartTag w:uri="urn:schemas-microsoft-com:office:smarttags" w:element="PlaceName">
          <w:r w:rsidR="005137AB" w:rsidRPr="00370E70">
            <w:rPr>
              <w:color w:val="000000"/>
              <w:szCs w:val="22"/>
            </w:rPr>
            <w:t>Archer</w:t>
          </w:r>
        </w:smartTag>
        <w:r w:rsidR="005137AB" w:rsidRPr="00370E70">
          <w:rPr>
            <w:color w:val="000000"/>
            <w:szCs w:val="22"/>
          </w:rPr>
          <w:t xml:space="preserve"> </w:t>
        </w:r>
        <w:smartTag w:uri="urn:schemas-microsoft-com:office:smarttags" w:element="PlaceName">
          <w:r w:rsidR="005137AB" w:rsidRPr="00370E70">
            <w:rPr>
              <w:color w:val="000000"/>
              <w:szCs w:val="22"/>
            </w:rPr>
            <w:t>Point</w:t>
          </w:r>
        </w:smartTag>
      </w:smartTag>
      <w:r w:rsidR="005137AB" w:rsidRPr="00370E70">
        <w:rPr>
          <w:color w:val="000000"/>
          <w:szCs w:val="22"/>
        </w:rPr>
        <w:t xml:space="preserve"> meadows in the south of the region</w:t>
      </w:r>
      <w:r w:rsidR="00392838" w:rsidRPr="00370E70">
        <w:rPr>
          <w:color w:val="000000"/>
          <w:szCs w:val="22"/>
        </w:rPr>
        <w:t xml:space="preserve">, as </w:t>
      </w:r>
      <w:r w:rsidR="00CF7903" w:rsidRPr="00370E70">
        <w:rPr>
          <w:color w:val="000000"/>
          <w:szCs w:val="22"/>
        </w:rPr>
        <w:t>i</w:t>
      </w:r>
      <w:r w:rsidR="006C017A" w:rsidRPr="00370E70">
        <w:rPr>
          <w:color w:val="000000"/>
          <w:szCs w:val="22"/>
        </w:rPr>
        <w:t>nsufficient data is available from the newly established sites.</w:t>
      </w:r>
      <w:r w:rsidR="00CF7903" w:rsidRPr="00370E70">
        <w:rPr>
          <w:color w:val="000000"/>
          <w:szCs w:val="22"/>
        </w:rPr>
        <w:t xml:space="preserve"> </w:t>
      </w:r>
      <w:r w:rsidRPr="00370E70">
        <w:rPr>
          <w:color w:val="000000"/>
          <w:szCs w:val="22"/>
        </w:rPr>
        <w:t>Seagrass abundance in 201</w:t>
      </w:r>
      <w:r w:rsidR="00392838" w:rsidRPr="00370E70">
        <w:rPr>
          <w:color w:val="000000"/>
          <w:szCs w:val="22"/>
        </w:rPr>
        <w:t>1/12</w:t>
      </w:r>
      <w:r w:rsidRPr="00370E70">
        <w:rPr>
          <w:color w:val="000000"/>
          <w:szCs w:val="22"/>
        </w:rPr>
        <w:t xml:space="preserve"> </w:t>
      </w:r>
      <w:r w:rsidR="00E53173" w:rsidRPr="00370E70">
        <w:rPr>
          <w:color w:val="000000"/>
          <w:szCs w:val="22"/>
        </w:rPr>
        <w:t xml:space="preserve">was </w:t>
      </w:r>
      <w:r w:rsidR="00CF7903" w:rsidRPr="00370E70">
        <w:rPr>
          <w:color w:val="000000"/>
          <w:szCs w:val="22"/>
        </w:rPr>
        <w:t>marginally lower than</w:t>
      </w:r>
      <w:r w:rsidR="00E53173" w:rsidRPr="00370E70">
        <w:rPr>
          <w:color w:val="000000"/>
          <w:szCs w:val="22"/>
        </w:rPr>
        <w:t xml:space="preserve"> the previous monitoring period, </w:t>
      </w:r>
      <w:r w:rsidR="00CF7903" w:rsidRPr="00370E70">
        <w:rPr>
          <w:color w:val="000000"/>
          <w:szCs w:val="22"/>
        </w:rPr>
        <w:t>but</w:t>
      </w:r>
      <w:r w:rsidR="00E53173" w:rsidRPr="00370E70">
        <w:rPr>
          <w:color w:val="000000"/>
          <w:szCs w:val="22"/>
        </w:rPr>
        <w:t xml:space="preserve"> meadow extent remained stable</w:t>
      </w:r>
      <w:r w:rsidRPr="00370E70">
        <w:rPr>
          <w:color w:val="000000"/>
          <w:szCs w:val="22"/>
        </w:rPr>
        <w:t xml:space="preserve">. </w:t>
      </w:r>
      <w:r w:rsidR="00E53173" w:rsidRPr="00370E70">
        <w:rPr>
          <w:i/>
          <w:color w:val="000000"/>
          <w:szCs w:val="22"/>
        </w:rPr>
        <w:t>Halophila ovalis</w:t>
      </w:r>
      <w:r w:rsidR="00E53173" w:rsidRPr="00370E70">
        <w:rPr>
          <w:color w:val="000000"/>
          <w:szCs w:val="22"/>
        </w:rPr>
        <w:t xml:space="preserve"> </w:t>
      </w:r>
      <w:r w:rsidR="00127078" w:rsidRPr="00370E70">
        <w:rPr>
          <w:color w:val="000000"/>
          <w:szCs w:val="22"/>
        </w:rPr>
        <w:t>increased slightly in abundance and reproductive health declined, suggesting that there may have been a local disturbance (e.g. sediment movement)</w:t>
      </w:r>
      <w:r w:rsidR="00CF7903" w:rsidRPr="00370E70">
        <w:rPr>
          <w:color w:val="000000"/>
          <w:szCs w:val="22"/>
        </w:rPr>
        <w:t xml:space="preserve">. </w:t>
      </w:r>
      <w:r w:rsidR="00127078" w:rsidRPr="00370E70">
        <w:rPr>
          <w:color w:val="000000"/>
          <w:szCs w:val="22"/>
        </w:rPr>
        <w:t>A</w:t>
      </w:r>
      <w:r w:rsidR="00A14D54" w:rsidRPr="00370E70">
        <w:rPr>
          <w:color w:val="000000"/>
          <w:szCs w:val="22"/>
        </w:rPr>
        <w:t xml:space="preserve"> persistent </w:t>
      </w:r>
      <w:r w:rsidR="00A14D54" w:rsidRPr="00370E70">
        <w:rPr>
          <w:i/>
          <w:color w:val="000000"/>
          <w:szCs w:val="22"/>
        </w:rPr>
        <w:t>Halodule uninervis</w:t>
      </w:r>
      <w:r w:rsidR="00A14D54" w:rsidRPr="00370E70">
        <w:rPr>
          <w:color w:val="000000"/>
          <w:szCs w:val="22"/>
        </w:rPr>
        <w:t xml:space="preserve"> seed bank indicates a high recovery potential</w:t>
      </w:r>
      <w:r w:rsidR="00127078" w:rsidRPr="00370E70">
        <w:rPr>
          <w:color w:val="000000"/>
          <w:szCs w:val="22"/>
        </w:rPr>
        <w:t xml:space="preserve"> still exists in the location</w:t>
      </w:r>
      <w:r w:rsidR="00A14D54" w:rsidRPr="00370E70">
        <w:rPr>
          <w:color w:val="000000"/>
          <w:szCs w:val="22"/>
        </w:rPr>
        <w:t xml:space="preserve">. </w:t>
      </w:r>
      <w:r w:rsidR="00CF7903" w:rsidRPr="00370E70">
        <w:rPr>
          <w:color w:val="000000"/>
          <w:szCs w:val="22"/>
        </w:rPr>
        <w:t xml:space="preserve">Seagrass tissue nutrients </w:t>
      </w:r>
      <w:r w:rsidR="000C6CC2" w:rsidRPr="00370E70">
        <w:rPr>
          <w:color w:val="000000"/>
          <w:szCs w:val="22"/>
        </w:rPr>
        <w:t xml:space="preserve">in late 2011 </w:t>
      </w:r>
      <w:r w:rsidR="00CF7903" w:rsidRPr="00370E70">
        <w:rPr>
          <w:color w:val="000000"/>
          <w:szCs w:val="22"/>
        </w:rPr>
        <w:t xml:space="preserve">indicated elevated nitrogen, </w:t>
      </w:r>
      <w:r w:rsidR="00127078" w:rsidRPr="00370E70">
        <w:rPr>
          <w:color w:val="000000"/>
          <w:szCs w:val="22"/>
        </w:rPr>
        <w:t>suggesting anthropogenic N influence such as</w:t>
      </w:r>
      <w:r w:rsidR="00CF7903" w:rsidRPr="00370E70">
        <w:rPr>
          <w:color w:val="000000"/>
          <w:szCs w:val="22"/>
        </w:rPr>
        <w:t xml:space="preserve"> fertiliser. Adequate light was available for growth across the period and epiphyte abundance remained stable. No extreme within canopy temperatures were experienced over the </w:t>
      </w:r>
      <w:r w:rsidR="000C6CC2" w:rsidRPr="00370E70">
        <w:rPr>
          <w:color w:val="000000"/>
          <w:szCs w:val="22"/>
        </w:rPr>
        <w:t xml:space="preserve">2011/12 </w:t>
      </w:r>
      <w:r w:rsidR="00CF7903" w:rsidRPr="00370E70">
        <w:rPr>
          <w:color w:val="000000"/>
          <w:szCs w:val="22"/>
        </w:rPr>
        <w:t>period with temperatures similar to previous</w:t>
      </w:r>
      <w:r w:rsidR="00127078" w:rsidRPr="00370E70">
        <w:rPr>
          <w:color w:val="000000"/>
          <w:szCs w:val="22"/>
        </w:rPr>
        <w:t xml:space="preserve"> years</w:t>
      </w:r>
      <w:r w:rsidR="00CF7903" w:rsidRPr="00370E70">
        <w:rPr>
          <w:color w:val="000000"/>
          <w:szCs w:val="22"/>
        </w:rPr>
        <w:t xml:space="preserve">. </w:t>
      </w:r>
      <w:r w:rsidR="00127078" w:rsidRPr="00370E70">
        <w:rPr>
          <w:color w:val="000000"/>
          <w:szCs w:val="22"/>
        </w:rPr>
        <w:t xml:space="preserve">In general, climate over the monitoring period was drier, with clearer skies and calmer seas than the average meterological conditions. </w:t>
      </w:r>
      <w:r w:rsidR="000C6CC2" w:rsidRPr="00370E70">
        <w:rPr>
          <w:color w:val="000000"/>
          <w:szCs w:val="22"/>
        </w:rPr>
        <w:t xml:space="preserve">The </w:t>
      </w:r>
      <w:r w:rsidR="00CF7903" w:rsidRPr="00370E70">
        <w:rPr>
          <w:color w:val="000000"/>
          <w:szCs w:val="22"/>
        </w:rPr>
        <w:t xml:space="preserve">annual freshwater discharge from the nearby (12 km) </w:t>
      </w:r>
      <w:smartTag w:uri="urn:schemas-microsoft-com:office:smarttags" w:element="place">
        <w:smartTag w:uri="urn:schemas-microsoft-com:office:smarttags" w:element="PlaceName">
          <w:r w:rsidR="00CF7903" w:rsidRPr="00370E70">
            <w:rPr>
              <w:color w:val="000000"/>
              <w:szCs w:val="22"/>
            </w:rPr>
            <w:t>Annan</w:t>
          </w:r>
        </w:smartTag>
        <w:r w:rsidR="00CF7903" w:rsidRPr="00370E70">
          <w:rPr>
            <w:color w:val="000000"/>
            <w:szCs w:val="22"/>
          </w:rPr>
          <w:t xml:space="preserve"> </w:t>
        </w:r>
        <w:smartTag w:uri="urn:schemas-microsoft-com:office:smarttags" w:element="PlaceType">
          <w:r w:rsidR="00CF7903" w:rsidRPr="00370E70">
            <w:rPr>
              <w:color w:val="000000"/>
              <w:szCs w:val="22"/>
            </w:rPr>
            <w:t>River</w:t>
          </w:r>
        </w:smartTag>
      </w:smartTag>
      <w:r w:rsidR="00CF7903" w:rsidRPr="00370E70">
        <w:rPr>
          <w:color w:val="000000"/>
          <w:szCs w:val="22"/>
        </w:rPr>
        <w:t xml:space="preserve"> </w:t>
      </w:r>
      <w:r w:rsidR="000C6CC2" w:rsidRPr="00370E70">
        <w:rPr>
          <w:color w:val="000000"/>
          <w:szCs w:val="22"/>
        </w:rPr>
        <w:t>was lower in 2011/12 and n</w:t>
      </w:r>
      <w:r w:rsidR="00CF7903" w:rsidRPr="00370E70">
        <w:rPr>
          <w:color w:val="000000"/>
          <w:szCs w:val="22"/>
        </w:rPr>
        <w:t>o herbicides were found above detectable limits in the sediments of the meadows.</w:t>
      </w:r>
      <w:r w:rsidRPr="00370E70">
        <w:rPr>
          <w:color w:val="000000"/>
          <w:szCs w:val="22"/>
        </w:rPr>
        <w:t xml:space="preserve"> </w:t>
      </w:r>
      <w:r w:rsidR="00127078" w:rsidRPr="00370E70">
        <w:rPr>
          <w:color w:val="000000"/>
          <w:szCs w:val="22"/>
        </w:rPr>
        <w:t>Despite these potentially favourable conditions for seagrass</w:t>
      </w:r>
      <w:proofErr w:type="gramStart"/>
      <w:r w:rsidR="00127078" w:rsidRPr="00370E70">
        <w:rPr>
          <w:color w:val="000000"/>
          <w:szCs w:val="22"/>
        </w:rPr>
        <w:t>,  the</w:t>
      </w:r>
      <w:proofErr w:type="gramEnd"/>
      <w:r w:rsidR="00127078" w:rsidRPr="00370E70">
        <w:rPr>
          <w:color w:val="000000"/>
          <w:szCs w:val="22"/>
        </w:rPr>
        <w:t xml:space="preserve"> status of seagrass condition in the region has declined from moderate in 2010/11 to</w:t>
      </w:r>
      <w:r w:rsidRPr="00370E70">
        <w:rPr>
          <w:color w:val="000000"/>
          <w:szCs w:val="22"/>
        </w:rPr>
        <w:t xml:space="preserve"> </w:t>
      </w:r>
      <w:r w:rsidR="00CA6551" w:rsidRPr="00370E70">
        <w:rPr>
          <w:b/>
          <w:color w:val="000000"/>
          <w:szCs w:val="22"/>
        </w:rPr>
        <w:t>poor</w:t>
      </w:r>
      <w:r w:rsidRPr="00370E70">
        <w:rPr>
          <w:color w:val="000000"/>
          <w:szCs w:val="22"/>
        </w:rPr>
        <w:t xml:space="preserve"> (</w:t>
      </w:r>
      <w:r w:rsidRPr="00370E70">
        <w:rPr>
          <w:color w:val="000000"/>
        </w:rPr>
        <w:fldChar w:fldCharType="begin"/>
      </w:r>
      <w:r w:rsidRPr="00370E70">
        <w:rPr>
          <w:color w:val="000000"/>
        </w:rPr>
        <w:instrText xml:space="preserve"> REF _Ref305249380 \h  \* MERGEFORMAT </w:instrText>
      </w:r>
      <w:r w:rsidRPr="00370E70">
        <w:rPr>
          <w:color w:val="000000"/>
        </w:rPr>
      </w:r>
      <w:r w:rsidRPr="00370E70">
        <w:rPr>
          <w:color w:val="000000"/>
        </w:rPr>
        <w:fldChar w:fldCharType="separate"/>
      </w:r>
      <w:r w:rsidR="005B5FD6" w:rsidRPr="005B5FD6">
        <w:rPr>
          <w:szCs w:val="22"/>
        </w:rPr>
        <w:t xml:space="preserve">Table </w:t>
      </w:r>
      <w:r w:rsidR="005B5FD6" w:rsidRPr="005B5FD6">
        <w:rPr>
          <w:color w:val="000000"/>
          <w:szCs w:val="22"/>
        </w:rPr>
        <w:t>15</w:t>
      </w:r>
      <w:r w:rsidRPr="00370E70">
        <w:rPr>
          <w:color w:val="000000"/>
        </w:rPr>
        <w:fldChar w:fldCharType="end"/>
      </w:r>
      <w:r w:rsidRPr="00370E70">
        <w:rPr>
          <w:color w:val="000000"/>
          <w:szCs w:val="22"/>
        </w:rPr>
        <w:t>).</w:t>
      </w:r>
    </w:p>
    <w:p w:rsidR="00647D3E" w:rsidRPr="00370E70" w:rsidRDefault="005132EF" w:rsidP="00647D3E">
      <w:pPr>
        <w:pStyle w:val="Caption"/>
        <w:keepNext/>
        <w:spacing w:after="0" w:line="240" w:lineRule="auto"/>
        <w:jc w:val="center"/>
        <w:rPr>
          <w:i/>
          <w:vanish/>
          <w:szCs w:val="22"/>
          <w:lang w:val="en-AU"/>
          <w:specVanish/>
        </w:rPr>
      </w:pPr>
      <w:bookmarkStart w:id="191" w:name="_Ref305249380"/>
      <w:bookmarkStart w:id="192" w:name="_Toc384196551"/>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15</w:t>
      </w:r>
      <w:r w:rsidRPr="00370E70">
        <w:rPr>
          <w:lang w:val="en-AU"/>
        </w:rPr>
        <w:fldChar w:fldCharType="end"/>
      </w:r>
      <w:bookmarkEnd w:id="191"/>
      <w:r w:rsidRPr="00370E70">
        <w:rPr>
          <w:rStyle w:val="StyleCaptionCaptionCharCharLatinCalibri11ptBlackChar"/>
          <w:lang w:val="en-AU"/>
        </w:rPr>
        <w:t xml:space="preserve">. </w:t>
      </w:r>
      <w:r w:rsidRPr="00370E70">
        <w:rPr>
          <w:i/>
          <w:lang w:val="en-AU"/>
        </w:rPr>
        <w:t xml:space="preserve">Report card for seagrass status (community &amp; environment) for the </w:t>
      </w:r>
      <w:smartTag w:uri="urn:schemas-microsoft-com:office:smarttags" w:element="place">
        <w:r w:rsidRPr="00370E70">
          <w:rPr>
            <w:i/>
            <w:lang w:val="en-AU"/>
          </w:rPr>
          <w:t>Cape York</w:t>
        </w:r>
      </w:smartTag>
      <w:r w:rsidRPr="00370E70">
        <w:rPr>
          <w:i/>
          <w:lang w:val="en-AU"/>
        </w:rPr>
        <w:t xml:space="preserve"> region: July 2011 – May 2012</w:t>
      </w:r>
      <w:bookmarkEnd w:id="192"/>
      <w:r w:rsidRPr="00370E70">
        <w:rPr>
          <w:i/>
          <w:lang w:val="en-AU"/>
        </w:rPr>
        <w:t xml:space="preserve"> </w:t>
      </w:r>
    </w:p>
    <w:p w:rsidR="00647D3E" w:rsidRPr="00370E70" w:rsidRDefault="005132EF" w:rsidP="00647D3E">
      <w:pPr>
        <w:pStyle w:val="Caption"/>
        <w:keepNext/>
        <w:spacing w:after="0" w:line="240" w:lineRule="auto"/>
        <w:jc w:val="center"/>
        <w:rPr>
          <w:i/>
          <w:lang w:val="en-AU"/>
        </w:rPr>
      </w:pPr>
      <w:r w:rsidRPr="00370E70">
        <w:rPr>
          <w:i/>
          <w:lang w:val="en-AU"/>
        </w:rPr>
        <w:t xml:space="preserve">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647D3E" w:rsidRPr="00370E70">
        <w:rPr>
          <w:i/>
          <w:lang w:val="en-AU"/>
        </w:rPr>
        <w:t xml:space="preserve"> </w:t>
      </w:r>
    </w:p>
    <w:tbl>
      <w:tblPr>
        <w:tblW w:w="7852" w:type="dxa"/>
        <w:jc w:val="center"/>
        <w:tblLayout w:type="fixed"/>
        <w:tblLook w:val="0000" w:firstRow="0" w:lastRow="0" w:firstColumn="0" w:lastColumn="0" w:noHBand="0" w:noVBand="0"/>
      </w:tblPr>
      <w:tblGrid>
        <w:gridCol w:w="2040"/>
        <w:gridCol w:w="1418"/>
        <w:gridCol w:w="1559"/>
        <w:gridCol w:w="1604"/>
        <w:gridCol w:w="1134"/>
        <w:gridCol w:w="97"/>
      </w:tblGrid>
      <w:tr w:rsidR="005132EF" w:rsidRPr="00370E70" w:rsidTr="00A674BD">
        <w:trPr>
          <w:trHeight w:val="437"/>
          <w:jc w:val="center"/>
        </w:trPr>
        <w:tc>
          <w:tcPr>
            <w:tcW w:w="20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 w:val="20"/>
                <w:szCs w:val="20"/>
              </w:rPr>
              <w:t>Habitat</w:t>
            </w:r>
          </w:p>
        </w:tc>
        <w:tc>
          <w:tcPr>
            <w:tcW w:w="1418"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Abundance</w:t>
            </w:r>
          </w:p>
        </w:tc>
        <w:tc>
          <w:tcPr>
            <w:tcW w:w="1559"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Reproductive</w:t>
            </w:r>
          </w:p>
          <w:p w:rsidR="005132EF" w:rsidRPr="00370E70" w:rsidRDefault="005132EF" w:rsidP="00034AD4">
            <w:pPr>
              <w:keepNext/>
              <w:spacing w:before="0" w:after="0"/>
              <w:jc w:val="center"/>
              <w:rPr>
                <w:color w:val="000000"/>
              </w:rPr>
            </w:pPr>
            <w:r w:rsidRPr="00370E70">
              <w:rPr>
                <w:color w:val="000000"/>
                <w:szCs w:val="22"/>
              </w:rPr>
              <w:t>Effort</w:t>
            </w:r>
          </w:p>
        </w:tc>
        <w:tc>
          <w:tcPr>
            <w:tcW w:w="1604"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Nutrient status</w:t>
            </w:r>
          </w:p>
          <w:p w:rsidR="005132EF" w:rsidRPr="00370E70" w:rsidRDefault="005132EF" w:rsidP="00034AD4">
            <w:pPr>
              <w:keepNext/>
              <w:spacing w:before="0" w:after="0"/>
              <w:jc w:val="center"/>
              <w:rPr>
                <w:color w:val="000000"/>
              </w:rPr>
            </w:pPr>
            <w:r w:rsidRPr="00370E70">
              <w:rPr>
                <w:color w:val="000000"/>
                <w:szCs w:val="22"/>
              </w:rPr>
              <w:t>(C:N ratio)</w:t>
            </w:r>
          </w:p>
        </w:tc>
        <w:tc>
          <w:tcPr>
            <w:tcW w:w="1231" w:type="dxa"/>
            <w:gridSpan w:val="2"/>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b/>
                <w:bCs/>
                <w:color w:val="000000"/>
              </w:rPr>
            </w:pPr>
            <w:r w:rsidRPr="00370E70">
              <w:rPr>
                <w:b/>
                <w:bCs/>
                <w:color w:val="000000"/>
                <w:szCs w:val="22"/>
              </w:rPr>
              <w:t>Seagrass</w:t>
            </w:r>
          </w:p>
          <w:p w:rsidR="005132EF" w:rsidRPr="00370E70" w:rsidRDefault="005132EF" w:rsidP="00034AD4">
            <w:pPr>
              <w:keepNext/>
              <w:spacing w:before="0" w:after="0"/>
              <w:jc w:val="center"/>
              <w:rPr>
                <w:b/>
                <w:bCs/>
                <w:color w:val="000000"/>
              </w:rPr>
            </w:pPr>
            <w:r w:rsidRPr="00370E70">
              <w:rPr>
                <w:b/>
                <w:bCs/>
                <w:color w:val="000000"/>
                <w:szCs w:val="22"/>
              </w:rPr>
              <w:t>Index</w:t>
            </w:r>
          </w:p>
        </w:tc>
      </w:tr>
      <w:tr w:rsidR="005132EF" w:rsidRPr="00370E70" w:rsidTr="00B54B0B">
        <w:trPr>
          <w:trHeight w:val="315"/>
          <w:jc w:val="center"/>
        </w:trPr>
        <w:tc>
          <w:tcPr>
            <w:tcW w:w="2040" w:type="dxa"/>
            <w:tcBorders>
              <w:top w:val="single" w:sz="4" w:space="0" w:color="000000"/>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reef intertidal</w:t>
            </w:r>
          </w:p>
        </w:tc>
        <w:tc>
          <w:tcPr>
            <w:tcW w:w="1418" w:type="dxa"/>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color w:val="000000"/>
              </w:rPr>
            </w:pPr>
            <w:r w:rsidRPr="00370E70">
              <w:rPr>
                <w:color w:val="000000"/>
                <w:szCs w:val="22"/>
              </w:rPr>
              <w:t>25</w:t>
            </w:r>
          </w:p>
        </w:tc>
        <w:tc>
          <w:tcPr>
            <w:tcW w:w="1559" w:type="dxa"/>
            <w:tcBorders>
              <w:top w:val="single" w:sz="4" w:space="0" w:color="000000"/>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color w:val="000000"/>
              </w:rPr>
            </w:pPr>
            <w:r w:rsidRPr="00370E70">
              <w:rPr>
                <w:color w:val="000000"/>
                <w:szCs w:val="22"/>
              </w:rPr>
              <w:t>13</w:t>
            </w:r>
          </w:p>
        </w:tc>
        <w:tc>
          <w:tcPr>
            <w:tcW w:w="1604" w:type="dxa"/>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color w:val="000000"/>
              </w:rPr>
            </w:pPr>
            <w:r w:rsidRPr="00370E70">
              <w:rPr>
                <w:color w:val="000000"/>
                <w:szCs w:val="22"/>
              </w:rPr>
              <w:t>21</w:t>
            </w:r>
          </w:p>
        </w:tc>
        <w:tc>
          <w:tcPr>
            <w:tcW w:w="1231" w:type="dxa"/>
            <w:gridSpan w:val="2"/>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b/>
                <w:color w:val="000000"/>
              </w:rPr>
            </w:pPr>
            <w:r w:rsidRPr="00370E70">
              <w:rPr>
                <w:b/>
                <w:color w:val="000000"/>
                <w:szCs w:val="22"/>
              </w:rPr>
              <w:t>20</w:t>
            </w:r>
          </w:p>
        </w:tc>
      </w:tr>
      <w:tr w:rsidR="005132EF" w:rsidRPr="00370E70">
        <w:trPr>
          <w:gridAfter w:val="1"/>
          <w:wAfter w:w="97" w:type="dxa"/>
          <w:trHeight w:val="315"/>
          <w:jc w:val="center"/>
        </w:trPr>
        <w:tc>
          <w:tcPr>
            <w:tcW w:w="2040"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coastal intertidal</w:t>
            </w:r>
          </w:p>
        </w:tc>
        <w:tc>
          <w:tcPr>
            <w:tcW w:w="5715" w:type="dxa"/>
            <w:gridSpan w:val="4"/>
            <w:tcBorders>
              <w:top w:val="single" w:sz="4" w:space="0" w:color="FFFFFF"/>
              <w:left w:val="single" w:sz="4" w:space="0" w:color="FFFFFF"/>
              <w:bottom w:val="single" w:sz="4" w:space="0" w:color="FFFFFF"/>
              <w:right w:val="single" w:sz="4" w:space="0" w:color="FFFFFF"/>
            </w:tcBorders>
            <w:noWrap/>
            <w:vAlign w:val="center"/>
          </w:tcPr>
          <w:p w:rsidR="005132EF" w:rsidRPr="00370E70" w:rsidRDefault="005132EF" w:rsidP="00034AD4">
            <w:pPr>
              <w:keepNext/>
              <w:spacing w:before="0" w:after="0"/>
              <w:jc w:val="center"/>
              <w:rPr>
                <w:i/>
                <w:color w:val="000000"/>
                <w:sz w:val="20"/>
                <w:szCs w:val="20"/>
              </w:rPr>
            </w:pPr>
            <w:r w:rsidRPr="00370E70">
              <w:rPr>
                <w:i/>
                <w:color w:val="000000"/>
                <w:sz w:val="20"/>
                <w:szCs w:val="20"/>
              </w:rPr>
              <w:t>not monitored in late dry season</w:t>
            </w:r>
          </w:p>
        </w:tc>
      </w:tr>
      <w:tr w:rsidR="005132EF" w:rsidRPr="00370E70">
        <w:trPr>
          <w:gridAfter w:val="1"/>
          <w:wAfter w:w="97" w:type="dxa"/>
          <w:trHeight w:val="315"/>
          <w:jc w:val="center"/>
        </w:trPr>
        <w:tc>
          <w:tcPr>
            <w:tcW w:w="2040" w:type="dxa"/>
            <w:tcBorders>
              <w:top w:val="single" w:sz="4" w:space="0" w:color="FFFFFF"/>
              <w:left w:val="single" w:sz="4" w:space="0" w:color="FFFFFF"/>
              <w:bottom w:val="single" w:sz="4" w:space="0" w:color="000000"/>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estuarine intertidal</w:t>
            </w:r>
          </w:p>
        </w:tc>
        <w:tc>
          <w:tcPr>
            <w:tcW w:w="5715" w:type="dxa"/>
            <w:gridSpan w:val="4"/>
            <w:tcBorders>
              <w:top w:val="single" w:sz="4" w:space="0" w:color="FFFFFF"/>
              <w:left w:val="single" w:sz="4" w:space="0" w:color="FFFFFF"/>
              <w:bottom w:val="single" w:sz="4" w:space="0" w:color="000000"/>
              <w:right w:val="single" w:sz="4" w:space="0" w:color="FFFFFF"/>
            </w:tcBorders>
            <w:noWrap/>
            <w:vAlign w:val="center"/>
          </w:tcPr>
          <w:p w:rsidR="005132EF" w:rsidRPr="00370E70" w:rsidRDefault="005132EF" w:rsidP="00034AD4">
            <w:pPr>
              <w:keepNext/>
              <w:spacing w:before="0" w:after="0"/>
              <w:jc w:val="center"/>
              <w:rPr>
                <w:b/>
                <w:bCs/>
                <w:color w:val="000000"/>
                <w:sz w:val="20"/>
                <w:szCs w:val="20"/>
              </w:rPr>
            </w:pPr>
            <w:r w:rsidRPr="00370E70">
              <w:rPr>
                <w:i/>
                <w:color w:val="000000"/>
                <w:sz w:val="20"/>
                <w:szCs w:val="20"/>
              </w:rPr>
              <w:t>not monitored</w:t>
            </w:r>
          </w:p>
        </w:tc>
      </w:tr>
      <w:tr w:rsidR="005132EF" w:rsidRPr="00370E70" w:rsidTr="00B54B0B">
        <w:trPr>
          <w:trHeight w:val="315"/>
          <w:jc w:val="center"/>
        </w:trPr>
        <w:tc>
          <w:tcPr>
            <w:tcW w:w="2040"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C6CC2">
            <w:pPr>
              <w:spacing w:before="0" w:after="0"/>
              <w:jc w:val="center"/>
              <w:rPr>
                <w:color w:val="000000"/>
              </w:rPr>
            </w:pPr>
            <w:smartTag w:uri="urn:schemas-microsoft-com:office:smarttags" w:element="place">
              <w:r w:rsidRPr="00370E70">
                <w:rPr>
                  <w:color w:val="000000"/>
                  <w:szCs w:val="22"/>
                </w:rPr>
                <w:t>Cape York</w:t>
              </w:r>
            </w:smartTag>
            <w:r w:rsidRPr="00370E70">
              <w:rPr>
                <w:color w:val="000000"/>
                <w:szCs w:val="22"/>
              </w:rPr>
              <w:t xml:space="preserve"> </w:t>
            </w:r>
          </w:p>
        </w:tc>
        <w:tc>
          <w:tcPr>
            <w:tcW w:w="1418" w:type="dxa"/>
            <w:tcBorders>
              <w:top w:val="single" w:sz="4" w:space="0" w:color="000000"/>
              <w:left w:val="single" w:sz="4" w:space="0" w:color="FFFFFF"/>
              <w:bottom w:val="single" w:sz="4" w:space="0" w:color="000000"/>
              <w:right w:val="single" w:sz="4" w:space="0" w:color="FFFFFF"/>
            </w:tcBorders>
            <w:shd w:val="clear" w:color="auto" w:fill="FFC000"/>
            <w:noWrap/>
          </w:tcPr>
          <w:p w:rsidR="005132EF" w:rsidRPr="00370E70" w:rsidRDefault="005132EF" w:rsidP="000C6CC2">
            <w:pPr>
              <w:jc w:val="center"/>
              <w:rPr>
                <w:color w:val="000000"/>
              </w:rPr>
            </w:pPr>
            <w:r w:rsidRPr="00370E70">
              <w:rPr>
                <w:color w:val="000000"/>
                <w:szCs w:val="22"/>
              </w:rPr>
              <w:t>25</w:t>
            </w:r>
          </w:p>
        </w:tc>
        <w:tc>
          <w:tcPr>
            <w:tcW w:w="1559" w:type="dxa"/>
            <w:tcBorders>
              <w:top w:val="single" w:sz="4" w:space="0" w:color="000000"/>
              <w:left w:val="single" w:sz="4" w:space="0" w:color="FFFFFF"/>
              <w:bottom w:val="single" w:sz="4" w:space="0" w:color="000000"/>
              <w:right w:val="single" w:sz="4" w:space="0" w:color="FFFFFF"/>
            </w:tcBorders>
            <w:shd w:val="clear" w:color="auto" w:fill="FF0000"/>
            <w:noWrap/>
          </w:tcPr>
          <w:p w:rsidR="005132EF" w:rsidRPr="00370E70" w:rsidRDefault="005132EF" w:rsidP="000C6CC2">
            <w:pPr>
              <w:jc w:val="center"/>
              <w:rPr>
                <w:color w:val="000000"/>
              </w:rPr>
            </w:pPr>
            <w:r w:rsidRPr="00370E70">
              <w:rPr>
                <w:color w:val="000000"/>
                <w:szCs w:val="22"/>
              </w:rPr>
              <w:t>13</w:t>
            </w:r>
          </w:p>
        </w:tc>
        <w:tc>
          <w:tcPr>
            <w:tcW w:w="1604" w:type="dxa"/>
            <w:tcBorders>
              <w:top w:val="single" w:sz="4" w:space="0" w:color="000000"/>
              <w:left w:val="single" w:sz="4" w:space="0" w:color="FFFFFF"/>
              <w:bottom w:val="single" w:sz="4" w:space="0" w:color="000000"/>
              <w:right w:val="single" w:sz="4" w:space="0" w:color="FFFFFF"/>
            </w:tcBorders>
            <w:shd w:val="clear" w:color="auto" w:fill="FFC000"/>
            <w:noWrap/>
          </w:tcPr>
          <w:p w:rsidR="005132EF" w:rsidRPr="00370E70" w:rsidRDefault="005132EF" w:rsidP="000C6CC2">
            <w:pPr>
              <w:jc w:val="center"/>
              <w:rPr>
                <w:color w:val="000000"/>
              </w:rPr>
            </w:pPr>
            <w:r w:rsidRPr="00370E70">
              <w:rPr>
                <w:color w:val="000000"/>
                <w:szCs w:val="22"/>
              </w:rPr>
              <w:t>21</w:t>
            </w:r>
          </w:p>
        </w:tc>
        <w:tc>
          <w:tcPr>
            <w:tcW w:w="1231" w:type="dxa"/>
            <w:gridSpan w:val="2"/>
            <w:tcBorders>
              <w:top w:val="single" w:sz="4" w:space="0" w:color="000000"/>
              <w:left w:val="single" w:sz="4" w:space="0" w:color="FFFFFF"/>
              <w:bottom w:val="single" w:sz="4" w:space="0" w:color="000000"/>
              <w:right w:val="single" w:sz="4" w:space="0" w:color="FFFFFF"/>
            </w:tcBorders>
            <w:shd w:val="clear" w:color="auto" w:fill="FFC000"/>
            <w:noWrap/>
          </w:tcPr>
          <w:p w:rsidR="005132EF" w:rsidRPr="00370E70" w:rsidRDefault="005132EF" w:rsidP="000C6CC2">
            <w:pPr>
              <w:jc w:val="center"/>
              <w:rPr>
                <w:b/>
                <w:color w:val="000000"/>
              </w:rPr>
            </w:pPr>
            <w:r w:rsidRPr="00370E70">
              <w:rPr>
                <w:b/>
                <w:color w:val="000000"/>
                <w:szCs w:val="22"/>
              </w:rPr>
              <w:t>20</w:t>
            </w:r>
          </w:p>
        </w:tc>
      </w:tr>
    </w:tbl>
    <w:p w:rsidR="005132EF" w:rsidRPr="00370E70" w:rsidRDefault="005132EF" w:rsidP="00034AD4">
      <w:pPr>
        <w:pStyle w:val="Heading3"/>
        <w:rPr>
          <w:color w:val="000000"/>
        </w:rPr>
      </w:pPr>
      <w:bookmarkStart w:id="193" w:name="_Toc170191609"/>
      <w:bookmarkStart w:id="194" w:name="_Toc175991059"/>
      <w:bookmarkStart w:id="195" w:name="_Toc232845905"/>
      <w:bookmarkStart w:id="196" w:name="_Toc184101970"/>
      <w:bookmarkStart w:id="197" w:name="_Toc384196128"/>
      <w:r w:rsidRPr="00370E70">
        <w:rPr>
          <w:color w:val="000000"/>
        </w:rPr>
        <w:lastRenderedPageBreak/>
        <w:t>Background</w:t>
      </w:r>
      <w:bookmarkEnd w:id="193"/>
      <w:bookmarkEnd w:id="194"/>
      <w:bookmarkEnd w:id="195"/>
      <w:bookmarkEnd w:id="196"/>
      <w:bookmarkEnd w:id="197"/>
    </w:p>
    <w:p w:rsidR="005132EF" w:rsidRPr="00370E70" w:rsidRDefault="005132EF" w:rsidP="001D26C5">
      <w:pPr>
        <w:pStyle w:val="BodyText"/>
        <w:spacing w:after="0" w:line="240" w:lineRule="auto"/>
        <w:rPr>
          <w:color w:val="000000"/>
          <w:szCs w:val="22"/>
        </w:rPr>
      </w:pPr>
      <w:r w:rsidRPr="00370E70">
        <w:rPr>
          <w:color w:val="000000"/>
          <w:szCs w:val="22"/>
        </w:rPr>
        <w:t xml:space="preserve">Cape York Peninsula is the northernmost extremity of </w:t>
      </w:r>
      <w:smartTag w:uri="urn:schemas-microsoft-com:office:smarttags" w:element="place">
        <w:smartTag w:uri="urn:schemas-microsoft-com:office:smarttags" w:element="country-region">
          <w:r w:rsidRPr="00370E70">
            <w:rPr>
              <w:color w:val="000000"/>
              <w:szCs w:val="22"/>
            </w:rPr>
            <w:t>Australia</w:t>
          </w:r>
        </w:smartTag>
      </w:smartTag>
      <w:r w:rsidRPr="00370E70">
        <w:rPr>
          <w:color w:val="000000"/>
          <w:szCs w:val="22"/>
        </w:rPr>
        <w:t xml:space="preserve">. From its tip at Cape York it extends southward in Queensland for about 800 km, widening to its base, which spans 650 km from Cairns (east) to the Gilbert River (west). The largest rivers empty into the gulf, however there are several significant catchments which empty into the GBR. Major catchments of the region include Jacky Jacky Creek, the Olive, Pascoe, Lockhart, Stewart, Normanby, Jeannie, and </w:t>
      </w:r>
      <w:smartTag w:uri="urn:schemas-microsoft-com:office:smarttags" w:element="place">
        <w:smartTag w:uri="urn:schemas-microsoft-com:office:smarttags" w:element="PlaceName">
          <w:r w:rsidRPr="00370E70">
            <w:rPr>
              <w:color w:val="000000"/>
              <w:szCs w:val="22"/>
            </w:rPr>
            <w:t>Endeavour</w:t>
          </w:r>
        </w:smartTag>
        <w:r w:rsidRPr="00370E70">
          <w:rPr>
            <w:color w:val="000000"/>
            <w:szCs w:val="22"/>
          </w:rPr>
          <w:t xml:space="preserve"> </w:t>
        </w:r>
        <w:smartTag w:uri="urn:schemas-microsoft-com:office:smarttags" w:element="PlaceType">
          <w:r w:rsidRPr="00370E70">
            <w:rPr>
              <w:color w:val="000000"/>
              <w:szCs w:val="22"/>
            </w:rPr>
            <w:t>Rivers</w:t>
          </w:r>
        </w:smartTag>
      </w:smartTag>
      <w:r w:rsidRPr="00370E70">
        <w:rPr>
          <w:color w:val="000000"/>
          <w:szCs w:val="22"/>
        </w:rPr>
        <w:t>.</w:t>
      </w:r>
    </w:p>
    <w:p w:rsidR="005132EF" w:rsidRPr="00370E70" w:rsidRDefault="005132EF" w:rsidP="001D26C5">
      <w:pPr>
        <w:pStyle w:val="BodyText"/>
        <w:spacing w:after="0" w:line="240" w:lineRule="auto"/>
        <w:rPr>
          <w:color w:val="000000"/>
          <w:szCs w:val="22"/>
        </w:rPr>
      </w:pPr>
      <w:r w:rsidRPr="00370E70">
        <w:rPr>
          <w:color w:val="000000"/>
          <w:szCs w:val="22"/>
        </w:rPr>
        <w:t>The region has a monsoonal climate with distinct wet and dry seasons with mean annual rainfall ranging from 1715 mm (Starke region) to 2159 mm (</w:t>
      </w:r>
      <w:smartTag w:uri="urn:schemas-microsoft-com:office:smarttags" w:element="place">
        <w:smartTag w:uri="urn:schemas-microsoft-com:office:smarttags" w:element="PlaceName">
          <w:r w:rsidRPr="00370E70">
            <w:rPr>
              <w:color w:val="000000"/>
              <w:szCs w:val="22"/>
            </w:rPr>
            <w:t>Lockhart</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airport). Most rain falls between December and April.  Mean daily air temperatures in the area range from 18 – 32°C. The prevailing winds are from the south east and persist throughout the year (</w:t>
      </w:r>
      <w:hyperlink w:anchor="_ENREF_68" w:tooltip="Earth Tech, 2005 #9645" w:history="1">
        <w:r w:rsidR="00964A70" w:rsidRPr="00370E70">
          <w:rPr>
            <w:color w:val="000000"/>
            <w:szCs w:val="22"/>
          </w:rPr>
          <w:fldChar w:fldCharType="begin"/>
        </w:r>
        <w:r w:rsidR="00964A70" w:rsidRPr="00370E70">
          <w:rPr>
            <w:color w:val="000000"/>
            <w:szCs w:val="22"/>
          </w:rPr>
          <w:instrText xml:space="preserve"> ADDIN EN.CITE &lt;EndNote&gt;&lt;Cite&gt;&lt;Author&gt;Earth Tech&lt;/Author&gt;&lt;Year&gt;2005&lt;/Year&gt;&lt;RecNum&gt;9645&lt;/RecNum&gt;&lt;DisplayText&gt;Earth Tech 2005&lt;/DisplayText&gt;&lt;record&gt;&lt;rec-number&gt;9645&lt;/rec-number&gt;&lt;foreign-keys&gt;&lt;key app="EN" db-id="0eve55x9y5vfd6e9dacxtew4eatve2dzds9a"&gt;9645&lt;/key&gt;&lt;/foreign-keys&gt;&lt;ref-type name="Book"&gt;6&lt;/ref-type&gt;&lt;contributors&gt;&lt;authors&gt;&lt;author&gt;Earth Tech,&lt;/author&gt;&lt;/authors&gt;&lt;/contributors&gt;&lt;titles&gt;&lt;title&gt;Cape York Peninsula Natural Resource Management Plan&lt;/title&gt;&lt;/titles&gt;&lt;pages&gt;241&lt;/pages&gt;&lt;dates&gt;&lt;year&gt;2005&lt;/year&gt;&lt;/dates&gt;&lt;publisher&gt;Cape York Interim Advisory Group (February 2005)&lt;/publisher&gt;&lt;urls&gt;&lt;/urls&gt;&lt;/record&gt;&lt;/Cite&gt;&lt;/EndNote&gt;</w:instrText>
        </w:r>
        <w:r w:rsidR="00964A70" w:rsidRPr="00370E70">
          <w:rPr>
            <w:color w:val="000000"/>
            <w:szCs w:val="22"/>
          </w:rPr>
          <w:fldChar w:fldCharType="separate"/>
        </w:r>
        <w:r w:rsidR="00964A70" w:rsidRPr="00370E70">
          <w:rPr>
            <w:noProof/>
            <w:color w:val="000000"/>
            <w:szCs w:val="22"/>
          </w:rPr>
          <w:t>Earth Tech 2005</w:t>
        </w:r>
        <w:r w:rsidR="00964A70" w:rsidRPr="00370E70">
          <w:rPr>
            <w:color w:val="000000"/>
            <w:szCs w:val="22"/>
          </w:rPr>
          <w:fldChar w:fldCharType="end"/>
        </w:r>
      </w:hyperlink>
      <w:r w:rsidRPr="00370E70">
        <w:rPr>
          <w:color w:val="000000"/>
          <w:szCs w:val="22"/>
        </w:rPr>
        <w:t>).</w:t>
      </w:r>
    </w:p>
    <w:p w:rsidR="005132EF" w:rsidRPr="00370E70" w:rsidRDefault="005132EF" w:rsidP="001D26C5">
      <w:pPr>
        <w:pStyle w:val="BodyText"/>
        <w:spacing w:after="0" w:line="240" w:lineRule="auto"/>
        <w:rPr>
          <w:color w:val="000000"/>
          <w:szCs w:val="22"/>
        </w:rPr>
      </w:pPr>
      <w:smartTag w:uri="urn:schemas-microsoft-com:office:smarttags" w:element="place">
        <w:r w:rsidRPr="00370E70">
          <w:rPr>
            <w:color w:val="000000"/>
            <w:szCs w:val="22"/>
          </w:rPr>
          <w:t>Cape York Peninsula</w:t>
        </w:r>
      </w:smartTag>
      <w:r w:rsidRPr="00370E70">
        <w:rPr>
          <w:color w:val="000000"/>
          <w:szCs w:val="22"/>
        </w:rPr>
        <w:t xml:space="preserve"> is an area of exceptional conservation value and has cultural value of great significance to both Indigenous and non-Indigenous communities. The majority of the land is relatively undeveloped, therefore water entering the GBR lagoon is perceived to be of a high quality. Cattle station leases occupy about 52% of the total area, mostly located in central </w:t>
      </w:r>
      <w:smartTag w:uri="urn:schemas-microsoft-com:office:smarttags" w:element="place">
        <w:r w:rsidRPr="00370E70">
          <w:rPr>
            <w:color w:val="000000"/>
            <w:szCs w:val="22"/>
          </w:rPr>
          <w:t>Cape York Peninsula</w:t>
        </w:r>
      </w:smartTag>
      <w:r w:rsidRPr="00370E70">
        <w:rPr>
          <w:color w:val="000000"/>
          <w:szCs w:val="22"/>
        </w:rPr>
        <w:t xml:space="preserve"> but only around 33% are active leases. Indigenous land comprises about 22%, with a significant area of the West coast being held under Native title and other areas being under native title claim. The remainder is mostly declared as National Park including joint management areas with local traditional owners or under other conservations tenures </w:t>
      </w:r>
      <w:r w:rsidR="002C6536" w:rsidRPr="00370E70">
        <w:rPr>
          <w:color w:val="000000"/>
          <w:szCs w:val="22"/>
        </w:rPr>
        <w:t>e.g.</w:t>
      </w:r>
      <w:r w:rsidRPr="00370E70">
        <w:rPr>
          <w:color w:val="000000"/>
          <w:szCs w:val="22"/>
        </w:rPr>
        <w:t xml:space="preserve"> nature refuges, conservation areas, wildlife reserves . Mining, agriculture, and commercial and recreational fishing are the major economic activities. All these activities have the potential to expand in this region and with this expansion the risk of increased pollutants. </w:t>
      </w:r>
    </w:p>
    <w:p w:rsidR="005132EF" w:rsidRPr="00370E70" w:rsidRDefault="005132EF" w:rsidP="001D26C5">
      <w:pPr>
        <w:pStyle w:val="BodyText"/>
        <w:spacing w:after="0" w:line="240" w:lineRule="auto"/>
        <w:rPr>
          <w:color w:val="000000"/>
          <w:szCs w:val="22"/>
        </w:rPr>
      </w:pPr>
      <w:r w:rsidRPr="00370E70">
        <w:rPr>
          <w:color w:val="000000"/>
          <w:szCs w:val="22"/>
        </w:rPr>
        <w:t>Of the seagrass habitats types identified for the GBR (</w:t>
      </w:r>
      <w:r w:rsidRPr="00370E70">
        <w:fldChar w:fldCharType="begin"/>
      </w:r>
      <w:r w:rsidRPr="00370E70">
        <w:instrText xml:space="preserve"> REF _Ref179269924 \h  \* MERGEFORMAT </w:instrText>
      </w:r>
      <w:r w:rsidRPr="00370E70">
        <w:fldChar w:fldCharType="separate"/>
      </w:r>
      <w:r w:rsidR="005B5FD6" w:rsidRPr="005B5FD6">
        <w:rPr>
          <w:szCs w:val="22"/>
        </w:rPr>
        <w:t xml:space="preserve">Figure </w:t>
      </w:r>
      <w:r w:rsidR="005B5FD6" w:rsidRPr="005B5FD6">
        <w:rPr>
          <w:color w:val="000000"/>
          <w:szCs w:val="22"/>
        </w:rPr>
        <w:t>2</w:t>
      </w:r>
      <w:r w:rsidRPr="00370E70">
        <w:fldChar w:fldCharType="end"/>
      </w:r>
      <w:r w:rsidRPr="00370E70">
        <w:rPr>
          <w:color w:val="000000"/>
          <w:szCs w:val="22"/>
        </w:rPr>
        <w:t xml:space="preserve">), Reef Rescue MMP monitoring of seagrass meadows within this region only included fringing reef habitats up until 2012. In 2012, with the assistance of the Queensland Government's Reef Plan section of the Department of Agriculture, Fisheries and Forestry (DAFF), seagrass monitoring sites were also </w:t>
      </w:r>
      <w:r w:rsidR="00957EBE" w:rsidRPr="00370E70">
        <w:rPr>
          <w:color w:val="000000"/>
          <w:szCs w:val="22"/>
        </w:rPr>
        <w:t>established</w:t>
      </w:r>
      <w:r w:rsidRPr="00370E70">
        <w:rPr>
          <w:color w:val="000000"/>
          <w:szCs w:val="22"/>
        </w:rPr>
        <w:t xml:space="preserve"> on coastal habitats.</w:t>
      </w:r>
    </w:p>
    <w:p w:rsidR="005132EF" w:rsidRPr="00370E70" w:rsidRDefault="005132EF" w:rsidP="00034AD4">
      <w:pPr>
        <w:pStyle w:val="BodyText"/>
        <w:spacing w:after="0" w:line="240" w:lineRule="auto"/>
        <w:rPr>
          <w:color w:val="000000"/>
          <w:szCs w:val="22"/>
        </w:rPr>
      </w:pPr>
      <w:r w:rsidRPr="00370E70">
        <w:rPr>
          <w:color w:val="000000"/>
          <w:szCs w:val="22"/>
        </w:rPr>
        <w:t xml:space="preserve">Fringing reef habitats in the </w:t>
      </w:r>
      <w:smartTag w:uri="urn:schemas-microsoft-com:office:smarttags" w:element="place">
        <w:r w:rsidRPr="00370E70">
          <w:rPr>
            <w:color w:val="000000"/>
            <w:szCs w:val="22"/>
          </w:rPr>
          <w:t>Cape York</w:t>
        </w:r>
      </w:smartTag>
      <w:r w:rsidRPr="00370E70">
        <w:rPr>
          <w:color w:val="000000"/>
          <w:szCs w:val="22"/>
        </w:rPr>
        <w:t xml:space="preserve"> region support diverse seagrass assemblages. Approximately 3% of all mapped seagrass meadows in the </w:t>
      </w:r>
      <w:smartTag w:uri="urn:schemas-microsoft-com:office:smarttags" w:element="place">
        <w:r w:rsidRPr="00370E70">
          <w:rPr>
            <w:color w:val="000000"/>
            <w:szCs w:val="22"/>
          </w:rPr>
          <w:t>Cape York</w:t>
        </w:r>
      </w:smartTag>
      <w:r w:rsidRPr="00370E70">
        <w:rPr>
          <w:color w:val="000000"/>
          <w:szCs w:val="22"/>
        </w:rPr>
        <w:t xml:space="preserve"> region are located on fringing-reefs (Coles </w:t>
      </w:r>
      <w:r w:rsidRPr="00370E70">
        <w:rPr>
          <w:i/>
          <w:color w:val="000000"/>
          <w:szCs w:val="22"/>
        </w:rPr>
        <w:t>et al.,</w:t>
      </w:r>
      <w:r w:rsidRPr="00370E70">
        <w:rPr>
          <w:color w:val="000000"/>
          <w:szCs w:val="22"/>
        </w:rPr>
        <w:t xml:space="preserve"> 2007). On fringing-reefs, physical disturbance from waves and swell and associated sediment movement primarily control seagrass growing in these habitats (</w:t>
      </w:r>
      <w:r w:rsidRPr="00370E70">
        <w:fldChar w:fldCharType="begin"/>
      </w:r>
      <w:r w:rsidRPr="00370E70">
        <w:instrText xml:space="preserve"> REF _Ref179269947 \h  \* MERGEFORMAT </w:instrText>
      </w:r>
      <w:r w:rsidRPr="00370E70">
        <w:fldChar w:fldCharType="separate"/>
      </w:r>
      <w:r w:rsidR="005B5FD6" w:rsidRPr="005B5FD6">
        <w:rPr>
          <w:szCs w:val="22"/>
        </w:rPr>
        <w:t xml:space="preserve">Figure </w:t>
      </w:r>
      <w:r w:rsidR="005B5FD6" w:rsidRPr="005B5FD6">
        <w:rPr>
          <w:noProof/>
          <w:color w:val="000000"/>
          <w:szCs w:val="22"/>
        </w:rPr>
        <w:t>26</w:t>
      </w:r>
      <w:r w:rsidRPr="00370E70">
        <w:fldChar w:fldCharType="end"/>
      </w:r>
      <w:r w:rsidRPr="00370E70">
        <w:rPr>
          <w:color w:val="000000"/>
          <w:szCs w:val="22"/>
        </w:rPr>
        <w:t>). Shallow unstable sediment, fluctuating temperature, and variable salinity in intertidal regions characterize these habitats. Sediment movement due to bioturbation and prevalent wave exposure creates an unstable environment where it is difficult for seagrass seedlings to establish or persist.</w:t>
      </w:r>
    </w:p>
    <w:p w:rsidR="005132EF" w:rsidRPr="00370E70" w:rsidRDefault="007B15AB" w:rsidP="00034AD4">
      <w:pPr>
        <w:keepNext/>
        <w:jc w:val="center"/>
        <w:rPr>
          <w:color w:val="000000"/>
        </w:rPr>
      </w:pPr>
      <w:r>
        <w:rPr>
          <w:noProof/>
          <w:color w:val="000000"/>
          <w:lang w:eastAsia="en-AU"/>
        </w:rPr>
        <w:drawing>
          <wp:inline distT="0" distB="0" distL="0" distR="0">
            <wp:extent cx="5756910" cy="2138045"/>
            <wp:effectExtent l="0" t="0" r="0" b="0"/>
            <wp:docPr id="37" name="Picture 47" descr="Conceptual diagram of reef-platform habitat in the Cape York region – major control is pulsed physical disturbance, salinity and temperature extremes: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onceptual diagram of reef-platform habitat in the Cape York region – major control is pulsed physical disturbance, salinity and temperature extremes: general habitat and seagrass meadow processes "/>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56910" cy="2138045"/>
                    </a:xfrm>
                    <a:prstGeom prst="rect">
                      <a:avLst/>
                    </a:prstGeom>
                    <a:noFill/>
                    <a:ln>
                      <a:noFill/>
                    </a:ln>
                  </pic:spPr>
                </pic:pic>
              </a:graphicData>
            </a:graphic>
          </wp:inline>
        </w:drawing>
      </w:r>
    </w:p>
    <w:p w:rsidR="00647D3E" w:rsidRPr="00370E70" w:rsidRDefault="005132EF" w:rsidP="00647D3E">
      <w:pPr>
        <w:pStyle w:val="Caption"/>
        <w:rPr>
          <w:i/>
          <w:vanish/>
          <w:color w:val="000000"/>
          <w:szCs w:val="22"/>
          <w:lang w:val="en-AU"/>
          <w:specVanish/>
        </w:rPr>
      </w:pPr>
      <w:bookmarkStart w:id="198" w:name="_Ref179269947"/>
      <w:bookmarkStart w:id="199" w:name="_Toc384196373"/>
      <w:bookmarkStart w:id="200" w:name="_Toc176158847"/>
      <w:bookmarkStart w:id="201" w:name="_Toc232845955"/>
      <w:bookmarkStart w:id="202" w:name="_Toc17019230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26</w:t>
      </w:r>
      <w:r w:rsidRPr="00370E70">
        <w:rPr>
          <w:lang w:val="en-AU"/>
        </w:rPr>
        <w:fldChar w:fldCharType="end"/>
      </w:r>
      <w:bookmarkEnd w:id="198"/>
      <w:r w:rsidRPr="00370E70">
        <w:rPr>
          <w:lang w:val="en-AU"/>
        </w:rPr>
        <w:t xml:space="preserve">. </w:t>
      </w:r>
      <w:r w:rsidRPr="00370E70">
        <w:rPr>
          <w:i/>
          <w:lang w:val="en-AU"/>
        </w:rPr>
        <w:t xml:space="preserve">Conceptual diagram of reef </w:t>
      </w:r>
      <w:r w:rsidR="00A60815">
        <w:rPr>
          <w:i/>
          <w:lang w:val="en-AU"/>
        </w:rPr>
        <w:t xml:space="preserve">seagrass </w:t>
      </w:r>
      <w:r w:rsidRPr="00370E70">
        <w:rPr>
          <w:i/>
          <w:lang w:val="en-AU"/>
        </w:rPr>
        <w:t xml:space="preserve">habitat in the </w:t>
      </w:r>
      <w:smartTag w:uri="urn:schemas-microsoft-com:office:smarttags" w:element="place">
        <w:r w:rsidRPr="00370E70">
          <w:rPr>
            <w:i/>
            <w:lang w:val="en-AU"/>
          </w:rPr>
          <w:t>Cape York</w:t>
        </w:r>
      </w:smartTag>
      <w:r w:rsidRPr="00370E70">
        <w:rPr>
          <w:i/>
          <w:lang w:val="en-AU"/>
        </w:rPr>
        <w:t xml:space="preserve"> region</w:t>
      </w:r>
      <w:bookmarkEnd w:id="199"/>
    </w:p>
    <w:p w:rsidR="00647D3E" w:rsidRPr="00370E70" w:rsidRDefault="005132EF" w:rsidP="00647D3E">
      <w:pPr>
        <w:pStyle w:val="Caption"/>
        <w:rPr>
          <w:i/>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pulsed physical disturbance, salinity and temperature extremes: general habitat and seagrass meadow processes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200"/>
      <w:bookmarkEnd w:id="201"/>
      <w:r w:rsidR="00647D3E" w:rsidRPr="00370E70">
        <w:rPr>
          <w:i/>
          <w:lang w:val="en-AU"/>
        </w:rPr>
        <w:t xml:space="preserve"> </w:t>
      </w:r>
    </w:p>
    <w:p w:rsidR="00E312F3" w:rsidRPr="00370E70" w:rsidRDefault="00E312F3" w:rsidP="00E312F3">
      <w:pPr>
        <w:pStyle w:val="BodyText"/>
        <w:spacing w:after="0" w:line="240" w:lineRule="auto"/>
        <w:rPr>
          <w:color w:val="000000"/>
          <w:szCs w:val="22"/>
        </w:rPr>
      </w:pPr>
      <w:r w:rsidRPr="00370E70">
        <w:rPr>
          <w:color w:val="000000"/>
          <w:szCs w:val="22"/>
        </w:rPr>
        <w:lastRenderedPageBreak/>
        <w:t>Seagrass meadows on inshore reef habitats were monitored at 3 locations, from the far north of the region (12.25°S), to the far south (15.6°S)</w:t>
      </w:r>
      <w:r w:rsidR="00924BFB" w:rsidRPr="00370E70">
        <w:rPr>
          <w:color w:val="000000"/>
          <w:szCs w:val="22"/>
        </w:rPr>
        <w:t xml:space="preserve"> (</w:t>
      </w:r>
      <w:r w:rsidR="00924BFB" w:rsidRPr="00370E70">
        <w:rPr>
          <w:color w:val="000000"/>
          <w:szCs w:val="22"/>
        </w:rPr>
        <w:fldChar w:fldCharType="begin"/>
      </w:r>
      <w:r w:rsidR="00924BFB" w:rsidRPr="00370E70">
        <w:rPr>
          <w:color w:val="000000"/>
          <w:szCs w:val="22"/>
        </w:rPr>
        <w:instrText xml:space="preserve"> REF _Ref236986846 \h </w:instrText>
      </w:r>
      <w:r w:rsidR="00924BFB" w:rsidRPr="00370E70">
        <w:rPr>
          <w:color w:val="000000"/>
          <w:szCs w:val="22"/>
        </w:rPr>
      </w:r>
      <w:r w:rsidR="00924BFB"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28</w:t>
      </w:r>
      <w:r w:rsidR="00924BFB" w:rsidRPr="00370E70">
        <w:rPr>
          <w:color w:val="000000"/>
          <w:szCs w:val="22"/>
        </w:rPr>
        <w:fldChar w:fldCharType="end"/>
      </w:r>
      <w:r w:rsidR="00924BFB" w:rsidRPr="00370E70">
        <w:rPr>
          <w:color w:val="000000"/>
          <w:szCs w:val="22"/>
        </w:rPr>
        <w:t>)</w:t>
      </w:r>
      <w:r w:rsidRPr="00370E70">
        <w:rPr>
          <w:color w:val="000000"/>
          <w:szCs w:val="22"/>
        </w:rPr>
        <w:t>.  The most southern location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includes sites which have been monitored over the longest time period for the region. The monitoring sites at </w:t>
      </w:r>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r w:rsidRPr="00370E70">
        <w:rPr>
          <w:color w:val="000000"/>
          <w:szCs w:val="22"/>
        </w:rPr>
        <w:t xml:space="preserve"> were located in a protected section of bay adjacent to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fringed by mangroves, approximately 15km south of Cooktown (</w:t>
      </w:r>
      <w:r w:rsidR="001269B5" w:rsidRPr="00370E70">
        <w:rPr>
          <w:color w:val="000000"/>
          <w:szCs w:val="22"/>
        </w:rPr>
        <w:fldChar w:fldCharType="begin"/>
      </w:r>
      <w:r w:rsidR="001269B5" w:rsidRPr="00370E70">
        <w:rPr>
          <w:color w:val="000000"/>
          <w:szCs w:val="22"/>
        </w:rPr>
        <w:instrText xml:space="preserve"> REF _Ref236986846 \h </w:instrText>
      </w:r>
      <w:r w:rsidR="001269B5" w:rsidRPr="00370E70">
        <w:rPr>
          <w:color w:val="000000"/>
          <w:szCs w:val="22"/>
        </w:rPr>
      </w:r>
      <w:r w:rsidR="001269B5"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28</w:t>
      </w:r>
      <w:r w:rsidR="001269B5" w:rsidRPr="00370E70">
        <w:rPr>
          <w:color w:val="000000"/>
          <w:szCs w:val="22"/>
        </w:rPr>
        <w:fldChar w:fldCharType="end"/>
      </w:r>
      <w:r w:rsidRPr="00370E70">
        <w:rPr>
          <w:color w:val="000000"/>
          <w:szCs w:val="22"/>
        </w:rPr>
        <w:t xml:space="preserve">). There are two major rivers within the immediate region: the Endeavour and the </w:t>
      </w:r>
      <w:smartTag w:uri="urn:schemas-microsoft-com:office:smarttags" w:element="place">
        <w:smartTag w:uri="urn:schemas-microsoft-com:office:smarttags" w:element="PlaceName">
          <w:r w:rsidRPr="00370E70">
            <w:rPr>
              <w:color w:val="000000"/>
              <w:szCs w:val="22"/>
            </w:rPr>
            <w:t>Annan</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The </w:t>
      </w:r>
      <w:smartTag w:uri="urn:schemas-microsoft-com:office:smarttags" w:element="place">
        <w:smartTag w:uri="urn:schemas-microsoft-com:office:smarttags" w:element="PlaceName">
          <w:r w:rsidRPr="00370E70">
            <w:rPr>
              <w:color w:val="000000"/>
              <w:szCs w:val="22"/>
            </w:rPr>
            <w:t>Endeavour</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is the larger of the two river systems and has a catchment area of approximately 992 km</w:t>
      </w:r>
      <w:r w:rsidRPr="00370E70">
        <w:rPr>
          <w:color w:val="000000"/>
          <w:szCs w:val="22"/>
          <w:vertAlign w:val="superscript"/>
        </w:rPr>
        <w:t>2</w:t>
      </w:r>
      <w:r w:rsidRPr="00370E70">
        <w:rPr>
          <w:color w:val="000000"/>
          <w:szCs w:val="22"/>
        </w:rPr>
        <w:t xml:space="preserve">. The </w:t>
      </w:r>
      <w:smartTag w:uri="urn:schemas-microsoft-com:office:smarttags" w:element="PlaceName">
        <w:r w:rsidRPr="00370E70">
          <w:rPr>
            <w:color w:val="000000"/>
            <w:szCs w:val="22"/>
          </w:rPr>
          <w:t>Annan</w:t>
        </w:r>
      </w:smartTag>
      <w:r w:rsidRPr="00370E70">
        <w:rPr>
          <w:color w:val="000000"/>
          <w:szCs w:val="22"/>
        </w:rPr>
        <w:t xml:space="preserve"> </w:t>
      </w:r>
      <w:smartTag w:uri="urn:schemas-microsoft-com:office:smarttags" w:element="PlaceType">
        <w:r w:rsidRPr="00370E70">
          <w:rPr>
            <w:color w:val="000000"/>
            <w:szCs w:val="22"/>
          </w:rPr>
          <w:t>River</w:t>
        </w:r>
      </w:smartTag>
      <w:r w:rsidRPr="00370E70">
        <w:rPr>
          <w:color w:val="000000"/>
          <w:szCs w:val="22"/>
        </w:rPr>
        <w:t xml:space="preserve"> is located approximately 5 km south of Cooktown and extends inland from </w:t>
      </w:r>
      <w:smartTag w:uri="urn:schemas-microsoft-com:office:smarttags" w:element="place">
        <w:smartTag w:uri="urn:schemas-microsoft-com:office:smarttags" w:element="PlaceName">
          <w:r w:rsidRPr="00370E70">
            <w:rPr>
              <w:color w:val="000000"/>
              <w:szCs w:val="22"/>
            </w:rPr>
            <w:t>Walker</w:t>
          </w:r>
        </w:smartTag>
        <w:r w:rsidRPr="00370E70">
          <w:rPr>
            <w:color w:val="000000"/>
            <w:szCs w:val="22"/>
          </w:rPr>
          <w:t xml:space="preserve"> </w:t>
        </w:r>
        <w:smartTag w:uri="urn:schemas-microsoft-com:office:smarttags" w:element="PlaceName">
          <w:r w:rsidRPr="00370E70">
            <w:rPr>
              <w:color w:val="000000"/>
              <w:szCs w:val="22"/>
            </w:rPr>
            <w:t>Bay</w:t>
          </w:r>
        </w:smartTag>
      </w:smartTag>
      <w:r w:rsidRPr="00370E70">
        <w:rPr>
          <w:color w:val="000000"/>
          <w:szCs w:val="22"/>
        </w:rPr>
        <w:t>. The Annan River catchment area is approximately 850 km</w:t>
      </w:r>
      <w:r w:rsidRPr="00370E70">
        <w:rPr>
          <w:color w:val="000000"/>
          <w:szCs w:val="22"/>
          <w:vertAlign w:val="superscript"/>
        </w:rPr>
        <w:t>2</w:t>
      </w:r>
      <w:r w:rsidRPr="00370E70">
        <w:rPr>
          <w:color w:val="000000"/>
          <w:szCs w:val="22"/>
        </w:rPr>
        <w:t xml:space="preserve"> (</w:t>
      </w:r>
      <w:hyperlink w:anchor="_ENREF_102" w:tooltip="Hortle, 1990 #9672" w:history="1">
        <w:r w:rsidR="00964A70" w:rsidRPr="00370E70">
          <w:rPr>
            <w:color w:val="000000"/>
            <w:szCs w:val="22"/>
          </w:rPr>
          <w:fldChar w:fldCharType="begin"/>
        </w:r>
        <w:r w:rsidR="00964A70" w:rsidRPr="00370E70">
          <w:rPr>
            <w:color w:val="000000"/>
            <w:szCs w:val="22"/>
          </w:rPr>
          <w:instrText xml:space="preserve"> ADDIN EN.CITE &lt;EndNote&gt;&lt;Cite&gt;&lt;Author&gt;Hortle&lt;/Author&gt;&lt;Year&gt;1990&lt;/Year&gt;&lt;RecNum&gt;9672&lt;/RecNum&gt;&lt;DisplayText&gt;Hortle and Person 1990&lt;/DisplayText&gt;&lt;record&gt;&lt;rec-number&gt;9672&lt;/rec-number&gt;&lt;foreign-keys&gt;&lt;key app="EN" db-id="0eve55x9y5vfd6e9dacxtew4eatve2dzds9a"&gt;9672&lt;/key&gt;&lt;/foreign-keys&gt;&lt;ref-type name="Journal Article"&gt;17&lt;/ref-type&gt;&lt;contributors&gt;&lt;authors&gt;&lt;author&gt;Hortle, KG&lt;/author&gt;&lt;author&gt;Person, RG&lt;/author&gt;&lt;/authors&gt;&lt;/contributors&gt;&lt;titles&gt;&lt;title&gt;Fauna of the Annan River System, far North Queensland, with reference to the Impact of Tin Mining. I. Fishes&lt;/title&gt;&lt;secondary-title&gt;Marine and Freshwater Research&lt;/secondary-title&gt;&lt;/titles&gt;&lt;periodical&gt;&lt;full-title&gt;Marine and Freshwater Research&lt;/full-title&gt;&lt;/periodical&gt;&lt;pages&gt;677-694&lt;/pages&gt;&lt;volume&gt;41&lt;/volume&gt;&lt;number&gt;6&lt;/number&gt;&lt;dates&gt;&lt;year&gt;1990&lt;/year&gt;&lt;/dates&gt;&lt;urls&gt;&lt;related-urls&gt;&lt;url&gt;http://www.publish.csiro.au/paper/MF9900677&lt;/url&gt;&lt;/related-urls&gt;&lt;/urls&gt;&lt;electronic-resource-num&gt;http://dx.doi.org/10.1071/MF9900677&lt;/electronic-resource-num&gt;&lt;/record&gt;&lt;/Cite&gt;&lt;/EndNote&gt;</w:instrText>
        </w:r>
        <w:r w:rsidR="00964A70" w:rsidRPr="00370E70">
          <w:rPr>
            <w:color w:val="000000"/>
            <w:szCs w:val="22"/>
          </w:rPr>
          <w:fldChar w:fldCharType="separate"/>
        </w:r>
        <w:r w:rsidR="00964A70" w:rsidRPr="00370E70">
          <w:rPr>
            <w:noProof/>
            <w:color w:val="000000"/>
            <w:szCs w:val="22"/>
          </w:rPr>
          <w:t>Hortle and Person 1990</w:t>
        </w:r>
        <w:r w:rsidR="00964A70" w:rsidRPr="00370E70">
          <w:rPr>
            <w:color w:val="000000"/>
            <w:szCs w:val="22"/>
          </w:rPr>
          <w:fldChar w:fldCharType="end"/>
        </w:r>
      </w:hyperlink>
      <w:r w:rsidRPr="00370E70">
        <w:rPr>
          <w:color w:val="000000"/>
          <w:szCs w:val="22"/>
        </w:rPr>
        <w:t xml:space="preserve">). The Eastern Kuku Yalanji are the traditional custodians of the land and sea country between Mowbray River (Port Douglas) and the </w:t>
      </w:r>
      <w:smartTag w:uri="urn:schemas-microsoft-com:office:smarttags" w:element="place">
        <w:smartTag w:uri="urn:schemas-microsoft-com:office:smarttags" w:element="PlaceName">
          <w:r w:rsidRPr="00370E70">
            <w:rPr>
              <w:color w:val="000000"/>
              <w:szCs w:val="22"/>
            </w:rPr>
            <w:t>Annan</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w:t>
      </w:r>
    </w:p>
    <w:p w:rsidR="005132EF" w:rsidRPr="00370E70" w:rsidRDefault="005132EF" w:rsidP="00A30EFA">
      <w:pPr>
        <w:pStyle w:val="BodyText"/>
        <w:spacing w:after="0" w:line="240" w:lineRule="auto"/>
        <w:rPr>
          <w:color w:val="000000"/>
          <w:szCs w:val="22"/>
        </w:rPr>
      </w:pPr>
      <w:bookmarkStart w:id="203" w:name="_Toc175991060"/>
      <w:bookmarkStart w:id="204" w:name="_Toc232845906"/>
      <w:bookmarkEnd w:id="202"/>
      <w:r w:rsidRPr="00370E70">
        <w:rPr>
          <w:color w:val="000000"/>
          <w:szCs w:val="22"/>
        </w:rPr>
        <w:t xml:space="preserve">In early 2012, two additional reef habitat </w:t>
      </w:r>
      <w:r w:rsidR="00957EBE" w:rsidRPr="00370E70">
        <w:rPr>
          <w:color w:val="000000"/>
          <w:szCs w:val="22"/>
        </w:rPr>
        <w:t>locations</w:t>
      </w:r>
      <w:r w:rsidRPr="00370E70">
        <w:rPr>
          <w:color w:val="000000"/>
          <w:szCs w:val="22"/>
        </w:rPr>
        <w:t xml:space="preserve"> were included for monitoring: </w:t>
      </w:r>
      <w:smartTag w:uri="urn:schemas-microsoft-com:office:smarttags" w:element="place">
        <w:smartTag w:uri="urn:schemas-microsoft-com:office:smarttags" w:element="PlaceName">
          <w:r w:rsidRPr="00370E70">
            <w:rPr>
              <w:color w:val="000000"/>
              <w:szCs w:val="22"/>
            </w:rPr>
            <w:t>Stanley</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and Piper Reef. </w:t>
      </w:r>
      <w:smartTag w:uri="urn:schemas-microsoft-com:office:smarttags" w:element="PlaceName">
        <w:r w:rsidRPr="00370E70">
          <w:rPr>
            <w:color w:val="000000"/>
            <w:szCs w:val="22"/>
          </w:rPr>
          <w:t>Stanley</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is the northern most island within the </w:t>
      </w:r>
      <w:smartTag w:uri="urn:schemas-microsoft-com:office:smarttags" w:element="PlaceName">
        <w:r w:rsidRPr="00370E70">
          <w:rPr>
            <w:color w:val="000000"/>
            <w:szCs w:val="22"/>
          </w:rPr>
          <w:t>Flinders</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group north of </w:t>
      </w:r>
      <w:smartTag w:uri="urn:schemas-microsoft-com:office:smarttags" w:element="place">
        <w:smartTag w:uri="urn:schemas-microsoft-com:office:smarttags" w:element="PlaceName">
          <w:r w:rsidRPr="00370E70">
            <w:rPr>
              <w:color w:val="000000"/>
              <w:szCs w:val="22"/>
            </w:rPr>
            <w:t>Bathurst</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It lies within the traditional land and sea country of the Yithuwarra people. The site is a fringing reef site also fringed with mangroves. The islands are influenced by the </w:t>
      </w:r>
      <w:smartTag w:uri="urn:schemas-microsoft-com:office:smarttags" w:element="PlaceName">
        <w:r w:rsidRPr="00370E70">
          <w:rPr>
            <w:color w:val="000000"/>
            <w:szCs w:val="22"/>
          </w:rPr>
          <w:t>Princess</w:t>
        </w:r>
      </w:smartTag>
      <w:r w:rsidRPr="00370E70">
        <w:rPr>
          <w:color w:val="000000"/>
          <w:szCs w:val="22"/>
        </w:rPr>
        <w:t xml:space="preserve"> </w:t>
      </w:r>
      <w:smartTag w:uri="urn:schemas-microsoft-com:office:smarttags" w:element="PlaceName">
        <w:r w:rsidRPr="00370E70">
          <w:rPr>
            <w:color w:val="000000"/>
            <w:szCs w:val="22"/>
          </w:rPr>
          <w:t>Charlotte</w:t>
        </w:r>
      </w:smartTag>
      <w:r w:rsidRPr="00370E70">
        <w:rPr>
          <w:color w:val="000000"/>
          <w:szCs w:val="22"/>
        </w:rPr>
        <w:t xml:space="preserve"> </w:t>
      </w:r>
      <w:smartTag w:uri="urn:schemas-microsoft-com:office:smarttags" w:element="PlaceName">
        <w:r w:rsidRPr="00370E70">
          <w:rPr>
            <w:color w:val="000000"/>
            <w:szCs w:val="22"/>
          </w:rPr>
          <w:t>Bay</w:t>
        </w:r>
      </w:smartTag>
      <w:r w:rsidRPr="00370E70">
        <w:rPr>
          <w:color w:val="000000"/>
          <w:szCs w:val="22"/>
        </w:rPr>
        <w:t xml:space="preserve"> catchment which has four river systems, the Normanby, Marrett, Bizant and </w:t>
      </w:r>
      <w:smartTag w:uri="urn:schemas-microsoft-com:office:smarttags" w:element="place">
        <w:smartTag w:uri="urn:schemas-microsoft-com:office:smarttags" w:element="PlaceName">
          <w:r w:rsidRPr="00370E70">
            <w:rPr>
              <w:color w:val="000000"/>
              <w:szCs w:val="22"/>
            </w:rPr>
            <w:t>North</w:t>
          </w:r>
        </w:smartTag>
        <w:r w:rsidRPr="00370E70">
          <w:rPr>
            <w:color w:val="000000"/>
            <w:szCs w:val="22"/>
          </w:rPr>
          <w:t xml:space="preserve"> </w:t>
        </w:r>
        <w:smartTag w:uri="urn:schemas-microsoft-com:office:smarttags" w:element="PlaceName">
          <w:r w:rsidRPr="00370E70">
            <w:rPr>
              <w:color w:val="000000"/>
              <w:szCs w:val="22"/>
            </w:rPr>
            <w:t>Kennedy</w:t>
          </w:r>
        </w:smartTag>
        <w:r w:rsidRPr="00370E70">
          <w:rPr>
            <w:color w:val="000000"/>
            <w:szCs w:val="22"/>
          </w:rPr>
          <w:t xml:space="preserve"> </w:t>
        </w:r>
        <w:smartTag w:uri="urn:schemas-microsoft-com:office:smarttags" w:element="PlaceType">
          <w:r w:rsidRPr="00370E70">
            <w:rPr>
              <w:color w:val="000000"/>
              <w:szCs w:val="22"/>
            </w:rPr>
            <w:t>Rivers</w:t>
          </w:r>
        </w:smartTag>
      </w:smartTag>
      <w:r w:rsidRPr="00370E70">
        <w:rPr>
          <w:color w:val="000000"/>
          <w:szCs w:val="22"/>
        </w:rPr>
        <w:t xml:space="preserve">. The </w:t>
      </w:r>
      <w:smartTag w:uri="urn:schemas-microsoft-com:office:smarttags" w:element="place">
        <w:smartTag w:uri="urn:schemas-microsoft-com:office:smarttags" w:element="PlaceName">
          <w:r w:rsidRPr="00370E70">
            <w:rPr>
              <w:color w:val="000000"/>
              <w:szCs w:val="22"/>
            </w:rPr>
            <w:t>Normanby</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is the largest river draining into the GBR. The catchment is large covering 24,400 km</w:t>
      </w:r>
      <w:r w:rsidR="002C6536" w:rsidRPr="00370E70">
        <w:rPr>
          <w:color w:val="000000"/>
          <w:szCs w:val="22"/>
          <w:vertAlign w:val="superscript"/>
        </w:rPr>
        <w:t>2</w:t>
      </w:r>
      <w:r w:rsidRPr="00370E70">
        <w:rPr>
          <w:color w:val="000000"/>
          <w:szCs w:val="22"/>
        </w:rPr>
        <w:t xml:space="preserve"> containing cattle leases (Kalpowar, Violetvale and Lilyvale) and Rinyirru (Lakefield) National Park. Piper Reef is approximately 45km </w:t>
      </w:r>
      <w:smartTag w:uri="urn:schemas-microsoft-com:office:smarttags" w:element="place">
        <w:smartTag w:uri="urn:schemas-microsoft-com:office:smarttags" w:element="State">
          <w:r w:rsidRPr="00370E70">
            <w:rPr>
              <w:color w:val="000000"/>
              <w:szCs w:val="22"/>
            </w:rPr>
            <w:t>north west</w:t>
          </w:r>
        </w:smartTag>
      </w:smartTag>
      <w:r w:rsidRPr="00370E70">
        <w:rPr>
          <w:color w:val="000000"/>
          <w:szCs w:val="22"/>
        </w:rPr>
        <w:t xml:space="preserve"> of Portland Roads, 15 km off the mainland coast. It lies within the traditional sea country of the Kuuku Y’au people. It is influenced by coastal waters from the Olive and </w:t>
      </w:r>
      <w:smartTag w:uri="urn:schemas-microsoft-com:office:smarttags" w:element="PlaceName">
        <w:r w:rsidRPr="00370E70">
          <w:rPr>
            <w:color w:val="000000"/>
            <w:szCs w:val="22"/>
          </w:rPr>
          <w:t>Pascoe</w:t>
        </w:r>
      </w:smartTag>
      <w:r w:rsidRPr="00370E70">
        <w:rPr>
          <w:color w:val="000000"/>
          <w:szCs w:val="22"/>
        </w:rPr>
        <w:t xml:space="preserve"> </w:t>
      </w:r>
      <w:smartTag w:uri="urn:schemas-microsoft-com:office:smarttags" w:element="PlaceType">
        <w:r w:rsidRPr="00370E70">
          <w:rPr>
            <w:color w:val="000000"/>
            <w:szCs w:val="22"/>
          </w:rPr>
          <w:t>Rivers</w:t>
        </w:r>
      </w:smartTag>
      <w:r w:rsidRPr="00370E70">
        <w:rPr>
          <w:color w:val="000000"/>
          <w:szCs w:val="22"/>
        </w:rPr>
        <w:t xml:space="preserve"> along with the </w:t>
      </w:r>
      <w:smartTag w:uri="urn:schemas-microsoft-com:office:smarttags" w:element="place">
        <w:smartTag w:uri="urn:schemas-microsoft-com:office:smarttags" w:element="PlaceType">
          <w:r w:rsidRPr="00370E70">
            <w:rPr>
              <w:color w:val="000000"/>
              <w:szCs w:val="22"/>
            </w:rPr>
            <w:t>Temple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catchment. There are minor land use activities in these catchments with some small level housing on the </w:t>
      </w:r>
      <w:smartTag w:uri="urn:schemas-microsoft-com:office:smarttags" w:element="place">
        <w:smartTag w:uri="urn:schemas-microsoft-com:office:smarttags" w:element="PlaceName">
          <w:r w:rsidRPr="00370E70">
            <w:rPr>
              <w:color w:val="000000"/>
              <w:szCs w:val="22"/>
            </w:rPr>
            <w:t>Pascoe</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at the Wattle Hills settlement. </w:t>
      </w:r>
    </w:p>
    <w:p w:rsidR="005132EF" w:rsidRPr="00370E70" w:rsidRDefault="005132EF" w:rsidP="00E62FD9">
      <w:pPr>
        <w:pStyle w:val="BodyText"/>
        <w:spacing w:after="0" w:line="240" w:lineRule="auto"/>
        <w:rPr>
          <w:color w:val="000000"/>
          <w:szCs w:val="22"/>
        </w:rPr>
      </w:pPr>
      <w:r w:rsidRPr="00370E70">
        <w:rPr>
          <w:color w:val="000000"/>
          <w:szCs w:val="22"/>
        </w:rPr>
        <w:t xml:space="preserve">In early 2012, seagrass coastal habitat locations paired with the new reef habitat </w:t>
      </w:r>
      <w:r w:rsidR="002C6536" w:rsidRPr="00370E70">
        <w:rPr>
          <w:color w:val="000000"/>
          <w:szCs w:val="22"/>
        </w:rPr>
        <w:t>locations</w:t>
      </w:r>
      <w:r w:rsidRPr="00370E70">
        <w:rPr>
          <w:color w:val="000000"/>
          <w:szCs w:val="22"/>
        </w:rPr>
        <w:t xml:space="preserve">, were included for monitoring, they include: Bathurst Head (paired with </w:t>
      </w:r>
      <w:smartTag w:uri="urn:schemas-microsoft-com:office:smarttags" w:element="PlaceName">
        <w:r w:rsidRPr="00370E70">
          <w:rPr>
            <w:color w:val="000000"/>
            <w:szCs w:val="22"/>
          </w:rPr>
          <w:t>Stanley</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and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(paired with Piper Reef. The coastal seagrass meadows at Bathurst Head and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are located on naturally dynamic intertidal sand banks. These meadows are dominated by </w:t>
      </w:r>
      <w:r w:rsidRPr="00370E70">
        <w:rPr>
          <w:i/>
          <w:color w:val="000000"/>
          <w:szCs w:val="22"/>
        </w:rPr>
        <w:t xml:space="preserve">Halodule uninervis </w:t>
      </w:r>
      <w:r w:rsidRPr="00370E70">
        <w:rPr>
          <w:color w:val="000000"/>
          <w:szCs w:val="22"/>
        </w:rPr>
        <w:t xml:space="preserve">with some </w:t>
      </w:r>
      <w:r w:rsidRPr="00370E70">
        <w:rPr>
          <w:i/>
          <w:color w:val="000000"/>
          <w:szCs w:val="22"/>
        </w:rPr>
        <w:t>Halophila ovalis</w:t>
      </w:r>
      <w:r w:rsidRPr="00370E70">
        <w:rPr>
          <w:color w:val="000000"/>
          <w:szCs w:val="22"/>
        </w:rPr>
        <w:t xml:space="preserve"> and are often exposed to regular periods of disturbance from wave action and consequent sediment movement. The sediments in these locations are relatively unstable restricting seagrass growth and distribution. A dominant influence to these coastal meadows is exposure to wind/wave disturbance and terrigenous runoff from seasonal rains (</w:t>
      </w:r>
      <w:r w:rsidR="001269B5" w:rsidRPr="00370E70">
        <w:fldChar w:fldCharType="begin"/>
      </w:r>
      <w:r w:rsidR="001269B5" w:rsidRPr="00370E70">
        <w:rPr>
          <w:color w:val="000000"/>
          <w:szCs w:val="22"/>
        </w:rPr>
        <w:instrText xml:space="preserve"> REF _Ref382899689 \h </w:instrText>
      </w:r>
      <w:r w:rsidR="001269B5" w:rsidRPr="00370E70">
        <w:fldChar w:fldCharType="separate"/>
      </w:r>
      <w:r w:rsidR="005B5FD6" w:rsidRPr="00370E70">
        <w:rPr>
          <w:rStyle w:val="StyleCaptionCaptionCharCharLatinCalibri11ptBlackChar"/>
          <w:lang w:val="en-AU"/>
        </w:rPr>
        <w:t xml:space="preserve">Figure </w:t>
      </w:r>
      <w:r w:rsidR="005B5FD6">
        <w:rPr>
          <w:noProof/>
        </w:rPr>
        <w:t>27</w:t>
      </w:r>
      <w:r w:rsidR="001269B5" w:rsidRPr="00370E70">
        <w:fldChar w:fldCharType="end"/>
      </w:r>
      <w:r w:rsidRPr="00370E70">
        <w:rPr>
          <w:color w:val="000000"/>
          <w:szCs w:val="22"/>
        </w:rPr>
        <w:t xml:space="preserve">). </w:t>
      </w:r>
    </w:p>
    <w:p w:rsidR="005132EF" w:rsidRPr="00370E70" w:rsidRDefault="007B15AB" w:rsidP="003C08EF">
      <w:pPr>
        <w:pStyle w:val="BodyText"/>
        <w:keepNext/>
        <w:spacing w:after="0" w:line="240" w:lineRule="auto"/>
        <w:rPr>
          <w:color w:val="000000"/>
          <w:szCs w:val="22"/>
        </w:rPr>
      </w:pPr>
      <w:r>
        <w:rPr>
          <w:noProof/>
          <w:color w:val="000000"/>
          <w:szCs w:val="22"/>
        </w:rPr>
        <w:drawing>
          <wp:inline distT="0" distB="0" distL="0" distR="0">
            <wp:extent cx="5756910" cy="2176780"/>
            <wp:effectExtent l="0" t="0" r="0" b="0"/>
            <wp:docPr id="38" name="Picture 38" descr="Conceptual diagram of coastal habitat in the Cape York region – major control is pulsed terrigenous runoff, salinity and temperature extremes: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onceptual diagram of coastal habitat in the Cape York region – major control is pulsed terrigenous runoff, salinity and temperature extremes: general habitat, seagrass meadow processes and threats/impacts"/>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56910" cy="2176780"/>
                    </a:xfrm>
                    <a:prstGeom prst="rect">
                      <a:avLst/>
                    </a:prstGeom>
                    <a:noFill/>
                    <a:ln>
                      <a:noFill/>
                    </a:ln>
                  </pic:spPr>
                </pic:pic>
              </a:graphicData>
            </a:graphic>
          </wp:inline>
        </w:drawing>
      </w:r>
    </w:p>
    <w:p w:rsidR="00647D3E" w:rsidRPr="00370E70" w:rsidRDefault="003C08EF" w:rsidP="00647D3E">
      <w:pPr>
        <w:pStyle w:val="Caption"/>
        <w:rPr>
          <w:i/>
          <w:vanish/>
          <w:color w:val="000000"/>
          <w:szCs w:val="22"/>
          <w:lang w:val="en-AU"/>
          <w:specVanish/>
        </w:rPr>
      </w:pPr>
      <w:bookmarkStart w:id="205" w:name="_Ref382899689"/>
      <w:bookmarkStart w:id="206" w:name="_Toc38419637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27</w:t>
      </w:r>
      <w:r w:rsidRPr="00370E70">
        <w:rPr>
          <w:lang w:val="en-AU"/>
        </w:rPr>
        <w:fldChar w:fldCharType="end"/>
      </w:r>
      <w:bookmarkEnd w:id="205"/>
      <w:r w:rsidRPr="00370E70">
        <w:rPr>
          <w:rStyle w:val="StyleCaptionCaptionCharCharLatinCalibri11ptBlackChar"/>
          <w:lang w:val="en-AU"/>
        </w:rPr>
        <w:t xml:space="preserve">. </w:t>
      </w:r>
      <w:r w:rsidRPr="00370E70">
        <w:rPr>
          <w:i/>
          <w:lang w:val="en-AU"/>
        </w:rPr>
        <w:t xml:space="preserve">Conceptual diagram of coastal </w:t>
      </w:r>
      <w:r w:rsidR="00A60815">
        <w:rPr>
          <w:i/>
          <w:lang w:val="en-AU"/>
        </w:rPr>
        <w:t xml:space="preserve">seagrass </w:t>
      </w:r>
      <w:r w:rsidRPr="00370E70">
        <w:rPr>
          <w:i/>
          <w:lang w:val="en-AU"/>
        </w:rPr>
        <w:t xml:space="preserve">habitat in the </w:t>
      </w:r>
      <w:smartTag w:uri="urn:schemas-microsoft-com:office:smarttags" w:element="place">
        <w:r w:rsidRPr="00370E70">
          <w:rPr>
            <w:i/>
            <w:lang w:val="en-AU"/>
          </w:rPr>
          <w:t>Cape York</w:t>
        </w:r>
      </w:smartTag>
      <w:r w:rsidRPr="00370E70">
        <w:rPr>
          <w:i/>
          <w:lang w:val="en-AU"/>
        </w:rPr>
        <w:t xml:space="preserve"> region</w:t>
      </w:r>
      <w:bookmarkEnd w:id="206"/>
    </w:p>
    <w:p w:rsidR="00647D3E" w:rsidRPr="00370E70" w:rsidRDefault="003C08EF" w:rsidP="00647D3E">
      <w:pPr>
        <w:pStyle w:val="Caption"/>
        <w:rPr>
          <w:i/>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pulsed terrigenous runoff, salinity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r w:rsidR="00647D3E" w:rsidRPr="00370E70">
        <w:rPr>
          <w:i/>
          <w:lang w:val="en-AU"/>
        </w:rPr>
        <w:t xml:space="preserve"> </w:t>
      </w:r>
    </w:p>
    <w:p w:rsidR="00E312F3" w:rsidRPr="00370E70" w:rsidRDefault="00E312F3" w:rsidP="00E62FD9">
      <w:pPr>
        <w:pStyle w:val="BodyText"/>
        <w:spacing w:after="0" w:line="240" w:lineRule="auto"/>
        <w:rPr>
          <w:color w:val="000000"/>
          <w:szCs w:val="22"/>
        </w:rPr>
      </w:pPr>
    </w:p>
    <w:p w:rsidR="00E312F3" w:rsidRPr="00370E70" w:rsidRDefault="007B15AB" w:rsidP="00E312F3">
      <w:pPr>
        <w:keepNext/>
        <w:jc w:val="center"/>
        <w:rPr>
          <w:color w:val="000000"/>
        </w:rPr>
      </w:pPr>
      <w:r>
        <w:rPr>
          <w:noProof/>
          <w:color w:val="000000"/>
          <w:lang w:eastAsia="en-AU"/>
        </w:rPr>
        <w:lastRenderedPageBreak/>
        <w:drawing>
          <wp:inline distT="0" distB="0" distL="0" distR="0">
            <wp:extent cx="5756910" cy="7225030"/>
            <wp:effectExtent l="0" t="0" r="0" b="0"/>
            <wp:docPr id="39" name="Picture 39" descr="Map showing location of the Cape York region monitoring sites and seagrass species percent composition at each site since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p showing location of the Cape York region monitoring sites and seagrass species percent composition at each site since 200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0F74AA" w:rsidRPr="00370E70" w:rsidRDefault="00E312F3" w:rsidP="000F74AA">
      <w:pPr>
        <w:pStyle w:val="Caption"/>
        <w:rPr>
          <w:i/>
          <w:vanish/>
          <w:lang w:val="en-AU"/>
          <w:specVanish/>
        </w:rPr>
      </w:pPr>
      <w:bookmarkStart w:id="207" w:name="_Ref236986846"/>
      <w:bookmarkStart w:id="208" w:name="_Toc38419637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28</w:t>
      </w:r>
      <w:r w:rsidRPr="00370E70">
        <w:rPr>
          <w:lang w:val="en-AU"/>
        </w:rPr>
        <w:fldChar w:fldCharType="end"/>
      </w:r>
      <w:bookmarkEnd w:id="207"/>
      <w:r w:rsidRPr="00370E70">
        <w:rPr>
          <w:rStyle w:val="StyleCaptionCaptionCharCharLatinCalibri11ptBlackChar"/>
          <w:lang w:val="en-AU"/>
        </w:rPr>
        <w:t xml:space="preserve">. </w:t>
      </w:r>
      <w:r w:rsidRPr="00370E70">
        <w:rPr>
          <w:i/>
          <w:lang w:val="en-AU"/>
        </w:rPr>
        <w:t xml:space="preserve">Location of the </w:t>
      </w:r>
      <w:smartTag w:uri="urn:schemas-microsoft-com:office:smarttags" w:element="place">
        <w:r w:rsidRPr="00370E70">
          <w:rPr>
            <w:i/>
            <w:lang w:val="en-AU"/>
          </w:rPr>
          <w:t>Cape York</w:t>
        </w:r>
      </w:smartTag>
      <w:r w:rsidRPr="00370E70">
        <w:rPr>
          <w:i/>
          <w:lang w:val="en-AU"/>
        </w:rPr>
        <w:t xml:space="preserve"> region monitoring sites and seagrass species percent composition at each site since 2003.</w:t>
      </w:r>
      <w:bookmarkEnd w:id="208"/>
      <w:r w:rsidR="00647D3E" w:rsidRPr="00370E70">
        <w:rPr>
          <w:i/>
          <w:vanish/>
          <w:color w:val="000000"/>
          <w:szCs w:val="22"/>
          <w:lang w:val="en-AU"/>
          <w:specVanish/>
        </w:rPr>
        <w:t xml:space="preserve"> </w:t>
      </w:r>
    </w:p>
    <w:p w:rsidR="000F74AA" w:rsidRPr="00370E70" w:rsidRDefault="00E312F3" w:rsidP="000F74AA">
      <w:pPr>
        <w:pStyle w:val="Caption"/>
        <w:rPr>
          <w:i/>
          <w:lang w:val="en-AU"/>
        </w:rPr>
      </w:pPr>
      <w:r w:rsidRPr="00370E70">
        <w:rPr>
          <w:i/>
          <w:lang w:val="en-AU"/>
        </w:rPr>
        <w:t xml:space="preserve"> Please note: replicate sites within 500m of each other.</w:t>
      </w:r>
      <w:r w:rsidR="00647D3E" w:rsidRPr="00370E70">
        <w:rPr>
          <w:i/>
          <w:lang w:val="en-AU"/>
        </w:rPr>
        <w:t xml:space="preserve"> </w:t>
      </w:r>
    </w:p>
    <w:p w:rsidR="005132EF" w:rsidRPr="00370E70" w:rsidRDefault="005132EF" w:rsidP="00E62FD9">
      <w:pPr>
        <w:pStyle w:val="BodyText"/>
        <w:spacing w:after="0" w:line="240" w:lineRule="auto"/>
        <w:rPr>
          <w:color w:val="000000"/>
          <w:szCs w:val="22"/>
        </w:rPr>
      </w:pPr>
      <w:r w:rsidRPr="00370E70">
        <w:rPr>
          <w:color w:val="000000"/>
          <w:szCs w:val="22"/>
        </w:rPr>
        <w:t xml:space="preserve">Bathurst Head is located just east of Combe Point in the </w:t>
      </w:r>
      <w:smartTag w:uri="urn:schemas-microsoft-com:office:smarttags" w:element="place">
        <w:smartTag w:uri="urn:schemas-microsoft-com:office:smarttags" w:element="PlaceName">
          <w:r w:rsidRPr="00370E70">
            <w:rPr>
              <w:color w:val="000000"/>
              <w:szCs w:val="22"/>
            </w:rPr>
            <w:t>Bathurst</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area (also the traditional lands of the Yithuwarra people). It is a coastal site fringed by mangroves on the eastern edge of the bay. </w:t>
      </w:r>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is located 112 km north of </w:t>
      </w:r>
      <w:smartTag w:uri="urn:schemas-microsoft-com:office:smarttags" w:element="place">
        <w:smartTag w:uri="urn:schemas-microsoft-com:office:smarttags" w:element="PlaceName">
          <w:r w:rsidRPr="00370E70">
            <w:rPr>
              <w:color w:val="000000"/>
              <w:szCs w:val="22"/>
            </w:rPr>
            <w:t>Lockhart</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and 122 km southeast of Bamaga on the east coast of the GBR. It is the traditional land and sea country of the Wuthathi people. The bay has a limited catchment with two main rivers being the Harmer and </w:t>
      </w:r>
      <w:smartTag w:uri="urn:schemas-microsoft-com:office:smarttags" w:element="place">
        <w:smartTag w:uri="urn:schemas-microsoft-com:office:smarttags" w:element="PlaceName">
          <w:r w:rsidRPr="00370E70">
            <w:rPr>
              <w:color w:val="000000"/>
              <w:szCs w:val="22"/>
            </w:rPr>
            <w:t>Macmillian</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The catchment contains one of the least disturbed parabolic sand dunes areas in the world and is made up of </w:t>
      </w:r>
      <w:r w:rsidRPr="00370E70">
        <w:rPr>
          <w:color w:val="000000"/>
          <w:szCs w:val="22"/>
        </w:rPr>
        <w:lastRenderedPageBreak/>
        <w:t xml:space="preserve">seasonal wetlands and sand ridges. There was a pastoral lease issued in 1957in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which was not renewed in 1999. There are no current land use activities occurring in this catchment. The area is prone to extreme weather with the cyclone database stating that 47 cyclones have tracked within 200km of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between 1906 and 2007. The monitoring site at </w:t>
      </w:r>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is approximately 5 km west of the mouth of the </w:t>
      </w:r>
      <w:smartTag w:uri="urn:schemas-microsoft-com:office:smarttags" w:element="place">
        <w:smartTag w:uri="urn:schemas-microsoft-com:office:smarttags" w:element="PlaceName">
          <w:r w:rsidRPr="00370E70">
            <w:rPr>
              <w:color w:val="000000"/>
              <w:szCs w:val="22"/>
            </w:rPr>
            <w:t>Harmer</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w:t>
      </w:r>
    </w:p>
    <w:p w:rsidR="005132EF" w:rsidRPr="00370E70" w:rsidRDefault="005132EF" w:rsidP="00034AD4">
      <w:pPr>
        <w:pStyle w:val="Heading3"/>
        <w:rPr>
          <w:color w:val="000000"/>
        </w:rPr>
      </w:pPr>
      <w:bookmarkStart w:id="209" w:name="_Toc184101971"/>
      <w:bookmarkStart w:id="210" w:name="_Toc384196129"/>
      <w:bookmarkEnd w:id="203"/>
      <w:bookmarkEnd w:id="204"/>
      <w:r w:rsidRPr="00370E70">
        <w:rPr>
          <w:color w:val="000000"/>
        </w:rPr>
        <w:t>Status of the seagrass community</w:t>
      </w:r>
      <w:bookmarkEnd w:id="209"/>
      <w:bookmarkEnd w:id="210"/>
    </w:p>
    <w:p w:rsidR="00D72F90" w:rsidRPr="00370E70" w:rsidRDefault="00D72F90" w:rsidP="00D72F90">
      <w:pPr>
        <w:rPr>
          <w:lang w:eastAsia="en-AU"/>
        </w:rPr>
      </w:pPr>
      <w:bookmarkStart w:id="211" w:name="_Toc184101972"/>
      <w:r w:rsidRPr="00370E70">
        <w:rPr>
          <w:lang w:eastAsia="en-AU"/>
        </w:rPr>
        <w:t xml:space="preserve">The overall condition of inshore seagrass in the Cape York region declined from </w:t>
      </w:r>
      <w:r w:rsidR="00E22D47" w:rsidRPr="00370E70">
        <w:rPr>
          <w:lang w:eastAsia="en-AU"/>
        </w:rPr>
        <w:t xml:space="preserve">moderate in </w:t>
      </w:r>
      <w:r w:rsidRPr="00370E70">
        <w:rPr>
          <w:lang w:eastAsia="en-AU"/>
        </w:rPr>
        <w:t xml:space="preserve">2010/11 to </w:t>
      </w:r>
      <w:r w:rsidR="00E22D47" w:rsidRPr="00370E70">
        <w:rPr>
          <w:lang w:eastAsia="en-AU"/>
        </w:rPr>
        <w:t xml:space="preserve">poor in </w:t>
      </w:r>
      <w:r w:rsidRPr="00370E70">
        <w:rPr>
          <w:lang w:eastAsia="en-AU"/>
        </w:rPr>
        <w:t>2011/12</w:t>
      </w:r>
      <w:r w:rsidR="00E22D47" w:rsidRPr="00370E70">
        <w:rPr>
          <w:lang w:eastAsia="en-AU"/>
        </w:rPr>
        <w:t xml:space="preserve"> (</w:t>
      </w:r>
      <w:r w:rsidR="00E22D47" w:rsidRPr="00370E70">
        <w:rPr>
          <w:lang w:eastAsia="en-AU"/>
        </w:rPr>
        <w:fldChar w:fldCharType="begin"/>
      </w:r>
      <w:r w:rsidR="00E22D47" w:rsidRPr="00370E70">
        <w:rPr>
          <w:lang w:eastAsia="en-AU"/>
        </w:rPr>
        <w:instrText xml:space="preserve"> REF _Ref382817368 \h </w:instrText>
      </w:r>
      <w:r w:rsidR="00E22D47" w:rsidRPr="00370E70">
        <w:rPr>
          <w:lang w:eastAsia="en-AU"/>
        </w:rPr>
      </w:r>
      <w:r w:rsidR="00E22D47" w:rsidRPr="00370E70">
        <w:rPr>
          <w:lang w:eastAsia="en-AU"/>
        </w:rPr>
        <w:fldChar w:fldCharType="separate"/>
      </w:r>
      <w:r w:rsidR="005B5FD6" w:rsidRPr="00370E70">
        <w:t xml:space="preserve">Figure </w:t>
      </w:r>
      <w:r w:rsidR="005B5FD6">
        <w:rPr>
          <w:noProof/>
        </w:rPr>
        <w:t>29</w:t>
      </w:r>
      <w:r w:rsidR="00E22D47" w:rsidRPr="00370E70">
        <w:rPr>
          <w:lang w:eastAsia="en-AU"/>
        </w:rPr>
        <w:fldChar w:fldCharType="end"/>
      </w:r>
      <w:r w:rsidR="00E22D47" w:rsidRPr="00370E70">
        <w:rPr>
          <w:lang w:eastAsia="en-AU"/>
        </w:rPr>
        <w:t>)</w:t>
      </w:r>
      <w:r w:rsidRPr="00370E70">
        <w:rPr>
          <w:lang w:eastAsia="en-AU"/>
        </w:rPr>
        <w:t>. Although abundances improved, the decline in condition was a result of declining reproductive effort and tissue nutrients. Seagrass abundance was very poor in 2010/11 and increased to poor in 2011/12. Reproductive effort declined from good in 2010/11 to very poor in 2011/12, indicating communities may have a relatively low potential for recovery from environmental disturbances compared to seagrass in other regions. Nutrient ratios of seagrass tissue similarly declined from moderate in 2010/11 to poor in 2011/12, reflecting local water quality conditions.</w:t>
      </w:r>
    </w:p>
    <w:p w:rsidR="00D72F90" w:rsidRPr="00370E70" w:rsidRDefault="007B15AB" w:rsidP="00E22D47">
      <w:pPr>
        <w:jc w:val="center"/>
        <w:rPr>
          <w:lang w:eastAsia="en-AU"/>
        </w:rPr>
      </w:pPr>
      <w:r>
        <w:rPr>
          <w:noProof/>
          <w:lang w:eastAsia="en-AU"/>
        </w:rPr>
        <w:drawing>
          <wp:inline distT="0" distB="0" distL="0" distR="0">
            <wp:extent cx="3606165" cy="1880235"/>
            <wp:effectExtent l="0" t="0" r="0" b="5715"/>
            <wp:docPr id="40" name="Picture 40" descr="Figure of the report card for seagrass status indicators and index for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igure of the report card for seagrass status indicators and index for the Cape York NRM region "/>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6165" cy="1880235"/>
                    </a:xfrm>
                    <a:prstGeom prst="rect">
                      <a:avLst/>
                    </a:prstGeom>
                    <a:noFill/>
                    <a:ln>
                      <a:noFill/>
                    </a:ln>
                  </pic:spPr>
                </pic:pic>
              </a:graphicData>
            </a:graphic>
          </wp:inline>
        </w:drawing>
      </w:r>
    </w:p>
    <w:p w:rsidR="00E22D47" w:rsidRPr="00370E70" w:rsidRDefault="00E22D47" w:rsidP="00E22D47">
      <w:pPr>
        <w:rPr>
          <w:i/>
          <w:vanish/>
          <w:color w:val="000000"/>
          <w:szCs w:val="22"/>
          <w:specVanish/>
        </w:rPr>
      </w:pPr>
      <w:bookmarkStart w:id="212" w:name="_Ref382817368"/>
      <w:bookmarkStart w:id="213" w:name="_Toc384196376"/>
      <w:r w:rsidRPr="00370E70">
        <w:t xml:space="preserve">Figure </w:t>
      </w:r>
      <w:r w:rsidR="009A14B8">
        <w:fldChar w:fldCharType="begin"/>
      </w:r>
      <w:r w:rsidR="009A14B8">
        <w:instrText xml:space="preserve"> SEQ Figure \* ARABIC </w:instrText>
      </w:r>
      <w:r w:rsidR="009A14B8">
        <w:fldChar w:fldCharType="separate"/>
      </w:r>
      <w:r w:rsidR="005B5FD6">
        <w:rPr>
          <w:noProof/>
        </w:rPr>
        <w:t>29</w:t>
      </w:r>
      <w:r w:rsidR="009A14B8">
        <w:rPr>
          <w:noProof/>
        </w:rPr>
        <w:fldChar w:fldCharType="end"/>
      </w:r>
      <w:bookmarkEnd w:id="212"/>
      <w:r w:rsidRPr="00370E70">
        <w:t xml:space="preserve">. </w:t>
      </w:r>
      <w:r w:rsidRPr="00370E70">
        <w:rPr>
          <w:i/>
          <w:color w:val="000000"/>
          <w:szCs w:val="22"/>
        </w:rPr>
        <w:t xml:space="preserve">Report card of seagrass status indicators and index for the </w:t>
      </w:r>
      <w:smartTag w:uri="urn:schemas-microsoft-com:office:smarttags" w:element="place">
        <w:r w:rsidRPr="00370E70">
          <w:rPr>
            <w:i/>
            <w:color w:val="000000"/>
            <w:szCs w:val="22"/>
          </w:rPr>
          <w:t>Cape York</w:t>
        </w:r>
      </w:smartTag>
      <w:r w:rsidRPr="00370E70">
        <w:rPr>
          <w:i/>
          <w:color w:val="000000"/>
          <w:szCs w:val="22"/>
        </w:rPr>
        <w:t xml:space="preserve"> NRM region</w:t>
      </w:r>
      <w:bookmarkEnd w:id="213"/>
    </w:p>
    <w:p w:rsidR="00E22D47" w:rsidRPr="00370E70" w:rsidRDefault="00E22D47" w:rsidP="00E22D47">
      <w:pPr>
        <w:rPr>
          <w:i/>
          <w:color w:val="000000"/>
          <w:szCs w:val="22"/>
        </w:rPr>
      </w:pPr>
      <w:r w:rsidRPr="00370E70">
        <w:rPr>
          <w:i/>
          <w:color w:val="000000"/>
          <w:szCs w:val="22"/>
        </w:rPr>
        <w:t xml:space="preserve"> (averages across habitats and sites). Values are indexed scores scaled from 0-100; </w:t>
      </w:r>
      <w:r w:rsidRPr="00370E70">
        <w:rPr>
          <w:rFonts w:ascii="Arial" w:hAnsi="Arial" w:cs="Arial"/>
          <w:i/>
          <w:color w:val="008000"/>
          <w:szCs w:val="22"/>
        </w:rPr>
        <w:t>■ </w:t>
      </w:r>
      <w:r w:rsidRPr="00370E70">
        <w:rPr>
          <w:i/>
          <w:szCs w:val="22"/>
        </w:rPr>
        <w:t xml:space="preserve">= very good (80-100), </w:t>
      </w:r>
      <w:r w:rsidRPr="00370E70">
        <w:rPr>
          <w:rFonts w:ascii="Arial" w:hAnsi="Arial" w:cs="Arial"/>
          <w:i/>
          <w:color w:val="92D050"/>
          <w:szCs w:val="22"/>
        </w:rPr>
        <w:t>■</w:t>
      </w:r>
      <w:r w:rsidRPr="00370E70">
        <w:rPr>
          <w:i/>
          <w:szCs w:val="22"/>
        </w:rPr>
        <w:t xml:space="preserve"> = good (60 - &lt;80), </w:t>
      </w:r>
      <w:r w:rsidRPr="00370E70">
        <w:rPr>
          <w:rFonts w:ascii="Arial" w:hAnsi="Arial" w:cs="Arial"/>
          <w:i/>
          <w:color w:val="FFFF00"/>
          <w:szCs w:val="22"/>
        </w:rPr>
        <w:t>■</w:t>
      </w:r>
      <w:r w:rsidRPr="00370E70">
        <w:rPr>
          <w:i/>
          <w:szCs w:val="22"/>
        </w:rPr>
        <w:t xml:space="preserve"> = moderate (40 - &lt;60), </w:t>
      </w:r>
      <w:r w:rsidRPr="00370E70">
        <w:rPr>
          <w:rFonts w:ascii="Arial" w:hAnsi="Arial" w:cs="Arial"/>
          <w:i/>
          <w:color w:val="FFC000"/>
          <w:szCs w:val="22"/>
        </w:rPr>
        <w:t>■</w:t>
      </w:r>
      <w:r w:rsidRPr="00370E70">
        <w:rPr>
          <w:i/>
          <w:szCs w:val="22"/>
        </w:rPr>
        <w:t xml:space="preserve"> = poor (20 - &lt;40), </w:t>
      </w:r>
      <w:r w:rsidRPr="00370E70">
        <w:rPr>
          <w:rFonts w:ascii="Arial" w:hAnsi="Arial" w:cs="Arial"/>
          <w:i/>
          <w:color w:val="FF0000"/>
          <w:szCs w:val="22"/>
        </w:rPr>
        <w:t>■</w:t>
      </w:r>
      <w:r w:rsidRPr="00370E70">
        <w:rPr>
          <w:i/>
          <w:szCs w:val="22"/>
        </w:rPr>
        <w:t> = very poor (0 - &lt;20)</w:t>
      </w:r>
      <w:r w:rsidRPr="00370E70">
        <w:rPr>
          <w:i/>
          <w:color w:val="000000"/>
          <w:szCs w:val="22"/>
        </w:rPr>
        <w:t xml:space="preserve">. </w:t>
      </w:r>
    </w:p>
    <w:p w:rsidR="005132EF" w:rsidRPr="00370E70" w:rsidRDefault="005132EF" w:rsidP="00034AD4">
      <w:pPr>
        <w:pStyle w:val="Heading4"/>
        <w:rPr>
          <w:b/>
          <w:color w:val="000000"/>
        </w:rPr>
      </w:pPr>
      <w:r w:rsidRPr="00370E70">
        <w:rPr>
          <w:b/>
          <w:color w:val="000000"/>
        </w:rPr>
        <w:t>Seagrass abundance and composition</w:t>
      </w:r>
      <w:bookmarkEnd w:id="211"/>
    </w:p>
    <w:p w:rsidR="005132EF" w:rsidRPr="00370E70" w:rsidRDefault="005132EF" w:rsidP="00CF167D">
      <w:pPr>
        <w:pStyle w:val="Heading5"/>
        <w:rPr>
          <w:szCs w:val="22"/>
        </w:rPr>
      </w:pPr>
      <w:r w:rsidRPr="00370E70">
        <w:rPr>
          <w:szCs w:val="22"/>
        </w:rPr>
        <w:t>Reef habitat</w:t>
      </w:r>
    </w:p>
    <w:p w:rsidR="005132EF" w:rsidRPr="00370E70" w:rsidRDefault="005132EF" w:rsidP="00034AD4">
      <w:pPr>
        <w:rPr>
          <w:color w:val="000000"/>
          <w:szCs w:val="22"/>
        </w:rPr>
      </w:pPr>
      <w:smartTag w:uri="urn:schemas-microsoft-com:office:smarttags" w:element="place">
        <w:r w:rsidRPr="00370E70">
          <w:rPr>
            <w:color w:val="000000"/>
            <w:szCs w:val="22"/>
          </w:rPr>
          <w:t>Cape York</w:t>
        </w:r>
      </w:smartTag>
      <w:r w:rsidRPr="00370E70">
        <w:rPr>
          <w:color w:val="000000"/>
          <w:szCs w:val="22"/>
        </w:rPr>
        <w:t xml:space="preserve"> region reef habitat seagrass cover long-term average was between 16% in the late dry and 17% in late monsoon season (</w:t>
      </w:r>
      <w:r w:rsidRPr="00370E70">
        <w:fldChar w:fldCharType="begin"/>
      </w:r>
      <w:r w:rsidRPr="00370E70">
        <w:instrText xml:space="preserve"> REF _Ref179269976 \h  \* MERGEFORMAT </w:instrText>
      </w:r>
      <w:r w:rsidRPr="00370E70">
        <w:fldChar w:fldCharType="separate"/>
      </w:r>
      <w:r w:rsidR="005B5FD6" w:rsidRPr="005B5FD6">
        <w:rPr>
          <w:szCs w:val="22"/>
        </w:rPr>
        <w:t xml:space="preserve">Figure </w:t>
      </w:r>
      <w:r w:rsidR="005B5FD6" w:rsidRPr="005B5FD6">
        <w:rPr>
          <w:color w:val="000000"/>
          <w:szCs w:val="22"/>
        </w:rPr>
        <w:t>30</w:t>
      </w:r>
      <w:r w:rsidRPr="00370E70">
        <w:fldChar w:fldCharType="end"/>
      </w:r>
      <w:r w:rsidRPr="00370E70">
        <w:rPr>
          <w:color w:val="000000"/>
          <w:szCs w:val="22"/>
        </w:rPr>
        <w:t xml:space="preserve">). Seagrass abundance declined by 20-55% over the 2011/12 </w:t>
      </w:r>
      <w:r w:rsidR="001B5CFE" w:rsidRPr="00370E70">
        <w:rPr>
          <w:color w:val="000000"/>
          <w:szCs w:val="22"/>
        </w:rPr>
        <w:t>monitoring</w:t>
      </w:r>
      <w:r w:rsidRPr="00370E70">
        <w:rPr>
          <w:color w:val="000000"/>
          <w:szCs w:val="22"/>
        </w:rPr>
        <w:t xml:space="preserve"> period compared to the previous</w:t>
      </w:r>
      <w:r w:rsidR="00BD7037" w:rsidRPr="00370E70">
        <w:rPr>
          <w:color w:val="000000"/>
          <w:szCs w:val="22"/>
        </w:rPr>
        <w:t xml:space="preserve"> year</w:t>
      </w:r>
      <w:r w:rsidRPr="00370E70">
        <w:rPr>
          <w:color w:val="000000"/>
          <w:szCs w:val="22"/>
        </w:rPr>
        <w:t>.</w:t>
      </w:r>
    </w:p>
    <w:p w:rsidR="005132EF" w:rsidRPr="00370E70" w:rsidRDefault="007B15AB" w:rsidP="00034AD4">
      <w:pPr>
        <w:keepNext/>
        <w:spacing w:before="0" w:after="0"/>
        <w:jc w:val="center"/>
      </w:pPr>
      <w:r>
        <w:rPr>
          <w:noProof/>
          <w:lang w:eastAsia="en-AU"/>
        </w:rPr>
        <w:lastRenderedPageBreak/>
        <w:drawing>
          <wp:inline distT="0" distB="0" distL="0" distR="0">
            <wp:extent cx="2820670" cy="1996440"/>
            <wp:effectExtent l="0" t="0" r="0" b="3810"/>
            <wp:docPr id="41" name="Picture 48" descr="Figure showing long-term trend in seagrass abundance (% cover ± Standard Error) at Archer Point, inshore fringing-reef habitat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igure showing long-term trend in seagrass abundance (% cover ± Standard Error) at Archer Point, inshore fringing-reef habitat (sites pooled)."/>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820670" cy="1996440"/>
                    </a:xfrm>
                    <a:prstGeom prst="rect">
                      <a:avLst/>
                    </a:prstGeom>
                    <a:noFill/>
                    <a:ln>
                      <a:noFill/>
                    </a:ln>
                  </pic:spPr>
                </pic:pic>
              </a:graphicData>
            </a:graphic>
          </wp:inline>
        </w:drawing>
      </w:r>
    </w:p>
    <w:p w:rsidR="00191438" w:rsidRPr="00370E70" w:rsidRDefault="005132EF" w:rsidP="00191438">
      <w:pPr>
        <w:pStyle w:val="Caption"/>
        <w:spacing w:before="0"/>
        <w:ind w:right="233"/>
        <w:rPr>
          <w:i/>
          <w:vanish/>
          <w:lang w:val="en-AU"/>
          <w:specVanish/>
        </w:rPr>
      </w:pPr>
      <w:bookmarkStart w:id="214" w:name="_Ref179269976"/>
      <w:bookmarkStart w:id="215" w:name="_Toc176158848"/>
      <w:bookmarkStart w:id="216" w:name="_Toc232845956"/>
      <w:bookmarkStart w:id="217" w:name="_Toc384196377"/>
      <w:bookmarkStart w:id="218" w:name="_Ref35473561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30</w:t>
      </w:r>
      <w:r w:rsidRPr="00370E70">
        <w:rPr>
          <w:lang w:val="en-AU"/>
        </w:rPr>
        <w:fldChar w:fldCharType="end"/>
      </w:r>
      <w:bookmarkEnd w:id="214"/>
      <w:r w:rsidRPr="00370E70">
        <w:rPr>
          <w:lang w:val="en-AU"/>
        </w:rPr>
        <w:t xml:space="preserve">. </w:t>
      </w:r>
      <w:r w:rsidRPr="00370E70">
        <w:rPr>
          <w:i/>
          <w:lang w:val="en-AU"/>
        </w:rPr>
        <w:t xml:space="preserve">Seagrass abundance (% cover ± Standard Error) at </w:t>
      </w:r>
      <w:r w:rsidR="00A60815">
        <w:rPr>
          <w:i/>
          <w:lang w:val="en-AU"/>
        </w:rPr>
        <w:t>inshore intertidal reef habitat (</w:t>
      </w:r>
      <w:smartTag w:uri="urn:schemas-microsoft-com:office:smarttags" w:element="PlaceName">
        <w:r w:rsidRPr="00370E70">
          <w:rPr>
            <w:i/>
            <w:lang w:val="en-AU"/>
          </w:rPr>
          <w:t>Archer</w:t>
        </w:r>
      </w:smartTag>
      <w:r w:rsidRPr="00370E70">
        <w:rPr>
          <w:i/>
          <w:lang w:val="en-AU"/>
        </w:rPr>
        <w:t xml:space="preserve"> </w:t>
      </w:r>
      <w:smartTag w:uri="urn:schemas-microsoft-com:office:smarttags" w:element="PlaceName">
        <w:r w:rsidRPr="00370E70">
          <w:rPr>
            <w:i/>
            <w:lang w:val="en-AU"/>
          </w:rPr>
          <w:t>Point</w:t>
        </w:r>
      </w:smartTag>
      <w:r w:rsidR="00A60815">
        <w:rPr>
          <w:i/>
          <w:lang w:val="en-AU"/>
        </w:rPr>
        <w:t>)</w:t>
      </w:r>
      <w:r w:rsidRPr="00370E70">
        <w:rPr>
          <w:i/>
          <w:lang w:val="en-AU"/>
        </w:rPr>
        <w:t xml:space="preserve"> </w:t>
      </w:r>
      <w:r w:rsidR="008F4EDA" w:rsidRPr="00370E70">
        <w:rPr>
          <w:i/>
          <w:lang w:val="en-AU"/>
        </w:rPr>
        <w:t xml:space="preserve">in the </w:t>
      </w:r>
      <w:smartTag w:uri="urn:schemas-microsoft-com:office:smarttags" w:element="place">
        <w:r w:rsidR="008F4EDA">
          <w:rPr>
            <w:i/>
            <w:lang w:val="en-AU"/>
          </w:rPr>
          <w:t>Cape York</w:t>
        </w:r>
      </w:smartTag>
      <w:r w:rsidR="008F4EDA" w:rsidRPr="00370E70">
        <w:rPr>
          <w:i/>
          <w:lang w:val="en-AU"/>
        </w:rPr>
        <w:t xml:space="preserve"> region from 200</w:t>
      </w:r>
      <w:r w:rsidR="008F4EDA">
        <w:rPr>
          <w:i/>
          <w:lang w:val="en-AU"/>
        </w:rPr>
        <w:t>3</w:t>
      </w:r>
      <w:r w:rsidR="008F4EDA" w:rsidRPr="00370E70">
        <w:rPr>
          <w:i/>
          <w:lang w:val="en-AU"/>
        </w:rPr>
        <w:t xml:space="preserve"> to 2012</w:t>
      </w:r>
      <w:r w:rsidRPr="00370E70">
        <w:rPr>
          <w:i/>
          <w:lang w:val="en-AU"/>
        </w:rPr>
        <w:t>.</w:t>
      </w:r>
      <w:bookmarkEnd w:id="215"/>
      <w:bookmarkEnd w:id="216"/>
      <w:bookmarkEnd w:id="217"/>
      <w:r w:rsidR="00647D3E" w:rsidRPr="00370E70">
        <w:rPr>
          <w:i/>
          <w:vanish/>
          <w:color w:val="000000"/>
          <w:szCs w:val="22"/>
          <w:lang w:val="en-AU"/>
          <w:specVanish/>
        </w:rPr>
        <w:t xml:space="preserve"> </w:t>
      </w:r>
    </w:p>
    <w:p w:rsidR="00191438" w:rsidRPr="00370E70" w:rsidRDefault="005132EF" w:rsidP="00191438">
      <w:pPr>
        <w:pStyle w:val="Caption"/>
        <w:spacing w:before="0"/>
        <w:ind w:right="233"/>
        <w:rPr>
          <w:i/>
          <w:lang w:val="en-AU"/>
        </w:rPr>
      </w:pPr>
      <w:r w:rsidRPr="00370E70">
        <w:rPr>
          <w:i/>
          <w:lang w:val="en-AU"/>
        </w:rPr>
        <w:t xml:space="preserve"> Trendline is 3rd order polynomial, 95% confidence intervals displayed, r</w:t>
      </w:r>
      <w:r w:rsidRPr="00370E70">
        <w:rPr>
          <w:i/>
          <w:vertAlign w:val="superscript"/>
          <w:lang w:val="en-AU"/>
        </w:rPr>
        <w:t>2</w:t>
      </w:r>
      <w:r w:rsidRPr="00370E70">
        <w:rPr>
          <w:i/>
          <w:lang w:val="en-AU"/>
        </w:rPr>
        <w:t xml:space="preserve"> = 0.53.</w:t>
      </w:r>
      <w:bookmarkEnd w:id="218"/>
      <w:r w:rsidR="00647D3E" w:rsidRPr="00370E70">
        <w:rPr>
          <w:i/>
          <w:lang w:val="en-AU"/>
        </w:rPr>
        <w:t xml:space="preserve"> </w:t>
      </w:r>
    </w:p>
    <w:p w:rsidR="005132EF" w:rsidRPr="00370E70" w:rsidRDefault="005132EF" w:rsidP="00034AD4">
      <w:pPr>
        <w:spacing w:before="0" w:after="0"/>
        <w:rPr>
          <w:color w:val="000000"/>
          <w:szCs w:val="22"/>
        </w:rPr>
      </w:pPr>
      <w:r w:rsidRPr="00370E70">
        <w:rPr>
          <w:color w:val="000000"/>
          <w:szCs w:val="22"/>
        </w:rPr>
        <w:t xml:space="preserve">The </w:t>
      </w:r>
      <w:smartTag w:uri="urn:schemas-microsoft-com:office:smarttags" w:element="place">
        <w:r w:rsidRPr="00370E70">
          <w:rPr>
            <w:color w:val="000000"/>
            <w:szCs w:val="22"/>
          </w:rPr>
          <w:t>Cape York</w:t>
        </w:r>
      </w:smartTag>
      <w:r w:rsidRPr="00370E70">
        <w:rPr>
          <w:color w:val="000000"/>
          <w:szCs w:val="22"/>
        </w:rPr>
        <w:t xml:space="preserve"> region reef sites were dominated by </w:t>
      </w:r>
      <w:r w:rsidRPr="00370E70">
        <w:rPr>
          <w:i/>
          <w:color w:val="000000"/>
          <w:szCs w:val="22"/>
        </w:rPr>
        <w:t xml:space="preserve">Halodule uninervis </w:t>
      </w:r>
      <w:r w:rsidRPr="00370E70">
        <w:rPr>
          <w:color w:val="000000"/>
          <w:szCs w:val="22"/>
        </w:rPr>
        <w:t xml:space="preserve">and </w:t>
      </w:r>
      <w:r w:rsidRPr="00370E70">
        <w:rPr>
          <w:i/>
          <w:color w:val="000000"/>
          <w:szCs w:val="22"/>
        </w:rPr>
        <w:t>Halophila ovalis</w:t>
      </w:r>
      <w:r w:rsidRPr="00370E70">
        <w:rPr>
          <w:color w:val="000000"/>
          <w:szCs w:val="22"/>
        </w:rPr>
        <w:t xml:space="preserve"> with varying amounts of </w:t>
      </w:r>
      <w:r w:rsidRPr="00370E70">
        <w:rPr>
          <w:i/>
          <w:color w:val="000000"/>
          <w:szCs w:val="22"/>
        </w:rPr>
        <w:t>Cymodocea rotundata</w:t>
      </w:r>
      <w:r w:rsidRPr="00370E70">
        <w:rPr>
          <w:color w:val="000000"/>
          <w:szCs w:val="22"/>
        </w:rPr>
        <w:t xml:space="preserve"> (</w:t>
      </w:r>
      <w:r w:rsidRPr="00370E70">
        <w:fldChar w:fldCharType="begin"/>
      </w:r>
      <w:r w:rsidRPr="00370E70">
        <w:instrText xml:space="preserve"> REF _Ref236986846 \h  \* MERGEFORMAT </w:instrText>
      </w:r>
      <w:r w:rsidRPr="00370E70">
        <w:fldChar w:fldCharType="separate"/>
      </w:r>
      <w:r w:rsidR="005B5FD6" w:rsidRPr="005B5FD6">
        <w:rPr>
          <w:szCs w:val="22"/>
        </w:rPr>
        <w:t xml:space="preserve">Figure </w:t>
      </w:r>
      <w:r w:rsidR="005B5FD6" w:rsidRPr="005B5FD6">
        <w:rPr>
          <w:noProof/>
          <w:color w:val="000000"/>
          <w:szCs w:val="22"/>
        </w:rPr>
        <w:t>28</w:t>
      </w:r>
      <w:r w:rsidRPr="00370E70">
        <w:fldChar w:fldCharType="end"/>
      </w:r>
      <w:r w:rsidRPr="00370E70">
        <w:rPr>
          <w:color w:val="000000"/>
          <w:szCs w:val="22"/>
        </w:rPr>
        <w:t xml:space="preserve">). Although sites were only 50m apart, AP2 had slightly more </w:t>
      </w:r>
      <w:r w:rsidRPr="00370E70">
        <w:rPr>
          <w:i/>
          <w:color w:val="000000"/>
          <w:szCs w:val="22"/>
        </w:rPr>
        <w:t>Cymodocea</w:t>
      </w:r>
      <w:r w:rsidRPr="00370E70">
        <w:rPr>
          <w:color w:val="000000"/>
          <w:szCs w:val="22"/>
        </w:rPr>
        <w:t xml:space="preserve"> and </w:t>
      </w:r>
      <w:r w:rsidRPr="00370E70">
        <w:rPr>
          <w:i/>
          <w:color w:val="000000"/>
          <w:szCs w:val="22"/>
        </w:rPr>
        <w:t>Thalassia</w:t>
      </w:r>
      <w:r w:rsidRPr="00370E70">
        <w:rPr>
          <w:color w:val="000000"/>
          <w:szCs w:val="22"/>
        </w:rPr>
        <w:t xml:space="preserve"> present. Species composition has varied since sampling began in 2003 with the composition of </w:t>
      </w:r>
      <w:r w:rsidRPr="00370E70">
        <w:rPr>
          <w:i/>
          <w:color w:val="000000"/>
          <w:szCs w:val="22"/>
        </w:rPr>
        <w:t>Halophila ovalis</w:t>
      </w:r>
      <w:r w:rsidRPr="00370E70">
        <w:rPr>
          <w:color w:val="000000"/>
          <w:szCs w:val="22"/>
        </w:rPr>
        <w:t xml:space="preserve"> fluctuating seasonally with increases in the late monsoon following disturbance. </w:t>
      </w:r>
    </w:p>
    <w:p w:rsidR="005132EF" w:rsidRPr="00370E70" w:rsidRDefault="005132EF" w:rsidP="00034AD4">
      <w:pPr>
        <w:spacing w:before="0" w:after="0"/>
        <w:rPr>
          <w:color w:val="000000"/>
          <w:szCs w:val="22"/>
        </w:rPr>
      </w:pPr>
    </w:p>
    <w:p w:rsidR="005132EF" w:rsidRPr="00370E70" w:rsidRDefault="005132EF" w:rsidP="00034AD4">
      <w:pPr>
        <w:spacing w:before="0" w:after="0"/>
        <w:rPr>
          <w:color w:val="000000"/>
          <w:szCs w:val="22"/>
        </w:rPr>
      </w:pPr>
      <w:r w:rsidRPr="00370E70">
        <w:rPr>
          <w:color w:val="000000"/>
          <w:szCs w:val="22"/>
        </w:rPr>
        <w:t xml:space="preserve">Two new reef habitat monitoring locations were established in the northern and central sections of </w:t>
      </w:r>
      <w:smartTag w:uri="urn:schemas-microsoft-com:office:smarttags" w:element="State">
        <w:r w:rsidRPr="00370E70">
          <w:rPr>
            <w:color w:val="000000"/>
            <w:szCs w:val="22"/>
          </w:rPr>
          <w:t>eastern Cape</w:t>
        </w:r>
      </w:smartTag>
      <w:r w:rsidRPr="00370E70">
        <w:rPr>
          <w:color w:val="000000"/>
          <w:szCs w:val="22"/>
        </w:rPr>
        <w:t xml:space="preserve"> </w:t>
      </w:r>
      <w:smartTag w:uri="urn:schemas-microsoft-com:office:smarttags" w:element="place">
        <w:smartTag w:uri="urn:schemas-microsoft-com:office:smarttags" w:element="City">
          <w:r w:rsidRPr="00370E70">
            <w:rPr>
              <w:color w:val="000000"/>
              <w:szCs w:val="22"/>
            </w:rPr>
            <w:t>York</w:t>
          </w:r>
        </w:smartTag>
      </w:smartTag>
      <w:r w:rsidRPr="00370E70">
        <w:rPr>
          <w:color w:val="000000"/>
          <w:szCs w:val="22"/>
        </w:rPr>
        <w:t xml:space="preserve"> region in May/June 2012. At Piper Reef in the north, monitoring sites were established on the reef </w:t>
      </w:r>
      <w:r w:rsidR="001B5CFE" w:rsidRPr="00370E70">
        <w:rPr>
          <w:color w:val="000000"/>
          <w:szCs w:val="22"/>
        </w:rPr>
        <w:t>platform</w:t>
      </w:r>
      <w:r w:rsidRPr="00370E70">
        <w:rPr>
          <w:color w:val="000000"/>
          <w:szCs w:val="22"/>
        </w:rPr>
        <w:t xml:space="preserve"> adjacent to </w:t>
      </w:r>
      <w:smartTag w:uri="urn:schemas-microsoft-com:office:smarttags" w:element="place">
        <w:smartTag w:uri="urn:schemas-microsoft-com:office:smarttags" w:element="PlaceName">
          <w:r w:rsidRPr="00370E70">
            <w:rPr>
              <w:color w:val="000000"/>
              <w:szCs w:val="22"/>
            </w:rPr>
            <w:t>Farmer</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in the </w:t>
      </w:r>
      <w:r w:rsidRPr="00370E70">
        <w:rPr>
          <w:i/>
          <w:color w:val="000000"/>
          <w:szCs w:val="22"/>
        </w:rPr>
        <w:t>Thalassia hemprichii</w:t>
      </w:r>
      <w:r w:rsidRPr="00370E70">
        <w:rPr>
          <w:color w:val="000000"/>
          <w:szCs w:val="22"/>
        </w:rPr>
        <w:t xml:space="preserve"> dominated meadow (with </w:t>
      </w:r>
      <w:r w:rsidRPr="00370E70">
        <w:rPr>
          <w:i/>
          <w:color w:val="000000"/>
          <w:szCs w:val="22"/>
        </w:rPr>
        <w:t>Cymodocea rotundata</w:t>
      </w:r>
      <w:r w:rsidRPr="00370E70">
        <w:rPr>
          <w:color w:val="000000"/>
          <w:szCs w:val="22"/>
        </w:rPr>
        <w:t xml:space="preserve"> and </w:t>
      </w:r>
      <w:r w:rsidRPr="00370E70">
        <w:rPr>
          <w:i/>
          <w:color w:val="000000"/>
          <w:szCs w:val="22"/>
        </w:rPr>
        <w:t>Halophila ovalis</w:t>
      </w:r>
      <w:r w:rsidRPr="00370E70">
        <w:rPr>
          <w:color w:val="000000"/>
          <w:szCs w:val="22"/>
        </w:rPr>
        <w:t xml:space="preserve">).  At </w:t>
      </w:r>
      <w:smartTag w:uri="urn:schemas-microsoft-com:office:smarttags" w:element="PlaceName">
        <w:r w:rsidRPr="00370E70">
          <w:rPr>
            <w:color w:val="000000"/>
            <w:szCs w:val="22"/>
          </w:rPr>
          <w:t>Stanley</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in the central section of Cape York, adjacent to </w:t>
      </w:r>
      <w:smartTag w:uri="urn:schemas-microsoft-com:office:smarttags" w:element="PlaceName">
        <w:r w:rsidRPr="00370E70">
          <w:rPr>
            <w:color w:val="000000"/>
            <w:szCs w:val="22"/>
          </w:rPr>
          <w:t>Princess</w:t>
        </w:r>
      </w:smartTag>
      <w:r w:rsidRPr="00370E70">
        <w:rPr>
          <w:color w:val="000000"/>
          <w:szCs w:val="22"/>
        </w:rPr>
        <w:t xml:space="preserve"> </w:t>
      </w:r>
      <w:smartTag w:uri="urn:schemas-microsoft-com:office:smarttags" w:element="PlaceName">
        <w:r w:rsidRPr="00370E70">
          <w:rPr>
            <w:color w:val="000000"/>
            <w:szCs w:val="22"/>
          </w:rPr>
          <w:t>Charlotte</w:t>
        </w:r>
      </w:smartTag>
      <w:r w:rsidRPr="00370E70">
        <w:rPr>
          <w:color w:val="000000"/>
          <w:szCs w:val="22"/>
        </w:rPr>
        <w:t xml:space="preserve"> </w:t>
      </w:r>
      <w:smartTag w:uri="urn:schemas-microsoft-com:office:smarttags" w:element="PlaceName">
        <w:r w:rsidRPr="00370E70">
          <w:rPr>
            <w:color w:val="000000"/>
            <w:szCs w:val="22"/>
          </w:rPr>
          <w:t>Bay</w:t>
        </w:r>
      </w:smartTag>
      <w:r w:rsidRPr="00370E70">
        <w:rPr>
          <w:color w:val="000000"/>
          <w:szCs w:val="22"/>
        </w:rPr>
        <w:t xml:space="preserve">, sites were established in the </w:t>
      </w:r>
      <w:r w:rsidRPr="00370E70">
        <w:rPr>
          <w:i/>
          <w:color w:val="000000"/>
          <w:szCs w:val="22"/>
        </w:rPr>
        <w:t>T. hemprichii</w:t>
      </w:r>
      <w:r w:rsidRPr="00370E70">
        <w:rPr>
          <w:color w:val="000000"/>
          <w:szCs w:val="22"/>
        </w:rPr>
        <w:t xml:space="preserve"> /</w:t>
      </w:r>
      <w:r w:rsidRPr="00370E70">
        <w:rPr>
          <w:i/>
          <w:color w:val="000000"/>
          <w:szCs w:val="22"/>
        </w:rPr>
        <w:t>Halodule uninervis</w:t>
      </w:r>
      <w:r w:rsidRPr="00370E70">
        <w:rPr>
          <w:color w:val="000000"/>
          <w:szCs w:val="22"/>
        </w:rPr>
        <w:t>/</w:t>
      </w:r>
      <w:r w:rsidRPr="00370E70">
        <w:rPr>
          <w:i/>
          <w:color w:val="000000"/>
          <w:szCs w:val="22"/>
        </w:rPr>
        <w:t>H. ovalis</w:t>
      </w:r>
      <w:r w:rsidRPr="00370E70">
        <w:rPr>
          <w:color w:val="000000"/>
          <w:szCs w:val="22"/>
        </w:rPr>
        <w:t xml:space="preserve"> </w:t>
      </w:r>
      <w:r w:rsidR="001B5CFE" w:rsidRPr="00370E70">
        <w:rPr>
          <w:color w:val="000000"/>
          <w:szCs w:val="22"/>
        </w:rPr>
        <w:t>dominated</w:t>
      </w:r>
      <w:r w:rsidRPr="00370E70">
        <w:rPr>
          <w:color w:val="000000"/>
          <w:szCs w:val="22"/>
        </w:rPr>
        <w:t xml:space="preserve"> meadow located on the fringing reef in the bay between </w:t>
      </w:r>
      <w:smartTag w:uri="urn:schemas-microsoft-com:office:smarttags" w:element="place">
        <w:smartTag w:uri="urn:schemas-microsoft-com:office:smarttags" w:element="PlaceType">
          <w:r w:rsidRPr="00370E70">
            <w:rPr>
              <w:color w:val="000000"/>
              <w:szCs w:val="22"/>
            </w:rPr>
            <w:t>Cape</w:t>
          </w:r>
        </w:smartTag>
        <w:r w:rsidRPr="00370E70">
          <w:rPr>
            <w:color w:val="000000"/>
            <w:szCs w:val="22"/>
          </w:rPr>
          <w:t xml:space="preserve"> </w:t>
        </w:r>
        <w:smartTag w:uri="urn:schemas-microsoft-com:office:smarttags" w:element="PlaceName">
          <w:r w:rsidRPr="00370E70">
            <w:rPr>
              <w:color w:val="000000"/>
              <w:szCs w:val="22"/>
            </w:rPr>
            <w:t>Flinders</w:t>
          </w:r>
        </w:smartTag>
      </w:smartTag>
      <w:r w:rsidRPr="00370E70">
        <w:rPr>
          <w:color w:val="000000"/>
          <w:szCs w:val="22"/>
        </w:rPr>
        <w:t xml:space="preserve"> and Nares Point.</w:t>
      </w:r>
    </w:p>
    <w:p w:rsidR="005132EF" w:rsidRPr="00370E70" w:rsidRDefault="005132EF" w:rsidP="00034AD4">
      <w:pPr>
        <w:spacing w:before="0" w:after="0"/>
        <w:rPr>
          <w:color w:val="000000"/>
          <w:szCs w:val="22"/>
        </w:rPr>
      </w:pPr>
    </w:p>
    <w:p w:rsidR="005132EF" w:rsidRPr="00370E70" w:rsidRDefault="005132EF" w:rsidP="003C08EF">
      <w:pPr>
        <w:spacing w:before="0" w:after="0"/>
        <w:rPr>
          <w:color w:val="000000"/>
        </w:rPr>
      </w:pPr>
      <w:r w:rsidRPr="00370E70">
        <w:rPr>
          <w:color w:val="000000"/>
          <w:szCs w:val="22"/>
        </w:rPr>
        <w:t xml:space="preserve">In the late monsoon 2012, the Cape York reef habitat with the highest seagrass abundance was Piper Reef (16.7 ±1.6%), followed by </w:t>
      </w:r>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r w:rsidRPr="00370E70">
        <w:rPr>
          <w:color w:val="000000"/>
          <w:szCs w:val="22"/>
        </w:rPr>
        <w:t xml:space="preserve"> (9.0 ±1.9%) and </w:t>
      </w:r>
      <w:smartTag w:uri="urn:schemas-microsoft-com:office:smarttags" w:element="place">
        <w:smartTag w:uri="urn:schemas-microsoft-com:office:smarttags" w:element="PlaceName">
          <w:r w:rsidR="003C08EF" w:rsidRPr="00370E70">
            <w:rPr>
              <w:color w:val="000000"/>
              <w:szCs w:val="22"/>
            </w:rPr>
            <w:t>Stanley</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(7.2 ±0.7%).</w:t>
      </w:r>
    </w:p>
    <w:p w:rsidR="005132EF" w:rsidRPr="00370E70" w:rsidRDefault="005132EF" w:rsidP="00034AD4">
      <w:pPr>
        <w:rPr>
          <w:color w:val="000000"/>
          <w:szCs w:val="22"/>
        </w:rPr>
      </w:pPr>
      <w:r w:rsidRPr="00370E70">
        <w:rPr>
          <w:color w:val="000000"/>
          <w:szCs w:val="22"/>
        </w:rPr>
        <w:t xml:space="preserve">Since monitoring was established at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site 1 (AP1) in 2003, seagrass cover has generally followed a seasonal trend with higher abundance in late dry to monsoon period (</w:t>
      </w:r>
      <w:r w:rsidRPr="00370E70">
        <w:fldChar w:fldCharType="begin"/>
      </w:r>
      <w:r w:rsidRPr="00370E70">
        <w:instrText xml:space="preserve"> REF _Ref179270623 \h  \* MERGEFORMAT </w:instrText>
      </w:r>
      <w:r w:rsidRPr="00370E70">
        <w:fldChar w:fldCharType="separate"/>
      </w:r>
      <w:r w:rsidR="005B5FD6" w:rsidRPr="005B5FD6">
        <w:rPr>
          <w:szCs w:val="22"/>
        </w:rPr>
        <w:t xml:space="preserve">Figure </w:t>
      </w:r>
      <w:r w:rsidR="005B5FD6" w:rsidRPr="005B5FD6">
        <w:rPr>
          <w:noProof/>
          <w:color w:val="000000"/>
          <w:szCs w:val="22"/>
        </w:rPr>
        <w:t>31</w:t>
      </w:r>
      <w:r w:rsidRPr="00370E70">
        <w:fldChar w:fldCharType="end"/>
      </w:r>
      <w:r w:rsidRPr="00370E70">
        <w:rPr>
          <w:color w:val="000000"/>
          <w:szCs w:val="22"/>
        </w:rPr>
        <w:t xml:space="preserve">). The seasonal trend at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site 2 (AP2) is less apparent.</w:t>
      </w:r>
    </w:p>
    <w:p w:rsidR="005132EF" w:rsidRPr="00370E70" w:rsidRDefault="007B15AB" w:rsidP="00444464">
      <w:pPr>
        <w:keepNext/>
        <w:spacing w:before="0" w:after="0"/>
        <w:jc w:val="center"/>
      </w:pPr>
      <w:r>
        <w:rPr>
          <w:noProof/>
          <w:lang w:eastAsia="en-AU"/>
        </w:rPr>
        <w:drawing>
          <wp:inline distT="0" distB="0" distL="0" distR="0">
            <wp:extent cx="4108450" cy="1622425"/>
            <wp:effectExtent l="0" t="0" r="6350" b="0"/>
            <wp:docPr id="42" name="Picture 50" descr="Figure of the mean percentage seagrass cover (all species pooled) (± Standard Error) for inshore fringing-reef long-term monitoring sites in Cape York region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igure of the mean percentage seagrass cover (all species pooled) (± Standard Error) for inshore fringing-reef long-term monitoring sites in Cape York region at time of year."/>
                    <pic:cNvPicPr>
                      <a:picLocks noChangeAspect="1" noChangeArrowheads="1"/>
                    </pic:cNvPicPr>
                  </pic:nvPicPr>
                  <pic:blipFill>
                    <a:blip r:embed="rId67" cstate="print">
                      <a:extLst>
                        <a:ext uri="{28A0092B-C50C-407E-A947-70E740481C1C}">
                          <a14:useLocalDpi xmlns:a14="http://schemas.microsoft.com/office/drawing/2010/main" val="0"/>
                        </a:ext>
                      </a:extLst>
                    </a:blip>
                    <a:srcRect r="5717"/>
                    <a:stretch>
                      <a:fillRect/>
                    </a:stretch>
                  </pic:blipFill>
                  <pic:spPr bwMode="auto">
                    <a:xfrm>
                      <a:off x="0" y="0"/>
                      <a:ext cx="4108450" cy="1622425"/>
                    </a:xfrm>
                    <a:prstGeom prst="rect">
                      <a:avLst/>
                    </a:prstGeom>
                    <a:noFill/>
                    <a:ln>
                      <a:noFill/>
                    </a:ln>
                  </pic:spPr>
                </pic:pic>
              </a:graphicData>
            </a:graphic>
          </wp:inline>
        </w:drawing>
      </w:r>
    </w:p>
    <w:p w:rsidR="00647D3E" w:rsidRPr="00370E70" w:rsidRDefault="005132EF" w:rsidP="00647D3E">
      <w:pPr>
        <w:pStyle w:val="Caption"/>
        <w:spacing w:before="0"/>
        <w:rPr>
          <w:i/>
          <w:vanish/>
          <w:color w:val="000000"/>
          <w:szCs w:val="22"/>
          <w:lang w:val="en-AU"/>
          <w:specVanish/>
        </w:rPr>
      </w:pPr>
      <w:bookmarkStart w:id="219" w:name="_Ref179270623"/>
      <w:bookmarkStart w:id="220" w:name="_Toc384196378"/>
      <w:bookmarkStart w:id="221" w:name="_Toc176158850"/>
      <w:bookmarkStart w:id="222" w:name="_Toc23284595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31</w:t>
      </w:r>
      <w:r w:rsidRPr="00370E70">
        <w:rPr>
          <w:lang w:val="en-AU"/>
        </w:rPr>
        <w:fldChar w:fldCharType="end"/>
      </w:r>
      <w:bookmarkEnd w:id="219"/>
      <w:r w:rsidRPr="00370E70">
        <w:rPr>
          <w:lang w:val="en-AU"/>
        </w:rPr>
        <w:t xml:space="preserve">. </w:t>
      </w:r>
      <w:r w:rsidRPr="00370E70">
        <w:rPr>
          <w:i/>
          <w:lang w:val="en-AU"/>
        </w:rPr>
        <w:t xml:space="preserve">Mean percentage seagrass cover (all species pooled) (± Standard Error) </w:t>
      </w:r>
      <w:r w:rsidR="00A60815">
        <w:rPr>
          <w:i/>
          <w:lang w:val="en-AU"/>
        </w:rPr>
        <w:t>at</w:t>
      </w:r>
      <w:r w:rsidRPr="00370E70">
        <w:rPr>
          <w:i/>
          <w:lang w:val="en-AU"/>
        </w:rPr>
        <w:t xml:space="preserve"> inshore </w:t>
      </w:r>
      <w:r w:rsidR="00A60815">
        <w:rPr>
          <w:i/>
          <w:lang w:val="en-AU"/>
        </w:rPr>
        <w:t xml:space="preserve">intertidal </w:t>
      </w:r>
      <w:r w:rsidRPr="00370E70">
        <w:rPr>
          <w:i/>
          <w:lang w:val="en-AU"/>
        </w:rPr>
        <w:t xml:space="preserve">reef </w:t>
      </w:r>
      <w:r w:rsidR="00A60815">
        <w:rPr>
          <w:i/>
          <w:lang w:val="en-AU"/>
        </w:rPr>
        <w:t xml:space="preserve">habitat </w:t>
      </w:r>
      <w:r w:rsidRPr="00370E70">
        <w:rPr>
          <w:i/>
          <w:lang w:val="en-AU"/>
        </w:rPr>
        <w:t xml:space="preserve">long-term monitoring sites in </w:t>
      </w:r>
      <w:smartTag w:uri="urn:schemas-microsoft-com:office:smarttags" w:element="place">
        <w:r w:rsidRPr="00370E70">
          <w:rPr>
            <w:i/>
            <w:lang w:val="en-AU"/>
          </w:rPr>
          <w:t>Cape York</w:t>
        </w:r>
      </w:smartTag>
      <w:r w:rsidRPr="00370E70">
        <w:rPr>
          <w:i/>
          <w:lang w:val="en-AU"/>
        </w:rPr>
        <w:t xml:space="preserve"> region at time of year.</w:t>
      </w:r>
      <w:bookmarkEnd w:id="220"/>
      <w:r w:rsidRPr="00370E70">
        <w:rPr>
          <w:i/>
          <w:lang w:val="en-AU"/>
        </w:rPr>
        <w:t xml:space="preserve"> </w:t>
      </w:r>
    </w:p>
    <w:p w:rsidR="00647D3E" w:rsidRPr="00370E70" w:rsidRDefault="005132EF" w:rsidP="00647D3E">
      <w:pPr>
        <w:pStyle w:val="Caption"/>
        <w:spacing w:before="0"/>
        <w:rPr>
          <w:i/>
          <w:lang w:val="en-AU"/>
        </w:rPr>
      </w:pPr>
      <w:r w:rsidRPr="00370E70">
        <w:rPr>
          <w:i/>
          <w:lang w:val="en-AU"/>
        </w:rPr>
        <w:t>NB: Polynomial trendline for all years pooled.</w:t>
      </w:r>
      <w:bookmarkEnd w:id="221"/>
      <w:bookmarkEnd w:id="222"/>
      <w:r w:rsidR="00647D3E" w:rsidRPr="00370E70">
        <w:rPr>
          <w:i/>
          <w:lang w:val="en-AU"/>
        </w:rPr>
        <w:t xml:space="preserve"> </w:t>
      </w:r>
    </w:p>
    <w:p w:rsidR="005132EF" w:rsidRDefault="005132EF" w:rsidP="00034AD4">
      <w:pPr>
        <w:rPr>
          <w:color w:val="000000"/>
          <w:szCs w:val="22"/>
        </w:rPr>
      </w:pPr>
      <w:r w:rsidRPr="00370E70">
        <w:rPr>
          <w:color w:val="000000"/>
          <w:szCs w:val="22"/>
        </w:rPr>
        <w:t xml:space="preserve">Seagrass meadow edge mapping was conducted within a 100m radius of both monitoring sites in the bay adjacent to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in October 2011 and April 2012 to determine if changes in abundance were a consequence of the meadow edges changing (</w:t>
      </w:r>
      <w:r w:rsidRPr="00370E70">
        <w:fldChar w:fldCharType="begin"/>
      </w:r>
      <w:r w:rsidRPr="00370E70">
        <w:instrText xml:space="preserve"> REF _Ref318373381 \h  \* MERGEFORMAT </w:instrText>
      </w:r>
      <w:r w:rsidRPr="00370E70">
        <w:fldChar w:fldCharType="separate"/>
      </w:r>
      <w:r w:rsidR="005B5FD6" w:rsidRPr="005B5FD6">
        <w:rPr>
          <w:szCs w:val="22"/>
        </w:rPr>
        <w:t xml:space="preserve">Table </w:t>
      </w:r>
      <w:r w:rsidR="005B5FD6" w:rsidRPr="005B5FD6">
        <w:rPr>
          <w:noProof/>
          <w:color w:val="000000"/>
          <w:szCs w:val="22"/>
        </w:rPr>
        <w:t>16</w:t>
      </w:r>
      <w:r w:rsidRPr="00370E70">
        <w:fldChar w:fldCharType="end"/>
      </w:r>
      <w:r w:rsidRPr="00370E70">
        <w:rPr>
          <w:color w:val="000000"/>
          <w:szCs w:val="22"/>
        </w:rPr>
        <w:t xml:space="preserve">). Since October 2009 at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the landward edge of the meadow in the northern section of the bay (AP1) has fluctuated within </w:t>
      </w:r>
      <w:r w:rsidRPr="00370E70">
        <w:rPr>
          <w:color w:val="000000"/>
          <w:szCs w:val="22"/>
        </w:rPr>
        <w:lastRenderedPageBreak/>
        <w:t xml:space="preserve">years, but increased shoreward from the baseline. The shoreward extent of the seagrass meadow in the southern section of the bay (AP2) similarly fluctuated within and between years, but from October 2010 retracted from shore due to the appearance of a drainage channel from an adjacent creek (data not presented). Edge mapping of meadows at Piper Reef sites was conducted in May 2012, and seagrass covered 72% and 91% of the area (100m radius) of FR1 and FR2 monitoring sites respectively. </w:t>
      </w:r>
    </w:p>
    <w:p w:rsidR="00A62B1C" w:rsidRPr="00370E70" w:rsidRDefault="005132EF" w:rsidP="00A62B1C">
      <w:pPr>
        <w:pStyle w:val="Caption"/>
        <w:jc w:val="center"/>
        <w:rPr>
          <w:i/>
          <w:vanish/>
          <w:color w:val="000000"/>
          <w:szCs w:val="22"/>
          <w:lang w:val="en-AU"/>
          <w:specVanish/>
        </w:rPr>
      </w:pPr>
      <w:bookmarkStart w:id="223" w:name="_Ref318373381"/>
      <w:bookmarkStart w:id="224" w:name="_Toc384196552"/>
      <w:bookmarkStart w:id="225" w:name="_Toc176158942"/>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16</w:t>
      </w:r>
      <w:r w:rsidRPr="00370E70">
        <w:rPr>
          <w:lang w:val="en-AU"/>
        </w:rPr>
        <w:fldChar w:fldCharType="end"/>
      </w:r>
      <w:bookmarkEnd w:id="223"/>
      <w:r w:rsidRPr="00370E70">
        <w:rPr>
          <w:lang w:val="en-AU"/>
        </w:rPr>
        <w:t xml:space="preserve">. </w:t>
      </w:r>
      <w:r w:rsidRPr="00370E70">
        <w:rPr>
          <w:i/>
          <w:lang w:val="en-AU"/>
        </w:rPr>
        <w:t xml:space="preserve">Area (ha) of seagrass meadow being monitored within 100m radius of each </w:t>
      </w:r>
      <w:smartTag w:uri="urn:schemas-microsoft-com:office:smarttags" w:element="place">
        <w:smartTag w:uri="urn:schemas-microsoft-com:office:smarttags" w:element="PlaceName">
          <w:r w:rsidRPr="00370E70">
            <w:rPr>
              <w:i/>
              <w:lang w:val="en-AU"/>
            </w:rPr>
            <w:t>Archer</w:t>
          </w:r>
        </w:smartTag>
        <w:r w:rsidRPr="00370E70">
          <w:rPr>
            <w:i/>
            <w:lang w:val="en-AU"/>
          </w:rPr>
          <w:t xml:space="preserve"> </w:t>
        </w:r>
        <w:smartTag w:uri="urn:schemas-microsoft-com:office:smarttags" w:element="PlaceName">
          <w:r w:rsidRPr="00370E70">
            <w:rPr>
              <w:i/>
              <w:lang w:val="en-AU"/>
            </w:rPr>
            <w:t>Point</w:t>
          </w:r>
        </w:smartTag>
      </w:smartTag>
      <w:r w:rsidRPr="00370E70">
        <w:rPr>
          <w:i/>
          <w:lang w:val="en-AU"/>
        </w:rPr>
        <w:t xml:space="preserve"> site</w:t>
      </w:r>
      <w:bookmarkEnd w:id="224"/>
    </w:p>
    <w:p w:rsidR="00A62B1C" w:rsidRPr="00370E70" w:rsidRDefault="005132EF" w:rsidP="00A62B1C">
      <w:pPr>
        <w:pStyle w:val="Caption"/>
        <w:jc w:val="center"/>
        <w:rPr>
          <w:i/>
          <w:lang w:val="en-AU"/>
        </w:rPr>
      </w:pPr>
      <w:r w:rsidRPr="00370E70">
        <w:rPr>
          <w:i/>
          <w:lang w:val="en-AU"/>
        </w:rPr>
        <w:t xml:space="preserve"> (AP1 and AP2). </w:t>
      </w:r>
      <w:bookmarkEnd w:id="225"/>
      <w:r w:rsidRPr="00370E70">
        <w:rPr>
          <w:i/>
          <w:lang w:val="en-AU"/>
        </w:rPr>
        <w:t>Value in parenthesis is % change from October 2005 baseline and description of change from previous mapping. Shading indicates decrease in meadow area since baseline.</w:t>
      </w:r>
      <w:r w:rsidR="00A62B1C" w:rsidRPr="00370E70">
        <w:rPr>
          <w:i/>
          <w:lang w:val="en-AU"/>
        </w:rPr>
        <w:t xml:space="preserve"> </w:t>
      </w:r>
    </w:p>
    <w:tbl>
      <w:tblPr>
        <w:tblW w:w="0" w:type="auto"/>
        <w:jc w:val="center"/>
        <w:tblLook w:val="01E0" w:firstRow="1" w:lastRow="1" w:firstColumn="1" w:lastColumn="1" w:noHBand="0" w:noVBand="0"/>
      </w:tblPr>
      <w:tblGrid>
        <w:gridCol w:w="1462"/>
        <w:gridCol w:w="2153"/>
        <w:gridCol w:w="2222"/>
      </w:tblGrid>
      <w:tr w:rsidR="005132EF" w:rsidRPr="00370E70">
        <w:trPr>
          <w:jc w:val="center"/>
        </w:trPr>
        <w:tc>
          <w:tcPr>
            <w:tcW w:w="1462" w:type="dxa"/>
            <w:tcBorders>
              <w:top w:val="single" w:sz="4" w:space="0" w:color="auto"/>
              <w:bottom w:val="single" w:sz="4" w:space="0" w:color="auto"/>
            </w:tcBorders>
          </w:tcPr>
          <w:p w:rsidR="005132EF" w:rsidRPr="00370E70" w:rsidRDefault="005132EF" w:rsidP="00034AD4">
            <w:pPr>
              <w:spacing w:before="0" w:after="0"/>
              <w:rPr>
                <w:b/>
                <w:color w:val="000000"/>
              </w:rPr>
            </w:pPr>
            <w:r w:rsidRPr="00370E70">
              <w:rPr>
                <w:b/>
                <w:bCs/>
                <w:color w:val="000000"/>
              </w:rPr>
              <w:t>Site</w:t>
            </w:r>
          </w:p>
        </w:tc>
        <w:tc>
          <w:tcPr>
            <w:tcW w:w="2153" w:type="dxa"/>
            <w:tcBorders>
              <w:top w:val="single" w:sz="4" w:space="0" w:color="auto"/>
              <w:bottom w:val="single" w:sz="4" w:space="0" w:color="auto"/>
            </w:tcBorders>
          </w:tcPr>
          <w:p w:rsidR="005132EF" w:rsidRPr="00370E70" w:rsidRDefault="005132EF" w:rsidP="00034AD4">
            <w:pPr>
              <w:spacing w:before="0" w:after="0"/>
              <w:jc w:val="center"/>
              <w:rPr>
                <w:b/>
                <w:color w:val="000000"/>
              </w:rPr>
            </w:pPr>
            <w:r w:rsidRPr="00370E70">
              <w:rPr>
                <w:b/>
                <w:color w:val="000000"/>
              </w:rPr>
              <w:t>AP1</w:t>
            </w:r>
          </w:p>
        </w:tc>
        <w:tc>
          <w:tcPr>
            <w:tcW w:w="2222" w:type="dxa"/>
            <w:tcBorders>
              <w:top w:val="single" w:sz="4" w:space="0" w:color="auto"/>
              <w:bottom w:val="single" w:sz="4" w:space="0" w:color="auto"/>
            </w:tcBorders>
          </w:tcPr>
          <w:p w:rsidR="005132EF" w:rsidRPr="00370E70" w:rsidRDefault="005132EF" w:rsidP="00034AD4">
            <w:pPr>
              <w:spacing w:before="0" w:after="0"/>
              <w:jc w:val="center"/>
              <w:rPr>
                <w:b/>
                <w:color w:val="000000"/>
              </w:rPr>
            </w:pPr>
            <w:r w:rsidRPr="00370E70">
              <w:rPr>
                <w:b/>
                <w:color w:val="000000"/>
              </w:rPr>
              <w:t>AP2</w:t>
            </w:r>
          </w:p>
        </w:tc>
      </w:tr>
      <w:tr w:rsidR="005132EF" w:rsidRPr="00370E70">
        <w:trPr>
          <w:jc w:val="center"/>
        </w:trPr>
        <w:tc>
          <w:tcPr>
            <w:tcW w:w="1462" w:type="dxa"/>
            <w:tcBorders>
              <w:top w:val="single" w:sz="4" w:space="0" w:color="auto"/>
            </w:tcBorders>
          </w:tcPr>
          <w:p w:rsidR="005132EF" w:rsidRPr="00370E70" w:rsidRDefault="005132EF" w:rsidP="00034AD4">
            <w:pPr>
              <w:spacing w:before="0" w:after="0"/>
              <w:rPr>
                <w:b/>
                <w:color w:val="000000"/>
                <w:sz w:val="20"/>
                <w:szCs w:val="20"/>
              </w:rPr>
            </w:pPr>
            <w:r w:rsidRPr="00370E70">
              <w:rPr>
                <w:b/>
                <w:color w:val="000000"/>
                <w:sz w:val="20"/>
                <w:szCs w:val="20"/>
              </w:rPr>
              <w:t>October 2005</w:t>
            </w:r>
          </w:p>
          <w:p w:rsidR="005132EF" w:rsidRPr="00370E70" w:rsidRDefault="005132EF" w:rsidP="00034AD4">
            <w:pPr>
              <w:spacing w:before="0" w:after="0"/>
              <w:rPr>
                <w:color w:val="000000"/>
              </w:rPr>
            </w:pPr>
            <w:r w:rsidRPr="00370E70">
              <w:rPr>
                <w:color w:val="000000"/>
                <w:sz w:val="20"/>
                <w:szCs w:val="20"/>
              </w:rPr>
              <w:t>(baseline)</w:t>
            </w:r>
          </w:p>
        </w:tc>
        <w:tc>
          <w:tcPr>
            <w:tcW w:w="2153" w:type="dxa"/>
            <w:tcBorders>
              <w:top w:val="single" w:sz="4" w:space="0" w:color="auto"/>
            </w:tcBorders>
          </w:tcPr>
          <w:p w:rsidR="005132EF" w:rsidRPr="00370E70" w:rsidRDefault="005132EF" w:rsidP="00034AD4">
            <w:pPr>
              <w:spacing w:before="0" w:after="0"/>
              <w:jc w:val="center"/>
              <w:rPr>
                <w:color w:val="000000"/>
              </w:rPr>
            </w:pPr>
            <w:r w:rsidRPr="00370E70">
              <w:rPr>
                <w:rFonts w:cs="Arial"/>
                <w:b/>
                <w:color w:val="000000"/>
              </w:rPr>
              <w:t>3.667</w:t>
            </w:r>
          </w:p>
        </w:tc>
        <w:tc>
          <w:tcPr>
            <w:tcW w:w="2222" w:type="dxa"/>
            <w:tcBorders>
              <w:top w:val="single" w:sz="4" w:space="0" w:color="auto"/>
            </w:tcBorders>
          </w:tcPr>
          <w:p w:rsidR="005132EF" w:rsidRPr="00370E70" w:rsidRDefault="005132EF" w:rsidP="00034AD4">
            <w:pPr>
              <w:spacing w:before="0" w:after="0"/>
              <w:jc w:val="center"/>
              <w:rPr>
                <w:color w:val="000000"/>
              </w:rPr>
            </w:pPr>
            <w:r w:rsidRPr="00370E70">
              <w:rPr>
                <w:rFonts w:cs="Arial"/>
                <w:b/>
                <w:color w:val="000000"/>
              </w:rPr>
              <w:t>3.710</w:t>
            </w:r>
          </w:p>
        </w:tc>
      </w:tr>
      <w:tr w:rsidR="005132EF" w:rsidRPr="00370E70">
        <w:trPr>
          <w:jc w:val="center"/>
        </w:trPr>
        <w:tc>
          <w:tcPr>
            <w:tcW w:w="1462" w:type="dxa"/>
          </w:tcPr>
          <w:p w:rsidR="005132EF" w:rsidRPr="00370E70" w:rsidRDefault="005132EF" w:rsidP="00034AD4">
            <w:pPr>
              <w:spacing w:before="0" w:after="0"/>
              <w:rPr>
                <w:color w:val="000000"/>
              </w:rPr>
            </w:pPr>
            <w:r w:rsidRPr="00370E70">
              <w:rPr>
                <w:b/>
                <w:color w:val="000000"/>
                <w:sz w:val="20"/>
                <w:szCs w:val="20"/>
              </w:rPr>
              <w:t>April 2006</w:t>
            </w:r>
          </w:p>
        </w:tc>
        <w:tc>
          <w:tcPr>
            <w:tcW w:w="2153"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rPr>
              <w:t>3.330</w:t>
            </w:r>
          </w:p>
          <w:p w:rsidR="005132EF" w:rsidRPr="00370E70" w:rsidRDefault="005132EF" w:rsidP="00034AD4">
            <w:pPr>
              <w:spacing w:before="0" w:after="0"/>
              <w:jc w:val="center"/>
              <w:rPr>
                <w:color w:val="000000"/>
              </w:rPr>
            </w:pPr>
            <w:r w:rsidRPr="00370E70">
              <w:rPr>
                <w:rFonts w:cs="Arial"/>
                <w:i/>
                <w:color w:val="000000"/>
                <w:sz w:val="16"/>
                <w:szCs w:val="16"/>
              </w:rPr>
              <w:t>(-9.2%, decrease seaward)</w:t>
            </w:r>
          </w:p>
        </w:tc>
        <w:tc>
          <w:tcPr>
            <w:tcW w:w="2222" w:type="dxa"/>
            <w:shd w:val="clear" w:color="auto" w:fill="E6E6E6"/>
          </w:tcPr>
          <w:p w:rsidR="005132EF" w:rsidRPr="00370E70" w:rsidRDefault="005132EF" w:rsidP="00034AD4">
            <w:pPr>
              <w:spacing w:before="0" w:after="0"/>
              <w:ind w:left="-14" w:firstLine="14"/>
              <w:jc w:val="center"/>
              <w:rPr>
                <w:rFonts w:cs="Arial"/>
                <w:color w:val="000000"/>
              </w:rPr>
            </w:pPr>
            <w:r w:rsidRPr="00370E70">
              <w:rPr>
                <w:rFonts w:cs="Arial"/>
                <w:color w:val="000000"/>
              </w:rPr>
              <w:t>3.139</w:t>
            </w:r>
          </w:p>
          <w:p w:rsidR="005132EF" w:rsidRPr="00370E70" w:rsidRDefault="005132EF" w:rsidP="00034AD4">
            <w:pPr>
              <w:spacing w:before="0" w:after="0"/>
              <w:jc w:val="center"/>
              <w:rPr>
                <w:color w:val="000000"/>
              </w:rPr>
            </w:pPr>
            <w:r w:rsidRPr="00370E70">
              <w:rPr>
                <w:rFonts w:cs="Arial"/>
                <w:i/>
                <w:color w:val="000000"/>
                <w:sz w:val="16"/>
                <w:szCs w:val="16"/>
              </w:rPr>
              <w:t>(-15.4%, decrease seaward)</w:t>
            </w:r>
          </w:p>
        </w:tc>
      </w:tr>
      <w:tr w:rsidR="005132EF" w:rsidRPr="00370E70">
        <w:trPr>
          <w:jc w:val="center"/>
        </w:trPr>
        <w:tc>
          <w:tcPr>
            <w:tcW w:w="1462" w:type="dxa"/>
          </w:tcPr>
          <w:p w:rsidR="005132EF" w:rsidRPr="00370E70" w:rsidRDefault="005132EF" w:rsidP="00034AD4">
            <w:pPr>
              <w:spacing w:before="0" w:after="0"/>
              <w:rPr>
                <w:color w:val="000000"/>
              </w:rPr>
            </w:pPr>
            <w:r w:rsidRPr="00370E70">
              <w:rPr>
                <w:b/>
                <w:color w:val="000000"/>
                <w:sz w:val="20"/>
                <w:szCs w:val="20"/>
              </w:rPr>
              <w:t>October 2006</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3.843</w:t>
            </w:r>
          </w:p>
          <w:p w:rsidR="005132EF" w:rsidRPr="00370E70" w:rsidRDefault="005132EF" w:rsidP="00034AD4">
            <w:pPr>
              <w:spacing w:before="0" w:after="0"/>
              <w:jc w:val="center"/>
              <w:rPr>
                <w:color w:val="000000"/>
              </w:rPr>
            </w:pPr>
            <w:r w:rsidRPr="00370E70">
              <w:rPr>
                <w:rFonts w:cs="Arial"/>
                <w:i/>
                <w:color w:val="000000"/>
                <w:sz w:val="16"/>
                <w:szCs w:val="16"/>
              </w:rPr>
              <w:t>(4.8%, increase shoreward)</w:t>
            </w:r>
          </w:p>
        </w:tc>
        <w:tc>
          <w:tcPr>
            <w:tcW w:w="2222" w:type="dxa"/>
            <w:shd w:val="clear" w:color="auto" w:fill="E6E6E6"/>
            <w:vAlign w:val="center"/>
          </w:tcPr>
          <w:p w:rsidR="005132EF" w:rsidRPr="00370E70" w:rsidRDefault="005132EF" w:rsidP="00034AD4">
            <w:pPr>
              <w:spacing w:before="0" w:after="0"/>
              <w:jc w:val="center"/>
              <w:rPr>
                <w:rFonts w:cs="Arial"/>
                <w:color w:val="000000"/>
              </w:rPr>
            </w:pPr>
            <w:r w:rsidRPr="00370E70">
              <w:rPr>
                <w:rFonts w:cs="Arial"/>
                <w:color w:val="000000"/>
              </w:rPr>
              <w:t>3.5865</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(-3.3%, increase shoreward)</w:t>
            </w:r>
          </w:p>
        </w:tc>
      </w:tr>
      <w:tr w:rsidR="005132EF" w:rsidRPr="00370E7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April 2007</w:t>
            </w:r>
          </w:p>
        </w:tc>
        <w:tc>
          <w:tcPr>
            <w:tcW w:w="2153" w:type="dxa"/>
            <w:vAlign w:val="center"/>
          </w:tcPr>
          <w:p w:rsidR="005132EF" w:rsidRPr="00370E70" w:rsidRDefault="005132EF" w:rsidP="00034AD4">
            <w:pPr>
              <w:spacing w:before="0" w:after="0"/>
              <w:jc w:val="center"/>
              <w:rPr>
                <w:rFonts w:cs="Arial"/>
                <w:color w:val="000000"/>
              </w:rPr>
            </w:pPr>
            <w:r w:rsidRPr="00370E70">
              <w:rPr>
                <w:rFonts w:cs="Arial"/>
                <w:color w:val="000000"/>
              </w:rPr>
              <w:t>4.212</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(14.9%, increase shoreward)</w:t>
            </w:r>
          </w:p>
        </w:tc>
        <w:tc>
          <w:tcPr>
            <w:tcW w:w="2222" w:type="dxa"/>
            <w:vAlign w:val="center"/>
          </w:tcPr>
          <w:p w:rsidR="005132EF" w:rsidRPr="00370E70" w:rsidRDefault="005132EF" w:rsidP="00034AD4">
            <w:pPr>
              <w:spacing w:before="0" w:after="0"/>
              <w:jc w:val="center"/>
              <w:rPr>
                <w:rFonts w:cs="Arial"/>
                <w:color w:val="000000"/>
              </w:rPr>
            </w:pPr>
            <w:r w:rsidRPr="00370E70">
              <w:rPr>
                <w:rFonts w:cs="Arial"/>
                <w:color w:val="000000"/>
              </w:rPr>
              <w:t>4.0367</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(8.8%, decrease seaward)</w:t>
            </w:r>
          </w:p>
        </w:tc>
      </w:tr>
      <w:tr w:rsidR="005132EF" w:rsidRPr="00370E7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October 2007</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4.173</w:t>
            </w:r>
          </w:p>
          <w:p w:rsidR="005132EF" w:rsidRPr="00370E70" w:rsidRDefault="005132EF" w:rsidP="00034AD4">
            <w:pPr>
              <w:spacing w:before="0" w:after="0"/>
              <w:jc w:val="center"/>
              <w:rPr>
                <w:rFonts w:cs="Arial"/>
                <w:color w:val="000000"/>
              </w:rPr>
            </w:pPr>
            <w:r w:rsidRPr="00370E70">
              <w:rPr>
                <w:rFonts w:cs="Arial"/>
                <w:i/>
                <w:color w:val="000000"/>
                <w:sz w:val="16"/>
                <w:szCs w:val="16"/>
              </w:rPr>
              <w:t>(13.8%, decrease seaward)</w:t>
            </w:r>
          </w:p>
        </w:tc>
        <w:tc>
          <w:tcPr>
            <w:tcW w:w="2222" w:type="dxa"/>
          </w:tcPr>
          <w:p w:rsidR="005132EF" w:rsidRPr="00370E70" w:rsidRDefault="005132EF" w:rsidP="00034AD4">
            <w:pPr>
              <w:spacing w:before="0" w:after="0"/>
              <w:jc w:val="center"/>
              <w:rPr>
                <w:rFonts w:cs="Arial"/>
                <w:color w:val="000000"/>
              </w:rPr>
            </w:pPr>
            <w:r w:rsidRPr="00370E70">
              <w:rPr>
                <w:rFonts w:cs="Arial"/>
                <w:color w:val="000000"/>
              </w:rPr>
              <w:t>4.053</w:t>
            </w:r>
          </w:p>
          <w:p w:rsidR="005132EF" w:rsidRPr="00370E70" w:rsidRDefault="005132EF" w:rsidP="00034AD4">
            <w:pPr>
              <w:spacing w:before="0" w:after="0"/>
              <w:jc w:val="center"/>
              <w:rPr>
                <w:rFonts w:cs="Arial"/>
                <w:color w:val="000000"/>
              </w:rPr>
            </w:pPr>
            <w:r w:rsidRPr="00370E70">
              <w:rPr>
                <w:rFonts w:cs="Arial"/>
                <w:i/>
                <w:color w:val="000000"/>
                <w:sz w:val="16"/>
                <w:szCs w:val="16"/>
              </w:rPr>
              <w:t>(9.28%, decrease seaward)</w:t>
            </w:r>
          </w:p>
        </w:tc>
      </w:tr>
      <w:tr w:rsidR="005132EF" w:rsidRPr="00370E70">
        <w:trPr>
          <w:jc w:val="center"/>
        </w:trPr>
        <w:tc>
          <w:tcPr>
            <w:tcW w:w="1462" w:type="dxa"/>
            <w:vAlign w:val="center"/>
          </w:tcPr>
          <w:p w:rsidR="005132EF" w:rsidRPr="00370E70" w:rsidRDefault="005132EF" w:rsidP="00034AD4">
            <w:pPr>
              <w:spacing w:before="0" w:after="0"/>
              <w:rPr>
                <w:b/>
                <w:color w:val="000000"/>
                <w:sz w:val="20"/>
                <w:szCs w:val="20"/>
              </w:rPr>
            </w:pPr>
            <w:r w:rsidRPr="00370E70">
              <w:rPr>
                <w:b/>
                <w:color w:val="000000"/>
                <w:sz w:val="20"/>
                <w:szCs w:val="20"/>
              </w:rPr>
              <w:t>April 2008</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3.905</w:t>
            </w:r>
          </w:p>
          <w:p w:rsidR="005132EF" w:rsidRPr="00370E70" w:rsidRDefault="005132EF" w:rsidP="00034AD4">
            <w:pPr>
              <w:spacing w:before="0" w:after="0"/>
              <w:jc w:val="center"/>
              <w:rPr>
                <w:rFonts w:cs="Arial"/>
                <w:color w:val="000000"/>
              </w:rPr>
            </w:pPr>
            <w:r w:rsidRPr="00370E70">
              <w:rPr>
                <w:rFonts w:cs="Arial"/>
                <w:i/>
                <w:color w:val="000000"/>
                <w:sz w:val="16"/>
                <w:szCs w:val="16"/>
              </w:rPr>
              <w:t>(6.5%, decrease seaward)</w:t>
            </w:r>
          </w:p>
        </w:tc>
        <w:tc>
          <w:tcPr>
            <w:tcW w:w="2222"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3.489</w:t>
            </w:r>
          </w:p>
          <w:p w:rsidR="005132EF" w:rsidRPr="00370E70" w:rsidRDefault="005132EF" w:rsidP="00034AD4">
            <w:pPr>
              <w:spacing w:before="0" w:after="0"/>
              <w:jc w:val="center"/>
              <w:rPr>
                <w:rFonts w:cs="Arial"/>
                <w:color w:val="000000"/>
              </w:rPr>
            </w:pPr>
            <w:r w:rsidRPr="00370E70">
              <w:rPr>
                <w:rFonts w:cs="Arial"/>
                <w:i/>
                <w:color w:val="000000"/>
                <w:sz w:val="16"/>
                <w:szCs w:val="16"/>
              </w:rPr>
              <w:t>(-5.98%, decrease seaward)</w:t>
            </w:r>
          </w:p>
        </w:tc>
      </w:tr>
      <w:tr w:rsidR="005132EF" w:rsidRPr="00370E7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October 2008</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3.88</w:t>
            </w:r>
          </w:p>
          <w:p w:rsidR="005132EF" w:rsidRPr="00370E70" w:rsidRDefault="005132EF" w:rsidP="00034AD4">
            <w:pPr>
              <w:spacing w:before="0" w:after="0"/>
              <w:jc w:val="center"/>
              <w:rPr>
                <w:rFonts w:cs="Arial"/>
                <w:color w:val="000000"/>
              </w:rPr>
            </w:pPr>
            <w:r w:rsidRPr="00370E70">
              <w:rPr>
                <w:rFonts w:cs="Arial"/>
                <w:i/>
                <w:color w:val="000000"/>
                <w:sz w:val="16"/>
                <w:szCs w:val="16"/>
              </w:rPr>
              <w:t>(5.7%, decrease seaward)</w:t>
            </w:r>
          </w:p>
        </w:tc>
        <w:tc>
          <w:tcPr>
            <w:tcW w:w="2222"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3.57</w:t>
            </w:r>
          </w:p>
          <w:p w:rsidR="005132EF" w:rsidRPr="00370E70" w:rsidRDefault="005132EF" w:rsidP="00034AD4">
            <w:pPr>
              <w:spacing w:before="0" w:after="0"/>
              <w:jc w:val="center"/>
              <w:rPr>
                <w:rFonts w:cs="Arial"/>
                <w:color w:val="000000"/>
              </w:rPr>
            </w:pPr>
            <w:r w:rsidRPr="00370E70">
              <w:rPr>
                <w:rFonts w:cs="Arial"/>
                <w:i/>
                <w:color w:val="000000"/>
                <w:sz w:val="16"/>
                <w:szCs w:val="16"/>
              </w:rPr>
              <w:t>(-3.73%, increase shoreward)</w:t>
            </w:r>
          </w:p>
        </w:tc>
      </w:tr>
      <w:tr w:rsidR="005132EF" w:rsidRPr="00370E70">
        <w:trPr>
          <w:jc w:val="center"/>
        </w:trPr>
        <w:tc>
          <w:tcPr>
            <w:tcW w:w="1462" w:type="dxa"/>
            <w:vAlign w:val="center"/>
          </w:tcPr>
          <w:p w:rsidR="005132EF" w:rsidRPr="00370E70" w:rsidRDefault="005132EF" w:rsidP="00034AD4">
            <w:pPr>
              <w:spacing w:before="0" w:after="0"/>
              <w:rPr>
                <w:b/>
                <w:color w:val="000000"/>
                <w:sz w:val="20"/>
                <w:szCs w:val="20"/>
              </w:rPr>
            </w:pPr>
            <w:r w:rsidRPr="00370E70">
              <w:rPr>
                <w:b/>
                <w:color w:val="000000"/>
                <w:sz w:val="20"/>
                <w:szCs w:val="20"/>
              </w:rPr>
              <w:t>April 2009</w:t>
            </w:r>
          </w:p>
        </w:tc>
        <w:tc>
          <w:tcPr>
            <w:tcW w:w="2153"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3.36</w:t>
            </w:r>
          </w:p>
          <w:p w:rsidR="005132EF" w:rsidRPr="00370E70" w:rsidRDefault="005132EF" w:rsidP="00034AD4">
            <w:pPr>
              <w:spacing w:before="0" w:after="0"/>
              <w:jc w:val="center"/>
              <w:rPr>
                <w:rFonts w:cs="Arial"/>
                <w:color w:val="000000"/>
              </w:rPr>
            </w:pPr>
            <w:r w:rsidRPr="00370E70">
              <w:rPr>
                <w:rFonts w:cs="Arial"/>
                <w:i/>
                <w:color w:val="000000"/>
                <w:sz w:val="16"/>
                <w:szCs w:val="16"/>
              </w:rPr>
              <w:t>(-8.3%, decrease seaward)</w:t>
            </w:r>
          </w:p>
        </w:tc>
        <w:tc>
          <w:tcPr>
            <w:tcW w:w="2222"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3.26</w:t>
            </w:r>
          </w:p>
          <w:p w:rsidR="005132EF" w:rsidRPr="00370E70" w:rsidRDefault="005132EF" w:rsidP="00034AD4">
            <w:pPr>
              <w:spacing w:before="0" w:after="0"/>
              <w:jc w:val="center"/>
              <w:rPr>
                <w:rFonts w:cs="Arial"/>
                <w:color w:val="000000"/>
              </w:rPr>
            </w:pPr>
            <w:r w:rsidRPr="00370E70">
              <w:rPr>
                <w:rFonts w:cs="Arial"/>
                <w:i/>
                <w:color w:val="000000"/>
                <w:sz w:val="16"/>
                <w:szCs w:val="16"/>
              </w:rPr>
              <w:t>(-12.14%, decrease seaward)</w:t>
            </w:r>
          </w:p>
        </w:tc>
      </w:tr>
      <w:tr w:rsidR="005132EF" w:rsidRPr="00370E7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October 2009</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3.70</w:t>
            </w:r>
          </w:p>
          <w:p w:rsidR="005132EF" w:rsidRPr="00370E70" w:rsidRDefault="005132EF" w:rsidP="00034AD4">
            <w:pPr>
              <w:spacing w:before="0" w:after="0"/>
              <w:jc w:val="center"/>
              <w:rPr>
                <w:rFonts w:cs="Arial"/>
                <w:color w:val="000000"/>
              </w:rPr>
            </w:pPr>
            <w:r w:rsidRPr="00370E70">
              <w:rPr>
                <w:rFonts w:cs="Arial"/>
                <w:i/>
                <w:color w:val="000000"/>
                <w:sz w:val="16"/>
                <w:szCs w:val="16"/>
              </w:rPr>
              <w:t>(-1%, increase shoreward)</w:t>
            </w:r>
          </w:p>
        </w:tc>
        <w:tc>
          <w:tcPr>
            <w:tcW w:w="2222"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3.55</w:t>
            </w:r>
          </w:p>
          <w:p w:rsidR="005132EF" w:rsidRPr="00370E70" w:rsidRDefault="005132EF" w:rsidP="00034AD4">
            <w:pPr>
              <w:spacing w:before="0" w:after="0"/>
              <w:jc w:val="center"/>
              <w:rPr>
                <w:rFonts w:cs="Arial"/>
                <w:color w:val="000000"/>
              </w:rPr>
            </w:pPr>
            <w:r w:rsidRPr="00370E70">
              <w:rPr>
                <w:rFonts w:cs="Arial"/>
                <w:i/>
                <w:color w:val="000000"/>
                <w:sz w:val="16"/>
                <w:szCs w:val="16"/>
              </w:rPr>
              <w:t>(-4.2%, increase shoreward)</w:t>
            </w:r>
          </w:p>
        </w:tc>
      </w:tr>
      <w:tr w:rsidR="005132EF" w:rsidRPr="00370E7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October 2010</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3.97</w:t>
            </w:r>
          </w:p>
          <w:p w:rsidR="005132EF" w:rsidRPr="00370E70" w:rsidRDefault="005132EF" w:rsidP="00034AD4">
            <w:pPr>
              <w:spacing w:before="0" w:after="0"/>
              <w:jc w:val="center"/>
              <w:rPr>
                <w:rFonts w:cs="Arial"/>
                <w:color w:val="000000"/>
              </w:rPr>
            </w:pPr>
            <w:r w:rsidRPr="00370E70">
              <w:rPr>
                <w:rFonts w:cs="Arial"/>
                <w:i/>
                <w:color w:val="000000"/>
                <w:sz w:val="16"/>
                <w:szCs w:val="16"/>
              </w:rPr>
              <w:t>(8.4%, increase shoreward)</w:t>
            </w:r>
          </w:p>
        </w:tc>
        <w:tc>
          <w:tcPr>
            <w:tcW w:w="2222" w:type="dxa"/>
          </w:tcPr>
          <w:p w:rsidR="005132EF" w:rsidRPr="00370E70" w:rsidRDefault="005132EF" w:rsidP="00034AD4">
            <w:pPr>
              <w:spacing w:before="0" w:after="0"/>
              <w:jc w:val="center"/>
              <w:rPr>
                <w:rFonts w:cs="Arial"/>
                <w:color w:val="000000"/>
              </w:rPr>
            </w:pPr>
            <w:r w:rsidRPr="00370E70">
              <w:rPr>
                <w:rFonts w:cs="Arial"/>
                <w:color w:val="000000"/>
              </w:rPr>
              <w:t>3.85</w:t>
            </w:r>
          </w:p>
          <w:p w:rsidR="005132EF" w:rsidRPr="00370E70" w:rsidRDefault="005132EF" w:rsidP="00034AD4">
            <w:pPr>
              <w:spacing w:before="0" w:after="0"/>
              <w:jc w:val="center"/>
              <w:rPr>
                <w:rFonts w:cs="Arial"/>
                <w:color w:val="000000"/>
              </w:rPr>
            </w:pPr>
            <w:r w:rsidRPr="00370E70">
              <w:rPr>
                <w:rFonts w:cs="Arial"/>
                <w:i/>
                <w:color w:val="000000"/>
                <w:sz w:val="16"/>
                <w:szCs w:val="16"/>
              </w:rPr>
              <w:t>(3.7%, increase shoreward)</w:t>
            </w:r>
          </w:p>
        </w:tc>
      </w:tr>
      <w:tr w:rsidR="005132EF" w:rsidRPr="00370E70" w:rsidTr="00A02160">
        <w:trPr>
          <w:jc w:val="center"/>
        </w:trPr>
        <w:tc>
          <w:tcPr>
            <w:tcW w:w="1462" w:type="dxa"/>
          </w:tcPr>
          <w:p w:rsidR="005132EF" w:rsidRPr="00370E70" w:rsidRDefault="005132EF" w:rsidP="00034AD4">
            <w:pPr>
              <w:spacing w:before="0" w:after="0"/>
              <w:rPr>
                <w:b/>
                <w:color w:val="000000"/>
                <w:sz w:val="20"/>
                <w:szCs w:val="20"/>
              </w:rPr>
            </w:pPr>
            <w:r w:rsidRPr="00370E70">
              <w:rPr>
                <w:b/>
                <w:color w:val="000000"/>
                <w:sz w:val="20"/>
                <w:szCs w:val="20"/>
              </w:rPr>
              <w:t>April 2011</w:t>
            </w:r>
          </w:p>
        </w:tc>
        <w:tc>
          <w:tcPr>
            <w:tcW w:w="2153" w:type="dxa"/>
          </w:tcPr>
          <w:p w:rsidR="005132EF" w:rsidRPr="00370E70" w:rsidRDefault="005132EF" w:rsidP="00034AD4">
            <w:pPr>
              <w:spacing w:before="0" w:after="0"/>
              <w:jc w:val="center"/>
              <w:rPr>
                <w:rFonts w:cs="Arial"/>
                <w:color w:val="000000"/>
              </w:rPr>
            </w:pPr>
            <w:r w:rsidRPr="00370E70">
              <w:rPr>
                <w:rFonts w:cs="Arial"/>
                <w:color w:val="000000"/>
              </w:rPr>
              <w:t>3.88</w:t>
            </w:r>
          </w:p>
          <w:p w:rsidR="005132EF" w:rsidRPr="00370E70" w:rsidRDefault="005132EF" w:rsidP="00034AD4">
            <w:pPr>
              <w:spacing w:before="0" w:after="0"/>
              <w:jc w:val="center"/>
              <w:rPr>
                <w:rFonts w:cs="Arial"/>
                <w:color w:val="000000"/>
              </w:rPr>
            </w:pPr>
            <w:r w:rsidRPr="00370E70">
              <w:rPr>
                <w:rFonts w:cs="Arial"/>
                <w:i/>
                <w:color w:val="000000"/>
                <w:sz w:val="16"/>
                <w:szCs w:val="16"/>
              </w:rPr>
              <w:t>(5.8%, decrease seaward)</w:t>
            </w:r>
          </w:p>
        </w:tc>
        <w:tc>
          <w:tcPr>
            <w:tcW w:w="2222"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3.52</w:t>
            </w:r>
          </w:p>
          <w:p w:rsidR="005132EF" w:rsidRPr="00370E70" w:rsidRDefault="005132EF" w:rsidP="00034AD4">
            <w:pPr>
              <w:spacing w:before="0" w:after="0"/>
              <w:jc w:val="center"/>
              <w:rPr>
                <w:rFonts w:cs="Arial"/>
                <w:color w:val="000000"/>
              </w:rPr>
            </w:pPr>
            <w:r w:rsidRPr="00370E70">
              <w:rPr>
                <w:rFonts w:cs="Arial"/>
                <w:i/>
                <w:color w:val="000000"/>
                <w:sz w:val="16"/>
                <w:szCs w:val="16"/>
              </w:rPr>
              <w:t>(-5.3%, decrease seaward)</w:t>
            </w:r>
          </w:p>
        </w:tc>
      </w:tr>
      <w:tr w:rsidR="005132EF" w:rsidRPr="00370E70" w:rsidTr="001D3A34">
        <w:trPr>
          <w:jc w:val="center"/>
        </w:trPr>
        <w:tc>
          <w:tcPr>
            <w:tcW w:w="1462" w:type="dxa"/>
          </w:tcPr>
          <w:p w:rsidR="005132EF" w:rsidRPr="00370E70" w:rsidRDefault="005132EF" w:rsidP="00E06837">
            <w:pPr>
              <w:spacing w:before="0" w:after="0"/>
              <w:rPr>
                <w:b/>
                <w:color w:val="000000"/>
                <w:sz w:val="20"/>
                <w:szCs w:val="20"/>
              </w:rPr>
            </w:pPr>
            <w:r w:rsidRPr="00370E70">
              <w:rPr>
                <w:b/>
                <w:color w:val="000000"/>
                <w:sz w:val="20"/>
                <w:szCs w:val="20"/>
              </w:rPr>
              <w:t>October 2011</w:t>
            </w:r>
          </w:p>
        </w:tc>
        <w:tc>
          <w:tcPr>
            <w:tcW w:w="2153" w:type="dxa"/>
            <w:shd w:val="clear" w:color="auto" w:fill="FFFFFF"/>
          </w:tcPr>
          <w:p w:rsidR="005132EF" w:rsidRPr="00370E70" w:rsidRDefault="005132EF" w:rsidP="00AC5835">
            <w:pPr>
              <w:spacing w:before="0" w:after="0"/>
              <w:jc w:val="center"/>
              <w:rPr>
                <w:rFonts w:cs="Arial"/>
                <w:color w:val="000000"/>
              </w:rPr>
            </w:pPr>
            <w:r w:rsidRPr="00370E70">
              <w:rPr>
                <w:rFonts w:cs="Arial"/>
                <w:color w:val="000000"/>
              </w:rPr>
              <w:t>3.86</w:t>
            </w:r>
          </w:p>
          <w:p w:rsidR="005132EF" w:rsidRPr="00370E70" w:rsidRDefault="005132EF" w:rsidP="00AC5835">
            <w:pPr>
              <w:spacing w:before="0" w:after="0"/>
              <w:jc w:val="center"/>
              <w:rPr>
                <w:rFonts w:cs="Arial"/>
                <w:color w:val="000000"/>
              </w:rPr>
            </w:pPr>
            <w:r w:rsidRPr="00370E70">
              <w:rPr>
                <w:rFonts w:cs="Arial"/>
                <w:i/>
                <w:color w:val="000000"/>
                <w:sz w:val="16"/>
                <w:szCs w:val="16"/>
              </w:rPr>
              <w:t>(5.2%, )</w:t>
            </w:r>
          </w:p>
        </w:tc>
        <w:tc>
          <w:tcPr>
            <w:tcW w:w="2222" w:type="dxa"/>
            <w:shd w:val="clear" w:color="auto" w:fill="E6E6E6"/>
          </w:tcPr>
          <w:p w:rsidR="005132EF" w:rsidRPr="00370E70" w:rsidRDefault="005132EF" w:rsidP="00AC5835">
            <w:pPr>
              <w:spacing w:before="0" w:after="0"/>
              <w:jc w:val="center"/>
              <w:rPr>
                <w:rFonts w:cs="Arial"/>
                <w:color w:val="000000"/>
              </w:rPr>
            </w:pPr>
            <w:r w:rsidRPr="00370E70">
              <w:rPr>
                <w:rFonts w:cs="Arial"/>
                <w:color w:val="000000"/>
              </w:rPr>
              <w:t>3.61</w:t>
            </w:r>
          </w:p>
          <w:p w:rsidR="005132EF" w:rsidRPr="00370E70" w:rsidRDefault="005132EF" w:rsidP="00AC5835">
            <w:pPr>
              <w:spacing w:before="0" w:after="0"/>
              <w:jc w:val="center"/>
              <w:rPr>
                <w:rFonts w:cs="Arial"/>
                <w:color w:val="000000"/>
              </w:rPr>
            </w:pPr>
            <w:r w:rsidRPr="00370E70">
              <w:rPr>
                <w:rFonts w:cs="Arial"/>
                <w:i/>
                <w:color w:val="000000"/>
                <w:sz w:val="16"/>
                <w:szCs w:val="16"/>
              </w:rPr>
              <w:t>(-2.7%, increase shoreward)</w:t>
            </w:r>
          </w:p>
        </w:tc>
      </w:tr>
      <w:tr w:rsidR="005132EF" w:rsidRPr="00370E70" w:rsidTr="001D3A34">
        <w:trPr>
          <w:jc w:val="center"/>
        </w:trPr>
        <w:tc>
          <w:tcPr>
            <w:tcW w:w="1462" w:type="dxa"/>
            <w:tcBorders>
              <w:bottom w:val="single" w:sz="4" w:space="0" w:color="auto"/>
            </w:tcBorders>
          </w:tcPr>
          <w:p w:rsidR="005132EF" w:rsidRPr="00370E70" w:rsidRDefault="005132EF" w:rsidP="00E06837">
            <w:pPr>
              <w:spacing w:before="0" w:after="0"/>
              <w:rPr>
                <w:b/>
                <w:color w:val="000000"/>
                <w:sz w:val="20"/>
                <w:szCs w:val="20"/>
              </w:rPr>
            </w:pPr>
            <w:r w:rsidRPr="00370E70">
              <w:rPr>
                <w:b/>
                <w:color w:val="000000"/>
                <w:sz w:val="20"/>
                <w:szCs w:val="20"/>
              </w:rPr>
              <w:t>April 2012</w:t>
            </w:r>
          </w:p>
        </w:tc>
        <w:tc>
          <w:tcPr>
            <w:tcW w:w="2153" w:type="dxa"/>
            <w:tcBorders>
              <w:bottom w:val="single" w:sz="4" w:space="0" w:color="auto"/>
            </w:tcBorders>
            <w:shd w:val="clear" w:color="auto" w:fill="FFFFFF"/>
          </w:tcPr>
          <w:p w:rsidR="005132EF" w:rsidRPr="00370E70" w:rsidRDefault="005132EF" w:rsidP="00AC5835">
            <w:pPr>
              <w:spacing w:before="0" w:after="0"/>
              <w:jc w:val="center"/>
              <w:rPr>
                <w:rFonts w:cs="Arial"/>
                <w:color w:val="000000"/>
              </w:rPr>
            </w:pPr>
            <w:r w:rsidRPr="00370E70">
              <w:rPr>
                <w:rFonts w:cs="Arial"/>
                <w:color w:val="000000"/>
              </w:rPr>
              <w:t>3.71</w:t>
            </w:r>
          </w:p>
          <w:p w:rsidR="005132EF" w:rsidRPr="00370E70" w:rsidRDefault="005132EF" w:rsidP="00AC5835">
            <w:pPr>
              <w:spacing w:before="0" w:after="0"/>
              <w:jc w:val="center"/>
              <w:rPr>
                <w:rFonts w:cs="Arial"/>
                <w:color w:val="000000"/>
              </w:rPr>
            </w:pPr>
            <w:r w:rsidRPr="00370E70">
              <w:rPr>
                <w:rFonts w:cs="Arial"/>
                <w:i/>
                <w:color w:val="000000"/>
                <w:sz w:val="16"/>
                <w:szCs w:val="16"/>
              </w:rPr>
              <w:t>(1.2%, increase shoreward)</w:t>
            </w:r>
          </w:p>
        </w:tc>
        <w:tc>
          <w:tcPr>
            <w:tcW w:w="2222" w:type="dxa"/>
            <w:tcBorders>
              <w:bottom w:val="single" w:sz="4" w:space="0" w:color="auto"/>
            </w:tcBorders>
            <w:shd w:val="clear" w:color="auto" w:fill="E6E6E6"/>
          </w:tcPr>
          <w:p w:rsidR="005132EF" w:rsidRPr="00370E70" w:rsidRDefault="005132EF" w:rsidP="00AC5835">
            <w:pPr>
              <w:spacing w:before="0" w:after="0"/>
              <w:jc w:val="center"/>
              <w:rPr>
                <w:rFonts w:cs="Arial"/>
                <w:color w:val="000000"/>
              </w:rPr>
            </w:pPr>
            <w:r w:rsidRPr="00370E70">
              <w:rPr>
                <w:rFonts w:cs="Arial"/>
                <w:color w:val="000000"/>
              </w:rPr>
              <w:t>3.50</w:t>
            </w:r>
          </w:p>
          <w:p w:rsidR="005132EF" w:rsidRPr="00370E70" w:rsidRDefault="005132EF" w:rsidP="00AC5835">
            <w:pPr>
              <w:spacing w:before="0" w:after="0"/>
              <w:jc w:val="center"/>
              <w:rPr>
                <w:rFonts w:cs="Arial"/>
                <w:color w:val="000000"/>
              </w:rPr>
            </w:pPr>
            <w:r w:rsidRPr="00370E70">
              <w:rPr>
                <w:rFonts w:cs="Arial"/>
                <w:i/>
                <w:color w:val="000000"/>
                <w:sz w:val="16"/>
                <w:szCs w:val="16"/>
              </w:rPr>
              <w:t>(-5.6%, decrease seaward)</w:t>
            </w:r>
          </w:p>
        </w:tc>
      </w:tr>
    </w:tbl>
    <w:p w:rsidR="005132EF" w:rsidRPr="00370E70" w:rsidRDefault="007B15AB" w:rsidP="001C33E7">
      <w:pPr>
        <w:keepNext/>
        <w:jc w:val="center"/>
        <w:rPr>
          <w:color w:val="000000"/>
        </w:rPr>
      </w:pPr>
      <w:r>
        <w:rPr>
          <w:noProof/>
          <w:lang w:eastAsia="en-AU"/>
        </w:rPr>
        <w:drawing>
          <wp:inline distT="0" distB="0" distL="0" distR="0">
            <wp:extent cx="2859405" cy="1738630"/>
            <wp:effectExtent l="0" t="0" r="0" b="0"/>
            <wp:docPr id="43" name="Picture 51" descr="Figure shoiwng the long-term trends in seagrass meadow extent (100m radius of monitoring site) at each monitoring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Figure shoiwng the long-term trends in seagrass meadow extent (100m radius of monitoring site) at each monitoring site."/>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859405" cy="1738630"/>
                    </a:xfrm>
                    <a:prstGeom prst="rect">
                      <a:avLst/>
                    </a:prstGeom>
                    <a:noFill/>
                    <a:ln>
                      <a:noFill/>
                    </a:ln>
                  </pic:spPr>
                </pic:pic>
              </a:graphicData>
            </a:graphic>
          </wp:inline>
        </w:drawing>
      </w:r>
    </w:p>
    <w:p w:rsidR="005132EF" w:rsidRPr="00370E70" w:rsidRDefault="005132EF" w:rsidP="001C33E7">
      <w:pPr>
        <w:pStyle w:val="Caption"/>
        <w:rPr>
          <w:rStyle w:val="StyleCaptionCaptionCharCharLatinCalibri11ptBlackChar"/>
          <w:lang w:val="en-AU"/>
        </w:rPr>
      </w:pPr>
      <w:bookmarkStart w:id="226" w:name="_Toc38419637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32</w:t>
      </w:r>
      <w:r w:rsidRPr="00370E70">
        <w:rPr>
          <w:color w:val="000000"/>
          <w:szCs w:val="22"/>
          <w:lang w:val="en-AU"/>
        </w:rPr>
        <w:fldChar w:fldCharType="end"/>
      </w:r>
      <w:r w:rsidRPr="00370E70">
        <w:rPr>
          <w:rStyle w:val="StyleCaptionCaptionCharCharLatinCalibri11ptBlackChar"/>
          <w:lang w:val="en-AU"/>
        </w:rPr>
        <w:t xml:space="preserve">. </w:t>
      </w:r>
      <w:r w:rsidRPr="00370E70">
        <w:rPr>
          <w:i/>
          <w:color w:val="000000"/>
          <w:szCs w:val="22"/>
          <w:lang w:val="en-AU"/>
        </w:rPr>
        <w:t xml:space="preserve">Extent of area (100m radius of monitoring site) covered by seagrass at each </w:t>
      </w:r>
      <w:r w:rsidR="00527B78">
        <w:rPr>
          <w:i/>
          <w:color w:val="000000"/>
          <w:szCs w:val="22"/>
          <w:lang w:val="en-AU"/>
        </w:rPr>
        <w:t xml:space="preserve">inshore intertidal reef </w:t>
      </w:r>
      <w:r w:rsidRPr="00370E70">
        <w:rPr>
          <w:i/>
          <w:color w:val="000000"/>
          <w:szCs w:val="22"/>
          <w:lang w:val="en-AU"/>
        </w:rPr>
        <w:t>monitoring site.</w:t>
      </w:r>
      <w:bookmarkEnd w:id="226"/>
    </w:p>
    <w:p w:rsidR="005132EF" w:rsidRPr="00370E70" w:rsidRDefault="005132EF" w:rsidP="007B6A2B">
      <w:pPr>
        <w:pStyle w:val="Heading5"/>
        <w:rPr>
          <w:szCs w:val="22"/>
        </w:rPr>
      </w:pPr>
      <w:r w:rsidRPr="00370E70">
        <w:rPr>
          <w:szCs w:val="22"/>
        </w:rPr>
        <w:t>Coastal habitat</w:t>
      </w:r>
    </w:p>
    <w:p w:rsidR="005132EF" w:rsidRPr="00370E70" w:rsidRDefault="005132EF" w:rsidP="007B6A2B">
      <w:pPr>
        <w:spacing w:before="0" w:after="0"/>
        <w:rPr>
          <w:color w:val="000000"/>
          <w:szCs w:val="22"/>
        </w:rPr>
      </w:pPr>
      <w:r w:rsidRPr="00370E70">
        <w:rPr>
          <w:color w:val="000000"/>
          <w:szCs w:val="22"/>
        </w:rPr>
        <w:t xml:space="preserve">Monitoring sites were established at two coastal locations in the northern and central sections of </w:t>
      </w:r>
      <w:smartTag w:uri="urn:schemas-microsoft-com:office:smarttags" w:element="State">
        <w:r w:rsidRPr="00370E70">
          <w:rPr>
            <w:color w:val="000000"/>
            <w:szCs w:val="22"/>
          </w:rPr>
          <w:t>eastern Cape</w:t>
        </w:r>
      </w:smartTag>
      <w:r w:rsidRPr="00370E70">
        <w:rPr>
          <w:color w:val="000000"/>
          <w:szCs w:val="22"/>
        </w:rPr>
        <w:t xml:space="preserve"> </w:t>
      </w:r>
      <w:smartTag w:uri="urn:schemas-microsoft-com:office:smarttags" w:element="place">
        <w:smartTag w:uri="urn:schemas-microsoft-com:office:smarttags" w:element="City">
          <w:r w:rsidRPr="00370E70">
            <w:rPr>
              <w:color w:val="000000"/>
              <w:szCs w:val="22"/>
            </w:rPr>
            <w:t>York</w:t>
          </w:r>
        </w:smartTag>
      </w:smartTag>
      <w:r w:rsidRPr="00370E70">
        <w:rPr>
          <w:color w:val="000000"/>
          <w:szCs w:val="22"/>
        </w:rPr>
        <w:t xml:space="preserve"> region in May/June 2012. At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in the north, monitoring sites were located on the large intertidal sand flats in a </w:t>
      </w:r>
      <w:r w:rsidRPr="00370E70">
        <w:rPr>
          <w:i/>
          <w:color w:val="000000"/>
          <w:szCs w:val="22"/>
        </w:rPr>
        <w:t>H. ovalis</w:t>
      </w:r>
      <w:r w:rsidRPr="00370E70">
        <w:rPr>
          <w:color w:val="000000"/>
          <w:szCs w:val="22"/>
        </w:rPr>
        <w:t>/</w:t>
      </w:r>
      <w:r w:rsidRPr="00370E70">
        <w:rPr>
          <w:i/>
          <w:color w:val="000000"/>
          <w:szCs w:val="22"/>
        </w:rPr>
        <w:t>Halodule uninervis</w:t>
      </w:r>
      <w:r w:rsidRPr="00370E70">
        <w:rPr>
          <w:color w:val="000000"/>
          <w:szCs w:val="22"/>
        </w:rPr>
        <w:t xml:space="preserve"> dominated meadow.  At </w:t>
      </w:r>
      <w:smartTag w:uri="urn:schemas-microsoft-com:office:smarttags" w:element="PlaceName">
        <w:r w:rsidRPr="00370E70">
          <w:rPr>
            <w:color w:val="000000"/>
            <w:szCs w:val="22"/>
          </w:rPr>
          <w:lastRenderedPageBreak/>
          <w:t>Bathurst</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in the central section of Cape York, adjacent to </w:t>
      </w:r>
      <w:smartTag w:uri="urn:schemas-microsoft-com:office:smarttags" w:element="place">
        <w:smartTag w:uri="urn:schemas-microsoft-com:office:smarttags" w:element="PlaceName">
          <w:r w:rsidRPr="00370E70">
            <w:rPr>
              <w:color w:val="000000"/>
              <w:szCs w:val="22"/>
            </w:rPr>
            <w:t>Princess</w:t>
          </w:r>
        </w:smartTag>
        <w:r w:rsidRPr="00370E70">
          <w:rPr>
            <w:color w:val="000000"/>
            <w:szCs w:val="22"/>
          </w:rPr>
          <w:t xml:space="preserve"> </w:t>
        </w:r>
        <w:smartTag w:uri="urn:schemas-microsoft-com:office:smarttags" w:element="PlaceName">
          <w:r w:rsidRPr="00370E70">
            <w:rPr>
              <w:color w:val="000000"/>
              <w:szCs w:val="22"/>
            </w:rPr>
            <w:t>Charlotte</w:t>
          </w:r>
        </w:smartTag>
        <w:r w:rsidRPr="00370E70">
          <w:rPr>
            <w:color w:val="000000"/>
            <w:szCs w:val="22"/>
          </w:rPr>
          <w:t xml:space="preserve"> </w:t>
        </w:r>
        <w:smartTag w:uri="urn:schemas-microsoft-com:office:smarttags" w:element="PlaceName">
          <w:r w:rsidRPr="00370E70">
            <w:rPr>
              <w:color w:val="000000"/>
              <w:szCs w:val="22"/>
            </w:rPr>
            <w:t>Bay</w:t>
          </w:r>
        </w:smartTag>
      </w:smartTag>
      <w:r w:rsidRPr="00370E70">
        <w:rPr>
          <w:color w:val="000000"/>
          <w:szCs w:val="22"/>
        </w:rPr>
        <w:t xml:space="preserve">, sites were located in the </w:t>
      </w:r>
      <w:r w:rsidRPr="00370E70">
        <w:rPr>
          <w:i/>
          <w:color w:val="000000"/>
          <w:szCs w:val="22"/>
        </w:rPr>
        <w:t>Halodule uninervis</w:t>
      </w:r>
      <w:r w:rsidRPr="00370E70">
        <w:rPr>
          <w:color w:val="000000"/>
          <w:szCs w:val="22"/>
        </w:rPr>
        <w:t xml:space="preserve"> dominated meadow. Five seagrass species were present in the </w:t>
      </w:r>
      <w:smartTag w:uri="urn:schemas-microsoft-com:office:smarttags" w:element="PlaceName">
        <w:r w:rsidRPr="00370E70">
          <w:rPr>
            <w:color w:val="000000"/>
            <w:szCs w:val="22"/>
          </w:rPr>
          <w:t>Bathurst</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meadows, </w:t>
      </w:r>
      <w:r w:rsidR="002C6536" w:rsidRPr="00370E70">
        <w:rPr>
          <w:color w:val="000000"/>
          <w:szCs w:val="22"/>
        </w:rPr>
        <w:t>whereas</w:t>
      </w:r>
      <w:r w:rsidRPr="00370E70">
        <w:rPr>
          <w:color w:val="000000"/>
          <w:szCs w:val="22"/>
        </w:rPr>
        <w:t xml:space="preserve"> only three species were present at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t>
      </w:r>
      <w:r w:rsidRPr="00370E70">
        <w:rPr>
          <w:color w:val="000000"/>
          <w:szCs w:val="22"/>
        </w:rPr>
        <w:fldChar w:fldCharType="begin"/>
      </w:r>
      <w:r w:rsidRPr="00370E70">
        <w:rPr>
          <w:color w:val="000000"/>
          <w:szCs w:val="22"/>
        </w:rPr>
        <w:instrText xml:space="preserve"> REF _Ref236986846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28</w:t>
      </w:r>
      <w:r w:rsidRPr="00370E70">
        <w:rPr>
          <w:color w:val="000000"/>
          <w:szCs w:val="22"/>
        </w:rPr>
        <w:fldChar w:fldCharType="end"/>
      </w:r>
      <w:r w:rsidRPr="00370E70">
        <w:rPr>
          <w:color w:val="000000"/>
          <w:szCs w:val="22"/>
        </w:rPr>
        <w:t xml:space="preserve">) </w:t>
      </w:r>
    </w:p>
    <w:p w:rsidR="005132EF" w:rsidRPr="00370E70" w:rsidRDefault="005132EF" w:rsidP="007B6A2B">
      <w:pPr>
        <w:rPr>
          <w:color w:val="000000"/>
          <w:szCs w:val="22"/>
        </w:rPr>
      </w:pPr>
      <w:r w:rsidRPr="00370E70">
        <w:rPr>
          <w:color w:val="000000"/>
          <w:szCs w:val="22"/>
        </w:rPr>
        <w:t xml:space="preserve">Seagrass abundance was higher at the sites in </w:t>
      </w:r>
      <w:smartTag w:uri="urn:schemas-microsoft-com:office:smarttags" w:element="PlaceName">
        <w:r w:rsidRPr="00370E70">
          <w:rPr>
            <w:color w:val="000000"/>
            <w:szCs w:val="22"/>
          </w:rPr>
          <w:t>Bathurst</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(14.8±1.2%) than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(12.6±1%). Meadow edge mapping was only conducted at </w:t>
      </w:r>
      <w:smartTag w:uri="urn:schemas-microsoft-com:office:smarttags" w:element="place">
        <w:smartTag w:uri="urn:schemas-microsoft-com:office:smarttags" w:element="PlaceName">
          <w:r w:rsidRPr="00370E70">
            <w:rPr>
              <w:color w:val="000000"/>
              <w:szCs w:val="22"/>
            </w:rPr>
            <w:t>Shelburne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sites in April 2012, and although the meadow edge was within the 100m radius of one site (SR2), the edge did not directly impact the monitoring site as seagrass covered 95% of the total area.</w:t>
      </w:r>
    </w:p>
    <w:p w:rsidR="005132EF" w:rsidRPr="00370E70" w:rsidRDefault="005132EF" w:rsidP="001C33E7">
      <w:pPr>
        <w:pStyle w:val="Heading4"/>
        <w:rPr>
          <w:b/>
          <w:iCs/>
          <w:color w:val="000000"/>
        </w:rPr>
      </w:pPr>
      <w:r w:rsidRPr="00370E70">
        <w:rPr>
          <w:b/>
          <w:iCs/>
          <w:color w:val="000000"/>
        </w:rPr>
        <w:t>Seagrass reproductive status</w:t>
      </w:r>
    </w:p>
    <w:p w:rsidR="005132EF" w:rsidRPr="00370E70" w:rsidRDefault="005132EF" w:rsidP="00034AD4">
      <w:pPr>
        <w:rPr>
          <w:color w:val="000000"/>
          <w:szCs w:val="22"/>
        </w:rPr>
      </w:pPr>
      <w:bookmarkStart w:id="227" w:name="_Toc145126957"/>
      <w:bookmarkStart w:id="228" w:name="_Toc175991065"/>
      <w:bookmarkStart w:id="229" w:name="_Toc215637046"/>
      <w:r w:rsidRPr="00370E70">
        <w:rPr>
          <w:color w:val="000000"/>
          <w:szCs w:val="22"/>
        </w:rPr>
        <w:t xml:space="preserve">A </w:t>
      </w:r>
      <w:r w:rsidRPr="00370E70">
        <w:rPr>
          <w:i/>
          <w:color w:val="000000"/>
          <w:szCs w:val="22"/>
        </w:rPr>
        <w:t>Halodule uninervis</w:t>
      </w:r>
      <w:r w:rsidRPr="00370E70">
        <w:rPr>
          <w:color w:val="000000"/>
          <w:szCs w:val="22"/>
        </w:rPr>
        <w:t xml:space="preserve"> seed bank </w:t>
      </w:r>
      <w:r w:rsidR="00900CC4" w:rsidRPr="00370E70">
        <w:rPr>
          <w:color w:val="000000"/>
          <w:szCs w:val="22"/>
        </w:rPr>
        <w:t>persists</w:t>
      </w:r>
      <w:r w:rsidRPr="00370E70">
        <w:rPr>
          <w:color w:val="000000"/>
          <w:szCs w:val="22"/>
        </w:rPr>
        <w:t xml:space="preserve"> at the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monitoring sites (</w:t>
      </w:r>
      <w:r w:rsidRPr="00370E70">
        <w:fldChar w:fldCharType="begin"/>
      </w:r>
      <w:r w:rsidRPr="00370E70">
        <w:instrText xml:space="preserve"> REF _Ref271218562 \h  \* MERGEFORMAT </w:instrText>
      </w:r>
      <w:r w:rsidRPr="00370E70">
        <w:fldChar w:fldCharType="separate"/>
      </w:r>
      <w:r w:rsidR="005B5FD6" w:rsidRPr="005B5FD6">
        <w:rPr>
          <w:szCs w:val="22"/>
        </w:rPr>
        <w:t xml:space="preserve">Figure </w:t>
      </w:r>
      <w:r w:rsidR="005B5FD6">
        <w:rPr>
          <w:noProof/>
          <w:color w:val="000000"/>
          <w:szCs w:val="22"/>
        </w:rPr>
        <w:t>33</w:t>
      </w:r>
      <w:r w:rsidRPr="00370E70">
        <w:fldChar w:fldCharType="end"/>
      </w:r>
      <w:r w:rsidRPr="00370E70">
        <w:rPr>
          <w:color w:val="000000"/>
          <w:szCs w:val="22"/>
        </w:rPr>
        <w:t>)</w:t>
      </w:r>
      <w:proofErr w:type="gramStart"/>
      <w:r w:rsidRPr="00370E70">
        <w:rPr>
          <w:color w:val="000000"/>
          <w:szCs w:val="22"/>
        </w:rPr>
        <w:t>,</w:t>
      </w:r>
      <w:proofErr w:type="gramEnd"/>
      <w:r w:rsidRPr="00370E70">
        <w:rPr>
          <w:color w:val="000000"/>
          <w:szCs w:val="22"/>
        </w:rPr>
        <w:t xml:space="preserve"> however abundances in 2011/12 were lower in the late dry 2011 than the previous year. The abundance of germinated seeds fluctuates from year to year, but was higher </w:t>
      </w:r>
      <w:r w:rsidR="00BD7037" w:rsidRPr="00370E70">
        <w:rPr>
          <w:color w:val="000000"/>
          <w:szCs w:val="22"/>
        </w:rPr>
        <w:t xml:space="preserve">in </w:t>
      </w:r>
      <w:r w:rsidRPr="00370E70">
        <w:rPr>
          <w:color w:val="000000"/>
          <w:szCs w:val="22"/>
        </w:rPr>
        <w:t xml:space="preserve">the </w:t>
      </w:r>
      <w:r w:rsidR="00BD7037" w:rsidRPr="00370E70">
        <w:rPr>
          <w:color w:val="000000"/>
          <w:szCs w:val="22"/>
        </w:rPr>
        <w:t>late monsoon</w:t>
      </w:r>
      <w:r w:rsidRPr="00370E70">
        <w:rPr>
          <w:color w:val="000000"/>
          <w:szCs w:val="22"/>
        </w:rPr>
        <w:t xml:space="preserve"> 201</w:t>
      </w:r>
      <w:r w:rsidR="00BD7037" w:rsidRPr="00370E70">
        <w:rPr>
          <w:color w:val="000000"/>
          <w:szCs w:val="22"/>
        </w:rPr>
        <w:t>2</w:t>
      </w:r>
      <w:r w:rsidRPr="00370E70">
        <w:rPr>
          <w:color w:val="000000"/>
          <w:szCs w:val="22"/>
        </w:rPr>
        <w:t xml:space="preserve"> when seed banks were corresponding lower (</w:t>
      </w:r>
      <w:r w:rsidRPr="00370E70">
        <w:rPr>
          <w:color w:val="000000"/>
        </w:rPr>
        <w:fldChar w:fldCharType="begin"/>
      </w:r>
      <w:r w:rsidRPr="00370E70">
        <w:rPr>
          <w:color w:val="000000"/>
        </w:rPr>
        <w:instrText xml:space="preserve"> REF _Ref271218562 \h  \* MERGEFORMAT </w:instrText>
      </w:r>
      <w:r w:rsidRPr="00370E70">
        <w:rPr>
          <w:color w:val="000000"/>
        </w:rPr>
      </w:r>
      <w:r w:rsidRPr="00370E70">
        <w:rPr>
          <w:color w:val="000000"/>
        </w:rPr>
        <w:fldChar w:fldCharType="separate"/>
      </w:r>
      <w:r w:rsidR="005B5FD6" w:rsidRPr="005B5FD6">
        <w:rPr>
          <w:szCs w:val="22"/>
        </w:rPr>
        <w:t xml:space="preserve">Figure </w:t>
      </w:r>
      <w:r w:rsidR="005B5FD6">
        <w:rPr>
          <w:noProof/>
          <w:color w:val="000000"/>
          <w:szCs w:val="22"/>
        </w:rPr>
        <w:t>33</w:t>
      </w:r>
      <w:r w:rsidRPr="00370E70">
        <w:rPr>
          <w:color w:val="000000"/>
        </w:rPr>
        <w:fldChar w:fldCharType="end"/>
      </w:r>
      <w:r w:rsidRPr="00370E70">
        <w:rPr>
          <w:color w:val="000000"/>
          <w:szCs w:val="22"/>
        </w:rPr>
        <w:t xml:space="preserve">). </w:t>
      </w:r>
      <w:r w:rsidR="00900CC4" w:rsidRPr="00370E70">
        <w:rPr>
          <w:color w:val="000000"/>
          <w:szCs w:val="22"/>
        </w:rPr>
        <w:t>Although</w:t>
      </w:r>
      <w:r w:rsidRPr="00370E70">
        <w:rPr>
          <w:color w:val="000000"/>
          <w:szCs w:val="22"/>
        </w:rPr>
        <w:t xml:space="preserve"> </w:t>
      </w:r>
      <w:r w:rsidRPr="00370E70">
        <w:rPr>
          <w:i/>
          <w:color w:val="000000"/>
          <w:szCs w:val="22"/>
        </w:rPr>
        <w:t>Cymodocea</w:t>
      </w:r>
      <w:r w:rsidRPr="00370E70">
        <w:rPr>
          <w:color w:val="000000"/>
          <w:szCs w:val="22"/>
        </w:rPr>
        <w:t xml:space="preserve"> plants are present across the sites, no seeds have been found since monitoring commenced. Total reproductive effort greatly reduced during the </w:t>
      </w:r>
      <w:r w:rsidR="00900CC4" w:rsidRPr="00370E70">
        <w:rPr>
          <w:color w:val="000000"/>
          <w:szCs w:val="22"/>
        </w:rPr>
        <w:t xml:space="preserve">2011 </w:t>
      </w:r>
      <w:r w:rsidRPr="00370E70">
        <w:rPr>
          <w:color w:val="000000"/>
          <w:szCs w:val="22"/>
        </w:rPr>
        <w:t xml:space="preserve">dry season and </w:t>
      </w:r>
      <w:r w:rsidR="00900CC4" w:rsidRPr="00370E70">
        <w:rPr>
          <w:color w:val="000000"/>
          <w:szCs w:val="22"/>
        </w:rPr>
        <w:t xml:space="preserve">has </w:t>
      </w:r>
      <w:r w:rsidRPr="00370E70">
        <w:rPr>
          <w:color w:val="000000"/>
          <w:szCs w:val="22"/>
        </w:rPr>
        <w:t xml:space="preserve">remained low. Low dry season reproductive effort has previously occurred in 2006, which was also coincident with low seagrass abundance.  </w:t>
      </w:r>
    </w:p>
    <w:p w:rsidR="005132EF" w:rsidRPr="00370E70" w:rsidRDefault="007B15AB" w:rsidP="003C08EF">
      <w:pPr>
        <w:keepNext/>
        <w:autoSpaceDE w:val="0"/>
        <w:autoSpaceDN w:val="0"/>
        <w:adjustRightInd w:val="0"/>
        <w:spacing w:after="0"/>
        <w:jc w:val="center"/>
        <w:rPr>
          <w:noProof/>
          <w:lang w:eastAsia="en-AU"/>
        </w:rPr>
      </w:pPr>
      <w:r>
        <w:rPr>
          <w:noProof/>
          <w:lang w:eastAsia="en-AU"/>
        </w:rPr>
        <w:drawing>
          <wp:inline distT="0" distB="0" distL="0" distR="0">
            <wp:extent cx="5486400" cy="2163445"/>
            <wp:effectExtent l="0" t="0" r="0" b="0"/>
            <wp:docPr id="44" name="Picture 52" descr="Figure of the long-term trend of Archer Point seed bank and germinated seed abund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igure of the long-term trend of Archer Point seed bank and germinated seed abundance"/>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86400" cy="2163445"/>
                    </a:xfrm>
                    <a:prstGeom prst="rect">
                      <a:avLst/>
                    </a:prstGeom>
                    <a:noFill/>
                    <a:ln>
                      <a:noFill/>
                    </a:ln>
                  </pic:spPr>
                </pic:pic>
              </a:graphicData>
            </a:graphic>
          </wp:inline>
        </w:drawing>
      </w:r>
    </w:p>
    <w:p w:rsidR="003C08EF" w:rsidRPr="00370E70" w:rsidRDefault="003C08EF" w:rsidP="003C08EF">
      <w:pPr>
        <w:keepNext/>
        <w:tabs>
          <w:tab w:val="left" w:pos="2268"/>
        </w:tabs>
        <w:autoSpaceDE w:val="0"/>
        <w:autoSpaceDN w:val="0"/>
        <w:adjustRightInd w:val="0"/>
        <w:spacing w:before="0" w:after="0"/>
        <w:rPr>
          <w:b/>
          <w:sz w:val="20"/>
          <w:szCs w:val="20"/>
        </w:rPr>
      </w:pPr>
      <w:r w:rsidRPr="00370E70">
        <w:rPr>
          <w:b/>
          <w:noProof/>
          <w:sz w:val="20"/>
          <w:szCs w:val="20"/>
          <w:lang w:eastAsia="en-AU"/>
        </w:rPr>
        <w:tab/>
        <w:t>c.</w:t>
      </w:r>
    </w:p>
    <w:p w:rsidR="005132EF" w:rsidRPr="00370E70" w:rsidRDefault="007B15AB" w:rsidP="003C08EF">
      <w:pPr>
        <w:autoSpaceDE w:val="0"/>
        <w:autoSpaceDN w:val="0"/>
        <w:adjustRightInd w:val="0"/>
        <w:spacing w:before="0"/>
        <w:jc w:val="center"/>
        <w:rPr>
          <w:color w:val="000000"/>
          <w:szCs w:val="22"/>
        </w:rPr>
      </w:pPr>
      <w:r>
        <w:rPr>
          <w:noProof/>
          <w:color w:val="000000"/>
          <w:szCs w:val="22"/>
          <w:lang w:eastAsia="en-AU"/>
        </w:rPr>
        <w:drawing>
          <wp:inline distT="0" distB="0" distL="0" distR="0">
            <wp:extent cx="2730500" cy="2279650"/>
            <wp:effectExtent l="0" t="0" r="0" b="0"/>
            <wp:docPr id="45" name="Picture 238" descr="Figure of the long-term trend of Archer Point reproductive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Figure of the long-term trend of Archer Point reproductive effort"/>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730500" cy="2279650"/>
                    </a:xfrm>
                    <a:prstGeom prst="rect">
                      <a:avLst/>
                    </a:prstGeom>
                    <a:noFill/>
                    <a:ln>
                      <a:noFill/>
                    </a:ln>
                  </pic:spPr>
                </pic:pic>
              </a:graphicData>
            </a:graphic>
          </wp:inline>
        </w:drawing>
      </w:r>
    </w:p>
    <w:p w:rsidR="005132EF" w:rsidRPr="00370E70" w:rsidRDefault="005132EF" w:rsidP="00034AD4">
      <w:pPr>
        <w:pStyle w:val="Caption"/>
        <w:rPr>
          <w:i/>
          <w:vanish/>
          <w:color w:val="000000"/>
          <w:szCs w:val="22"/>
          <w:lang w:val="en-AU"/>
          <w:specVanish/>
        </w:rPr>
      </w:pPr>
      <w:bookmarkStart w:id="230" w:name="_Ref271218562"/>
      <w:bookmarkStart w:id="231" w:name="_Toc384196380"/>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33</w:t>
      </w:r>
      <w:r w:rsidRPr="00370E70">
        <w:rPr>
          <w:color w:val="000000"/>
          <w:szCs w:val="22"/>
          <w:lang w:val="en-AU"/>
        </w:rPr>
        <w:fldChar w:fldCharType="end"/>
      </w:r>
      <w:bookmarkEnd w:id="230"/>
      <w:r w:rsidRPr="00370E70">
        <w:rPr>
          <w:rStyle w:val="StyleCaptionCaptionCharCharLatinCalibri11ptBlackChar"/>
          <w:lang w:val="en-AU"/>
        </w:rPr>
        <w:t xml:space="preserve">. </w:t>
      </w:r>
      <w:r w:rsidR="00A60815" w:rsidRPr="00A60815">
        <w:rPr>
          <w:rStyle w:val="StyleCaptionCaptionCharCharLatinCalibri11ptBlackChar"/>
          <w:i/>
          <w:lang w:val="en-AU"/>
        </w:rPr>
        <w:t xml:space="preserve">Inshore </w:t>
      </w:r>
      <w:r w:rsidR="00A60815">
        <w:rPr>
          <w:rStyle w:val="StyleCaptionCaptionCharCharLatinCalibri11ptBlackChar"/>
          <w:i/>
          <w:lang w:val="en-AU"/>
        </w:rPr>
        <w:t xml:space="preserve">intertidal </w:t>
      </w:r>
      <w:r w:rsidR="00A60815" w:rsidRPr="00A60815">
        <w:rPr>
          <w:rStyle w:val="StyleCaptionCaptionCharCharLatinCalibri11ptBlackChar"/>
          <w:i/>
          <w:lang w:val="en-AU"/>
        </w:rPr>
        <w:t>reef habitat</w:t>
      </w:r>
      <w:r w:rsidR="00A60815">
        <w:rPr>
          <w:rStyle w:val="StyleCaptionCaptionCharCharLatinCalibri11ptBlackChar"/>
          <w:lang w:val="en-AU"/>
        </w:rPr>
        <w:t xml:space="preserve"> (</w:t>
      </w:r>
      <w:smartTag w:uri="urn:schemas-microsoft-com:office:smarttags" w:element="place">
        <w:smartTag w:uri="urn:schemas-microsoft-com:office:smarttags" w:element="PlaceName">
          <w:r w:rsidR="00900CC4" w:rsidRPr="00370E70">
            <w:rPr>
              <w:i/>
              <w:color w:val="000000"/>
              <w:szCs w:val="22"/>
              <w:lang w:val="en-AU"/>
            </w:rPr>
            <w:t>Archer</w:t>
          </w:r>
        </w:smartTag>
        <w:r w:rsidR="00900CC4" w:rsidRPr="00370E70">
          <w:rPr>
            <w:i/>
            <w:color w:val="000000"/>
            <w:szCs w:val="22"/>
            <w:lang w:val="en-AU"/>
          </w:rPr>
          <w:t xml:space="preserve"> </w:t>
        </w:r>
        <w:smartTag w:uri="urn:schemas-microsoft-com:office:smarttags" w:element="PlaceName">
          <w:r w:rsidR="00900CC4" w:rsidRPr="00370E70">
            <w:rPr>
              <w:i/>
              <w:color w:val="000000"/>
              <w:szCs w:val="22"/>
              <w:lang w:val="en-AU"/>
            </w:rPr>
            <w:t>Point</w:t>
          </w:r>
        </w:smartTag>
      </w:smartTag>
      <w:r w:rsidR="00A60815">
        <w:rPr>
          <w:i/>
          <w:color w:val="000000"/>
          <w:szCs w:val="22"/>
          <w:lang w:val="en-AU"/>
        </w:rPr>
        <w:t>)</w:t>
      </w:r>
      <w:r w:rsidR="00900CC4" w:rsidRPr="00370E70">
        <w:rPr>
          <w:i/>
          <w:color w:val="000000"/>
          <w:szCs w:val="22"/>
          <w:lang w:val="en-AU"/>
        </w:rPr>
        <w:t xml:space="preserve"> </w:t>
      </w:r>
      <w:r w:rsidRPr="00370E70">
        <w:rPr>
          <w:rStyle w:val="StyleCaptionCaptionCharCharLatinCalibri11ptBlackChar"/>
          <w:lang w:val="en-AU"/>
        </w:rPr>
        <w:t>s</w:t>
      </w:r>
      <w:r w:rsidRPr="00370E70">
        <w:rPr>
          <w:i/>
          <w:color w:val="000000"/>
          <w:szCs w:val="22"/>
          <w:lang w:val="en-AU"/>
        </w:rPr>
        <w:t xml:space="preserve">eed bank (a), germinated seed abundance </w:t>
      </w:r>
      <w:r w:rsidR="00121A05" w:rsidRPr="00370E70">
        <w:rPr>
          <w:i/>
          <w:color w:val="000000"/>
          <w:szCs w:val="22"/>
          <w:lang w:val="en-AU"/>
        </w:rPr>
        <w:t xml:space="preserve">(b) </w:t>
      </w:r>
      <w:r w:rsidRPr="00370E70">
        <w:rPr>
          <w:i/>
          <w:color w:val="000000"/>
          <w:szCs w:val="22"/>
          <w:lang w:val="en-AU"/>
        </w:rPr>
        <w:t>and reproductive effort</w:t>
      </w:r>
      <w:r w:rsidR="00121A05" w:rsidRPr="00370E70">
        <w:rPr>
          <w:i/>
          <w:color w:val="000000"/>
          <w:szCs w:val="22"/>
          <w:lang w:val="en-AU"/>
        </w:rPr>
        <w:t xml:space="preserve"> (c)</w:t>
      </w:r>
      <w:r w:rsidRPr="00370E70">
        <w:rPr>
          <w:i/>
          <w:color w:val="000000"/>
          <w:szCs w:val="22"/>
          <w:lang w:val="en-AU"/>
        </w:rPr>
        <w:t>.</w:t>
      </w:r>
      <w:bookmarkEnd w:id="231"/>
    </w:p>
    <w:p w:rsidR="00A62B1C" w:rsidRPr="00370E70" w:rsidRDefault="00A62B1C" w:rsidP="00A62B1C">
      <w:pPr>
        <w:rPr>
          <w:rFonts w:eastAsia="SimSun"/>
        </w:rPr>
      </w:pPr>
      <w:r w:rsidRPr="00370E70">
        <w:rPr>
          <w:rFonts w:eastAsia="SimSun"/>
        </w:rPr>
        <w:t xml:space="preserve"> S</w:t>
      </w:r>
      <w:r w:rsidRPr="00370E70">
        <w:rPr>
          <w:i/>
          <w:color w:val="000000"/>
          <w:szCs w:val="22"/>
        </w:rPr>
        <w:t xml:space="preserve">eed bank presented as the total number of </w:t>
      </w:r>
      <w:r w:rsidR="00121A05" w:rsidRPr="00370E70">
        <w:rPr>
          <w:i/>
          <w:color w:val="000000"/>
          <w:szCs w:val="22"/>
        </w:rPr>
        <w:t>Halodule uninervis</w:t>
      </w:r>
      <w:r w:rsidR="00121A05" w:rsidRPr="00370E70">
        <w:rPr>
          <w:rStyle w:val="StyleCaptionCaptionCharCharLatinCalibri11ptBlackChar"/>
          <w:lang w:val="en-AU"/>
        </w:rPr>
        <w:t xml:space="preserve"> </w:t>
      </w:r>
      <w:r w:rsidRPr="00370E70">
        <w:rPr>
          <w:i/>
          <w:color w:val="000000"/>
          <w:szCs w:val="22"/>
        </w:rPr>
        <w:t>seeds per m</w:t>
      </w:r>
      <w:r w:rsidRPr="00370E70">
        <w:rPr>
          <w:i/>
          <w:color w:val="000000"/>
          <w:szCs w:val="22"/>
          <w:vertAlign w:val="superscript"/>
        </w:rPr>
        <w:t>2</w:t>
      </w:r>
      <w:r w:rsidRPr="00370E70">
        <w:rPr>
          <w:i/>
          <w:color w:val="000000"/>
          <w:szCs w:val="22"/>
        </w:rPr>
        <w:t xml:space="preserve"> sediment surface and reproductive effort presented as the average number of reproductive structures per core</w:t>
      </w:r>
      <w:r w:rsidR="00121A05" w:rsidRPr="00370E70">
        <w:rPr>
          <w:i/>
          <w:color w:val="000000"/>
          <w:szCs w:val="22"/>
        </w:rPr>
        <w:t xml:space="preserve"> (all species pooled)</w:t>
      </w:r>
      <w:r w:rsidRPr="00370E70">
        <w:rPr>
          <w:i/>
          <w:color w:val="000000"/>
          <w:szCs w:val="22"/>
        </w:rPr>
        <w:t>.</w:t>
      </w:r>
    </w:p>
    <w:p w:rsidR="00900CC4" w:rsidRPr="00370E70" w:rsidRDefault="00900CC4" w:rsidP="00900CC4">
      <w:pPr>
        <w:autoSpaceDE w:val="0"/>
        <w:autoSpaceDN w:val="0"/>
        <w:adjustRightInd w:val="0"/>
        <w:rPr>
          <w:rFonts w:cs="TimesNewRoman,Italic"/>
          <w:iCs/>
          <w:color w:val="000000"/>
          <w:szCs w:val="22"/>
        </w:rPr>
      </w:pPr>
      <w:r w:rsidRPr="00370E70">
        <w:rPr>
          <w:rFonts w:cs="TimesNewRoman,Italic"/>
          <w:iCs/>
          <w:color w:val="000000"/>
          <w:szCs w:val="22"/>
        </w:rPr>
        <w:t xml:space="preserve">The </w:t>
      </w:r>
      <w:smartTag w:uri="urn:schemas-microsoft-com:office:smarttags" w:element="place">
        <w:smartTag w:uri="urn:schemas-microsoft-com:office:smarttags" w:element="PlaceName">
          <w:r w:rsidRPr="00370E70">
            <w:rPr>
              <w:rFonts w:cs="TimesNewRoman,Italic"/>
              <w:iCs/>
              <w:color w:val="000000"/>
              <w:szCs w:val="22"/>
            </w:rPr>
            <w:t>Archer</w:t>
          </w:r>
        </w:smartTag>
        <w:r w:rsidRPr="00370E70">
          <w:rPr>
            <w:rFonts w:cs="TimesNewRoman,Italic"/>
            <w:iCs/>
            <w:color w:val="000000"/>
            <w:szCs w:val="22"/>
          </w:rPr>
          <w:t xml:space="preserve"> </w:t>
        </w:r>
        <w:smartTag w:uri="urn:schemas-microsoft-com:office:smarttags" w:element="PlaceName">
          <w:r w:rsidRPr="00370E70">
            <w:rPr>
              <w:rFonts w:cs="TimesNewRoman,Italic"/>
              <w:iCs/>
              <w:color w:val="000000"/>
              <w:szCs w:val="22"/>
            </w:rPr>
            <w:t>Point</w:t>
          </w:r>
        </w:smartTag>
      </w:smartTag>
      <w:r w:rsidRPr="00370E70">
        <w:rPr>
          <w:rFonts w:cs="TimesNewRoman,Italic"/>
          <w:iCs/>
          <w:color w:val="000000"/>
          <w:szCs w:val="22"/>
        </w:rPr>
        <w:t xml:space="preserve"> sites, although reefal, are also strongly influenced by coastal processes and have experienced perturbations in recent years. The decline in seed bank and reproductive structures indicates a reduced capacity to recover following disturbance.</w:t>
      </w:r>
    </w:p>
    <w:p w:rsidR="005132EF" w:rsidRPr="00370E70" w:rsidRDefault="005132EF" w:rsidP="007E3E28">
      <w:pPr>
        <w:autoSpaceDE w:val="0"/>
        <w:autoSpaceDN w:val="0"/>
        <w:adjustRightInd w:val="0"/>
        <w:rPr>
          <w:rFonts w:cs="TimesNewRoman,Italic"/>
          <w:iCs/>
          <w:color w:val="000000"/>
          <w:szCs w:val="22"/>
        </w:rPr>
      </w:pPr>
      <w:r w:rsidRPr="00370E70">
        <w:rPr>
          <w:rFonts w:cs="TimesNewRoman,Italic"/>
          <w:iCs/>
          <w:color w:val="000000"/>
          <w:szCs w:val="22"/>
        </w:rPr>
        <w:lastRenderedPageBreak/>
        <w:t>The new sites at Piper Reef and Shelburne bay in the far north of the region were sampled for seeds in May 2012. No seeds were found at Piper Reef, however a moderate seed bank (220</w:t>
      </w:r>
      <w:r w:rsidR="00900CC4" w:rsidRPr="00370E70">
        <w:rPr>
          <w:rFonts w:cs="TimesNewRoman,Italic"/>
          <w:iCs/>
          <w:color w:val="000000"/>
          <w:szCs w:val="22"/>
        </w:rPr>
        <w:t> </w:t>
      </w:r>
      <w:r w:rsidRPr="00370E70">
        <w:rPr>
          <w:rFonts w:cs="TimesNewRoman,Italic"/>
          <w:iCs/>
          <w:color w:val="000000"/>
          <w:szCs w:val="22"/>
        </w:rPr>
        <w:t>±62</w:t>
      </w:r>
      <w:r w:rsidRPr="00370E70">
        <w:rPr>
          <w:szCs w:val="22"/>
        </w:rPr>
        <w:t xml:space="preserve"> seeds m</w:t>
      </w:r>
      <w:r w:rsidRPr="00370E70">
        <w:rPr>
          <w:szCs w:val="22"/>
          <w:vertAlign w:val="superscript"/>
        </w:rPr>
        <w:t>-2</w:t>
      </w:r>
      <w:r w:rsidRPr="00370E70">
        <w:rPr>
          <w:szCs w:val="22"/>
        </w:rPr>
        <w:t>) and abundance of germinated seeds (</w:t>
      </w:r>
      <w:r w:rsidRPr="00370E70">
        <w:rPr>
          <w:rFonts w:cs="TimesNewRoman,Italic"/>
          <w:iCs/>
          <w:color w:val="000000"/>
          <w:szCs w:val="22"/>
        </w:rPr>
        <w:t>238</w:t>
      </w:r>
      <w:r w:rsidR="00900CC4" w:rsidRPr="00370E70">
        <w:rPr>
          <w:rFonts w:cs="TimesNewRoman,Italic"/>
          <w:iCs/>
          <w:color w:val="000000"/>
          <w:szCs w:val="22"/>
        </w:rPr>
        <w:t> </w:t>
      </w:r>
      <w:r w:rsidRPr="00370E70">
        <w:rPr>
          <w:rFonts w:cs="TimesNewRoman,Italic"/>
          <w:iCs/>
          <w:color w:val="000000"/>
          <w:szCs w:val="22"/>
        </w:rPr>
        <w:t>±56</w:t>
      </w:r>
      <w:r w:rsidRPr="00370E70">
        <w:rPr>
          <w:szCs w:val="22"/>
        </w:rPr>
        <w:t xml:space="preserve"> m</w:t>
      </w:r>
      <w:r w:rsidRPr="00370E70">
        <w:rPr>
          <w:szCs w:val="22"/>
          <w:vertAlign w:val="superscript"/>
        </w:rPr>
        <w:t>-2</w:t>
      </w:r>
      <w:r w:rsidRPr="00370E70">
        <w:rPr>
          <w:rFonts w:cs="TimesNewRoman,Italic"/>
          <w:iCs/>
          <w:color w:val="000000"/>
          <w:szCs w:val="22"/>
        </w:rPr>
        <w:t xml:space="preserve">) were present in </w:t>
      </w:r>
      <w:smartTag w:uri="urn:schemas-microsoft-com:office:smarttags" w:element="place">
        <w:smartTag w:uri="urn:schemas-microsoft-com:office:smarttags" w:element="PlaceName">
          <w:r w:rsidRPr="00370E70">
            <w:rPr>
              <w:rFonts w:cs="TimesNewRoman,Italic"/>
              <w:iCs/>
              <w:color w:val="000000"/>
              <w:szCs w:val="22"/>
            </w:rPr>
            <w:t>Bathurst</w:t>
          </w:r>
        </w:smartTag>
        <w:r w:rsidRPr="00370E70">
          <w:rPr>
            <w:rFonts w:cs="TimesNewRoman,Italic"/>
            <w:iCs/>
            <w:color w:val="000000"/>
            <w:szCs w:val="22"/>
          </w:rPr>
          <w:t xml:space="preserve"> </w:t>
        </w:r>
        <w:smartTag w:uri="urn:schemas-microsoft-com:office:smarttags" w:element="PlaceType">
          <w:r w:rsidRPr="00370E70">
            <w:rPr>
              <w:rFonts w:cs="TimesNewRoman,Italic"/>
              <w:iCs/>
              <w:color w:val="000000"/>
              <w:szCs w:val="22"/>
            </w:rPr>
            <w:t>Bay</w:t>
          </w:r>
        </w:smartTag>
      </w:smartTag>
      <w:r w:rsidRPr="00370E70">
        <w:rPr>
          <w:rFonts w:cs="TimesNewRoman,Italic"/>
          <w:iCs/>
          <w:color w:val="000000"/>
          <w:szCs w:val="22"/>
        </w:rPr>
        <w:t>.</w:t>
      </w:r>
    </w:p>
    <w:p w:rsidR="005132EF" w:rsidRPr="00370E70" w:rsidRDefault="005132EF" w:rsidP="00034AD4">
      <w:pPr>
        <w:pStyle w:val="Heading3"/>
        <w:rPr>
          <w:color w:val="000000"/>
        </w:rPr>
      </w:pPr>
      <w:bookmarkStart w:id="232" w:name="_Toc184101974"/>
      <w:bookmarkStart w:id="233" w:name="_Toc384196130"/>
      <w:r w:rsidRPr="00370E70">
        <w:rPr>
          <w:color w:val="000000"/>
        </w:rPr>
        <w:t>Status of the seagrass environment</w:t>
      </w:r>
      <w:bookmarkEnd w:id="232"/>
      <w:bookmarkEnd w:id="233"/>
    </w:p>
    <w:p w:rsidR="005132EF" w:rsidRPr="00370E70" w:rsidRDefault="005132EF" w:rsidP="00034AD4">
      <w:pPr>
        <w:pStyle w:val="Heading4"/>
        <w:rPr>
          <w:b/>
          <w:color w:val="000000"/>
        </w:rPr>
      </w:pPr>
      <w:bookmarkStart w:id="234" w:name="_Toc184101975"/>
      <w:r w:rsidRPr="00370E70">
        <w:rPr>
          <w:b/>
          <w:color w:val="000000"/>
        </w:rPr>
        <w:t>Seagrass tissue nutrients</w:t>
      </w:r>
      <w:bookmarkEnd w:id="227"/>
      <w:bookmarkEnd w:id="228"/>
      <w:bookmarkEnd w:id="229"/>
      <w:bookmarkEnd w:id="234"/>
    </w:p>
    <w:p w:rsidR="005132EF" w:rsidRPr="00370E70" w:rsidRDefault="005132EF" w:rsidP="00034AD4">
      <w:pPr>
        <w:autoSpaceDE w:val="0"/>
        <w:autoSpaceDN w:val="0"/>
        <w:adjustRightInd w:val="0"/>
        <w:rPr>
          <w:rFonts w:cs="TimesNewRoman,Italic"/>
          <w:iCs/>
          <w:color w:val="000000"/>
          <w:szCs w:val="22"/>
        </w:rPr>
      </w:pPr>
      <w:r w:rsidRPr="00370E70">
        <w:rPr>
          <w:rFonts w:cs="TimesNewRoman,Italic"/>
          <w:iCs/>
          <w:color w:val="000000"/>
          <w:szCs w:val="22"/>
        </w:rPr>
        <w:t>Foundation seagrass species (</w:t>
      </w:r>
      <w:r w:rsidRPr="00370E70">
        <w:rPr>
          <w:rFonts w:cs="TimesNewRoman,Italic"/>
          <w:i/>
          <w:iCs/>
          <w:color w:val="000000"/>
          <w:szCs w:val="22"/>
        </w:rPr>
        <w:t>Halodule uninervis</w:t>
      </w:r>
      <w:r w:rsidRPr="00370E70">
        <w:rPr>
          <w:rFonts w:cs="TimesNewRoman,Italic"/>
          <w:iCs/>
          <w:color w:val="000000"/>
          <w:szCs w:val="22"/>
        </w:rPr>
        <w:t xml:space="preserve">) at </w:t>
      </w:r>
      <w:smartTag w:uri="urn:schemas-microsoft-com:office:smarttags" w:element="place">
        <w:smartTag w:uri="urn:schemas-microsoft-com:office:smarttags" w:element="PlaceName">
          <w:r w:rsidRPr="00370E70">
            <w:rPr>
              <w:rFonts w:cs="TimesNewRoman,Italic"/>
              <w:iCs/>
              <w:color w:val="000000"/>
              <w:szCs w:val="22"/>
            </w:rPr>
            <w:t>Archer</w:t>
          </w:r>
        </w:smartTag>
        <w:r w:rsidRPr="00370E70">
          <w:rPr>
            <w:rFonts w:cs="TimesNewRoman,Italic"/>
            <w:iCs/>
            <w:color w:val="000000"/>
            <w:szCs w:val="22"/>
          </w:rPr>
          <w:t xml:space="preserve"> </w:t>
        </w:r>
        <w:smartTag w:uri="urn:schemas-microsoft-com:office:smarttags" w:element="PlaceName">
          <w:r w:rsidRPr="00370E70">
            <w:rPr>
              <w:rFonts w:cs="TimesNewRoman,Italic"/>
              <w:iCs/>
              <w:color w:val="000000"/>
              <w:szCs w:val="22"/>
            </w:rPr>
            <w:t>Point</w:t>
          </w:r>
        </w:smartTag>
      </w:smartTag>
      <w:r w:rsidRPr="00370E70">
        <w:rPr>
          <w:rFonts w:cs="TimesNewRoman,Italic"/>
          <w:iCs/>
          <w:color w:val="000000"/>
          <w:szCs w:val="22"/>
        </w:rPr>
        <w:t xml:space="preserve"> in late dry season 2011 had molar C</w:t>
      </w:r>
      <w:proofErr w:type="gramStart"/>
      <w:r w:rsidRPr="00370E70">
        <w:rPr>
          <w:rFonts w:cs="TimesNewRoman,Italic"/>
          <w:iCs/>
          <w:color w:val="000000"/>
          <w:szCs w:val="22"/>
        </w:rPr>
        <w:t>:N</w:t>
      </w:r>
      <w:proofErr w:type="gramEnd"/>
      <w:r w:rsidRPr="00370E70">
        <w:rPr>
          <w:rFonts w:cs="TimesNewRoman,Italic"/>
          <w:iCs/>
          <w:color w:val="000000"/>
          <w:szCs w:val="22"/>
        </w:rPr>
        <w:t xml:space="preserve"> ratios well below 20 (</w:t>
      </w:r>
      <w:r w:rsidRPr="00370E70">
        <w:fldChar w:fldCharType="begin"/>
      </w:r>
      <w:r w:rsidRPr="00370E70">
        <w:instrText xml:space="preserve"> REF _Ref236560189 \h  \* MERGEFORMAT </w:instrText>
      </w:r>
      <w:r w:rsidRPr="00370E70">
        <w:fldChar w:fldCharType="separate"/>
      </w:r>
      <w:r w:rsidR="005B5FD6" w:rsidRPr="005B5FD6">
        <w:rPr>
          <w:szCs w:val="22"/>
        </w:rPr>
        <w:t xml:space="preserve">Figure </w:t>
      </w:r>
      <w:r w:rsidR="005B5FD6" w:rsidRPr="005B5FD6">
        <w:rPr>
          <w:noProof/>
          <w:color w:val="000000"/>
          <w:szCs w:val="22"/>
        </w:rPr>
        <w:t>35</w:t>
      </w:r>
      <w:r w:rsidRPr="00370E70">
        <w:fldChar w:fldCharType="end"/>
      </w:r>
      <w:r w:rsidRPr="00370E70">
        <w:rPr>
          <w:rFonts w:cs="TimesNewRoman,Italic"/>
          <w:iCs/>
          <w:color w:val="000000"/>
          <w:szCs w:val="22"/>
        </w:rPr>
        <w:t xml:space="preserve">). This was the lowest C:N ratio recorded since monitoring was established. </w:t>
      </w:r>
    </w:p>
    <w:p w:rsidR="005132EF" w:rsidRPr="00370E70" w:rsidRDefault="007B15AB" w:rsidP="00034AD4">
      <w:pPr>
        <w:keepNext/>
        <w:autoSpaceDE w:val="0"/>
        <w:autoSpaceDN w:val="0"/>
        <w:adjustRightInd w:val="0"/>
        <w:jc w:val="center"/>
      </w:pPr>
      <w:r>
        <w:rPr>
          <w:noProof/>
          <w:lang w:eastAsia="en-AU"/>
        </w:rPr>
        <w:drawing>
          <wp:inline distT="0" distB="0" distL="0" distR="0">
            <wp:extent cx="2021840" cy="1764665"/>
            <wp:effectExtent l="0" t="0" r="0" b="6985"/>
            <wp:docPr id="46" name="Picture 54" descr="Figure showing long-term trend in elemental ratios (atomic) of seagrass leaf tissue C:N for the foundation species in Cape York region at Archer Point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Figure showing long-term trend in elemental ratios (atomic) of seagrass leaf tissue C:N for the foundation species in Cape York region at Archer Point each year"/>
                    <pic:cNvPicPr>
                      <a:picLocks noChangeAspect="1" noChangeArrowheads="1"/>
                    </pic:cNvPicPr>
                  </pic:nvPicPr>
                  <pic:blipFill>
                    <a:blip r:embed="rId71" cstate="print">
                      <a:extLst>
                        <a:ext uri="{28A0092B-C50C-407E-A947-70E740481C1C}">
                          <a14:useLocalDpi xmlns:a14="http://schemas.microsoft.com/office/drawing/2010/main" val="0"/>
                        </a:ext>
                      </a:extLst>
                    </a:blip>
                    <a:srcRect t="14378" r="7469" b="3627"/>
                    <a:stretch>
                      <a:fillRect/>
                    </a:stretch>
                  </pic:blipFill>
                  <pic:spPr bwMode="auto">
                    <a:xfrm>
                      <a:off x="0" y="0"/>
                      <a:ext cx="2021840" cy="1764665"/>
                    </a:xfrm>
                    <a:prstGeom prst="rect">
                      <a:avLst/>
                    </a:prstGeom>
                    <a:noFill/>
                    <a:ln>
                      <a:noFill/>
                    </a:ln>
                  </pic:spPr>
                </pic:pic>
              </a:graphicData>
            </a:graphic>
          </wp:inline>
        </w:drawing>
      </w:r>
    </w:p>
    <w:p w:rsidR="00A62B1C" w:rsidRPr="00370E70" w:rsidRDefault="005132EF" w:rsidP="00A62B1C">
      <w:pPr>
        <w:pStyle w:val="Caption"/>
        <w:rPr>
          <w:i/>
          <w:iCs/>
          <w:vanish/>
          <w:color w:val="000000"/>
          <w:szCs w:val="22"/>
          <w:lang w:val="en-AU" w:eastAsia="en-AU"/>
          <w:specVanish/>
        </w:rPr>
      </w:pPr>
      <w:bookmarkStart w:id="235" w:name="_Toc38419638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34</w:t>
      </w:r>
      <w:r w:rsidRPr="00370E70">
        <w:rPr>
          <w:lang w:val="en-AU"/>
        </w:rPr>
        <w:fldChar w:fldCharType="end"/>
      </w:r>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00A60815">
        <w:rPr>
          <w:i/>
          <w:lang w:val="en-AU"/>
        </w:rPr>
        <w:t>the foundation species at inshore intertidal reef habitats (</w:t>
      </w:r>
      <w:smartTag w:uri="urn:schemas-microsoft-com:office:smarttags" w:element="PlaceName">
        <w:r w:rsidR="00A60815">
          <w:rPr>
            <w:i/>
            <w:lang w:val="en-AU"/>
          </w:rPr>
          <w:t>Archer</w:t>
        </w:r>
      </w:smartTag>
      <w:r w:rsidR="00A60815">
        <w:rPr>
          <w:i/>
          <w:lang w:val="en-AU"/>
        </w:rPr>
        <w:t xml:space="preserve"> </w:t>
      </w:r>
      <w:smartTag w:uri="urn:schemas-microsoft-com:office:smarttags" w:element="PlaceName">
        <w:r w:rsidR="00A60815">
          <w:rPr>
            <w:i/>
            <w:lang w:val="en-AU"/>
          </w:rPr>
          <w:t>Point</w:t>
        </w:r>
      </w:smartTag>
      <w:r w:rsidR="00A60815">
        <w:rPr>
          <w:i/>
          <w:lang w:val="en-AU"/>
        </w:rPr>
        <w:t xml:space="preserve">) in the </w:t>
      </w:r>
      <w:smartTag w:uri="urn:schemas-microsoft-com:office:smarttags" w:element="place">
        <w:r w:rsidRPr="00370E70">
          <w:rPr>
            <w:i/>
            <w:lang w:val="en-AU"/>
          </w:rPr>
          <w:t>Cape York</w:t>
        </w:r>
      </w:smartTag>
      <w:r w:rsidRPr="00370E70">
        <w:rPr>
          <w:i/>
          <w:lang w:val="en-AU"/>
        </w:rPr>
        <w:t xml:space="preserve"> region </w:t>
      </w:r>
      <w:r w:rsidRPr="00370E70">
        <w:rPr>
          <w:i/>
          <w:lang w:val="en-AU" w:eastAsia="en-AU"/>
        </w:rPr>
        <w:t>each year</w:t>
      </w:r>
      <w:bookmarkEnd w:id="235"/>
    </w:p>
    <w:p w:rsidR="00A62B1C" w:rsidRPr="00370E70" w:rsidRDefault="005132EF" w:rsidP="00A62B1C">
      <w:pPr>
        <w:pStyle w:val="Caption"/>
        <w:rPr>
          <w:i/>
          <w:lang w:val="en-AU" w:eastAsia="en-AU"/>
        </w:rPr>
      </w:pPr>
      <w:r w:rsidRPr="00370E70">
        <w:rPr>
          <w:i/>
          <w:lang w:val="en-AU" w:eastAsia="en-AU"/>
        </w:rPr>
        <w:t xml:space="preserve"> (species pooled) </w:t>
      </w:r>
      <w:r w:rsidRPr="00370E70">
        <w:rPr>
          <w:i/>
          <w:lang w:val="en-AU"/>
        </w:rPr>
        <w:t>(mean and SE displayed)</w:t>
      </w:r>
      <w:r w:rsidRPr="00370E70">
        <w:rPr>
          <w:i/>
          <w:lang w:val="en-AU" w:eastAsia="en-AU"/>
        </w:rPr>
        <w:t xml:space="preserve">. Horizontal shaded band on the C:N ratio panel represents the accepted </w:t>
      </w:r>
      <w:r w:rsidRPr="00370E70">
        <w:rPr>
          <w:i/>
          <w:lang w:val="en-AU"/>
        </w:rPr>
        <w:t xml:space="preserve">guideline </w:t>
      </w:r>
      <w:r w:rsidRPr="00370E70">
        <w:rPr>
          <w:i/>
          <w:lang w:val="en-AU" w:eastAsia="en-AU"/>
        </w:rPr>
        <w:t xml:space="preserve">seagrass “Redfield” ratio </w:t>
      </w:r>
      <w:r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Pr="00370E70">
        <w:rPr>
          <w:i/>
          <w:lang w:val="en-AU" w:eastAsia="en-AU"/>
        </w:rPr>
        <w:t xml:space="preserve">. C:N ratios below this line may </w:t>
      </w:r>
      <w:r w:rsidRPr="00370E70">
        <w:rPr>
          <w:i/>
          <w:lang w:val="en-AU"/>
        </w:rPr>
        <w:t>indicate reduced light availability</w:t>
      </w:r>
      <w:r w:rsidR="00E312F3" w:rsidRPr="00370E70">
        <w:rPr>
          <w:i/>
          <w:lang w:val="en-AU"/>
        </w:rPr>
        <w:t xml:space="preserve"> and/or N enrichment</w:t>
      </w:r>
      <w:r w:rsidRPr="00370E70">
        <w:rPr>
          <w:i/>
          <w:lang w:val="en-AU" w:eastAsia="en-AU"/>
        </w:rPr>
        <w:t>.</w:t>
      </w:r>
      <w:r w:rsidR="00A62B1C" w:rsidRPr="00370E70">
        <w:rPr>
          <w:i/>
          <w:lang w:val="en-AU" w:eastAsia="en-AU"/>
        </w:rPr>
        <w:t xml:space="preserve"> </w:t>
      </w:r>
    </w:p>
    <w:p w:rsidR="005132EF" w:rsidRPr="00370E70" w:rsidRDefault="005132EF" w:rsidP="00EC677D">
      <w:pPr>
        <w:pStyle w:val="BodyText"/>
        <w:spacing w:before="0" w:after="0" w:line="240" w:lineRule="auto"/>
        <w:rPr>
          <w:color w:val="000000"/>
          <w:szCs w:val="22"/>
        </w:rPr>
      </w:pPr>
      <w:r w:rsidRPr="00370E70">
        <w:rPr>
          <w:rFonts w:cs="TimesNewRoman,Italic"/>
          <w:iCs/>
          <w:color w:val="000000"/>
          <w:szCs w:val="22"/>
        </w:rPr>
        <w:t>C</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in 2011 were &lt;500, indicating that the plants (</w:t>
      </w:r>
      <w:r w:rsidRPr="00370E70">
        <w:rPr>
          <w:rFonts w:cs="TimesNewRoman,Italic"/>
          <w:i/>
          <w:iCs/>
          <w:color w:val="000000"/>
          <w:szCs w:val="22"/>
        </w:rPr>
        <w:t>Cymodocea rotundata</w:t>
      </w:r>
      <w:r w:rsidRPr="00370E70">
        <w:rPr>
          <w:rFonts w:cs="TimesNewRoman,Italic"/>
          <w:iCs/>
          <w:color w:val="000000"/>
          <w:szCs w:val="22"/>
        </w:rPr>
        <w:t xml:space="preserve"> and </w:t>
      </w:r>
      <w:r w:rsidRPr="00370E70">
        <w:rPr>
          <w:rFonts w:cs="TimesNewRoman,Italic"/>
          <w:i/>
          <w:iCs/>
          <w:color w:val="000000"/>
          <w:szCs w:val="22"/>
        </w:rPr>
        <w:t>Halodule uninervis</w:t>
      </w:r>
      <w:r w:rsidRPr="00370E70">
        <w:rPr>
          <w:rFonts w:cs="TimesNewRoman,Italic"/>
          <w:iCs/>
          <w:color w:val="000000"/>
          <w:szCs w:val="22"/>
        </w:rPr>
        <w:t xml:space="preserve">) were growing in an environment with a relatively small P pool, suggesting the habitat </w:t>
      </w:r>
      <w:r w:rsidR="00E5035A" w:rsidRPr="00370E70">
        <w:rPr>
          <w:rFonts w:cs="TimesNewRoman,Italic"/>
          <w:iCs/>
          <w:color w:val="000000"/>
          <w:szCs w:val="22"/>
        </w:rPr>
        <w:t>was</w:t>
      </w:r>
      <w:r w:rsidRPr="00370E70">
        <w:rPr>
          <w:rFonts w:cs="TimesNewRoman,Italic"/>
          <w:iCs/>
          <w:color w:val="000000"/>
          <w:szCs w:val="22"/>
        </w:rPr>
        <w:t xml:space="preserve"> nutrient poor (</w:t>
      </w:r>
      <w:r w:rsidRPr="00370E70">
        <w:rPr>
          <w:color w:val="000000"/>
        </w:rPr>
        <w:fldChar w:fldCharType="begin"/>
      </w:r>
      <w:r w:rsidRPr="00370E70">
        <w:rPr>
          <w:color w:val="000000"/>
        </w:rPr>
        <w:instrText xml:space="preserve"> REF _Ref236560189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35</w:t>
      </w:r>
      <w:r w:rsidRPr="00370E70">
        <w:rPr>
          <w:color w:val="000000"/>
        </w:rPr>
        <w:fldChar w:fldCharType="end"/>
      </w:r>
      <w:r w:rsidRPr="00370E70">
        <w:rPr>
          <w:rFonts w:cs="TimesNewRoman,Italic"/>
          <w:iCs/>
          <w:color w:val="000000"/>
          <w:szCs w:val="22"/>
        </w:rPr>
        <w:t xml:space="preserve">). N:P ratios for the foundation species increased slightly since the previous monitoring period, however ratios were all between 25 and 30, indicating the plants </w:t>
      </w:r>
      <w:r w:rsidR="00E5035A" w:rsidRPr="00370E70">
        <w:rPr>
          <w:rFonts w:cs="TimesNewRoman,Italic"/>
          <w:iCs/>
          <w:color w:val="000000"/>
          <w:szCs w:val="22"/>
        </w:rPr>
        <w:t>remained</w:t>
      </w:r>
      <w:r w:rsidRPr="00370E70">
        <w:rPr>
          <w:rFonts w:cs="TimesNewRoman,Italic"/>
          <w:iCs/>
          <w:color w:val="000000"/>
          <w:szCs w:val="22"/>
        </w:rPr>
        <w:t xml:space="preserve"> replete </w:t>
      </w:r>
      <w:r w:rsidR="006B4FAF" w:rsidRPr="00370E70">
        <w:rPr>
          <w:rFonts w:cs="TimesNewRoman,Italic"/>
          <w:iCs/>
          <w:color w:val="000000"/>
          <w:szCs w:val="22"/>
        </w:rPr>
        <w:t xml:space="preserve">(well supplied and balanced macronutrients for growth) </w:t>
      </w:r>
      <w:r w:rsidRPr="00370E70">
        <w:rPr>
          <w:rFonts w:cs="TimesNewRoman,Italic"/>
          <w:iCs/>
          <w:color w:val="000000"/>
          <w:szCs w:val="22"/>
        </w:rPr>
        <w:t>(</w:t>
      </w:r>
      <w:r w:rsidRPr="00370E70">
        <w:rPr>
          <w:color w:val="000000"/>
        </w:rPr>
        <w:fldChar w:fldCharType="begin"/>
      </w:r>
      <w:r w:rsidRPr="00370E70">
        <w:rPr>
          <w:color w:val="000000"/>
        </w:rPr>
        <w:instrText xml:space="preserve"> REF _Ref236560189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35</w:t>
      </w:r>
      <w:r w:rsidRPr="00370E70">
        <w:rPr>
          <w:color w:val="000000"/>
        </w:rPr>
        <w:fldChar w:fldCharType="end"/>
      </w:r>
      <w:r w:rsidRPr="00370E70">
        <w:rPr>
          <w:rFonts w:cs="TimesNewRoman,Italic"/>
          <w:iCs/>
          <w:color w:val="000000"/>
          <w:szCs w:val="22"/>
        </w:rPr>
        <w:t>).</w:t>
      </w:r>
      <w:r w:rsidRPr="00370E70">
        <w:rPr>
          <w:color w:val="000000"/>
          <w:szCs w:val="22"/>
        </w:rPr>
        <w:t xml:space="preserve"> </w:t>
      </w:r>
      <w:r w:rsidR="00021921" w:rsidRPr="00370E70">
        <w:rPr>
          <w:color w:val="000000"/>
          <w:szCs w:val="22"/>
        </w:rPr>
        <w:t>The reduction in both C:N and C:P ratios in 2011 are consistent with reduced light being available for photosynthesis, but could also have been caused by an increase in nutrients from the catchment providing elevated N and P. In contrast, the changes in ratio observed in in 2008, suggest that there was an increase in the availability of P, with a smaller increase in N availability as the N:P and C:P ratios declined to a greater extent than the C:N ratio.</w:t>
      </w:r>
    </w:p>
    <w:p w:rsidR="005132EF" w:rsidRPr="00370E70" w:rsidRDefault="007B15AB" w:rsidP="00034AD4">
      <w:pPr>
        <w:keepNext/>
        <w:jc w:val="center"/>
      </w:pPr>
      <w:r>
        <w:rPr>
          <w:noProof/>
          <w:lang w:eastAsia="en-AU"/>
        </w:rPr>
        <w:drawing>
          <wp:inline distT="0" distB="0" distL="0" distR="0">
            <wp:extent cx="4327525" cy="1764665"/>
            <wp:effectExtent l="0" t="0" r="0" b="6985"/>
            <wp:docPr id="47" name="Picture 55" descr="Figure showing long-term trend in elemental ratios (atomic) of seagrass leaf tissue N:P and C:P for the foundation species in Cape York region at Archer Point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Figure showing long-term trend in elemental ratios (atomic) of seagrass leaf tissue N:P and C:P for the foundation species in Cape York region at Archer Point each year"/>
                    <pic:cNvPicPr>
                      <a:picLocks noChangeAspect="1" noChangeArrowheads="1"/>
                    </pic:cNvPicPr>
                  </pic:nvPicPr>
                  <pic:blipFill>
                    <a:blip r:embed="rId72" cstate="print">
                      <a:extLst>
                        <a:ext uri="{28A0092B-C50C-407E-A947-70E740481C1C}">
                          <a14:useLocalDpi xmlns:a14="http://schemas.microsoft.com/office/drawing/2010/main" val="0"/>
                        </a:ext>
                      </a:extLst>
                    </a:blip>
                    <a:srcRect t="14018" r="3566" b="13786"/>
                    <a:stretch>
                      <a:fillRect/>
                    </a:stretch>
                  </pic:blipFill>
                  <pic:spPr bwMode="auto">
                    <a:xfrm>
                      <a:off x="0" y="0"/>
                      <a:ext cx="4327525" cy="1764665"/>
                    </a:xfrm>
                    <a:prstGeom prst="rect">
                      <a:avLst/>
                    </a:prstGeom>
                    <a:noFill/>
                    <a:ln>
                      <a:noFill/>
                    </a:ln>
                  </pic:spPr>
                </pic:pic>
              </a:graphicData>
            </a:graphic>
          </wp:inline>
        </w:drawing>
      </w:r>
    </w:p>
    <w:p w:rsidR="00A62B1C" w:rsidRPr="00370E70" w:rsidRDefault="005132EF" w:rsidP="00A62B1C">
      <w:pPr>
        <w:pStyle w:val="Caption"/>
        <w:rPr>
          <w:i/>
          <w:iCs/>
          <w:vanish/>
          <w:color w:val="000000"/>
          <w:szCs w:val="22"/>
          <w:lang w:val="en-AU" w:eastAsia="en-AU"/>
          <w:specVanish/>
        </w:rPr>
      </w:pPr>
      <w:bookmarkStart w:id="236" w:name="_Ref236560189"/>
      <w:bookmarkStart w:id="237" w:name="_Toc38419638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35</w:t>
      </w:r>
      <w:r w:rsidRPr="00370E70">
        <w:rPr>
          <w:lang w:val="en-AU"/>
        </w:rPr>
        <w:fldChar w:fldCharType="end"/>
      </w:r>
      <w:bookmarkEnd w:id="236"/>
      <w:r w:rsidRPr="00370E70">
        <w:rPr>
          <w:rStyle w:val="StyleCaptionCaptionCharCharLatinCalibri11ptBlackChar"/>
          <w:lang w:val="en-AU"/>
        </w:rPr>
        <w:t xml:space="preserve">. </w:t>
      </w:r>
      <w:r w:rsidRPr="00370E70">
        <w:rPr>
          <w:i/>
          <w:lang w:val="en-AU" w:eastAsia="en-AU"/>
        </w:rPr>
        <w:t xml:space="preserve">Elemental ratios (atomic) of seagrass leaf tissue N:P and C:P </w:t>
      </w:r>
      <w:r w:rsidRPr="00370E70">
        <w:rPr>
          <w:i/>
          <w:lang w:val="en-AU"/>
        </w:rPr>
        <w:t xml:space="preserve">for the </w:t>
      </w:r>
      <w:r w:rsidR="00A60815">
        <w:rPr>
          <w:i/>
          <w:lang w:val="en-AU"/>
        </w:rPr>
        <w:t>foundation species at inshore intertidal reef habitats (</w:t>
      </w:r>
      <w:smartTag w:uri="urn:schemas-microsoft-com:office:smarttags" w:element="PlaceName">
        <w:r w:rsidR="00A60815">
          <w:rPr>
            <w:i/>
            <w:lang w:val="en-AU"/>
          </w:rPr>
          <w:t>Archer</w:t>
        </w:r>
      </w:smartTag>
      <w:r w:rsidR="00A60815">
        <w:rPr>
          <w:i/>
          <w:lang w:val="en-AU"/>
        </w:rPr>
        <w:t xml:space="preserve"> </w:t>
      </w:r>
      <w:smartTag w:uri="urn:schemas-microsoft-com:office:smarttags" w:element="PlaceName">
        <w:r w:rsidR="00A60815">
          <w:rPr>
            <w:i/>
            <w:lang w:val="en-AU"/>
          </w:rPr>
          <w:t>Point</w:t>
        </w:r>
      </w:smartTag>
      <w:r w:rsidR="00A60815">
        <w:rPr>
          <w:i/>
          <w:lang w:val="en-AU"/>
        </w:rPr>
        <w:t xml:space="preserve">) in the </w:t>
      </w:r>
      <w:smartTag w:uri="urn:schemas-microsoft-com:office:smarttags" w:element="place">
        <w:r w:rsidR="00A60815" w:rsidRPr="00370E70">
          <w:rPr>
            <w:i/>
            <w:lang w:val="en-AU"/>
          </w:rPr>
          <w:t>Cape York</w:t>
        </w:r>
      </w:smartTag>
      <w:r w:rsidR="00A60815" w:rsidRPr="00370E70">
        <w:rPr>
          <w:i/>
          <w:lang w:val="en-AU"/>
        </w:rPr>
        <w:t xml:space="preserve"> region</w:t>
      </w:r>
      <w:r w:rsidRPr="00370E70">
        <w:rPr>
          <w:i/>
          <w:lang w:val="en-AU" w:eastAsia="en-AU"/>
        </w:rPr>
        <w:t xml:space="preserve"> each year</w:t>
      </w:r>
      <w:bookmarkEnd w:id="237"/>
    </w:p>
    <w:p w:rsidR="00A62B1C" w:rsidRPr="00370E70" w:rsidRDefault="005132EF" w:rsidP="00A62B1C">
      <w:pPr>
        <w:pStyle w:val="Caption"/>
        <w:rPr>
          <w:i/>
          <w:lang w:val="en-AU" w:eastAsia="en-AU"/>
        </w:rPr>
      </w:pPr>
      <w:r w:rsidRPr="00370E70">
        <w:rPr>
          <w:i/>
          <w:lang w:val="en-AU" w:eastAsia="en-AU"/>
        </w:rPr>
        <w:t xml:space="preserve"> (species pooled) (</w:t>
      </w:r>
      <w:r w:rsidRPr="00370E70">
        <w:rPr>
          <w:i/>
          <w:lang w:val="en-AU"/>
        </w:rPr>
        <w:t>mean</w:t>
      </w:r>
      <w:r w:rsidRPr="00370E70">
        <w:rPr>
          <w:i/>
          <w:lang w:val="en-AU" w:eastAsia="en-AU"/>
        </w:rPr>
        <w:t xml:space="preserve"> ± Standard Error). Horizontal shaded band on the N:P ratio panel represents the range of </w:t>
      </w:r>
      <w:r w:rsidRPr="00370E70">
        <w:rPr>
          <w:i/>
          <w:lang w:val="en-AU" w:eastAsia="en-AU"/>
        </w:rPr>
        <w:lastRenderedPageBreak/>
        <w:t xml:space="preserve">value associated with N:P balance ratio in the plant tissues, i.e. a seagrass “Redfield” ratio </w:t>
      </w:r>
      <w:r w:rsidR="00A62B1C" w:rsidRPr="00370E70">
        <w:rPr>
          <w:i/>
          <w:lang w:val="en-AU" w:eastAsia="en-AU"/>
        </w:rPr>
        <w:t>(</w:t>
      </w:r>
      <w:r w:rsidR="00A62B1C" w:rsidRPr="00370E70">
        <w:rPr>
          <w:i/>
          <w:lang w:val="en-AU"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494624" w:rsidRPr="00370E70">
        <w:rPr>
          <w:i/>
          <w:lang w:val="en-AU" w:eastAsia="en-AU"/>
        </w:rPr>
        <w:instrText xml:space="preserve"> ADDIN EN.CITE </w:instrText>
      </w:r>
      <w:r w:rsidR="00494624" w:rsidRPr="00370E70">
        <w:rPr>
          <w:i/>
          <w:lang w:val="en-AU"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494624" w:rsidRPr="00370E70">
        <w:rPr>
          <w:i/>
          <w:lang w:val="en-AU" w:eastAsia="en-AU"/>
        </w:rPr>
        <w:instrText xml:space="preserve"> ADDIN EN.CITE.DATA </w:instrText>
      </w:r>
      <w:r w:rsidR="00494624" w:rsidRPr="00370E70">
        <w:rPr>
          <w:i/>
          <w:lang w:val="en-AU" w:eastAsia="en-AU"/>
        </w:rPr>
      </w:r>
      <w:r w:rsidR="00494624" w:rsidRPr="00370E70">
        <w:rPr>
          <w:i/>
          <w:lang w:val="en-AU" w:eastAsia="en-AU"/>
        </w:rPr>
        <w:fldChar w:fldCharType="end"/>
      </w:r>
      <w:r w:rsidR="00A62B1C" w:rsidRPr="00370E70">
        <w:rPr>
          <w:i/>
          <w:lang w:val="en-AU" w:eastAsia="en-AU"/>
        </w:rPr>
      </w:r>
      <w:r w:rsidR="00A62B1C" w:rsidRPr="00370E70">
        <w:rPr>
          <w:i/>
          <w:lang w:val="en-AU" w:eastAsia="en-AU"/>
        </w:rPr>
        <w:fldChar w:fldCharType="separate"/>
      </w:r>
      <w:hyperlink w:anchor="_ENREF_9" w:tooltip="Atkinson, 1983 #6292" w:history="1">
        <w:r w:rsidR="00964A70" w:rsidRPr="00370E70">
          <w:rPr>
            <w:i/>
            <w:noProof/>
            <w:lang w:val="en-AU" w:eastAsia="en-AU"/>
          </w:rPr>
          <w:t>Atkinson and Smith 1983</w:t>
        </w:r>
      </w:hyperlink>
      <w:r w:rsidR="00494624" w:rsidRPr="00370E70">
        <w:rPr>
          <w:i/>
          <w:noProof/>
          <w:lang w:val="en-AU" w:eastAsia="en-AU"/>
        </w:rPr>
        <w:t xml:space="preserve">; </w:t>
      </w:r>
      <w:hyperlink w:anchor="_ENREF_66" w:tooltip="Duarte, 1990 #1954" w:history="1">
        <w:r w:rsidR="00964A70" w:rsidRPr="00370E70">
          <w:rPr>
            <w:i/>
            <w:noProof/>
            <w:lang w:val="en-AU" w:eastAsia="en-AU"/>
          </w:rPr>
          <w:t>Duarte 1990</w:t>
        </w:r>
      </w:hyperlink>
      <w:r w:rsidR="00494624" w:rsidRPr="00370E70">
        <w:rPr>
          <w:i/>
          <w:noProof/>
          <w:lang w:val="en-AU" w:eastAsia="en-AU"/>
        </w:rPr>
        <w:t xml:space="preserve">; </w:t>
      </w:r>
      <w:hyperlink w:anchor="_ENREF_80" w:tooltip="Fourqurean, 1992 #9493" w:history="1">
        <w:r w:rsidR="00964A70" w:rsidRPr="00370E70">
          <w:rPr>
            <w:i/>
            <w:noProof/>
            <w:lang w:val="en-AU" w:eastAsia="en-AU"/>
          </w:rPr>
          <w:t>Fourqurean, et al. 1992b</w:t>
        </w:r>
      </w:hyperlink>
      <w:r w:rsidR="00A62B1C" w:rsidRPr="00370E70">
        <w:rPr>
          <w:i/>
          <w:lang w:val="en-AU" w:eastAsia="en-AU"/>
        </w:rPr>
        <w:fldChar w:fldCharType="end"/>
      </w:r>
      <w:r w:rsidR="00A62B1C" w:rsidRPr="00370E70">
        <w:rPr>
          <w:i/>
          <w:lang w:val="en-AU" w:eastAsia="en-AU"/>
        </w:rPr>
        <w:t xml:space="preserve">; </w:t>
      </w:r>
      <w:hyperlink w:anchor="_ENREF_76" w:tooltip="Fourqurean, 2001 #9492" w:history="1">
        <w:r w:rsidR="00964A70" w:rsidRPr="00370E70">
          <w:rPr>
            <w:i/>
            <w:lang w:val="en-AU" w:eastAsia="en-AU"/>
          </w:rPr>
          <w:fldChar w:fldCharType="begin"/>
        </w:r>
        <w:r w:rsidR="00964A70" w:rsidRPr="00370E70">
          <w:rPr>
            <w:i/>
            <w:lang w:val="en-AU"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964A70" w:rsidRPr="00370E70">
          <w:rPr>
            <w:i/>
            <w:lang w:val="en-AU" w:eastAsia="en-AU"/>
          </w:rPr>
          <w:fldChar w:fldCharType="separate"/>
        </w:r>
        <w:r w:rsidR="00964A70" w:rsidRPr="00370E70">
          <w:rPr>
            <w:i/>
            <w:noProof/>
            <w:lang w:val="en-AU" w:eastAsia="en-AU"/>
          </w:rPr>
          <w:t>Fourqurean and Cai 2001</w:t>
        </w:r>
        <w:r w:rsidR="00964A70" w:rsidRPr="00370E70">
          <w:rPr>
            <w:i/>
            <w:lang w:val="en-AU" w:eastAsia="en-AU"/>
          </w:rPr>
          <w:fldChar w:fldCharType="end"/>
        </w:r>
      </w:hyperlink>
      <w:r w:rsidR="00A62B1C" w:rsidRPr="00370E70">
        <w:rPr>
          <w:i/>
          <w:lang w:val="en-AU" w:eastAsia="en-AU"/>
        </w:rPr>
        <w:t>)</w:t>
      </w:r>
      <w:r w:rsidRPr="00370E70">
        <w:rPr>
          <w:i/>
          <w:lang w:val="en-AU" w:eastAsia="en-AU"/>
        </w:rPr>
        <w:t>. N:P ratio above this band indicates P limitation, below indicates N limitation and within indicates replete</w:t>
      </w:r>
      <w:r w:rsidR="006B4FAF" w:rsidRPr="00370E70">
        <w:rPr>
          <w:i/>
          <w:lang w:val="en-AU" w:eastAsia="en-AU"/>
        </w:rPr>
        <w:t xml:space="preserve"> (balanced)</w:t>
      </w:r>
      <w:r w:rsidRPr="00370E70">
        <w:rPr>
          <w:i/>
          <w:lang w:val="en-AU" w:eastAsia="en-AU"/>
        </w:rPr>
        <w:t>. Shaded portion on the C:P panel ≤500 represents the value associated with C:P balance ratio in the plant tissues, C:P values &lt;500 may indicate nutrient rich habitats (large P pool).</w:t>
      </w:r>
      <w:r w:rsidR="00A62B1C" w:rsidRPr="00370E70">
        <w:rPr>
          <w:i/>
          <w:lang w:val="en-AU" w:eastAsia="en-AU"/>
        </w:rPr>
        <w:t xml:space="preserve"> </w:t>
      </w:r>
    </w:p>
    <w:p w:rsidR="00E5035A" w:rsidRPr="00370E70" w:rsidRDefault="00FF34C9" w:rsidP="00A63DC2">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C values for foundation species at Archer Point during the late dry (growing) season we</w:t>
      </w:r>
      <w:r w:rsidR="00801DBE" w:rsidRPr="00370E70">
        <w:rPr>
          <w:color w:val="000000"/>
          <w:szCs w:val="22"/>
        </w:rPr>
        <w:t>re</w:t>
      </w:r>
      <w:r w:rsidRPr="00370E70">
        <w:rPr>
          <w:color w:val="000000"/>
          <w:szCs w:val="22"/>
        </w:rPr>
        <w:t xml:space="preserve"> all above the global average and within global ranges (</w:t>
      </w:r>
      <w:r w:rsidRPr="00370E70">
        <w:rPr>
          <w:color w:val="000000"/>
          <w:szCs w:val="22"/>
        </w:rPr>
        <w:fldChar w:fldCharType="begin"/>
      </w:r>
      <w:r w:rsidRPr="00370E70">
        <w:rPr>
          <w:color w:val="000000"/>
          <w:szCs w:val="22"/>
        </w:rPr>
        <w:instrText xml:space="preserve"> REF _Ref353029717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17</w:t>
      </w:r>
      <w:r w:rsidRPr="00370E70">
        <w:rPr>
          <w:color w:val="000000"/>
          <w:szCs w:val="22"/>
        </w:rPr>
        <w:fldChar w:fldCharType="end"/>
      </w:r>
      <w:r w:rsidRPr="00370E70">
        <w:rPr>
          <w:color w:val="000000"/>
          <w:szCs w:val="22"/>
        </w:rPr>
        <w:t xml:space="preserve">), suggesting sufficient carbon </w:t>
      </w:r>
      <w:r w:rsidR="002C6536" w:rsidRPr="00370E70">
        <w:rPr>
          <w:color w:val="000000"/>
          <w:szCs w:val="22"/>
        </w:rPr>
        <w:t>available</w:t>
      </w:r>
      <w:r w:rsidRPr="00370E70">
        <w:rPr>
          <w:color w:val="000000"/>
          <w:szCs w:val="22"/>
        </w:rPr>
        <w:t xml:space="preserve"> for growth. </w:t>
      </w:r>
      <w:r w:rsidR="00255CCC" w:rsidRPr="00370E70">
        <w:rPr>
          <w:color w:val="000000"/>
          <w:szCs w:val="22"/>
        </w:rPr>
        <w:t>Similarly, a</w:t>
      </w:r>
      <w:r w:rsidRPr="00370E70">
        <w:rPr>
          <w:color w:val="000000"/>
          <w:szCs w:val="22"/>
        </w:rPr>
        <w:t>s %C in th</w:t>
      </w:r>
      <w:r w:rsidR="004470BE" w:rsidRPr="00370E70">
        <w:rPr>
          <w:color w:val="000000"/>
          <w:szCs w:val="22"/>
        </w:rPr>
        <w:t>e</w:t>
      </w:r>
      <w:r w:rsidRPr="00370E70">
        <w:rPr>
          <w:color w:val="000000"/>
          <w:szCs w:val="22"/>
        </w:rPr>
        <w:t xml:space="preserve"> leaves was also </w:t>
      </w:r>
      <w:r w:rsidR="004470BE" w:rsidRPr="00370E70">
        <w:rPr>
          <w:color w:val="000000"/>
          <w:szCs w:val="22"/>
        </w:rPr>
        <w:t xml:space="preserve">above </w:t>
      </w:r>
      <w:r w:rsidR="00255CCC" w:rsidRPr="00370E70">
        <w:rPr>
          <w:color w:val="000000"/>
          <w:szCs w:val="22"/>
        </w:rPr>
        <w:t xml:space="preserve">the </w:t>
      </w:r>
      <w:r w:rsidR="00797899" w:rsidRPr="00370E70">
        <w:rPr>
          <w:color w:val="000000"/>
          <w:szCs w:val="22"/>
        </w:rPr>
        <w:t xml:space="preserve">literature </w:t>
      </w:r>
      <w:r w:rsidR="00255CCC" w:rsidRPr="00370E70">
        <w:rPr>
          <w:color w:val="000000"/>
          <w:szCs w:val="22"/>
        </w:rPr>
        <w:t xml:space="preserve">median values, suggests </w:t>
      </w:r>
      <w:r w:rsidR="00797899" w:rsidRPr="00370E70">
        <w:rPr>
          <w:color w:val="000000"/>
          <w:szCs w:val="22"/>
        </w:rPr>
        <w:t>adequate</w:t>
      </w:r>
      <w:r w:rsidR="00255CCC" w:rsidRPr="00370E70">
        <w:rPr>
          <w:color w:val="000000"/>
          <w:szCs w:val="22"/>
        </w:rPr>
        <w:t xml:space="preserve"> light available for growth. The low C</w:t>
      </w:r>
      <w:proofErr w:type="gramStart"/>
      <w:r w:rsidR="00255CCC" w:rsidRPr="00370E70">
        <w:rPr>
          <w:color w:val="000000"/>
          <w:szCs w:val="22"/>
        </w:rPr>
        <w:t>:N</w:t>
      </w:r>
      <w:proofErr w:type="gramEnd"/>
      <w:r w:rsidR="00255CCC" w:rsidRPr="00370E70">
        <w:rPr>
          <w:color w:val="000000"/>
          <w:szCs w:val="22"/>
        </w:rPr>
        <w:t xml:space="preserve"> ratio is </w:t>
      </w:r>
      <w:r w:rsidR="00797899" w:rsidRPr="00370E70">
        <w:rPr>
          <w:color w:val="000000"/>
          <w:szCs w:val="22"/>
        </w:rPr>
        <w:t>likely</w:t>
      </w:r>
      <w:r w:rsidR="00255CCC" w:rsidRPr="00370E70">
        <w:rPr>
          <w:color w:val="000000"/>
          <w:szCs w:val="22"/>
        </w:rPr>
        <w:t xml:space="preserve"> a consequence of </w:t>
      </w:r>
      <w:r w:rsidR="00797899" w:rsidRPr="00370E70">
        <w:rPr>
          <w:color w:val="000000"/>
          <w:szCs w:val="22"/>
        </w:rPr>
        <w:t xml:space="preserve">the </w:t>
      </w:r>
      <w:r w:rsidR="00255CCC" w:rsidRPr="00370E70">
        <w:rPr>
          <w:color w:val="000000"/>
          <w:szCs w:val="22"/>
        </w:rPr>
        <w:t xml:space="preserve">elevated N, </w:t>
      </w:r>
      <w:r w:rsidR="00797899" w:rsidRPr="00370E70">
        <w:rPr>
          <w:color w:val="000000"/>
          <w:szCs w:val="22"/>
        </w:rPr>
        <w:t xml:space="preserve">where the low </w:t>
      </w:r>
      <w:r w:rsidR="00797899" w:rsidRPr="00370E70">
        <w:rPr>
          <w:color w:val="000000"/>
          <w:sz w:val="18"/>
          <w:szCs w:val="18"/>
        </w:rPr>
        <w:t>δ</w:t>
      </w:r>
      <w:r w:rsidR="00797899" w:rsidRPr="00370E70">
        <w:rPr>
          <w:color w:val="000000"/>
          <w:sz w:val="18"/>
          <w:szCs w:val="18"/>
          <w:vertAlign w:val="superscript"/>
        </w:rPr>
        <w:t>15</w:t>
      </w:r>
      <w:r w:rsidR="00797899" w:rsidRPr="00370E70">
        <w:rPr>
          <w:color w:val="000000"/>
          <w:sz w:val="18"/>
          <w:szCs w:val="18"/>
        </w:rPr>
        <w:t>N</w:t>
      </w:r>
      <w:r w:rsidR="00255CCC" w:rsidRPr="00370E70">
        <w:rPr>
          <w:color w:val="000000"/>
          <w:szCs w:val="22"/>
        </w:rPr>
        <w:t xml:space="preserve"> </w:t>
      </w:r>
      <w:r w:rsidR="00797899" w:rsidRPr="00370E70">
        <w:rPr>
          <w:color w:val="000000"/>
          <w:szCs w:val="22"/>
        </w:rPr>
        <w:t xml:space="preserve">value in the leaf tissue </w:t>
      </w:r>
      <w:r w:rsidR="00255CCC" w:rsidRPr="00370E70">
        <w:rPr>
          <w:color w:val="000000"/>
          <w:szCs w:val="22"/>
        </w:rPr>
        <w:t xml:space="preserve">at </w:t>
      </w:r>
      <w:smartTag w:uri="urn:schemas-microsoft-com:office:smarttags" w:element="place">
        <w:smartTag w:uri="urn:schemas-microsoft-com:office:smarttags" w:element="PlaceName">
          <w:r w:rsidR="00255CCC" w:rsidRPr="00370E70">
            <w:rPr>
              <w:color w:val="000000"/>
              <w:szCs w:val="22"/>
            </w:rPr>
            <w:t>Archer</w:t>
          </w:r>
        </w:smartTag>
        <w:r w:rsidR="00255CCC" w:rsidRPr="00370E70">
          <w:rPr>
            <w:color w:val="000000"/>
            <w:szCs w:val="22"/>
          </w:rPr>
          <w:t xml:space="preserve"> </w:t>
        </w:r>
        <w:smartTag w:uri="urn:schemas-microsoft-com:office:smarttags" w:element="PlaceName">
          <w:r w:rsidR="00255CCC" w:rsidRPr="00370E70">
            <w:rPr>
              <w:color w:val="000000"/>
              <w:szCs w:val="22"/>
            </w:rPr>
            <w:t>Point</w:t>
          </w:r>
        </w:smartTag>
      </w:smartTag>
      <w:r w:rsidR="00255CCC" w:rsidRPr="00370E70">
        <w:rPr>
          <w:color w:val="000000"/>
          <w:szCs w:val="22"/>
        </w:rPr>
        <w:t xml:space="preserve"> </w:t>
      </w:r>
      <w:r w:rsidR="00797899" w:rsidRPr="00370E70">
        <w:rPr>
          <w:color w:val="000000"/>
          <w:szCs w:val="22"/>
        </w:rPr>
        <w:t>(</w:t>
      </w:r>
      <w:r w:rsidR="00797899" w:rsidRPr="00370E70">
        <w:rPr>
          <w:color w:val="000000"/>
          <w:szCs w:val="22"/>
        </w:rPr>
        <w:fldChar w:fldCharType="begin"/>
      </w:r>
      <w:r w:rsidR="00797899" w:rsidRPr="00370E70">
        <w:rPr>
          <w:color w:val="000000"/>
          <w:szCs w:val="22"/>
        </w:rPr>
        <w:instrText xml:space="preserve"> REF _Ref353029717 \h </w:instrText>
      </w:r>
      <w:r w:rsidR="00797899" w:rsidRPr="00370E70">
        <w:rPr>
          <w:color w:val="000000"/>
          <w:szCs w:val="22"/>
        </w:rPr>
      </w:r>
      <w:r w:rsidR="00797899"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17</w:t>
      </w:r>
      <w:r w:rsidR="00797899" w:rsidRPr="00370E70">
        <w:rPr>
          <w:color w:val="000000"/>
          <w:szCs w:val="22"/>
        </w:rPr>
        <w:fldChar w:fldCharType="end"/>
      </w:r>
      <w:r w:rsidR="00797899" w:rsidRPr="00370E70">
        <w:rPr>
          <w:color w:val="000000"/>
          <w:szCs w:val="22"/>
        </w:rPr>
        <w:t>) suggests that their primary source of N was either from N</w:t>
      </w:r>
      <w:r w:rsidR="00797899" w:rsidRPr="00370E70">
        <w:rPr>
          <w:color w:val="000000"/>
          <w:szCs w:val="22"/>
          <w:vertAlign w:val="subscript"/>
        </w:rPr>
        <w:t>2</w:t>
      </w:r>
      <w:r w:rsidR="00797899" w:rsidRPr="00370E70">
        <w:rPr>
          <w:color w:val="000000"/>
          <w:szCs w:val="22"/>
        </w:rPr>
        <w:t xml:space="preserve"> fixation or fertiliser.</w:t>
      </w:r>
    </w:p>
    <w:p w:rsidR="00121A05" w:rsidRPr="00370E70" w:rsidRDefault="005132EF" w:rsidP="00121A05">
      <w:pPr>
        <w:pStyle w:val="Caption"/>
        <w:jc w:val="center"/>
        <w:rPr>
          <w:i/>
          <w:vanish/>
          <w:color w:val="000000"/>
          <w:szCs w:val="22"/>
          <w:lang w:val="en-AU"/>
          <w:specVanish/>
        </w:rPr>
      </w:pPr>
      <w:bookmarkStart w:id="238" w:name="_Ref353029717"/>
      <w:bookmarkStart w:id="239" w:name="_Toc384196553"/>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17</w:t>
      </w:r>
      <w:r w:rsidRPr="00370E70">
        <w:rPr>
          <w:lang w:val="en-AU"/>
        </w:rPr>
        <w:fldChar w:fldCharType="end"/>
      </w:r>
      <w:bookmarkEnd w:id="238"/>
      <w:r w:rsidRPr="00370E70">
        <w:rPr>
          <w:rStyle w:val="StyleCaptionCaptionCharCharLatinCalibri11ptBlackChar"/>
          <w:lang w:val="en-AU"/>
        </w:rPr>
        <w:t xml:space="preserve">. </w:t>
      </w:r>
      <w:r w:rsidRPr="00370E70">
        <w:rPr>
          <w:i/>
          <w:lang w:val="en-AU"/>
        </w:rPr>
        <w:t>Seagrass leaf tissue nutrient, δ</w:t>
      </w:r>
      <w:r w:rsidRPr="00370E70">
        <w:rPr>
          <w:i/>
          <w:vertAlign w:val="superscript"/>
          <w:lang w:val="en-AU"/>
        </w:rPr>
        <w:t>13</w:t>
      </w:r>
      <w:r w:rsidRPr="00370E70">
        <w:rPr>
          <w:i/>
          <w:lang w:val="en-AU"/>
        </w:rPr>
        <w:t>C and δ</w:t>
      </w:r>
      <w:r w:rsidRPr="00370E70">
        <w:rPr>
          <w:i/>
          <w:vertAlign w:val="superscript"/>
          <w:lang w:val="en-AU"/>
        </w:rPr>
        <w:t>15</w:t>
      </w:r>
      <w:r w:rsidRPr="00370E70">
        <w:rPr>
          <w:i/>
          <w:lang w:val="en-AU"/>
        </w:rPr>
        <w:t xml:space="preserve">N concentrations from </w:t>
      </w:r>
      <w:smartTag w:uri="urn:schemas-microsoft-com:office:smarttags" w:element="place">
        <w:r w:rsidRPr="00370E70">
          <w:rPr>
            <w:i/>
            <w:lang w:val="en-AU"/>
          </w:rPr>
          <w:t>Cape York</w:t>
        </w:r>
      </w:smartTag>
      <w:r w:rsidRPr="00370E70">
        <w:rPr>
          <w:i/>
          <w:lang w:val="en-AU"/>
        </w:rPr>
        <w:t xml:space="preserve"> locations in the late dry 2011 and late wet 2012.</w:t>
      </w:r>
      <w:bookmarkEnd w:id="239"/>
      <w:r w:rsidRPr="00370E70">
        <w:rPr>
          <w:i/>
          <w:lang w:val="en-AU"/>
        </w:rPr>
        <w:t xml:space="preserve"> </w:t>
      </w:r>
    </w:p>
    <w:p w:rsidR="00121A05" w:rsidRPr="00370E70" w:rsidRDefault="005132EF" w:rsidP="00121A05">
      <w:pPr>
        <w:pStyle w:val="Caption"/>
        <w:jc w:val="center"/>
        <w:rPr>
          <w:i/>
          <w:lang w:val="en-AU"/>
        </w:rPr>
      </w:pPr>
      <w:r w:rsidRPr="00370E70">
        <w:rPr>
          <w:i/>
          <w:lang w:val="en-AU"/>
        </w:rPr>
        <w:t>Leaf tissues with low %C</w:t>
      </w:r>
      <w:r w:rsidR="001B5CFE" w:rsidRPr="00370E70">
        <w:rPr>
          <w:i/>
          <w:lang w:val="en-AU"/>
        </w:rPr>
        <w:t xml:space="preserve"> (see </w:t>
      </w:r>
      <w:r w:rsidR="001B5CFE" w:rsidRPr="00370E70">
        <w:rPr>
          <w:i/>
          <w:lang w:val="en-AU"/>
        </w:rPr>
        <w:fldChar w:fldCharType="begin"/>
      </w:r>
      <w:r w:rsidR="001B5CFE" w:rsidRPr="00370E70">
        <w:rPr>
          <w:i/>
          <w:lang w:val="en-AU"/>
        </w:rPr>
        <w:instrText xml:space="preserve"> REF _Ref353029075 \h  \* MERGEFORMAT </w:instrText>
      </w:r>
      <w:r w:rsidR="001B5CFE" w:rsidRPr="00370E70">
        <w:rPr>
          <w:i/>
          <w:lang w:val="en-AU"/>
        </w:rPr>
      </w:r>
      <w:r w:rsidR="001B5CFE" w:rsidRPr="00370E70">
        <w:rPr>
          <w:i/>
          <w:lang w:val="en-AU"/>
        </w:rPr>
        <w:fldChar w:fldCharType="separate"/>
      </w:r>
      <w:r w:rsidR="005B5FD6" w:rsidRPr="005B5FD6">
        <w:rPr>
          <w:i/>
        </w:rPr>
        <w:t xml:space="preserve">Table </w:t>
      </w:r>
      <w:r w:rsidR="005B5FD6" w:rsidRPr="005B5FD6">
        <w:rPr>
          <w:i/>
          <w:noProof/>
          <w:lang w:val="en-AU"/>
        </w:rPr>
        <w:t>37</w:t>
      </w:r>
      <w:r w:rsidR="001B5CFE" w:rsidRPr="00370E70">
        <w:rPr>
          <w:i/>
          <w:lang w:val="en-AU"/>
        </w:rPr>
        <w:fldChar w:fldCharType="end"/>
      </w:r>
      <w:r w:rsidR="001B5CFE" w:rsidRPr="00370E70">
        <w:rPr>
          <w:i/>
          <w:lang w:val="en-AU"/>
        </w:rPr>
        <w:t>)</w:t>
      </w:r>
      <w:r w:rsidRPr="00370E70">
        <w:rPr>
          <w:i/>
          <w:lang w:val="en-AU"/>
        </w:rPr>
        <w:t>, low C</w:t>
      </w:r>
      <w:proofErr w:type="gramStart"/>
      <w:r w:rsidRPr="00370E70">
        <w:rPr>
          <w:i/>
          <w:lang w:val="en-AU"/>
        </w:rPr>
        <w:t>:N</w:t>
      </w:r>
      <w:proofErr w:type="gramEnd"/>
      <w:r w:rsidR="001B5CFE" w:rsidRPr="00370E70">
        <w:rPr>
          <w:i/>
          <w:lang w:val="en-AU"/>
        </w:rPr>
        <w:t xml:space="preserve"> (&lt;20:1)</w:t>
      </w:r>
      <w:r w:rsidRPr="00370E70">
        <w:rPr>
          <w:i/>
          <w:lang w:val="en-AU"/>
        </w:rPr>
        <w:t>, and isotopically depleted δ</w:t>
      </w:r>
      <w:r w:rsidRPr="00370E70">
        <w:rPr>
          <w:i/>
          <w:vertAlign w:val="superscript"/>
          <w:lang w:val="en-AU"/>
        </w:rPr>
        <w:t>13</w:t>
      </w:r>
      <w:r w:rsidRPr="00370E70">
        <w:rPr>
          <w:i/>
          <w:lang w:val="en-AU"/>
        </w:rPr>
        <w:t>C may indicate that growth is light limited (G</w:t>
      </w:r>
      <w:r w:rsidR="00FF34C9" w:rsidRPr="00370E70">
        <w:rPr>
          <w:i/>
          <w:lang w:val="en-AU"/>
        </w:rPr>
        <w:t>rice et al. 1996; Fourqurean et </w:t>
      </w:r>
      <w:r w:rsidRPr="00370E70">
        <w:rPr>
          <w:i/>
          <w:lang w:val="en-AU"/>
        </w:rPr>
        <w:t xml:space="preserve">al. 2005). Shading indicates values lower than literature. </w:t>
      </w:r>
      <w:r w:rsidR="00255CCC" w:rsidRPr="00370E70">
        <w:rPr>
          <w:i/>
          <w:lang w:val="en-AU"/>
        </w:rPr>
        <w:t>CR=Cymodocea rotundata, HO=Halophila ovalis, HU=Halodule uninervis, TH=Thalassia hemprichii, Z</w:t>
      </w:r>
      <w:r w:rsidR="00A46CDE" w:rsidRPr="00370E70">
        <w:rPr>
          <w:i/>
          <w:lang w:val="en-AU"/>
        </w:rPr>
        <w:t>M</w:t>
      </w:r>
      <w:r w:rsidR="00255CCC" w:rsidRPr="00370E70">
        <w:rPr>
          <w:i/>
          <w:lang w:val="en-AU"/>
        </w:rPr>
        <w:t xml:space="preserve">=Zostera </w:t>
      </w:r>
      <w:r w:rsidR="00A46CDE" w:rsidRPr="00370E70">
        <w:rPr>
          <w:i/>
          <w:lang w:val="en-AU"/>
        </w:rPr>
        <w:t>muelleri</w:t>
      </w:r>
      <w:r w:rsidR="00255CCC" w:rsidRPr="00370E70">
        <w:rPr>
          <w:i/>
          <w:lang w:val="en-AU"/>
        </w:rPr>
        <w:t>.</w:t>
      </w:r>
      <w:r w:rsidR="00121A05" w:rsidRPr="00370E70">
        <w:rPr>
          <w:i/>
          <w:lang w:val="en-AU"/>
        </w:rPr>
        <w:t xml:space="preserve"> </w:t>
      </w:r>
    </w:p>
    <w:tbl>
      <w:tblPr>
        <w:tblW w:w="9586" w:type="dxa"/>
        <w:jc w:val="center"/>
        <w:tblLook w:val="0000" w:firstRow="0" w:lastRow="0" w:firstColumn="0" w:lastColumn="0" w:noHBand="0" w:noVBand="0"/>
      </w:tblPr>
      <w:tblGrid>
        <w:gridCol w:w="1454"/>
        <w:gridCol w:w="860"/>
        <w:gridCol w:w="780"/>
        <w:gridCol w:w="689"/>
        <w:gridCol w:w="998"/>
        <w:gridCol w:w="852"/>
        <w:gridCol w:w="1328"/>
        <w:gridCol w:w="1722"/>
        <w:gridCol w:w="903"/>
      </w:tblGrid>
      <w:tr w:rsidR="00255CCC" w:rsidRPr="00370E70" w:rsidTr="00255CCC">
        <w:trPr>
          <w:trHeight w:val="288"/>
          <w:jc w:val="center"/>
        </w:trPr>
        <w:tc>
          <w:tcPr>
            <w:tcW w:w="1454" w:type="dxa"/>
            <w:tcBorders>
              <w:top w:val="single" w:sz="4" w:space="0" w:color="auto"/>
              <w:bottom w:val="single" w:sz="4" w:space="0" w:color="auto"/>
            </w:tcBorders>
            <w:noWrap/>
            <w:vAlign w:val="center"/>
          </w:tcPr>
          <w:p w:rsidR="00255CCC" w:rsidRPr="00370E70" w:rsidRDefault="00255CCC" w:rsidP="00AA2C03">
            <w:pPr>
              <w:spacing w:before="0" w:after="0"/>
              <w:rPr>
                <w:b/>
                <w:color w:val="000000"/>
                <w:sz w:val="18"/>
                <w:szCs w:val="18"/>
              </w:rPr>
            </w:pPr>
            <w:r w:rsidRPr="00370E70">
              <w:rPr>
                <w:b/>
                <w:color w:val="000000"/>
                <w:sz w:val="18"/>
                <w:szCs w:val="18"/>
              </w:rPr>
              <w:t>Location</w:t>
            </w:r>
          </w:p>
        </w:tc>
        <w:tc>
          <w:tcPr>
            <w:tcW w:w="860" w:type="dxa"/>
            <w:tcBorders>
              <w:top w:val="single" w:sz="4" w:space="0" w:color="auto"/>
              <w:bottom w:val="single" w:sz="4" w:space="0" w:color="auto"/>
            </w:tcBorders>
            <w:noWrap/>
            <w:vAlign w:val="center"/>
          </w:tcPr>
          <w:p w:rsidR="00255CCC" w:rsidRPr="00370E70" w:rsidRDefault="00255CCC" w:rsidP="00AA2C03">
            <w:pPr>
              <w:spacing w:before="0" w:after="0"/>
              <w:jc w:val="center"/>
              <w:rPr>
                <w:b/>
                <w:color w:val="000000"/>
                <w:sz w:val="18"/>
                <w:szCs w:val="18"/>
              </w:rPr>
            </w:pPr>
            <w:r w:rsidRPr="00370E70">
              <w:rPr>
                <w:b/>
                <w:color w:val="000000"/>
                <w:sz w:val="18"/>
                <w:szCs w:val="18"/>
              </w:rPr>
              <w:t>Species</w:t>
            </w:r>
          </w:p>
        </w:tc>
        <w:tc>
          <w:tcPr>
            <w:tcW w:w="780" w:type="dxa"/>
            <w:tcBorders>
              <w:top w:val="single" w:sz="4" w:space="0" w:color="auto"/>
              <w:bottom w:val="single" w:sz="4" w:space="0" w:color="auto"/>
            </w:tcBorders>
            <w:vAlign w:val="center"/>
          </w:tcPr>
          <w:p w:rsidR="00255CCC" w:rsidRPr="00370E70" w:rsidRDefault="00255CCC" w:rsidP="00AA2C03">
            <w:pPr>
              <w:spacing w:before="0" w:after="0"/>
              <w:jc w:val="center"/>
              <w:rPr>
                <w:b/>
                <w:color w:val="000000"/>
                <w:sz w:val="18"/>
                <w:szCs w:val="18"/>
              </w:rPr>
            </w:pPr>
            <w:r w:rsidRPr="00370E70">
              <w:rPr>
                <w:b/>
                <w:color w:val="000000"/>
                <w:sz w:val="18"/>
                <w:szCs w:val="18"/>
              </w:rPr>
              <w:t>%C</w:t>
            </w:r>
          </w:p>
        </w:tc>
        <w:tc>
          <w:tcPr>
            <w:tcW w:w="689" w:type="dxa"/>
            <w:tcBorders>
              <w:top w:val="single" w:sz="4" w:space="0" w:color="auto"/>
              <w:bottom w:val="single" w:sz="4" w:space="0" w:color="auto"/>
            </w:tcBorders>
            <w:vAlign w:val="center"/>
          </w:tcPr>
          <w:p w:rsidR="00255CCC" w:rsidRPr="00370E70" w:rsidRDefault="00255CCC" w:rsidP="00AA2C03">
            <w:pPr>
              <w:spacing w:before="0" w:after="0"/>
              <w:jc w:val="center"/>
              <w:rPr>
                <w:b/>
                <w:color w:val="000000"/>
                <w:sz w:val="18"/>
                <w:szCs w:val="18"/>
              </w:rPr>
            </w:pPr>
            <w:r w:rsidRPr="00370E70">
              <w:rPr>
                <w:b/>
                <w:color w:val="000000"/>
                <w:sz w:val="18"/>
                <w:szCs w:val="18"/>
              </w:rPr>
              <w:t>C:N</w:t>
            </w:r>
          </w:p>
        </w:tc>
        <w:tc>
          <w:tcPr>
            <w:tcW w:w="998" w:type="dxa"/>
            <w:tcBorders>
              <w:top w:val="single" w:sz="4" w:space="0" w:color="auto"/>
              <w:bottom w:val="single" w:sz="4" w:space="0" w:color="auto"/>
            </w:tcBorders>
            <w:noWrap/>
            <w:vAlign w:val="center"/>
          </w:tcPr>
          <w:p w:rsidR="00255CCC" w:rsidRPr="00370E70" w:rsidRDefault="00255CCC" w:rsidP="00AA2C03">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c>
          <w:tcPr>
            <w:tcW w:w="852" w:type="dxa"/>
            <w:tcBorders>
              <w:top w:val="single" w:sz="4" w:space="0" w:color="auto"/>
              <w:bottom w:val="single" w:sz="4" w:space="0" w:color="auto"/>
            </w:tcBorders>
            <w:vAlign w:val="center"/>
          </w:tcPr>
          <w:p w:rsidR="00255CCC" w:rsidRPr="00370E70" w:rsidRDefault="00255CCC" w:rsidP="00C925DE">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15</w:t>
            </w:r>
            <w:r w:rsidRPr="00370E70">
              <w:rPr>
                <w:b/>
                <w:color w:val="000000"/>
                <w:sz w:val="18"/>
                <w:szCs w:val="18"/>
              </w:rPr>
              <w:t>N</w:t>
            </w:r>
          </w:p>
        </w:tc>
        <w:tc>
          <w:tcPr>
            <w:tcW w:w="1328" w:type="dxa"/>
            <w:tcBorders>
              <w:top w:val="single" w:sz="4" w:space="0" w:color="auto"/>
              <w:bottom w:val="single" w:sz="4" w:space="0" w:color="auto"/>
            </w:tcBorders>
            <w:vAlign w:val="center"/>
          </w:tcPr>
          <w:p w:rsidR="00255CCC" w:rsidRPr="00370E70" w:rsidRDefault="00255CCC" w:rsidP="00C925DE">
            <w:pPr>
              <w:spacing w:before="0" w:after="0"/>
              <w:jc w:val="center"/>
              <w:rPr>
                <w:b/>
                <w:color w:val="000000"/>
                <w:sz w:val="18"/>
                <w:szCs w:val="18"/>
              </w:rPr>
            </w:pPr>
            <w:r w:rsidRPr="00370E70">
              <w:rPr>
                <w:b/>
                <w:color w:val="000000"/>
                <w:sz w:val="18"/>
                <w:szCs w:val="18"/>
              </w:rPr>
              <w:t>%C lit median</w:t>
            </w:r>
          </w:p>
        </w:tc>
        <w:tc>
          <w:tcPr>
            <w:tcW w:w="1722" w:type="dxa"/>
            <w:tcBorders>
              <w:top w:val="single" w:sz="4" w:space="0" w:color="auto"/>
              <w:bottom w:val="single" w:sz="4" w:space="0" w:color="auto"/>
            </w:tcBorders>
            <w:noWrap/>
            <w:vAlign w:val="center"/>
          </w:tcPr>
          <w:p w:rsidR="00255CCC" w:rsidRPr="00370E70" w:rsidRDefault="00255CCC" w:rsidP="00AA2C03">
            <w:pPr>
              <w:spacing w:before="0" w:after="0"/>
              <w:jc w:val="center"/>
              <w:rPr>
                <w:b/>
                <w:color w:val="000000"/>
                <w:sz w:val="18"/>
                <w:szCs w:val="18"/>
              </w:rPr>
            </w:pPr>
            <w:r w:rsidRPr="00370E70">
              <w:rPr>
                <w:b/>
                <w:color w:val="000000"/>
                <w:sz w:val="18"/>
                <w:szCs w:val="18"/>
              </w:rPr>
              <w:t>Global average</w:t>
            </w:r>
          </w:p>
        </w:tc>
        <w:tc>
          <w:tcPr>
            <w:tcW w:w="903" w:type="dxa"/>
            <w:tcBorders>
              <w:top w:val="single" w:sz="4" w:space="0" w:color="auto"/>
              <w:bottom w:val="single" w:sz="4" w:space="0" w:color="auto"/>
            </w:tcBorders>
            <w:noWrap/>
            <w:vAlign w:val="center"/>
          </w:tcPr>
          <w:p w:rsidR="00255CCC" w:rsidRPr="00370E70" w:rsidRDefault="00255CCC" w:rsidP="00AA2C03">
            <w:pPr>
              <w:spacing w:before="0" w:after="0"/>
              <w:jc w:val="center"/>
              <w:rPr>
                <w:b/>
                <w:color w:val="000000"/>
                <w:sz w:val="18"/>
                <w:szCs w:val="18"/>
              </w:rPr>
            </w:pPr>
            <w:r w:rsidRPr="00370E70">
              <w:rPr>
                <w:b/>
                <w:color w:val="000000"/>
                <w:sz w:val="18"/>
                <w:szCs w:val="18"/>
              </w:rPr>
              <w:t>season</w:t>
            </w:r>
          </w:p>
        </w:tc>
      </w:tr>
      <w:tr w:rsidR="00255CCC" w:rsidRPr="00370E70" w:rsidTr="00255CCC">
        <w:trPr>
          <w:trHeight w:val="276"/>
          <w:jc w:val="center"/>
        </w:trPr>
        <w:tc>
          <w:tcPr>
            <w:tcW w:w="1454" w:type="dxa"/>
            <w:tcBorders>
              <w:top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Archer</w:t>
                </w:r>
              </w:smartTag>
              <w:r w:rsidRPr="00370E70">
                <w:rPr>
                  <w:color w:val="000000"/>
                  <w:sz w:val="18"/>
                  <w:szCs w:val="18"/>
                </w:rPr>
                <w:t xml:space="preserve"> </w:t>
              </w:r>
              <w:smartTag w:uri="urn:schemas-microsoft-com:office:smarttags" w:element="PlaceName">
                <w:r w:rsidRPr="00370E70">
                  <w:rPr>
                    <w:color w:val="000000"/>
                    <w:sz w:val="18"/>
                    <w:szCs w:val="18"/>
                  </w:rPr>
                  <w:t>Point</w:t>
                </w:r>
              </w:smartTag>
            </w:smartTag>
          </w:p>
        </w:tc>
        <w:tc>
          <w:tcPr>
            <w:tcW w:w="860"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HU</w:t>
            </w:r>
          </w:p>
        </w:tc>
        <w:tc>
          <w:tcPr>
            <w:tcW w:w="780" w:type="dxa"/>
            <w:tcBorders>
              <w:top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42.475</w:t>
            </w:r>
          </w:p>
        </w:tc>
        <w:tc>
          <w:tcPr>
            <w:tcW w:w="689" w:type="dxa"/>
            <w:tcBorders>
              <w:top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15.50</w:t>
            </w:r>
          </w:p>
        </w:tc>
        <w:tc>
          <w:tcPr>
            <w:tcW w:w="998"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-8.8±0.3</w:t>
            </w:r>
          </w:p>
        </w:tc>
        <w:tc>
          <w:tcPr>
            <w:tcW w:w="852" w:type="dxa"/>
            <w:tcBorders>
              <w:top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0.7±0.3</w:t>
            </w:r>
          </w:p>
        </w:tc>
        <w:tc>
          <w:tcPr>
            <w:tcW w:w="1328" w:type="dxa"/>
            <w:tcBorders>
              <w:top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38.5</w:t>
            </w:r>
          </w:p>
        </w:tc>
        <w:tc>
          <w:tcPr>
            <w:tcW w:w="1722" w:type="dxa"/>
            <w:tcBorders>
              <w:top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-11.2 (-13.0 to -7.8)</w:t>
            </w:r>
          </w:p>
        </w:tc>
        <w:tc>
          <w:tcPr>
            <w:tcW w:w="903"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dry</w:t>
            </w:r>
          </w:p>
        </w:tc>
      </w:tr>
      <w:tr w:rsidR="00255CCC" w:rsidRPr="00370E70" w:rsidTr="00255CCC">
        <w:trPr>
          <w:trHeight w:val="276"/>
          <w:jc w:val="center"/>
        </w:trPr>
        <w:tc>
          <w:tcPr>
            <w:tcW w:w="1454" w:type="dxa"/>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Archer</w:t>
                </w:r>
              </w:smartTag>
              <w:r w:rsidRPr="00370E70">
                <w:rPr>
                  <w:color w:val="000000"/>
                  <w:sz w:val="18"/>
                  <w:szCs w:val="18"/>
                </w:rPr>
                <w:t xml:space="preserve"> </w:t>
              </w:r>
              <w:smartTag w:uri="urn:schemas-microsoft-com:office:smarttags" w:element="PlaceName">
                <w:r w:rsidRPr="00370E70">
                  <w:rPr>
                    <w:color w:val="000000"/>
                    <w:sz w:val="18"/>
                    <w:szCs w:val="18"/>
                  </w:rPr>
                  <w:t>Point</w:t>
                </w:r>
              </w:smartTag>
            </w:smartTag>
          </w:p>
        </w:tc>
        <w:tc>
          <w:tcPr>
            <w:tcW w:w="860" w:type="dxa"/>
            <w:noWrap/>
            <w:vAlign w:val="center"/>
          </w:tcPr>
          <w:p w:rsidR="00255CCC" w:rsidRPr="00370E70" w:rsidRDefault="00A46CDE" w:rsidP="00AA2C03">
            <w:pPr>
              <w:spacing w:before="0" w:after="0"/>
              <w:jc w:val="center"/>
              <w:rPr>
                <w:color w:val="000000"/>
                <w:sz w:val="18"/>
                <w:szCs w:val="18"/>
              </w:rPr>
            </w:pPr>
            <w:r w:rsidRPr="00370E70">
              <w:rPr>
                <w:color w:val="000000"/>
                <w:sz w:val="18"/>
                <w:szCs w:val="18"/>
              </w:rPr>
              <w:t>ZM</w:t>
            </w:r>
          </w:p>
        </w:tc>
        <w:tc>
          <w:tcPr>
            <w:tcW w:w="780" w:type="dxa"/>
            <w:vAlign w:val="center"/>
          </w:tcPr>
          <w:p w:rsidR="00255CCC" w:rsidRPr="00370E70" w:rsidRDefault="00255CCC" w:rsidP="00AA2C03">
            <w:pPr>
              <w:spacing w:before="0" w:after="0"/>
              <w:jc w:val="center"/>
              <w:rPr>
                <w:color w:val="000000"/>
                <w:sz w:val="18"/>
                <w:szCs w:val="18"/>
              </w:rPr>
            </w:pPr>
            <w:r w:rsidRPr="00370E70">
              <w:rPr>
                <w:color w:val="000000"/>
                <w:sz w:val="18"/>
                <w:szCs w:val="18"/>
              </w:rPr>
              <w:t>39.7</w:t>
            </w:r>
          </w:p>
        </w:tc>
        <w:tc>
          <w:tcPr>
            <w:tcW w:w="689" w:type="dxa"/>
            <w:vAlign w:val="center"/>
          </w:tcPr>
          <w:p w:rsidR="00255CCC" w:rsidRPr="00370E70" w:rsidRDefault="00255CCC" w:rsidP="00AA2C03">
            <w:pPr>
              <w:spacing w:before="0" w:after="0"/>
              <w:jc w:val="center"/>
              <w:rPr>
                <w:color w:val="000000"/>
                <w:sz w:val="18"/>
                <w:szCs w:val="18"/>
              </w:rPr>
            </w:pPr>
            <w:r w:rsidRPr="00370E70">
              <w:rPr>
                <w:color w:val="000000"/>
                <w:sz w:val="18"/>
                <w:szCs w:val="18"/>
              </w:rPr>
              <w:t>22.27</w:t>
            </w:r>
          </w:p>
        </w:tc>
        <w:tc>
          <w:tcPr>
            <w:tcW w:w="998"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-9.3</w:t>
            </w:r>
          </w:p>
        </w:tc>
        <w:tc>
          <w:tcPr>
            <w:tcW w:w="852" w:type="dxa"/>
            <w:vAlign w:val="center"/>
          </w:tcPr>
          <w:p w:rsidR="00255CCC" w:rsidRPr="00370E70" w:rsidRDefault="00255CCC" w:rsidP="00C925DE">
            <w:pPr>
              <w:spacing w:before="0" w:after="0"/>
              <w:jc w:val="center"/>
              <w:rPr>
                <w:color w:val="000000"/>
                <w:sz w:val="18"/>
                <w:szCs w:val="18"/>
              </w:rPr>
            </w:pPr>
            <w:r w:rsidRPr="00370E70">
              <w:rPr>
                <w:color w:val="000000"/>
                <w:sz w:val="18"/>
                <w:szCs w:val="18"/>
              </w:rPr>
              <w:t>1.57</w:t>
            </w:r>
          </w:p>
        </w:tc>
        <w:tc>
          <w:tcPr>
            <w:tcW w:w="1328" w:type="dxa"/>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32</w:t>
            </w:r>
          </w:p>
        </w:tc>
        <w:tc>
          <w:tcPr>
            <w:tcW w:w="1722" w:type="dxa"/>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-10.8 (-12.4 to -9.2)</w:t>
            </w:r>
          </w:p>
        </w:tc>
        <w:tc>
          <w:tcPr>
            <w:tcW w:w="903"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dry</w:t>
            </w:r>
          </w:p>
        </w:tc>
      </w:tr>
      <w:tr w:rsidR="00255CCC" w:rsidRPr="00370E70" w:rsidTr="00255CCC">
        <w:trPr>
          <w:trHeight w:val="276"/>
          <w:jc w:val="center"/>
        </w:trPr>
        <w:tc>
          <w:tcPr>
            <w:tcW w:w="1454" w:type="dxa"/>
            <w:tcBorders>
              <w:top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Shelbourne</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60"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HU</w:t>
            </w:r>
          </w:p>
        </w:tc>
        <w:tc>
          <w:tcPr>
            <w:tcW w:w="780" w:type="dxa"/>
            <w:tcBorders>
              <w:top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39.6</w:t>
            </w:r>
          </w:p>
        </w:tc>
        <w:tc>
          <w:tcPr>
            <w:tcW w:w="689" w:type="dxa"/>
            <w:tcBorders>
              <w:top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15.50</w:t>
            </w:r>
          </w:p>
        </w:tc>
        <w:tc>
          <w:tcPr>
            <w:tcW w:w="998" w:type="dxa"/>
            <w:tcBorders>
              <w:top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-14.6</w:t>
            </w:r>
          </w:p>
        </w:tc>
        <w:tc>
          <w:tcPr>
            <w:tcW w:w="852" w:type="dxa"/>
            <w:tcBorders>
              <w:top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-2.9</w:t>
            </w:r>
          </w:p>
        </w:tc>
        <w:tc>
          <w:tcPr>
            <w:tcW w:w="1328" w:type="dxa"/>
            <w:tcBorders>
              <w:top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38.5</w:t>
            </w:r>
          </w:p>
        </w:tc>
        <w:tc>
          <w:tcPr>
            <w:tcW w:w="1722" w:type="dxa"/>
            <w:tcBorders>
              <w:top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-11.2 (-13.0 to -7.8)</w:t>
            </w:r>
          </w:p>
        </w:tc>
        <w:tc>
          <w:tcPr>
            <w:tcW w:w="903"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bottom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Shelbourne</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60"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TH</w:t>
            </w:r>
          </w:p>
        </w:tc>
        <w:tc>
          <w:tcPr>
            <w:tcW w:w="780" w:type="dxa"/>
            <w:tcBorders>
              <w:bottom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36.2</w:t>
            </w:r>
          </w:p>
        </w:tc>
        <w:tc>
          <w:tcPr>
            <w:tcW w:w="689" w:type="dxa"/>
            <w:tcBorders>
              <w:bottom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17.17</w:t>
            </w:r>
          </w:p>
        </w:tc>
        <w:tc>
          <w:tcPr>
            <w:tcW w:w="998" w:type="dxa"/>
            <w:tcBorders>
              <w:bottom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-12.7</w:t>
            </w:r>
          </w:p>
        </w:tc>
        <w:tc>
          <w:tcPr>
            <w:tcW w:w="852" w:type="dxa"/>
            <w:tcBorders>
              <w:bottom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-4.56</w:t>
            </w:r>
          </w:p>
        </w:tc>
        <w:tc>
          <w:tcPr>
            <w:tcW w:w="1328" w:type="dxa"/>
            <w:tcBorders>
              <w:bottom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35.6</w:t>
            </w:r>
          </w:p>
        </w:tc>
        <w:tc>
          <w:tcPr>
            <w:tcW w:w="1722" w:type="dxa"/>
            <w:tcBorders>
              <w:bottom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-6.9 (-8.1 to -5.2)</w:t>
            </w:r>
          </w:p>
        </w:tc>
        <w:tc>
          <w:tcPr>
            <w:tcW w:w="903"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top w:val="single" w:sz="4" w:space="0" w:color="auto"/>
              <w:bottom w:val="single" w:sz="4" w:space="0" w:color="auto"/>
            </w:tcBorders>
            <w:noWrap/>
            <w:vAlign w:val="center"/>
          </w:tcPr>
          <w:p w:rsidR="00255CCC" w:rsidRPr="00370E70" w:rsidRDefault="00255CCC" w:rsidP="00AA2C03">
            <w:pPr>
              <w:spacing w:before="0" w:after="0"/>
              <w:rPr>
                <w:color w:val="000000"/>
                <w:sz w:val="18"/>
                <w:szCs w:val="18"/>
              </w:rPr>
            </w:pPr>
            <w:r w:rsidRPr="00370E70">
              <w:rPr>
                <w:color w:val="000000"/>
                <w:sz w:val="18"/>
                <w:szCs w:val="18"/>
              </w:rPr>
              <w:t>Piper Reef</w:t>
            </w:r>
          </w:p>
        </w:tc>
        <w:tc>
          <w:tcPr>
            <w:tcW w:w="860" w:type="dxa"/>
            <w:tcBorders>
              <w:top w:val="single" w:sz="4" w:space="0" w:color="auto"/>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TH</w:t>
            </w:r>
          </w:p>
        </w:tc>
        <w:tc>
          <w:tcPr>
            <w:tcW w:w="780" w:type="dxa"/>
            <w:tcBorders>
              <w:top w:val="single" w:sz="4" w:space="0" w:color="auto"/>
              <w:bottom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37.35</w:t>
            </w:r>
          </w:p>
        </w:tc>
        <w:tc>
          <w:tcPr>
            <w:tcW w:w="689" w:type="dxa"/>
            <w:tcBorders>
              <w:top w:val="single" w:sz="4" w:space="0" w:color="auto"/>
              <w:bottom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17.50</w:t>
            </w:r>
          </w:p>
        </w:tc>
        <w:tc>
          <w:tcPr>
            <w:tcW w:w="998" w:type="dxa"/>
            <w:tcBorders>
              <w:top w:val="single" w:sz="4" w:space="0" w:color="auto"/>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-6.0±0.1</w:t>
            </w:r>
          </w:p>
        </w:tc>
        <w:tc>
          <w:tcPr>
            <w:tcW w:w="852" w:type="dxa"/>
            <w:tcBorders>
              <w:top w:val="single" w:sz="4" w:space="0" w:color="auto"/>
              <w:bottom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0.1±0.5</w:t>
            </w:r>
          </w:p>
        </w:tc>
        <w:tc>
          <w:tcPr>
            <w:tcW w:w="1328" w:type="dxa"/>
            <w:tcBorders>
              <w:top w:val="single" w:sz="4" w:space="0" w:color="auto"/>
              <w:bottom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35.6</w:t>
            </w:r>
          </w:p>
        </w:tc>
        <w:tc>
          <w:tcPr>
            <w:tcW w:w="1722" w:type="dxa"/>
            <w:tcBorders>
              <w:top w:val="single" w:sz="4" w:space="0" w:color="auto"/>
              <w:bottom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-6.9 (-8.1 to -5.2)</w:t>
            </w:r>
          </w:p>
        </w:tc>
        <w:tc>
          <w:tcPr>
            <w:tcW w:w="903" w:type="dxa"/>
            <w:tcBorders>
              <w:top w:val="single" w:sz="4" w:space="0" w:color="auto"/>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top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Stanley</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60"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CR</w:t>
            </w:r>
          </w:p>
        </w:tc>
        <w:tc>
          <w:tcPr>
            <w:tcW w:w="780" w:type="dxa"/>
            <w:tcBorders>
              <w:top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34.8</w:t>
            </w:r>
          </w:p>
        </w:tc>
        <w:tc>
          <w:tcPr>
            <w:tcW w:w="689" w:type="dxa"/>
            <w:tcBorders>
              <w:top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18.13</w:t>
            </w:r>
          </w:p>
        </w:tc>
        <w:tc>
          <w:tcPr>
            <w:tcW w:w="998" w:type="dxa"/>
            <w:tcBorders>
              <w:top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-9.7</w:t>
            </w:r>
          </w:p>
        </w:tc>
        <w:tc>
          <w:tcPr>
            <w:tcW w:w="852" w:type="dxa"/>
            <w:tcBorders>
              <w:top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-2.52</w:t>
            </w:r>
          </w:p>
        </w:tc>
        <w:tc>
          <w:tcPr>
            <w:tcW w:w="1328" w:type="dxa"/>
            <w:tcBorders>
              <w:top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39</w:t>
            </w:r>
          </w:p>
        </w:tc>
        <w:tc>
          <w:tcPr>
            <w:tcW w:w="1722" w:type="dxa"/>
            <w:tcBorders>
              <w:top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-8.1 (-8.9 to -7.4)</w:t>
            </w:r>
          </w:p>
        </w:tc>
        <w:tc>
          <w:tcPr>
            <w:tcW w:w="903"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88"/>
          <w:jc w:val="center"/>
        </w:trPr>
        <w:tc>
          <w:tcPr>
            <w:tcW w:w="1454" w:type="dxa"/>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Stanley</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60"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HO</w:t>
            </w:r>
          </w:p>
        </w:tc>
        <w:tc>
          <w:tcPr>
            <w:tcW w:w="780" w:type="dxa"/>
            <w:vAlign w:val="center"/>
          </w:tcPr>
          <w:p w:rsidR="00255CCC" w:rsidRPr="00370E70" w:rsidRDefault="00255CCC" w:rsidP="00AA2C03">
            <w:pPr>
              <w:spacing w:before="0" w:after="0"/>
              <w:jc w:val="center"/>
              <w:rPr>
                <w:color w:val="000000"/>
                <w:sz w:val="18"/>
                <w:szCs w:val="18"/>
              </w:rPr>
            </w:pPr>
            <w:r w:rsidRPr="00370E70">
              <w:rPr>
                <w:color w:val="000000"/>
                <w:sz w:val="18"/>
                <w:szCs w:val="18"/>
              </w:rPr>
              <w:t>32.2</w:t>
            </w:r>
          </w:p>
        </w:tc>
        <w:tc>
          <w:tcPr>
            <w:tcW w:w="689" w:type="dxa"/>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15.21</w:t>
            </w:r>
          </w:p>
        </w:tc>
        <w:tc>
          <w:tcPr>
            <w:tcW w:w="998" w:type="dxa"/>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-10</w:t>
            </w:r>
          </w:p>
        </w:tc>
        <w:tc>
          <w:tcPr>
            <w:tcW w:w="852" w:type="dxa"/>
            <w:vAlign w:val="center"/>
          </w:tcPr>
          <w:p w:rsidR="00255CCC" w:rsidRPr="00370E70" w:rsidRDefault="00255CCC" w:rsidP="00C925DE">
            <w:pPr>
              <w:spacing w:before="0" w:after="0"/>
              <w:jc w:val="center"/>
              <w:rPr>
                <w:color w:val="000000"/>
                <w:sz w:val="18"/>
                <w:szCs w:val="18"/>
              </w:rPr>
            </w:pPr>
            <w:r w:rsidRPr="00370E70">
              <w:rPr>
                <w:color w:val="000000"/>
                <w:sz w:val="18"/>
                <w:szCs w:val="18"/>
              </w:rPr>
              <w:t>1.27</w:t>
            </w:r>
          </w:p>
        </w:tc>
        <w:tc>
          <w:tcPr>
            <w:tcW w:w="1328" w:type="dxa"/>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30.5</w:t>
            </w:r>
          </w:p>
        </w:tc>
        <w:tc>
          <w:tcPr>
            <w:tcW w:w="1722" w:type="dxa"/>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-10 (-15.5 to -6.4)</w:t>
            </w:r>
          </w:p>
        </w:tc>
        <w:tc>
          <w:tcPr>
            <w:tcW w:w="903"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bottom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Stanley</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60"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TH</w:t>
            </w:r>
          </w:p>
        </w:tc>
        <w:tc>
          <w:tcPr>
            <w:tcW w:w="780" w:type="dxa"/>
            <w:tcBorders>
              <w:bottom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36.1</w:t>
            </w:r>
          </w:p>
        </w:tc>
        <w:tc>
          <w:tcPr>
            <w:tcW w:w="689" w:type="dxa"/>
            <w:tcBorders>
              <w:bottom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15.15</w:t>
            </w:r>
          </w:p>
        </w:tc>
        <w:tc>
          <w:tcPr>
            <w:tcW w:w="998" w:type="dxa"/>
            <w:tcBorders>
              <w:bottom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-7.9</w:t>
            </w:r>
          </w:p>
        </w:tc>
        <w:tc>
          <w:tcPr>
            <w:tcW w:w="852" w:type="dxa"/>
            <w:tcBorders>
              <w:bottom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-0.14</w:t>
            </w:r>
          </w:p>
        </w:tc>
        <w:tc>
          <w:tcPr>
            <w:tcW w:w="1328" w:type="dxa"/>
            <w:tcBorders>
              <w:bottom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35.6</w:t>
            </w:r>
          </w:p>
        </w:tc>
        <w:tc>
          <w:tcPr>
            <w:tcW w:w="1722" w:type="dxa"/>
            <w:tcBorders>
              <w:bottom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-6.9 (-8.1 to -5.2)</w:t>
            </w:r>
          </w:p>
        </w:tc>
        <w:tc>
          <w:tcPr>
            <w:tcW w:w="903"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top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Bathurst</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60"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HO</w:t>
            </w:r>
          </w:p>
        </w:tc>
        <w:tc>
          <w:tcPr>
            <w:tcW w:w="780" w:type="dxa"/>
            <w:tcBorders>
              <w:top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33.9</w:t>
            </w:r>
          </w:p>
        </w:tc>
        <w:tc>
          <w:tcPr>
            <w:tcW w:w="689" w:type="dxa"/>
            <w:tcBorders>
              <w:top w:val="single" w:sz="4" w:space="0" w:color="auto"/>
            </w:tcBorders>
            <w:vAlign w:val="center"/>
          </w:tcPr>
          <w:p w:rsidR="00255CCC" w:rsidRPr="00370E70" w:rsidRDefault="00255CCC" w:rsidP="00AA2C03">
            <w:pPr>
              <w:spacing w:before="0" w:after="0"/>
              <w:jc w:val="center"/>
              <w:rPr>
                <w:color w:val="000000"/>
                <w:sz w:val="18"/>
                <w:szCs w:val="18"/>
              </w:rPr>
            </w:pPr>
            <w:r w:rsidRPr="00370E70">
              <w:rPr>
                <w:color w:val="000000"/>
                <w:sz w:val="18"/>
                <w:szCs w:val="18"/>
              </w:rPr>
              <w:t>23.40</w:t>
            </w:r>
          </w:p>
        </w:tc>
        <w:tc>
          <w:tcPr>
            <w:tcW w:w="998" w:type="dxa"/>
            <w:tcBorders>
              <w:top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-11.1±</w:t>
            </w:r>
          </w:p>
        </w:tc>
        <w:tc>
          <w:tcPr>
            <w:tcW w:w="852" w:type="dxa"/>
            <w:tcBorders>
              <w:top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1.03</w:t>
            </w:r>
          </w:p>
        </w:tc>
        <w:tc>
          <w:tcPr>
            <w:tcW w:w="1328" w:type="dxa"/>
            <w:tcBorders>
              <w:top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30.5</w:t>
            </w:r>
          </w:p>
        </w:tc>
        <w:tc>
          <w:tcPr>
            <w:tcW w:w="1722" w:type="dxa"/>
            <w:tcBorders>
              <w:top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-10 (-15.5 to -6.4)</w:t>
            </w:r>
          </w:p>
        </w:tc>
        <w:tc>
          <w:tcPr>
            <w:tcW w:w="903" w:type="dxa"/>
            <w:tcBorders>
              <w:top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Bathurst</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60"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HU</w:t>
            </w:r>
          </w:p>
        </w:tc>
        <w:tc>
          <w:tcPr>
            <w:tcW w:w="780" w:type="dxa"/>
            <w:vAlign w:val="center"/>
          </w:tcPr>
          <w:p w:rsidR="00255CCC" w:rsidRPr="00370E70" w:rsidRDefault="00255CCC" w:rsidP="00AA2C03">
            <w:pPr>
              <w:spacing w:before="0" w:after="0"/>
              <w:jc w:val="center"/>
              <w:rPr>
                <w:color w:val="000000"/>
                <w:sz w:val="18"/>
                <w:szCs w:val="18"/>
              </w:rPr>
            </w:pPr>
            <w:r w:rsidRPr="00370E70">
              <w:rPr>
                <w:color w:val="000000"/>
                <w:sz w:val="18"/>
                <w:szCs w:val="18"/>
              </w:rPr>
              <w:t>40.05</w:t>
            </w:r>
          </w:p>
        </w:tc>
        <w:tc>
          <w:tcPr>
            <w:tcW w:w="689" w:type="dxa"/>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18.88</w:t>
            </w:r>
          </w:p>
        </w:tc>
        <w:tc>
          <w:tcPr>
            <w:tcW w:w="998" w:type="dxa"/>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-11.6±0.2</w:t>
            </w:r>
          </w:p>
        </w:tc>
        <w:tc>
          <w:tcPr>
            <w:tcW w:w="852" w:type="dxa"/>
            <w:vAlign w:val="center"/>
          </w:tcPr>
          <w:p w:rsidR="00255CCC" w:rsidRPr="00370E70" w:rsidRDefault="00255CCC" w:rsidP="00C925DE">
            <w:pPr>
              <w:spacing w:before="0" w:after="0"/>
              <w:jc w:val="center"/>
              <w:rPr>
                <w:color w:val="000000"/>
                <w:sz w:val="18"/>
                <w:szCs w:val="18"/>
              </w:rPr>
            </w:pPr>
            <w:r w:rsidRPr="00370E70">
              <w:rPr>
                <w:color w:val="000000"/>
                <w:sz w:val="18"/>
                <w:szCs w:val="18"/>
              </w:rPr>
              <w:t>1.0±0.5</w:t>
            </w:r>
          </w:p>
        </w:tc>
        <w:tc>
          <w:tcPr>
            <w:tcW w:w="1328" w:type="dxa"/>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38.5</w:t>
            </w:r>
          </w:p>
        </w:tc>
        <w:tc>
          <w:tcPr>
            <w:tcW w:w="1722" w:type="dxa"/>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-11.2 (-13.0 to -7.8)</w:t>
            </w:r>
          </w:p>
        </w:tc>
        <w:tc>
          <w:tcPr>
            <w:tcW w:w="903" w:type="dxa"/>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r w:rsidR="00255CCC" w:rsidRPr="00370E70" w:rsidTr="00255CCC">
        <w:trPr>
          <w:trHeight w:val="276"/>
          <w:jc w:val="center"/>
        </w:trPr>
        <w:tc>
          <w:tcPr>
            <w:tcW w:w="1454" w:type="dxa"/>
            <w:tcBorders>
              <w:bottom w:val="single" w:sz="4" w:space="0" w:color="auto"/>
            </w:tcBorders>
            <w:noWrap/>
            <w:vAlign w:val="center"/>
          </w:tcPr>
          <w:p w:rsidR="00255CCC" w:rsidRPr="00370E70" w:rsidRDefault="00255CCC" w:rsidP="00AA2C0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Bathurst</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60"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TH</w:t>
            </w:r>
          </w:p>
        </w:tc>
        <w:tc>
          <w:tcPr>
            <w:tcW w:w="780" w:type="dxa"/>
            <w:tcBorders>
              <w:bottom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34.8</w:t>
            </w:r>
          </w:p>
        </w:tc>
        <w:tc>
          <w:tcPr>
            <w:tcW w:w="689" w:type="dxa"/>
            <w:tcBorders>
              <w:bottom w:val="single" w:sz="4" w:space="0" w:color="auto"/>
            </w:tcBorders>
            <w:shd w:val="clear" w:color="auto" w:fill="E6E6E6"/>
            <w:vAlign w:val="center"/>
          </w:tcPr>
          <w:p w:rsidR="00255CCC" w:rsidRPr="00370E70" w:rsidRDefault="00255CCC" w:rsidP="00AA2C03">
            <w:pPr>
              <w:spacing w:before="0" w:after="0"/>
              <w:jc w:val="center"/>
              <w:rPr>
                <w:color w:val="000000"/>
                <w:sz w:val="18"/>
                <w:szCs w:val="18"/>
              </w:rPr>
            </w:pPr>
            <w:r w:rsidRPr="00370E70">
              <w:rPr>
                <w:color w:val="000000"/>
                <w:sz w:val="18"/>
                <w:szCs w:val="18"/>
              </w:rPr>
              <w:t>18.08</w:t>
            </w:r>
          </w:p>
        </w:tc>
        <w:tc>
          <w:tcPr>
            <w:tcW w:w="998" w:type="dxa"/>
            <w:tcBorders>
              <w:bottom w:val="single" w:sz="4" w:space="0" w:color="auto"/>
            </w:tcBorders>
            <w:shd w:val="clear" w:color="auto" w:fill="E6E6E6"/>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-9.9</w:t>
            </w:r>
          </w:p>
        </w:tc>
        <w:tc>
          <w:tcPr>
            <w:tcW w:w="852" w:type="dxa"/>
            <w:tcBorders>
              <w:bottom w:val="single" w:sz="4" w:space="0" w:color="auto"/>
            </w:tcBorders>
            <w:vAlign w:val="center"/>
          </w:tcPr>
          <w:p w:rsidR="00255CCC" w:rsidRPr="00370E70" w:rsidRDefault="00255CCC" w:rsidP="00C925DE">
            <w:pPr>
              <w:spacing w:before="0" w:after="0"/>
              <w:jc w:val="center"/>
              <w:rPr>
                <w:color w:val="000000"/>
                <w:sz w:val="18"/>
                <w:szCs w:val="18"/>
              </w:rPr>
            </w:pPr>
            <w:r w:rsidRPr="00370E70">
              <w:rPr>
                <w:color w:val="000000"/>
                <w:sz w:val="18"/>
                <w:szCs w:val="18"/>
              </w:rPr>
              <w:t>0.15</w:t>
            </w:r>
          </w:p>
        </w:tc>
        <w:tc>
          <w:tcPr>
            <w:tcW w:w="1328" w:type="dxa"/>
            <w:tcBorders>
              <w:bottom w:val="single" w:sz="4" w:space="0" w:color="auto"/>
            </w:tcBorders>
            <w:vAlign w:val="center"/>
          </w:tcPr>
          <w:p w:rsidR="00255CCC" w:rsidRPr="00370E70" w:rsidRDefault="00255CCC" w:rsidP="00C925DE">
            <w:pPr>
              <w:spacing w:before="0" w:after="0"/>
              <w:jc w:val="center"/>
              <w:rPr>
                <w:i/>
                <w:color w:val="000000"/>
                <w:sz w:val="18"/>
                <w:szCs w:val="18"/>
              </w:rPr>
            </w:pPr>
            <w:r w:rsidRPr="00370E70">
              <w:rPr>
                <w:i/>
                <w:color w:val="000000"/>
                <w:sz w:val="18"/>
                <w:szCs w:val="18"/>
              </w:rPr>
              <w:t>35.6</w:t>
            </w:r>
          </w:p>
        </w:tc>
        <w:tc>
          <w:tcPr>
            <w:tcW w:w="1722" w:type="dxa"/>
            <w:tcBorders>
              <w:bottom w:val="single" w:sz="4" w:space="0" w:color="auto"/>
            </w:tcBorders>
            <w:noWrap/>
            <w:vAlign w:val="center"/>
          </w:tcPr>
          <w:p w:rsidR="00255CCC" w:rsidRPr="00370E70" w:rsidRDefault="00255CCC" w:rsidP="00AA2C03">
            <w:pPr>
              <w:spacing w:before="0" w:after="0"/>
              <w:jc w:val="center"/>
              <w:rPr>
                <w:i/>
                <w:color w:val="000000"/>
                <w:sz w:val="18"/>
                <w:szCs w:val="18"/>
              </w:rPr>
            </w:pPr>
            <w:r w:rsidRPr="00370E70">
              <w:rPr>
                <w:i/>
                <w:color w:val="000000"/>
                <w:sz w:val="18"/>
                <w:szCs w:val="18"/>
              </w:rPr>
              <w:t>-6.9 (-8.1 to -5.2)</w:t>
            </w:r>
          </w:p>
        </w:tc>
        <w:tc>
          <w:tcPr>
            <w:tcW w:w="903" w:type="dxa"/>
            <w:tcBorders>
              <w:bottom w:val="single" w:sz="4" w:space="0" w:color="auto"/>
            </w:tcBorders>
            <w:noWrap/>
            <w:vAlign w:val="center"/>
          </w:tcPr>
          <w:p w:rsidR="00255CCC" w:rsidRPr="00370E70" w:rsidRDefault="00255CCC" w:rsidP="00AA2C03">
            <w:pPr>
              <w:spacing w:before="0" w:after="0"/>
              <w:jc w:val="center"/>
              <w:rPr>
                <w:color w:val="000000"/>
                <w:sz w:val="18"/>
                <w:szCs w:val="18"/>
              </w:rPr>
            </w:pPr>
            <w:r w:rsidRPr="00370E70">
              <w:rPr>
                <w:color w:val="000000"/>
                <w:sz w:val="18"/>
                <w:szCs w:val="18"/>
              </w:rPr>
              <w:t>late wet</w:t>
            </w:r>
          </w:p>
        </w:tc>
      </w:tr>
    </w:tbl>
    <w:p w:rsidR="00797899" w:rsidRPr="00370E70" w:rsidRDefault="00797899" w:rsidP="00797899">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 xml:space="preserve">C values for foundation species were below the global average at most sites in the late wet season. This would be expected, as it may be a consequence of reduced growth during the onset of the senescent season, when light availability is naturally low (from the monsoon) and temperatures are declining. </w:t>
      </w:r>
    </w:p>
    <w:p w:rsidR="005132EF" w:rsidRPr="00370E70" w:rsidRDefault="005132EF" w:rsidP="00034AD4">
      <w:pPr>
        <w:pStyle w:val="Heading4"/>
        <w:rPr>
          <w:b/>
          <w:color w:val="000000"/>
        </w:rPr>
      </w:pPr>
      <w:bookmarkStart w:id="240" w:name="_Toc232845908"/>
      <w:bookmarkStart w:id="241" w:name="_Toc184101976"/>
      <w:r w:rsidRPr="00370E70">
        <w:rPr>
          <w:b/>
          <w:color w:val="000000"/>
        </w:rPr>
        <w:t>Epiphytes and macro-algae</w:t>
      </w:r>
      <w:bookmarkEnd w:id="240"/>
      <w:bookmarkEnd w:id="241"/>
    </w:p>
    <w:p w:rsidR="005132EF" w:rsidRPr="00370E70" w:rsidRDefault="005132EF" w:rsidP="00034AD4">
      <w:pPr>
        <w:rPr>
          <w:color w:val="000000"/>
          <w:szCs w:val="22"/>
        </w:rPr>
      </w:pPr>
      <w:r w:rsidRPr="00370E70">
        <w:rPr>
          <w:color w:val="000000"/>
          <w:szCs w:val="22"/>
        </w:rPr>
        <w:t xml:space="preserve">Epiphyte cover on seagrass leaf blades at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seasonally </w:t>
      </w:r>
      <w:r w:rsidR="002C6536" w:rsidRPr="00370E70">
        <w:rPr>
          <w:color w:val="000000"/>
          <w:szCs w:val="22"/>
        </w:rPr>
        <w:t>decreased</w:t>
      </w:r>
      <w:r w:rsidRPr="00370E70">
        <w:rPr>
          <w:color w:val="000000"/>
          <w:szCs w:val="22"/>
        </w:rPr>
        <w:t xml:space="preserve"> during mid 2011</w:t>
      </w:r>
      <w:r w:rsidR="00021921" w:rsidRPr="00370E70">
        <w:rPr>
          <w:color w:val="000000"/>
          <w:szCs w:val="22"/>
        </w:rPr>
        <w:t xml:space="preserve"> (</w:t>
      </w:r>
      <w:r w:rsidR="00021921" w:rsidRPr="00370E70">
        <w:fldChar w:fldCharType="begin"/>
      </w:r>
      <w:r w:rsidR="00021921" w:rsidRPr="00370E70">
        <w:instrText xml:space="preserve"> REF _Ref211836184 \h  \* MERGEFORMAT </w:instrText>
      </w:r>
      <w:r w:rsidR="00021921" w:rsidRPr="00370E70">
        <w:fldChar w:fldCharType="separate"/>
      </w:r>
      <w:r w:rsidR="005B5FD6" w:rsidRPr="005B5FD6">
        <w:rPr>
          <w:szCs w:val="22"/>
        </w:rPr>
        <w:t xml:space="preserve">Figure </w:t>
      </w:r>
      <w:r w:rsidR="005B5FD6" w:rsidRPr="005B5FD6">
        <w:rPr>
          <w:noProof/>
          <w:color w:val="000000"/>
          <w:szCs w:val="22"/>
        </w:rPr>
        <w:t>36</w:t>
      </w:r>
      <w:r w:rsidR="00021921" w:rsidRPr="00370E70">
        <w:fldChar w:fldCharType="end"/>
      </w:r>
      <w:r w:rsidR="00021921" w:rsidRPr="00370E70">
        <w:rPr>
          <w:color w:val="000000"/>
          <w:szCs w:val="22"/>
        </w:rPr>
        <w:t>). L</w:t>
      </w:r>
      <w:r w:rsidRPr="00370E70">
        <w:rPr>
          <w:color w:val="000000"/>
          <w:szCs w:val="22"/>
        </w:rPr>
        <w:t>ate dry 2011 and late monsoon 2012 abundances were similar to the 2010</w:t>
      </w:r>
      <w:r w:rsidR="00021921" w:rsidRPr="00370E70">
        <w:rPr>
          <w:color w:val="000000"/>
          <w:szCs w:val="22"/>
        </w:rPr>
        <w:t>/</w:t>
      </w:r>
      <w:r w:rsidRPr="00370E70">
        <w:rPr>
          <w:color w:val="000000"/>
          <w:szCs w:val="22"/>
        </w:rPr>
        <w:t>11 monitoring period, remaining above the GBR long-term average for reef habitats (</w:t>
      </w:r>
      <w:r w:rsidRPr="00370E70">
        <w:fldChar w:fldCharType="begin"/>
      </w:r>
      <w:r w:rsidRPr="00370E70">
        <w:instrText xml:space="preserve"> REF _Ref211836184 \h  \* MERGEFORMAT </w:instrText>
      </w:r>
      <w:r w:rsidRPr="00370E70">
        <w:fldChar w:fldCharType="separate"/>
      </w:r>
      <w:r w:rsidR="005B5FD6" w:rsidRPr="005B5FD6">
        <w:rPr>
          <w:szCs w:val="22"/>
        </w:rPr>
        <w:t xml:space="preserve">Figure </w:t>
      </w:r>
      <w:r w:rsidR="005B5FD6" w:rsidRPr="005B5FD6">
        <w:rPr>
          <w:noProof/>
          <w:color w:val="000000"/>
          <w:szCs w:val="22"/>
        </w:rPr>
        <w:t>36</w:t>
      </w:r>
      <w:r w:rsidRPr="00370E70">
        <w:fldChar w:fldCharType="end"/>
      </w:r>
      <w:r w:rsidRPr="00370E70">
        <w:rPr>
          <w:color w:val="000000"/>
          <w:szCs w:val="22"/>
        </w:rPr>
        <w:t xml:space="preserve">). </w:t>
      </w:r>
    </w:p>
    <w:p w:rsidR="005132EF" w:rsidRPr="00370E70" w:rsidRDefault="005132EF" w:rsidP="00034AD4">
      <w:pPr>
        <w:rPr>
          <w:color w:val="000000"/>
          <w:szCs w:val="22"/>
        </w:rPr>
      </w:pPr>
      <w:r w:rsidRPr="00370E70">
        <w:rPr>
          <w:color w:val="000000"/>
          <w:szCs w:val="22"/>
        </w:rPr>
        <w:t>Percentage cover of macro-algae was variable between years, but appears to have declined since 2007. Over the 2011/12 monitoring period, macro-algae cover remained below the GBR long-term average for reef habitats (</w:t>
      </w:r>
      <w:r w:rsidRPr="00370E70">
        <w:fldChar w:fldCharType="begin"/>
      </w:r>
      <w:r w:rsidRPr="00370E70">
        <w:instrText xml:space="preserve"> REF _Ref211836184 \h  \* MERGEFORMAT </w:instrText>
      </w:r>
      <w:r w:rsidRPr="00370E70">
        <w:fldChar w:fldCharType="separate"/>
      </w:r>
      <w:r w:rsidR="005B5FD6" w:rsidRPr="005B5FD6">
        <w:rPr>
          <w:szCs w:val="22"/>
        </w:rPr>
        <w:t xml:space="preserve">Figure </w:t>
      </w:r>
      <w:r w:rsidR="005B5FD6" w:rsidRPr="005B5FD6">
        <w:rPr>
          <w:noProof/>
          <w:color w:val="000000"/>
          <w:szCs w:val="22"/>
        </w:rPr>
        <w:t>36</w:t>
      </w:r>
      <w:r w:rsidRPr="00370E70">
        <w:fldChar w:fldCharType="end"/>
      </w:r>
      <w:r w:rsidRPr="00370E70">
        <w:rPr>
          <w:color w:val="000000"/>
          <w:szCs w:val="22"/>
        </w:rPr>
        <w:t>).</w:t>
      </w:r>
    </w:p>
    <w:p w:rsidR="005132EF" w:rsidRPr="00370E70" w:rsidRDefault="007B15AB" w:rsidP="00912BC2">
      <w:pPr>
        <w:keepNext/>
        <w:rPr>
          <w:szCs w:val="22"/>
        </w:rPr>
      </w:pPr>
      <w:r>
        <w:rPr>
          <w:noProof/>
          <w:lang w:eastAsia="en-AU"/>
        </w:rPr>
        <w:lastRenderedPageBreak/>
        <w:drawing>
          <wp:inline distT="0" distB="0" distL="0" distR="0">
            <wp:extent cx="5434965" cy="2009140"/>
            <wp:effectExtent l="0" t="0" r="0" b="0"/>
            <wp:docPr id="48" name="Picture 57" descr="Figure showing long-term trend in mean abundance (% cover) (± Standard Error) of epiphytes and macro-algae at Archer Point (sites pool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igure showing long-term trend in mean abundance (% cover) (± Standard Error) of epiphytes and macro-algae at Archer Point (sites pooled). "/>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34965" cy="2009140"/>
                    </a:xfrm>
                    <a:prstGeom prst="rect">
                      <a:avLst/>
                    </a:prstGeom>
                    <a:noFill/>
                    <a:ln>
                      <a:noFill/>
                    </a:ln>
                  </pic:spPr>
                </pic:pic>
              </a:graphicData>
            </a:graphic>
          </wp:inline>
        </w:drawing>
      </w:r>
    </w:p>
    <w:p w:rsidR="00191438" w:rsidRPr="00370E70" w:rsidRDefault="005132EF" w:rsidP="00191438">
      <w:pPr>
        <w:pStyle w:val="Caption"/>
        <w:rPr>
          <w:i/>
          <w:vanish/>
          <w:color w:val="000000"/>
          <w:szCs w:val="22"/>
          <w:lang w:val="en-AU"/>
          <w:specVanish/>
        </w:rPr>
      </w:pPr>
      <w:bookmarkStart w:id="242" w:name="_Ref211836184"/>
      <w:bookmarkStart w:id="243" w:name="_Toc384196383"/>
      <w:bookmarkStart w:id="244" w:name="_Toc23284596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36</w:t>
      </w:r>
      <w:r w:rsidRPr="00370E70">
        <w:rPr>
          <w:lang w:val="en-AU"/>
        </w:rPr>
        <w:fldChar w:fldCharType="end"/>
      </w:r>
      <w:bookmarkEnd w:id="242"/>
      <w:r w:rsidRPr="00370E70">
        <w:rPr>
          <w:rStyle w:val="StyleCaptionCaptionCharCharLatinCalibri11ptBlackChar"/>
          <w:lang w:val="en-AU"/>
        </w:rPr>
        <w:t xml:space="preserve">. </w:t>
      </w:r>
      <w:r w:rsidRPr="00370E70">
        <w:rPr>
          <w:i/>
          <w:lang w:val="en-AU"/>
        </w:rPr>
        <w:t xml:space="preserve">Long-term trend in mean abundance (% cover) (± Standard Error) of epiphytes and macro-algae at </w:t>
      </w:r>
      <w:r w:rsidR="00A60815">
        <w:rPr>
          <w:i/>
          <w:lang w:val="en-AU"/>
        </w:rPr>
        <w:t>inshore intertidal reef habitats (</w:t>
      </w:r>
      <w:smartTag w:uri="urn:schemas-microsoft-com:office:smarttags" w:element="PlaceName">
        <w:r w:rsidRPr="00370E70">
          <w:rPr>
            <w:i/>
            <w:lang w:val="en-AU"/>
          </w:rPr>
          <w:t>Archer</w:t>
        </w:r>
      </w:smartTag>
      <w:r w:rsidRPr="00370E70">
        <w:rPr>
          <w:i/>
          <w:lang w:val="en-AU"/>
        </w:rPr>
        <w:t xml:space="preserve"> </w:t>
      </w:r>
      <w:smartTag w:uri="urn:schemas-microsoft-com:office:smarttags" w:element="PlaceName">
        <w:r w:rsidRPr="00370E70">
          <w:rPr>
            <w:i/>
            <w:lang w:val="en-AU"/>
          </w:rPr>
          <w:t>Point</w:t>
        </w:r>
      </w:smartTag>
      <w:r w:rsidR="00A60815">
        <w:rPr>
          <w:i/>
          <w:lang w:val="en-AU"/>
        </w:rPr>
        <w:t xml:space="preserve">, </w:t>
      </w:r>
      <w:r w:rsidRPr="00370E70">
        <w:rPr>
          <w:i/>
          <w:lang w:val="en-AU"/>
        </w:rPr>
        <w:t>sites pooled)</w:t>
      </w:r>
      <w:r w:rsidR="00A60815">
        <w:rPr>
          <w:i/>
          <w:lang w:val="en-AU"/>
        </w:rPr>
        <w:t xml:space="preserve"> in the </w:t>
      </w:r>
      <w:smartTag w:uri="urn:schemas-microsoft-com:office:smarttags" w:element="place">
        <w:r w:rsidR="00A60815">
          <w:rPr>
            <w:i/>
            <w:lang w:val="en-AU"/>
          </w:rPr>
          <w:t>Cape York</w:t>
        </w:r>
      </w:smartTag>
      <w:r w:rsidR="00A60815">
        <w:rPr>
          <w:i/>
          <w:lang w:val="en-AU"/>
        </w:rPr>
        <w:t xml:space="preserve"> region</w:t>
      </w:r>
      <w:r w:rsidRPr="00370E70">
        <w:rPr>
          <w:i/>
          <w:lang w:val="en-AU"/>
        </w:rPr>
        <w:t>.</w:t>
      </w:r>
      <w:bookmarkEnd w:id="243"/>
      <w:r w:rsidRPr="00370E70">
        <w:rPr>
          <w:i/>
          <w:lang w:val="en-AU"/>
        </w:rPr>
        <w:t xml:space="preserve"> </w:t>
      </w:r>
    </w:p>
    <w:p w:rsidR="00191438" w:rsidRPr="00370E70" w:rsidRDefault="005132EF" w:rsidP="00191438">
      <w:pPr>
        <w:pStyle w:val="Caption"/>
        <w:rPr>
          <w:i/>
          <w:lang w:val="en-AU"/>
        </w:rPr>
      </w:pPr>
      <w:r w:rsidRPr="00370E70">
        <w:rPr>
          <w:i/>
          <w:lang w:val="en-AU"/>
        </w:rPr>
        <w:t>Red line = GBR long-term average; epiphytes=25%, macro-algae=3.2%.</w:t>
      </w:r>
      <w:bookmarkEnd w:id="244"/>
      <w:r w:rsidR="00191438" w:rsidRPr="00370E70">
        <w:rPr>
          <w:i/>
          <w:lang w:val="en-AU"/>
        </w:rPr>
        <w:t xml:space="preserve"> </w:t>
      </w:r>
    </w:p>
    <w:p w:rsidR="005132EF" w:rsidRPr="00370E70" w:rsidRDefault="005132EF" w:rsidP="00034AD4">
      <w:pPr>
        <w:pStyle w:val="Heading4"/>
        <w:rPr>
          <w:b/>
          <w:color w:val="000000"/>
        </w:rPr>
      </w:pPr>
      <w:bookmarkStart w:id="245" w:name="_Toc184101977"/>
      <w:r w:rsidRPr="00370E70">
        <w:rPr>
          <w:b/>
          <w:color w:val="000000"/>
        </w:rPr>
        <w:t>Rhizosphere sediment herbicides</w:t>
      </w:r>
      <w:bookmarkEnd w:id="245"/>
      <w:r w:rsidRPr="00370E70">
        <w:rPr>
          <w:b/>
          <w:color w:val="000000"/>
        </w:rPr>
        <w:t xml:space="preserve"> </w:t>
      </w:r>
    </w:p>
    <w:p w:rsidR="005132EF" w:rsidRPr="00370E70" w:rsidRDefault="005132EF" w:rsidP="00034AD4">
      <w:pPr>
        <w:rPr>
          <w:color w:val="000000"/>
          <w:szCs w:val="22"/>
        </w:rPr>
      </w:pPr>
      <w:r w:rsidRPr="00370E70">
        <w:rPr>
          <w:color w:val="000000"/>
          <w:szCs w:val="22"/>
        </w:rPr>
        <w:t xml:space="preserve">No herbicides were found above detectable limits in the sediments of the seagrass meadows at sites in the </w:t>
      </w:r>
      <w:smartTag w:uri="urn:schemas-microsoft-com:office:smarttags" w:element="place">
        <w:r w:rsidRPr="00370E70">
          <w:rPr>
            <w:color w:val="000000"/>
            <w:szCs w:val="22"/>
          </w:rPr>
          <w:t>Cape York</w:t>
        </w:r>
      </w:smartTag>
      <w:r w:rsidRPr="00370E70">
        <w:rPr>
          <w:color w:val="000000"/>
          <w:szCs w:val="22"/>
        </w:rPr>
        <w:t xml:space="preserve"> region in early May 2012 (</w:t>
      </w:r>
      <w:r w:rsidRPr="00370E70">
        <w:fldChar w:fldCharType="begin"/>
      </w:r>
      <w:r w:rsidRPr="00370E70">
        <w:instrText xml:space="preserve"> REF _Ref304553117 \h  \* MERGEFORMAT </w:instrText>
      </w:r>
      <w:r w:rsidRPr="00370E70">
        <w:fldChar w:fldCharType="separate"/>
      </w:r>
      <w:r w:rsidR="005B5FD6" w:rsidRPr="005B5FD6">
        <w:rPr>
          <w:color w:val="000000"/>
          <w:szCs w:val="22"/>
        </w:rPr>
        <w:t xml:space="preserve">Table </w:t>
      </w:r>
      <w:r w:rsidR="005B5FD6" w:rsidRPr="005B5FD6">
        <w:rPr>
          <w:noProof/>
          <w:color w:val="000000"/>
          <w:szCs w:val="22"/>
        </w:rPr>
        <w:t>18</w:t>
      </w:r>
      <w:r w:rsidRPr="00370E70">
        <w:fldChar w:fldCharType="end"/>
      </w:r>
      <w:r w:rsidRPr="00370E70">
        <w:rPr>
          <w:color w:val="000000"/>
          <w:szCs w:val="22"/>
        </w:rPr>
        <w:t>).</w:t>
      </w:r>
    </w:p>
    <w:p w:rsidR="00191438" w:rsidRPr="00370E70" w:rsidRDefault="005132EF" w:rsidP="00191438">
      <w:pPr>
        <w:pStyle w:val="Caption"/>
        <w:keepNext/>
        <w:jc w:val="center"/>
        <w:rPr>
          <w:i/>
          <w:vanish/>
          <w:szCs w:val="22"/>
          <w:vertAlign w:val="superscript"/>
          <w:lang w:val="en-AU"/>
          <w:specVanish/>
        </w:rPr>
      </w:pPr>
      <w:bookmarkStart w:id="246" w:name="_Ref304553117"/>
      <w:bookmarkStart w:id="247" w:name="_Toc384196554"/>
      <w:r w:rsidRPr="00370E70">
        <w:rP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18</w:t>
      </w:r>
      <w:r w:rsidRPr="00370E70">
        <w:rPr>
          <w:lang w:val="en-AU"/>
        </w:rPr>
        <w:fldChar w:fldCharType="end"/>
      </w:r>
      <w:bookmarkEnd w:id="246"/>
      <w:r w:rsidRPr="00370E70">
        <w:rPr>
          <w:lang w:val="en-AU"/>
        </w:rPr>
        <w:t xml:space="preserve">. </w:t>
      </w:r>
      <w:r w:rsidRPr="00370E70">
        <w:rPr>
          <w:i/>
          <w:lang w:val="en-AU"/>
        </w:rPr>
        <w:t>Concentration of herbicides (mg kg</w:t>
      </w:r>
      <w:r w:rsidRPr="00370E70">
        <w:rPr>
          <w:i/>
          <w:vertAlign w:val="superscript"/>
          <w:lang w:val="en-AU"/>
        </w:rPr>
        <w:t>-1</w:t>
      </w:r>
      <w:r w:rsidRPr="00370E70">
        <w:rPr>
          <w:i/>
          <w:lang w:val="en-AU"/>
        </w:rPr>
        <w:t xml:space="preserve">) in sediments of </w:t>
      </w:r>
      <w:smartTag w:uri="urn:schemas-microsoft-com:office:smarttags" w:element="place">
        <w:r w:rsidRPr="00370E70">
          <w:rPr>
            <w:i/>
            <w:lang w:val="en-AU"/>
          </w:rPr>
          <w:t>Cape York</w:t>
        </w:r>
      </w:smartTag>
      <w:r w:rsidRPr="00370E70">
        <w:rPr>
          <w:i/>
          <w:lang w:val="en-AU"/>
        </w:rPr>
        <w:t xml:space="preserve"> seagrass monitoring sites in late monsoon 2012.</w:t>
      </w:r>
      <w:bookmarkEnd w:id="247"/>
    </w:p>
    <w:p w:rsidR="00191438" w:rsidRPr="00370E70" w:rsidRDefault="005132EF" w:rsidP="00191438">
      <w:pPr>
        <w:pStyle w:val="Caption"/>
        <w:keepNext/>
        <w:jc w:val="center"/>
        <w:rPr>
          <w:i/>
          <w:lang w:val="en-AU"/>
        </w:rPr>
      </w:pPr>
      <w:r w:rsidRPr="00370E70">
        <w:rPr>
          <w:i/>
          <w:lang w:val="en-AU"/>
        </w:rPr>
        <w:t>ND=not detectable above limit of 0.001 mg kg</w:t>
      </w:r>
      <w:r w:rsidRPr="00370E70">
        <w:rPr>
          <w:i/>
          <w:vertAlign w:val="superscript"/>
          <w:lang w:val="en-AU"/>
        </w:rPr>
        <w:t>-1</w:t>
      </w:r>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5132EF" w:rsidRPr="00370E70">
        <w:trPr>
          <w:cantSplit/>
          <w:trHeight w:val="1701"/>
        </w:trPr>
        <w:tc>
          <w:tcPr>
            <w:tcW w:w="666" w:type="dxa"/>
            <w:tcBorders>
              <w:top w:val="single" w:sz="4" w:space="0" w:color="auto"/>
              <w:bottom w:val="single" w:sz="4" w:space="0" w:color="auto"/>
            </w:tcBorders>
            <w:vAlign w:val="center"/>
          </w:tcPr>
          <w:p w:rsidR="005132EF" w:rsidRPr="00370E70" w:rsidRDefault="005132EF" w:rsidP="00034AD4">
            <w:pPr>
              <w:spacing w:before="0" w:after="0"/>
              <w:jc w:val="center"/>
            </w:pPr>
            <w:r w:rsidRPr="00370E70">
              <w:rPr>
                <w:szCs w:val="22"/>
              </w:rPr>
              <w:t>Site</w:t>
            </w:r>
          </w:p>
        </w:tc>
        <w:tc>
          <w:tcPr>
            <w:tcW w:w="611"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Flumeturon</w:t>
            </w:r>
          </w:p>
        </w:tc>
        <w:tc>
          <w:tcPr>
            <w:tcW w:w="612"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Diuron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Simazine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Atrazine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Desethyl Atrzine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Desisopropyl Atrzine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Hexazinone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Tebuthiuron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Ametryn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Prometryn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Bromacil</w:t>
            </w:r>
          </w:p>
        </w:tc>
        <w:tc>
          <w:tcPr>
            <w:tcW w:w="546" w:type="dxa"/>
            <w:tcBorders>
              <w:top w:val="single" w:sz="4" w:space="0" w:color="auto"/>
              <w:bottom w:val="single" w:sz="4" w:space="0" w:color="auto"/>
            </w:tcBorders>
            <w:textDirection w:val="btLr"/>
          </w:tcPr>
          <w:p w:rsidR="005132EF" w:rsidRPr="00370E70" w:rsidRDefault="005132EF" w:rsidP="00034AD4">
            <w:pPr>
              <w:spacing w:before="0" w:after="0"/>
              <w:ind w:left="113" w:right="113"/>
            </w:pPr>
            <w:r w:rsidRPr="00370E70">
              <w:rPr>
                <w:szCs w:val="22"/>
              </w:rPr>
              <w:t>Imidacloprid</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Terbutryn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Metolachlor</w:t>
            </w:r>
          </w:p>
        </w:tc>
      </w:tr>
      <w:tr w:rsidR="005132EF" w:rsidRPr="00370E70">
        <w:tc>
          <w:tcPr>
            <w:tcW w:w="666" w:type="dxa"/>
            <w:tcBorders>
              <w:top w:val="single" w:sz="4" w:space="0" w:color="auto"/>
            </w:tcBorders>
          </w:tcPr>
          <w:p w:rsidR="005132EF" w:rsidRPr="00370E70" w:rsidRDefault="005132EF" w:rsidP="00034AD4">
            <w:pPr>
              <w:spacing w:before="0" w:after="0"/>
              <w:rPr>
                <w:b/>
              </w:rPr>
            </w:pPr>
            <w:r w:rsidRPr="00370E70">
              <w:rPr>
                <w:b/>
                <w:szCs w:val="22"/>
              </w:rPr>
              <w:t>SR1</w:t>
            </w:r>
          </w:p>
        </w:tc>
        <w:tc>
          <w:tcPr>
            <w:tcW w:w="611"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2"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546"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SR2</w:t>
            </w:r>
          </w:p>
        </w:tc>
        <w:tc>
          <w:tcPr>
            <w:tcW w:w="611" w:type="dxa"/>
          </w:tcPr>
          <w:p w:rsidR="005132EF" w:rsidRPr="00370E70" w:rsidRDefault="005132EF" w:rsidP="00034AD4">
            <w:pPr>
              <w:spacing w:before="0" w:after="0"/>
              <w:rPr>
                <w:i/>
              </w:rPr>
            </w:pPr>
            <w:r w:rsidRPr="00370E70">
              <w:rPr>
                <w:i/>
                <w:szCs w:val="22"/>
              </w:rPr>
              <w:t>ND</w:t>
            </w:r>
          </w:p>
        </w:tc>
        <w:tc>
          <w:tcPr>
            <w:tcW w:w="612"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546"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c>
          <w:tcPr>
            <w:tcW w:w="613" w:type="dxa"/>
          </w:tcPr>
          <w:p w:rsidR="005132EF" w:rsidRPr="00370E70" w:rsidRDefault="005132EF" w:rsidP="00034AD4">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FR1</w:t>
            </w:r>
          </w:p>
        </w:tc>
        <w:tc>
          <w:tcPr>
            <w:tcW w:w="611" w:type="dxa"/>
          </w:tcPr>
          <w:p w:rsidR="005132EF" w:rsidRPr="00370E70" w:rsidRDefault="005132EF" w:rsidP="004E5C3B">
            <w:pPr>
              <w:spacing w:before="0" w:after="0"/>
              <w:rPr>
                <w:i/>
              </w:rPr>
            </w:pPr>
            <w:r w:rsidRPr="00370E70">
              <w:rPr>
                <w:i/>
                <w:szCs w:val="22"/>
              </w:rPr>
              <w:t>ND</w:t>
            </w:r>
          </w:p>
        </w:tc>
        <w:tc>
          <w:tcPr>
            <w:tcW w:w="612"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546"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FR2</w:t>
            </w:r>
          </w:p>
        </w:tc>
        <w:tc>
          <w:tcPr>
            <w:tcW w:w="611" w:type="dxa"/>
          </w:tcPr>
          <w:p w:rsidR="005132EF" w:rsidRPr="00370E70" w:rsidRDefault="005132EF" w:rsidP="004E5C3B">
            <w:pPr>
              <w:spacing w:before="0" w:after="0"/>
              <w:rPr>
                <w:i/>
              </w:rPr>
            </w:pPr>
            <w:r w:rsidRPr="00370E70">
              <w:rPr>
                <w:i/>
                <w:szCs w:val="22"/>
              </w:rPr>
              <w:t>ND</w:t>
            </w:r>
          </w:p>
        </w:tc>
        <w:tc>
          <w:tcPr>
            <w:tcW w:w="612"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546"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ST1</w:t>
            </w:r>
          </w:p>
        </w:tc>
        <w:tc>
          <w:tcPr>
            <w:tcW w:w="611" w:type="dxa"/>
          </w:tcPr>
          <w:p w:rsidR="005132EF" w:rsidRPr="00370E70" w:rsidRDefault="005132EF" w:rsidP="004E5C3B">
            <w:pPr>
              <w:spacing w:before="0" w:after="0"/>
              <w:rPr>
                <w:i/>
              </w:rPr>
            </w:pPr>
            <w:r w:rsidRPr="00370E70">
              <w:rPr>
                <w:i/>
                <w:szCs w:val="22"/>
              </w:rPr>
              <w:t>ND</w:t>
            </w:r>
          </w:p>
        </w:tc>
        <w:tc>
          <w:tcPr>
            <w:tcW w:w="612"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546"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ST2</w:t>
            </w:r>
          </w:p>
        </w:tc>
        <w:tc>
          <w:tcPr>
            <w:tcW w:w="611" w:type="dxa"/>
          </w:tcPr>
          <w:p w:rsidR="005132EF" w:rsidRPr="00370E70" w:rsidRDefault="005132EF" w:rsidP="004E5C3B">
            <w:pPr>
              <w:spacing w:before="0" w:after="0"/>
              <w:rPr>
                <w:i/>
              </w:rPr>
            </w:pPr>
            <w:r w:rsidRPr="00370E70">
              <w:rPr>
                <w:i/>
                <w:szCs w:val="22"/>
              </w:rPr>
              <w:t>ND</w:t>
            </w:r>
          </w:p>
        </w:tc>
        <w:tc>
          <w:tcPr>
            <w:tcW w:w="612"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546"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r>
      <w:tr w:rsidR="005132EF" w:rsidRPr="00370E70" w:rsidTr="00D5353E">
        <w:tc>
          <w:tcPr>
            <w:tcW w:w="666" w:type="dxa"/>
          </w:tcPr>
          <w:p w:rsidR="005132EF" w:rsidRPr="00370E70" w:rsidRDefault="005132EF" w:rsidP="00034AD4">
            <w:pPr>
              <w:spacing w:before="0" w:after="0"/>
              <w:rPr>
                <w:b/>
              </w:rPr>
            </w:pPr>
            <w:r w:rsidRPr="00370E70">
              <w:rPr>
                <w:b/>
                <w:szCs w:val="22"/>
              </w:rPr>
              <w:t>BY1</w:t>
            </w:r>
          </w:p>
        </w:tc>
        <w:tc>
          <w:tcPr>
            <w:tcW w:w="611" w:type="dxa"/>
          </w:tcPr>
          <w:p w:rsidR="005132EF" w:rsidRPr="00370E70" w:rsidRDefault="005132EF" w:rsidP="004E5C3B">
            <w:pPr>
              <w:spacing w:before="0" w:after="0"/>
              <w:rPr>
                <w:i/>
              </w:rPr>
            </w:pPr>
            <w:r w:rsidRPr="00370E70">
              <w:rPr>
                <w:i/>
                <w:szCs w:val="22"/>
              </w:rPr>
              <w:t>ND</w:t>
            </w:r>
          </w:p>
        </w:tc>
        <w:tc>
          <w:tcPr>
            <w:tcW w:w="612"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546"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c>
          <w:tcPr>
            <w:tcW w:w="613" w:type="dxa"/>
          </w:tcPr>
          <w:p w:rsidR="005132EF" w:rsidRPr="00370E70" w:rsidRDefault="005132EF" w:rsidP="004E5C3B">
            <w:pPr>
              <w:spacing w:before="0" w:after="0"/>
              <w:rPr>
                <w:i/>
              </w:rPr>
            </w:pPr>
            <w:r w:rsidRPr="00370E70">
              <w:rPr>
                <w:i/>
                <w:szCs w:val="22"/>
              </w:rPr>
              <w:t>ND</w:t>
            </w:r>
          </w:p>
        </w:tc>
      </w:tr>
      <w:tr w:rsidR="005132EF" w:rsidRPr="00370E70">
        <w:tc>
          <w:tcPr>
            <w:tcW w:w="666" w:type="dxa"/>
            <w:tcBorders>
              <w:bottom w:val="single" w:sz="4" w:space="0" w:color="auto"/>
            </w:tcBorders>
          </w:tcPr>
          <w:p w:rsidR="005132EF" w:rsidRPr="00370E70" w:rsidRDefault="005132EF" w:rsidP="00034AD4">
            <w:pPr>
              <w:spacing w:before="0" w:after="0"/>
              <w:rPr>
                <w:b/>
              </w:rPr>
            </w:pPr>
            <w:r w:rsidRPr="00370E70">
              <w:rPr>
                <w:b/>
                <w:szCs w:val="22"/>
              </w:rPr>
              <w:t>BY2</w:t>
            </w:r>
          </w:p>
        </w:tc>
        <w:tc>
          <w:tcPr>
            <w:tcW w:w="611"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2"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546"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c>
          <w:tcPr>
            <w:tcW w:w="613" w:type="dxa"/>
            <w:tcBorders>
              <w:bottom w:val="single" w:sz="4" w:space="0" w:color="auto"/>
            </w:tcBorders>
          </w:tcPr>
          <w:p w:rsidR="005132EF" w:rsidRPr="00370E70" w:rsidRDefault="005132EF" w:rsidP="004E5C3B">
            <w:pPr>
              <w:spacing w:before="0" w:after="0"/>
              <w:rPr>
                <w:i/>
              </w:rPr>
            </w:pPr>
            <w:r w:rsidRPr="00370E70">
              <w:rPr>
                <w:i/>
                <w:szCs w:val="22"/>
              </w:rPr>
              <w:t>ND</w:t>
            </w:r>
          </w:p>
        </w:tc>
      </w:tr>
    </w:tbl>
    <w:p w:rsidR="005132EF" w:rsidRPr="00370E70" w:rsidRDefault="005132EF" w:rsidP="00034AD4">
      <w:pPr>
        <w:pStyle w:val="Heading4"/>
        <w:rPr>
          <w:b/>
          <w:color w:val="000000"/>
        </w:rPr>
      </w:pPr>
      <w:bookmarkStart w:id="248" w:name="_Toc232845909"/>
      <w:bookmarkStart w:id="249" w:name="_Toc184101978"/>
      <w:bookmarkStart w:id="250" w:name="OLE_LINK24"/>
      <w:bookmarkStart w:id="251" w:name="OLE_LINK25"/>
      <w:r w:rsidRPr="00370E70">
        <w:rPr>
          <w:b/>
          <w:color w:val="000000"/>
        </w:rPr>
        <w:t>Within meadow canopy temperature</w:t>
      </w:r>
      <w:bookmarkEnd w:id="248"/>
      <w:bookmarkEnd w:id="249"/>
    </w:p>
    <w:bookmarkEnd w:id="250"/>
    <w:bookmarkEnd w:id="251"/>
    <w:p w:rsidR="005132EF" w:rsidRPr="00370E70" w:rsidRDefault="005132EF" w:rsidP="00034AD4">
      <w:pPr>
        <w:spacing w:before="240"/>
        <w:rPr>
          <w:color w:val="000000"/>
          <w:szCs w:val="22"/>
        </w:rPr>
      </w:pPr>
      <w:r w:rsidRPr="00370E70">
        <w:rPr>
          <w:color w:val="000000"/>
          <w:szCs w:val="22"/>
        </w:rPr>
        <w:t xml:space="preserve">Autonomous temperature loggers were deployed at both </w:t>
      </w:r>
      <w:smartTag w:uri="urn:schemas-microsoft-com:office:smarttags" w:element="place">
        <w:smartTag w:uri="urn:schemas-microsoft-com:office:smarttags" w:element="PlaceName">
          <w:r w:rsidRPr="00370E70">
            <w:rPr>
              <w:color w:val="000000"/>
              <w:szCs w:val="22"/>
            </w:rPr>
            <w:t>Archer</w:t>
          </w:r>
        </w:smartTag>
        <w:r w:rsidRPr="00370E70">
          <w:rPr>
            <w:color w:val="000000"/>
            <w:szCs w:val="22"/>
          </w:rPr>
          <w:t xml:space="preserve"> </w:t>
        </w:r>
        <w:smartTag w:uri="urn:schemas-microsoft-com:office:smarttags" w:element="PlaceName">
          <w:r w:rsidRPr="00370E70">
            <w:rPr>
              <w:color w:val="000000"/>
              <w:szCs w:val="22"/>
            </w:rPr>
            <w:t>Point</w:t>
          </w:r>
        </w:smartTag>
      </w:smartTag>
      <w:r w:rsidRPr="00370E70">
        <w:rPr>
          <w:color w:val="000000"/>
          <w:szCs w:val="22"/>
        </w:rPr>
        <w:t xml:space="preserve"> sites over the monitoring period. As the new </w:t>
      </w:r>
      <w:smartTag w:uri="urn:schemas-microsoft-com:office:smarttags" w:element="place">
        <w:r w:rsidRPr="00370E70">
          <w:rPr>
            <w:color w:val="000000"/>
            <w:szCs w:val="22"/>
          </w:rPr>
          <w:t>Cape York</w:t>
        </w:r>
      </w:smartTag>
      <w:r w:rsidRPr="00370E70">
        <w:rPr>
          <w:color w:val="000000"/>
          <w:szCs w:val="22"/>
        </w:rPr>
        <w:t xml:space="preserve"> sites were not established until May 2012, no data was available for the </w:t>
      </w:r>
      <w:r w:rsidR="002C6536" w:rsidRPr="00370E70">
        <w:rPr>
          <w:color w:val="000000"/>
          <w:szCs w:val="22"/>
        </w:rPr>
        <w:t>monitoring</w:t>
      </w:r>
      <w:r w:rsidRPr="00370E70">
        <w:rPr>
          <w:color w:val="000000"/>
          <w:szCs w:val="22"/>
        </w:rPr>
        <w:t xml:space="preserve"> period. High temperatures (&gt;3</w:t>
      </w:r>
      <w:r w:rsidR="003E0817" w:rsidRPr="00370E70">
        <w:rPr>
          <w:color w:val="000000"/>
          <w:szCs w:val="22"/>
        </w:rPr>
        <w:t>5</w:t>
      </w:r>
      <w:r w:rsidRPr="00370E70">
        <w:rPr>
          <w:color w:val="000000"/>
          <w:szCs w:val="22"/>
        </w:rPr>
        <w:sym w:font="Symbol" w:char="F0B0"/>
      </w:r>
      <w:r w:rsidRPr="00370E70">
        <w:rPr>
          <w:color w:val="000000"/>
          <w:szCs w:val="22"/>
        </w:rPr>
        <w:t>C) were recorded from December 2011 to April 2012, coinciding with the low spring tides, with the highest temperature (35.9</w:t>
      </w:r>
      <w:r w:rsidRPr="00370E70">
        <w:rPr>
          <w:color w:val="000000"/>
          <w:szCs w:val="22"/>
        </w:rPr>
        <w:sym w:font="Symbol" w:char="F0B0"/>
      </w:r>
      <w:r w:rsidRPr="00370E70">
        <w:rPr>
          <w:color w:val="000000"/>
          <w:szCs w:val="22"/>
        </w:rPr>
        <w:t>C) recorded at 3pm on the 5 March 2012 (</w:t>
      </w:r>
      <w:r w:rsidRPr="00370E70">
        <w:fldChar w:fldCharType="begin"/>
      </w:r>
      <w:r w:rsidRPr="00370E70">
        <w:instrText xml:space="preserve"> REF _Ref211836866 \h  \* MERGEFORMAT </w:instrText>
      </w:r>
      <w:r w:rsidRPr="00370E70">
        <w:fldChar w:fldCharType="separate"/>
      </w:r>
      <w:r w:rsidR="005B5FD6" w:rsidRPr="005B5FD6">
        <w:rPr>
          <w:szCs w:val="22"/>
        </w:rPr>
        <w:t xml:space="preserve">Figure </w:t>
      </w:r>
      <w:r w:rsidR="005B5FD6">
        <w:rPr>
          <w:noProof/>
          <w:color w:val="000000"/>
          <w:szCs w:val="22"/>
        </w:rPr>
        <w:t>37</w:t>
      </w:r>
      <w:r w:rsidRPr="00370E70">
        <w:fldChar w:fldCharType="end"/>
      </w:r>
      <w:r w:rsidRPr="00370E70">
        <w:rPr>
          <w:color w:val="000000"/>
          <w:szCs w:val="22"/>
        </w:rPr>
        <w:t>). Average within meadow canopy temperatures have not changed significantly since 2007/08 (ANOVA, d.f</w:t>
      </w:r>
      <w:proofErr w:type="gramStart"/>
      <w:r w:rsidRPr="00370E70">
        <w:rPr>
          <w:color w:val="000000"/>
          <w:szCs w:val="22"/>
        </w:rPr>
        <w:t>.=</w:t>
      </w:r>
      <w:proofErr w:type="gramEnd"/>
      <w:r w:rsidRPr="00370E70">
        <w:rPr>
          <w:color w:val="000000"/>
          <w:szCs w:val="22"/>
        </w:rPr>
        <w:t xml:space="preserve"> 5,56,F=0.44, </w:t>
      </w:r>
      <w:r w:rsidRPr="00370E70">
        <w:rPr>
          <w:i/>
          <w:color w:val="000000"/>
          <w:szCs w:val="22"/>
        </w:rPr>
        <w:t>p</w:t>
      </w:r>
      <w:r w:rsidRPr="00370E70">
        <w:rPr>
          <w:color w:val="000000"/>
          <w:szCs w:val="22"/>
        </w:rPr>
        <w:t xml:space="preserve"> =0.819), however temperatures were 0.5</w:t>
      </w:r>
      <w:r w:rsidRPr="00370E70">
        <w:rPr>
          <w:color w:val="000000"/>
          <w:szCs w:val="22"/>
        </w:rPr>
        <w:sym w:font="Symbol" w:char="F0B0"/>
      </w:r>
      <w:r w:rsidRPr="00370E70">
        <w:rPr>
          <w:color w:val="000000"/>
          <w:szCs w:val="22"/>
        </w:rPr>
        <w:t>C cooler in 2011/12 than the previous year (which was the warmest since monitoring established) (</w:t>
      </w:r>
      <w:r w:rsidRPr="00370E70">
        <w:fldChar w:fldCharType="begin"/>
      </w:r>
      <w:r w:rsidRPr="00370E70">
        <w:instrText xml:space="preserve"> REF _Ref211836879 \h  \* MERGEFORMAT </w:instrText>
      </w:r>
      <w:r w:rsidRPr="00370E70">
        <w:fldChar w:fldCharType="separate"/>
      </w:r>
      <w:r w:rsidR="005B5FD6" w:rsidRPr="005B5FD6">
        <w:rPr>
          <w:szCs w:val="22"/>
        </w:rPr>
        <w:t xml:space="preserve">Figure </w:t>
      </w:r>
      <w:r w:rsidR="005B5FD6">
        <w:rPr>
          <w:noProof/>
          <w:color w:val="000000"/>
          <w:szCs w:val="22"/>
        </w:rPr>
        <w:t>38</w:t>
      </w:r>
      <w:r w:rsidRPr="00370E70">
        <w:fldChar w:fldCharType="end"/>
      </w:r>
      <w:r w:rsidRPr="00370E70">
        <w:rPr>
          <w:color w:val="000000"/>
          <w:szCs w:val="22"/>
        </w:rPr>
        <w:t xml:space="preserve">). </w:t>
      </w:r>
      <w:r w:rsidR="003E0817" w:rsidRPr="00370E70">
        <w:rPr>
          <w:color w:val="000000"/>
          <w:szCs w:val="22"/>
        </w:rPr>
        <w:t>Number of days in 2011/12 with m</w:t>
      </w:r>
      <w:r w:rsidRPr="00370E70">
        <w:rPr>
          <w:color w:val="000000"/>
          <w:szCs w:val="22"/>
        </w:rPr>
        <w:t xml:space="preserve">aximum within canopy temperatures </w:t>
      </w:r>
      <w:r w:rsidR="003E0817" w:rsidRPr="00370E70">
        <w:rPr>
          <w:color w:val="000000"/>
          <w:szCs w:val="22"/>
        </w:rPr>
        <w:t>&gt;35</w:t>
      </w:r>
      <w:r w:rsidR="003E0817" w:rsidRPr="00370E70">
        <w:rPr>
          <w:color w:val="000000"/>
          <w:szCs w:val="22"/>
        </w:rPr>
        <w:sym w:font="Symbol" w:char="F0B0"/>
      </w:r>
      <w:r w:rsidR="003E0817" w:rsidRPr="00370E70">
        <w:rPr>
          <w:color w:val="000000"/>
          <w:szCs w:val="22"/>
        </w:rPr>
        <w:t xml:space="preserve">C </w:t>
      </w:r>
      <w:r w:rsidRPr="00370E70">
        <w:rPr>
          <w:color w:val="000000"/>
          <w:szCs w:val="22"/>
        </w:rPr>
        <w:t xml:space="preserve">were </w:t>
      </w:r>
      <w:r w:rsidR="003E0817" w:rsidRPr="00370E70">
        <w:rPr>
          <w:color w:val="000000"/>
          <w:szCs w:val="22"/>
        </w:rPr>
        <w:t>similar to</w:t>
      </w:r>
      <w:r w:rsidRPr="00370E70">
        <w:rPr>
          <w:color w:val="000000"/>
          <w:szCs w:val="22"/>
        </w:rPr>
        <w:t xml:space="preserve"> 2010/11 </w:t>
      </w:r>
      <w:r w:rsidR="007B4F4F" w:rsidRPr="00370E70">
        <w:rPr>
          <w:color w:val="000000"/>
          <w:szCs w:val="22"/>
        </w:rPr>
        <w:t>(</w:t>
      </w:r>
      <w:r w:rsidR="003E0817" w:rsidRPr="00370E70">
        <w:rPr>
          <w:color w:val="000000"/>
          <w:szCs w:val="22"/>
        </w:rPr>
        <w:t>7 days &gt;35</w:t>
      </w:r>
      <w:r w:rsidR="003E0817" w:rsidRPr="00370E70">
        <w:rPr>
          <w:color w:val="000000"/>
          <w:szCs w:val="22"/>
        </w:rPr>
        <w:sym w:font="Symbol" w:char="F0B0"/>
      </w:r>
      <w:r w:rsidR="003E0817" w:rsidRPr="00370E70">
        <w:rPr>
          <w:color w:val="000000"/>
          <w:szCs w:val="22"/>
        </w:rPr>
        <w:t>C in 2010/11, 6 days &gt;35</w:t>
      </w:r>
      <w:r w:rsidR="003E0817" w:rsidRPr="00370E70">
        <w:rPr>
          <w:color w:val="000000"/>
          <w:szCs w:val="22"/>
        </w:rPr>
        <w:sym w:font="Symbol" w:char="F0B0"/>
      </w:r>
      <w:r w:rsidR="003E0817" w:rsidRPr="00370E70">
        <w:rPr>
          <w:color w:val="000000"/>
          <w:szCs w:val="22"/>
        </w:rPr>
        <w:t xml:space="preserve">C in 2011/12) </w:t>
      </w:r>
      <w:r w:rsidRPr="00370E70">
        <w:rPr>
          <w:color w:val="000000"/>
          <w:szCs w:val="22"/>
        </w:rPr>
        <w:t>(</w:t>
      </w:r>
      <w:r w:rsidRPr="00370E70">
        <w:fldChar w:fldCharType="begin"/>
      </w:r>
      <w:r w:rsidRPr="00370E70">
        <w:instrText xml:space="preserve"> REF _Ref211836879 \h  \* MERGEFORMAT </w:instrText>
      </w:r>
      <w:r w:rsidRPr="00370E70">
        <w:fldChar w:fldCharType="separate"/>
      </w:r>
      <w:r w:rsidR="005B5FD6" w:rsidRPr="005B5FD6">
        <w:rPr>
          <w:szCs w:val="22"/>
        </w:rPr>
        <w:t xml:space="preserve">Figure </w:t>
      </w:r>
      <w:r w:rsidR="005B5FD6">
        <w:rPr>
          <w:noProof/>
          <w:color w:val="000000"/>
          <w:szCs w:val="22"/>
        </w:rPr>
        <w:t>38</w:t>
      </w:r>
      <w:r w:rsidRPr="00370E70">
        <w:fldChar w:fldCharType="end"/>
      </w:r>
      <w:r w:rsidRPr="00370E70">
        <w:rPr>
          <w:color w:val="000000"/>
          <w:szCs w:val="22"/>
        </w:rPr>
        <w:t>), indicating that any losses are unlikely to be a consequence of extreme temperature events.</w:t>
      </w:r>
    </w:p>
    <w:p w:rsidR="005132EF" w:rsidRPr="00370E70" w:rsidRDefault="007B15AB" w:rsidP="00034AD4">
      <w:pPr>
        <w:keepNext/>
      </w:pPr>
      <w:r>
        <w:rPr>
          <w:noProof/>
          <w:lang w:eastAsia="en-AU"/>
        </w:rPr>
        <w:lastRenderedPageBreak/>
        <w:drawing>
          <wp:inline distT="0" distB="0" distL="0" distR="0">
            <wp:extent cx="5447665" cy="2163445"/>
            <wp:effectExtent l="0" t="0" r="635" b="8255"/>
            <wp:docPr id="49" name="Picture 49" descr="Figure showing the within seagrass canopy temperatures (°C) at Archer Point intertidal meadow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igure showing the within seagrass canopy temperatures (°C) at Archer Point intertidal meadow over the 2011/12 monitoring period"/>
                    <pic:cNvPicPr>
                      <a:picLocks noChangeAspect="1" noChangeArrowheads="1"/>
                    </pic:cNvPicPr>
                  </pic:nvPicPr>
                  <pic:blipFill>
                    <a:blip r:embed="rId74">
                      <a:extLst>
                        <a:ext uri="{28A0092B-C50C-407E-A947-70E740481C1C}">
                          <a14:useLocalDpi xmlns:a14="http://schemas.microsoft.com/office/drawing/2010/main" val="0"/>
                        </a:ext>
                      </a:extLst>
                    </a:blip>
                    <a:srcRect b="4073"/>
                    <a:stretch>
                      <a:fillRect/>
                    </a:stretch>
                  </pic:blipFill>
                  <pic:spPr bwMode="auto">
                    <a:xfrm>
                      <a:off x="0" y="0"/>
                      <a:ext cx="5447665" cy="216344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252" w:name="_Ref211836866"/>
      <w:bookmarkStart w:id="253" w:name="_Toc232845961"/>
      <w:bookmarkStart w:id="254" w:name="_Toc384196384"/>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37</w:t>
      </w:r>
      <w:r w:rsidRPr="00370E70">
        <w:rPr>
          <w:color w:val="000000"/>
          <w:szCs w:val="22"/>
          <w:lang w:val="en-AU"/>
        </w:rPr>
        <w:fldChar w:fldCharType="end"/>
      </w:r>
      <w:bookmarkEnd w:id="252"/>
      <w:r w:rsidRPr="00370E70">
        <w:rPr>
          <w:rStyle w:val="StyleCaptionCaptionCharCharLatinCalibri11ptBlackChar"/>
          <w:lang w:val="en-AU"/>
        </w:rPr>
        <w:t xml:space="preserve">. </w:t>
      </w:r>
      <w:r w:rsidRPr="00370E70">
        <w:rPr>
          <w:i/>
          <w:color w:val="000000"/>
          <w:szCs w:val="22"/>
          <w:lang w:val="en-AU"/>
        </w:rPr>
        <w:t xml:space="preserve">Within seagrass canopy temperature (°C) at </w:t>
      </w:r>
      <w:r w:rsidR="00A60815">
        <w:rPr>
          <w:i/>
          <w:color w:val="000000"/>
          <w:szCs w:val="22"/>
          <w:lang w:val="en-AU"/>
        </w:rPr>
        <w:t xml:space="preserve">inshore </w:t>
      </w:r>
      <w:r w:rsidRPr="00370E70">
        <w:rPr>
          <w:i/>
          <w:color w:val="000000"/>
          <w:szCs w:val="22"/>
          <w:lang w:val="en-AU"/>
        </w:rPr>
        <w:t xml:space="preserve">intertidal </w:t>
      </w:r>
      <w:r w:rsidR="00A60815">
        <w:rPr>
          <w:i/>
          <w:color w:val="000000"/>
          <w:szCs w:val="22"/>
          <w:lang w:val="en-AU"/>
        </w:rPr>
        <w:t>reef habitats (</w:t>
      </w:r>
      <w:smartTag w:uri="urn:schemas-microsoft-com:office:smarttags" w:element="PlaceName">
        <w:r w:rsidR="00A60815" w:rsidRPr="00370E70">
          <w:rPr>
            <w:i/>
            <w:color w:val="000000"/>
            <w:szCs w:val="22"/>
            <w:lang w:val="en-AU"/>
          </w:rPr>
          <w:t>Archer</w:t>
        </w:r>
      </w:smartTag>
      <w:r w:rsidR="00A60815" w:rsidRPr="00370E70">
        <w:rPr>
          <w:i/>
          <w:color w:val="000000"/>
          <w:szCs w:val="22"/>
          <w:lang w:val="en-AU"/>
        </w:rPr>
        <w:t xml:space="preserve"> </w:t>
      </w:r>
      <w:smartTag w:uri="urn:schemas-microsoft-com:office:smarttags" w:element="PlaceName">
        <w:r w:rsidR="00A60815" w:rsidRPr="00370E70">
          <w:rPr>
            <w:i/>
            <w:color w:val="000000"/>
            <w:szCs w:val="22"/>
            <w:lang w:val="en-AU"/>
          </w:rPr>
          <w:t>Point</w:t>
        </w:r>
      </w:smartTag>
      <w:r w:rsidR="00A60815">
        <w:rPr>
          <w:i/>
          <w:color w:val="000000"/>
          <w:szCs w:val="22"/>
          <w:lang w:val="en-AU"/>
        </w:rPr>
        <w:t>)</w:t>
      </w:r>
      <w:r w:rsidR="00A60815" w:rsidRPr="00370E70">
        <w:rPr>
          <w:i/>
          <w:color w:val="000000"/>
          <w:szCs w:val="22"/>
          <w:lang w:val="en-AU"/>
        </w:rPr>
        <w:t xml:space="preserve"> </w:t>
      </w:r>
      <w:r w:rsidR="00A60815">
        <w:rPr>
          <w:i/>
          <w:color w:val="000000"/>
          <w:szCs w:val="22"/>
          <w:lang w:val="en-AU"/>
        </w:rPr>
        <w:t xml:space="preserve">in the </w:t>
      </w:r>
      <w:smartTag w:uri="urn:schemas-microsoft-com:office:smarttags" w:element="place">
        <w:r w:rsidR="00A60815">
          <w:rPr>
            <w:i/>
            <w:color w:val="000000"/>
            <w:szCs w:val="22"/>
            <w:lang w:val="en-AU"/>
          </w:rPr>
          <w:t>Cape York</w:t>
        </w:r>
      </w:smartTag>
      <w:r w:rsidR="00A60815">
        <w:rPr>
          <w:i/>
          <w:color w:val="000000"/>
          <w:szCs w:val="22"/>
          <w:lang w:val="en-AU"/>
        </w:rPr>
        <w:t xml:space="preserve"> region </w:t>
      </w:r>
      <w:r w:rsidRPr="00370E70">
        <w:rPr>
          <w:i/>
          <w:color w:val="000000"/>
          <w:szCs w:val="22"/>
          <w:lang w:val="en-AU"/>
        </w:rPr>
        <w:t>over the 2011/12 monitoring period.</w:t>
      </w:r>
      <w:bookmarkEnd w:id="253"/>
      <w:bookmarkEnd w:id="254"/>
    </w:p>
    <w:p w:rsidR="005132EF" w:rsidRPr="00370E70" w:rsidRDefault="007B15AB" w:rsidP="00034AD4">
      <w:pPr>
        <w:keepNext/>
        <w:jc w:val="center"/>
      </w:pPr>
      <w:r>
        <w:rPr>
          <w:noProof/>
          <w:lang w:eastAsia="en-AU"/>
        </w:rPr>
        <w:drawing>
          <wp:inline distT="0" distB="0" distL="0" distR="0">
            <wp:extent cx="5447665" cy="1648460"/>
            <wp:effectExtent l="0" t="0" r="635" b="8890"/>
            <wp:docPr id="50" name="Picture 50" descr="Figure showing the monthly mean and maximum within seagrass canopy temperatures (°C) at Archer Point intertidal meadow, Cape York region from 2007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igure showing the monthly mean and maximum within seagrass canopy temperatures (°C) at Archer Point intertidal meadow, Cape York region from 2007 to 201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47665" cy="164846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255" w:name="_Ref211836879"/>
      <w:bookmarkStart w:id="256" w:name="_Toc232845962"/>
      <w:bookmarkStart w:id="257" w:name="_Toc384196385"/>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38</w:t>
      </w:r>
      <w:r w:rsidRPr="00370E70">
        <w:rPr>
          <w:color w:val="000000"/>
          <w:szCs w:val="22"/>
          <w:lang w:val="en-AU"/>
        </w:rPr>
        <w:fldChar w:fldCharType="end"/>
      </w:r>
      <w:bookmarkEnd w:id="255"/>
      <w:r w:rsidRPr="00370E70">
        <w:rPr>
          <w:rStyle w:val="StyleCaptionCaptionCharCharLatinCalibri11ptBlackChar"/>
          <w:lang w:val="en-AU"/>
        </w:rPr>
        <w:t xml:space="preserve">. </w:t>
      </w:r>
      <w:r w:rsidRPr="00370E70">
        <w:rPr>
          <w:i/>
          <w:color w:val="000000"/>
          <w:szCs w:val="22"/>
          <w:lang w:val="en-AU"/>
        </w:rPr>
        <w:t xml:space="preserve">Monthly mean and maximum within seagrass canopy temperatures (°C) at </w:t>
      </w:r>
      <w:r w:rsidR="00A60815">
        <w:rPr>
          <w:i/>
          <w:color w:val="000000"/>
          <w:szCs w:val="22"/>
          <w:lang w:val="en-AU"/>
        </w:rPr>
        <w:t xml:space="preserve">inshore </w:t>
      </w:r>
      <w:r w:rsidR="00A60815" w:rsidRPr="00370E70">
        <w:rPr>
          <w:i/>
          <w:color w:val="000000"/>
          <w:szCs w:val="22"/>
          <w:lang w:val="en-AU"/>
        </w:rPr>
        <w:t xml:space="preserve">intertidal </w:t>
      </w:r>
      <w:r w:rsidR="00A60815">
        <w:rPr>
          <w:i/>
          <w:color w:val="000000"/>
          <w:szCs w:val="22"/>
          <w:lang w:val="en-AU"/>
        </w:rPr>
        <w:t>reef habitats (</w:t>
      </w:r>
      <w:smartTag w:uri="urn:schemas-microsoft-com:office:smarttags" w:element="PlaceName">
        <w:r w:rsidR="00A60815" w:rsidRPr="00370E70">
          <w:rPr>
            <w:i/>
            <w:color w:val="000000"/>
            <w:szCs w:val="22"/>
            <w:lang w:val="en-AU"/>
          </w:rPr>
          <w:t>Archer</w:t>
        </w:r>
      </w:smartTag>
      <w:r w:rsidR="00A60815" w:rsidRPr="00370E70">
        <w:rPr>
          <w:i/>
          <w:color w:val="000000"/>
          <w:szCs w:val="22"/>
          <w:lang w:val="en-AU"/>
        </w:rPr>
        <w:t xml:space="preserve"> </w:t>
      </w:r>
      <w:smartTag w:uri="urn:schemas-microsoft-com:office:smarttags" w:element="PlaceName">
        <w:r w:rsidR="00A60815" w:rsidRPr="00370E70">
          <w:rPr>
            <w:i/>
            <w:color w:val="000000"/>
            <w:szCs w:val="22"/>
            <w:lang w:val="en-AU"/>
          </w:rPr>
          <w:t>Point</w:t>
        </w:r>
      </w:smartTag>
      <w:r w:rsidR="00A60815">
        <w:rPr>
          <w:i/>
          <w:color w:val="000000"/>
          <w:szCs w:val="22"/>
          <w:lang w:val="en-AU"/>
        </w:rPr>
        <w:t>)</w:t>
      </w:r>
      <w:r w:rsidRPr="00370E70">
        <w:rPr>
          <w:i/>
          <w:color w:val="000000"/>
          <w:szCs w:val="22"/>
          <w:lang w:val="en-AU"/>
        </w:rPr>
        <w:t xml:space="preserve">, </w:t>
      </w:r>
      <w:smartTag w:uri="urn:schemas-microsoft-com:office:smarttags" w:element="place">
        <w:r w:rsidRPr="00370E70">
          <w:rPr>
            <w:i/>
            <w:color w:val="000000"/>
            <w:szCs w:val="22"/>
            <w:lang w:val="en-AU"/>
          </w:rPr>
          <w:t>Cape York</w:t>
        </w:r>
      </w:smartTag>
      <w:r w:rsidRPr="00370E70">
        <w:rPr>
          <w:i/>
          <w:color w:val="000000"/>
          <w:szCs w:val="22"/>
          <w:lang w:val="en-AU"/>
        </w:rPr>
        <w:t xml:space="preserve"> region.</w:t>
      </w:r>
      <w:bookmarkEnd w:id="256"/>
      <w:bookmarkEnd w:id="257"/>
    </w:p>
    <w:p w:rsidR="005132EF" w:rsidRPr="00370E70" w:rsidRDefault="005132EF" w:rsidP="00034AD4">
      <w:pPr>
        <w:pStyle w:val="Heading4"/>
        <w:rPr>
          <w:b/>
          <w:color w:val="000000"/>
        </w:rPr>
      </w:pPr>
      <w:bookmarkStart w:id="258" w:name="_Toc232845910"/>
      <w:bookmarkStart w:id="259" w:name="_Toc184101979"/>
      <w:r w:rsidRPr="00370E70">
        <w:rPr>
          <w:b/>
          <w:color w:val="000000"/>
        </w:rPr>
        <w:t>Regional Climate</w:t>
      </w:r>
      <w:bookmarkEnd w:id="258"/>
      <w:bookmarkEnd w:id="259"/>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Climate in 2011/12 was cooler, drier, clearer and calmer than the previous 3-4 years. The mean maximum daily air temperature recorded in Cooktown during 2011/12 was 29.2°C; 0.3°C cooler than the 69 year </w:t>
      </w:r>
      <w:r w:rsidR="00634468" w:rsidRPr="00370E70">
        <w:rPr>
          <w:rFonts w:cs="TimesNewRoman"/>
          <w:color w:val="000000"/>
          <w:szCs w:val="22"/>
        </w:rPr>
        <w:t xml:space="preserve">average </w:t>
      </w:r>
      <w:r w:rsidRPr="00370E70">
        <w:rPr>
          <w:rFonts w:cs="TimesNewRoman"/>
          <w:color w:val="000000"/>
          <w:szCs w:val="22"/>
        </w:rPr>
        <w:t xml:space="preserve">and 0.7°C </w:t>
      </w:r>
      <w:r w:rsidR="00634468" w:rsidRPr="00370E70">
        <w:rPr>
          <w:rFonts w:cs="TimesNewRoman"/>
          <w:color w:val="000000"/>
          <w:szCs w:val="22"/>
        </w:rPr>
        <w:t xml:space="preserve">cooler than the </w:t>
      </w:r>
      <w:r w:rsidRPr="00370E70">
        <w:rPr>
          <w:rFonts w:cs="TimesNewRoman"/>
          <w:color w:val="000000"/>
          <w:szCs w:val="22"/>
        </w:rPr>
        <w:t>decade average (</w:t>
      </w:r>
      <w:r w:rsidRPr="00370E70">
        <w:fldChar w:fldCharType="begin"/>
      </w:r>
      <w:r w:rsidRPr="00370E70">
        <w:instrText xml:space="preserve"> REF _Ref276115374 \h  \* MERGEFORMAT </w:instrText>
      </w:r>
      <w:r w:rsidRPr="00370E70">
        <w:fldChar w:fldCharType="separate"/>
      </w:r>
      <w:r w:rsidR="005B5FD6" w:rsidRPr="005B5FD6">
        <w:rPr>
          <w:szCs w:val="22"/>
        </w:rPr>
        <w:t xml:space="preserve">Figure </w:t>
      </w:r>
      <w:r w:rsidR="005B5FD6" w:rsidRPr="005B5FD6">
        <w:rPr>
          <w:noProof/>
          <w:color w:val="000000"/>
          <w:szCs w:val="22"/>
        </w:rPr>
        <w:t>39</w:t>
      </w:r>
      <w:r w:rsidRPr="00370E70">
        <w:fldChar w:fldCharType="end"/>
      </w:r>
      <w:r w:rsidRPr="00370E70">
        <w:rPr>
          <w:rFonts w:cs="TimesNewRoman"/>
          <w:color w:val="000000"/>
          <w:szCs w:val="22"/>
        </w:rPr>
        <w:t>).  The highest recorded daily maximum air temperature in 2011/12 was 36.9°C</w:t>
      </w:r>
      <w:r w:rsidR="00634468" w:rsidRPr="00370E70">
        <w:rPr>
          <w:rFonts w:cs="TimesNewRoman"/>
          <w:color w:val="000000"/>
          <w:szCs w:val="22"/>
        </w:rPr>
        <w:t xml:space="preserve">, cooler than the recorded maximum of </w:t>
      </w:r>
      <w:r w:rsidR="00037B97" w:rsidRPr="00370E70">
        <w:rPr>
          <w:rFonts w:cs="TimesNewRoman"/>
          <w:color w:val="000000"/>
          <w:szCs w:val="22"/>
        </w:rPr>
        <w:t>41.7°C</w:t>
      </w:r>
      <w:r w:rsidR="00634468" w:rsidRPr="00370E70">
        <w:rPr>
          <w:rFonts w:cs="TimesNewRoman"/>
          <w:color w:val="000000"/>
          <w:szCs w:val="22"/>
        </w:rPr>
        <w:t xml:space="preserve"> </w:t>
      </w:r>
      <w:r w:rsidR="00037B97" w:rsidRPr="00370E70">
        <w:rPr>
          <w:rFonts w:cs="TimesNewRoman"/>
          <w:color w:val="000000"/>
          <w:szCs w:val="22"/>
        </w:rPr>
        <w:t>in 1958.</w:t>
      </w:r>
    </w:p>
    <w:p w:rsidR="005132EF" w:rsidRPr="00370E70" w:rsidRDefault="005132EF" w:rsidP="005B0C33">
      <w:pPr>
        <w:autoSpaceDE w:val="0"/>
        <w:autoSpaceDN w:val="0"/>
        <w:adjustRightInd w:val="0"/>
        <w:rPr>
          <w:rFonts w:cs="TimesNewRoman"/>
          <w:color w:val="000000"/>
          <w:szCs w:val="22"/>
        </w:rPr>
      </w:pPr>
      <w:r w:rsidRPr="00370E70">
        <w:rPr>
          <w:rFonts w:cs="TimesNewRoman"/>
          <w:color w:val="000000"/>
          <w:szCs w:val="22"/>
        </w:rPr>
        <w:t xml:space="preserve">The 2011/12 monitoring period was slightly drier than average with a total rainfall of 1512mm. This was 24% lower than the 2010/11 rainfall (1980mm), similar to the </w:t>
      </w:r>
      <w:r w:rsidR="002C6536" w:rsidRPr="00370E70">
        <w:rPr>
          <w:rFonts w:cs="TimesNewRoman"/>
          <w:color w:val="000000"/>
          <w:szCs w:val="22"/>
        </w:rPr>
        <w:t>decadal</w:t>
      </w:r>
      <w:r w:rsidRPr="00370E70">
        <w:rPr>
          <w:rFonts w:cs="TimesNewRoman"/>
          <w:color w:val="000000"/>
          <w:szCs w:val="22"/>
        </w:rPr>
        <w:t xml:space="preserve"> average (1475mm), but 10% lower than the 69 year mean annual rainfall (1684mm). The wettest monitoring period was 2005/06 with a total rainfall of 2321mm.</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Mean annual monthly cloud cover in 2011/12 was lower than the previous period, and 10% lower than the decadal average. Mean monthly wind speed in 2011/12 was 21.4 km.hr</w:t>
      </w:r>
      <w:r w:rsidRPr="00370E70">
        <w:rPr>
          <w:rFonts w:cs="TimesNewRoman"/>
          <w:color w:val="000000"/>
          <w:szCs w:val="22"/>
          <w:vertAlign w:val="superscript"/>
        </w:rPr>
        <w:t>-1</w:t>
      </w:r>
      <w:r w:rsidRPr="00370E70">
        <w:rPr>
          <w:rFonts w:cs="TimesNewRoman"/>
          <w:color w:val="000000"/>
          <w:szCs w:val="22"/>
        </w:rPr>
        <w:t xml:space="preserve">, this </w:t>
      </w:r>
      <w:r w:rsidR="00037B97" w:rsidRPr="00370E70">
        <w:rPr>
          <w:rFonts w:cs="TimesNewRoman"/>
          <w:color w:val="000000"/>
          <w:szCs w:val="22"/>
        </w:rPr>
        <w:t xml:space="preserve">was </w:t>
      </w:r>
      <w:r w:rsidRPr="00370E70">
        <w:rPr>
          <w:rFonts w:cs="TimesNewRoman"/>
          <w:color w:val="000000"/>
          <w:szCs w:val="22"/>
        </w:rPr>
        <w:t>slightly higher than 2010/11, but 3% calmer than the decadal average of 22 km.hr</w:t>
      </w:r>
      <w:r w:rsidRPr="00370E70">
        <w:rPr>
          <w:rFonts w:cs="TimesNewRoman"/>
          <w:color w:val="000000"/>
          <w:szCs w:val="22"/>
          <w:vertAlign w:val="superscript"/>
        </w:rPr>
        <w:t>-1</w:t>
      </w:r>
      <w:r w:rsidRPr="00370E70">
        <w:rPr>
          <w:rFonts w:cs="TimesNewRoman"/>
          <w:color w:val="000000"/>
          <w:szCs w:val="22"/>
        </w:rPr>
        <w:t>.</w:t>
      </w:r>
    </w:p>
    <w:p w:rsidR="005132EF" w:rsidRPr="00370E70" w:rsidRDefault="005132EF" w:rsidP="00034AD4">
      <w:pPr>
        <w:autoSpaceDE w:val="0"/>
        <w:autoSpaceDN w:val="0"/>
        <w:adjustRightInd w:val="0"/>
        <w:rPr>
          <w:rFonts w:cs="TimesNewRoman"/>
          <w:color w:val="000000"/>
          <w:szCs w:val="22"/>
        </w:rPr>
      </w:pPr>
    </w:p>
    <w:p w:rsidR="005132EF" w:rsidRPr="00370E70" w:rsidRDefault="005132EF" w:rsidP="00034AD4">
      <w:pPr>
        <w:autoSpaceDE w:val="0"/>
        <w:autoSpaceDN w:val="0"/>
        <w:adjustRightInd w:val="0"/>
        <w:rPr>
          <w:rFonts w:cs="TimesNewRoman"/>
          <w:color w:val="000000"/>
          <w:szCs w:val="22"/>
        </w:rPr>
      </w:pPr>
    </w:p>
    <w:p w:rsidR="005132EF" w:rsidRPr="00370E70" w:rsidRDefault="005132EF" w:rsidP="00034AD4">
      <w:pPr>
        <w:autoSpaceDE w:val="0"/>
        <w:autoSpaceDN w:val="0"/>
        <w:adjustRightInd w:val="0"/>
        <w:rPr>
          <w:rFonts w:cs="TimesNewRoman"/>
          <w:color w:val="000000"/>
          <w:szCs w:val="22"/>
        </w:rPr>
      </w:pPr>
    </w:p>
    <w:p w:rsidR="005132EF" w:rsidRPr="00370E70" w:rsidRDefault="005132EF" w:rsidP="00034AD4">
      <w:pPr>
        <w:autoSpaceDE w:val="0"/>
        <w:autoSpaceDN w:val="0"/>
        <w:adjustRightInd w:val="0"/>
        <w:rPr>
          <w:rFonts w:cs="TimesNewRoman"/>
          <w:color w:val="000000"/>
          <w:szCs w:val="22"/>
        </w:rPr>
      </w:pPr>
    </w:p>
    <w:p w:rsidR="005132EF" w:rsidRPr="00370E70" w:rsidRDefault="005132EF" w:rsidP="00034AD4">
      <w:pPr>
        <w:autoSpaceDE w:val="0"/>
        <w:autoSpaceDN w:val="0"/>
        <w:adjustRightInd w:val="0"/>
        <w:rPr>
          <w:rFonts w:cs="TimesNewRoman"/>
          <w:color w:val="000000"/>
          <w:szCs w:val="22"/>
        </w:rPr>
      </w:pPr>
    </w:p>
    <w:p w:rsidR="005132EF" w:rsidRPr="00370E70" w:rsidRDefault="007B15AB" w:rsidP="00034AD4">
      <w:pPr>
        <w:autoSpaceDE w:val="0"/>
        <w:autoSpaceDN w:val="0"/>
        <w:adjustRightInd w:val="0"/>
        <w:jc w:val="center"/>
        <w:rPr>
          <w:color w:val="000000"/>
        </w:rPr>
      </w:pPr>
      <w:r>
        <w:rPr>
          <w:noProof/>
          <w:lang w:eastAsia="en-AU"/>
        </w:rPr>
        <w:lastRenderedPageBreak/>
        <w:drawing>
          <wp:inline distT="0" distB="0" distL="0" distR="0">
            <wp:extent cx="4276090" cy="3696335"/>
            <wp:effectExtent l="0" t="0" r="0" b="0"/>
            <wp:docPr id="51" name="Picture 60" descr="Figure showing the trends in mean monthly daily maximum air temperature, total monthly rainfall, mean monthly cloud cover, and mean monthly 3pm wind speed  recorded at Cooktown airport located 16km from Archer Point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igure showing the trends in mean monthly daily maximum air temperature, total monthly rainfall, mean monthly cloud cover, and mean monthly 3pm wind speed  recorded at Cooktown airport located 16km from Archer Point monitoring sites"/>
                    <pic:cNvPicPr>
                      <a:picLocks noChangeAspect="1" noChangeArrowheads="1"/>
                    </pic:cNvPicPr>
                  </pic:nvPicPr>
                  <pic:blipFill>
                    <a:blip r:embed="rId76">
                      <a:extLst>
                        <a:ext uri="{28A0092B-C50C-407E-A947-70E740481C1C}">
                          <a14:useLocalDpi xmlns:a14="http://schemas.microsoft.com/office/drawing/2010/main" val="0"/>
                        </a:ext>
                      </a:extLst>
                    </a:blip>
                    <a:srcRect t="7242" b="2116"/>
                    <a:stretch>
                      <a:fillRect/>
                    </a:stretch>
                  </pic:blipFill>
                  <pic:spPr bwMode="auto">
                    <a:xfrm>
                      <a:off x="0" y="0"/>
                      <a:ext cx="4276090" cy="3696335"/>
                    </a:xfrm>
                    <a:prstGeom prst="rect">
                      <a:avLst/>
                    </a:prstGeom>
                    <a:noFill/>
                    <a:ln>
                      <a:noFill/>
                    </a:ln>
                  </pic:spPr>
                </pic:pic>
              </a:graphicData>
            </a:graphic>
          </wp:inline>
        </w:drawing>
      </w:r>
    </w:p>
    <w:p w:rsidR="00D12C48" w:rsidRPr="00370E70" w:rsidRDefault="005132EF" w:rsidP="00D12C48">
      <w:pPr>
        <w:pStyle w:val="Caption"/>
        <w:rPr>
          <w:i/>
          <w:vanish/>
          <w:color w:val="000000"/>
          <w:szCs w:val="22"/>
          <w:lang w:val="en-AU"/>
          <w:specVanish/>
        </w:rPr>
      </w:pPr>
      <w:bookmarkStart w:id="260" w:name="_Ref276115374"/>
      <w:bookmarkStart w:id="261" w:name="_Toc38419638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39</w:t>
      </w:r>
      <w:r w:rsidRPr="00370E70">
        <w:rPr>
          <w:lang w:val="en-AU"/>
        </w:rPr>
        <w:fldChar w:fldCharType="end"/>
      </w:r>
      <w:bookmarkEnd w:id="260"/>
      <w:r w:rsidRPr="00370E70">
        <w:rPr>
          <w:rStyle w:val="StyleCaptionCaptionCharCharLatinCalibri11ptBlackChar"/>
          <w:lang w:val="en-AU"/>
        </w:rPr>
        <w:t xml:space="preserve">. </w:t>
      </w:r>
      <w:r w:rsidRPr="00370E70">
        <w:rPr>
          <w:i/>
          <w:lang w:val="en-AU"/>
        </w:rPr>
        <w:t>Mean monthl</w:t>
      </w:r>
      <w:r w:rsidR="00D12C48" w:rsidRPr="00370E70">
        <w:rPr>
          <w:i/>
          <w:lang w:val="en-AU"/>
        </w:rPr>
        <w:t>y daily maximum air temperature</w:t>
      </w:r>
      <w:r w:rsidRPr="00370E70">
        <w:rPr>
          <w:i/>
          <w:lang w:val="en-AU"/>
        </w:rPr>
        <w:t xml:space="preserve">, total monthly rainfall (bar graph), mean monthly cloud cover (heavier line), and mean monthly 3pm wind speed (lighter line) recorded at Cooktown airport located 16km from Archer Point </w:t>
      </w:r>
      <w:r w:rsidR="002C6536" w:rsidRPr="00370E70">
        <w:rPr>
          <w:i/>
          <w:lang w:val="en-AU"/>
        </w:rPr>
        <w:t>monitoring</w:t>
      </w:r>
      <w:r w:rsidRPr="00370E70">
        <w:rPr>
          <w:i/>
          <w:lang w:val="en-AU"/>
        </w:rPr>
        <w:t xml:space="preserve"> sites.</w:t>
      </w:r>
      <w:bookmarkEnd w:id="261"/>
      <w:r w:rsidR="00D12C48" w:rsidRPr="00370E70">
        <w:rPr>
          <w:i/>
          <w:lang w:val="en-AU"/>
        </w:rPr>
        <w:t xml:space="preserve"> </w:t>
      </w:r>
    </w:p>
    <w:p w:rsidR="005132EF" w:rsidRPr="00370E70" w:rsidRDefault="00D12C48" w:rsidP="00D12C48">
      <w:pPr>
        <w:pStyle w:val="Caption"/>
        <w:rPr>
          <w:rFonts w:cs="TimesNewRoman"/>
          <w:i/>
          <w:lang w:val="en-AU"/>
        </w:rPr>
      </w:pPr>
      <w:r w:rsidRPr="00370E70">
        <w:rPr>
          <w:i/>
          <w:lang w:val="en-AU"/>
        </w:rPr>
        <w:t>BOM station 031209, source www.bom.gov.au.</w:t>
      </w:r>
      <w:r w:rsidRPr="00370E70">
        <w:rPr>
          <w:rFonts w:cs="TimesNewRoman"/>
          <w:i/>
          <w:lang w:val="en-AU"/>
        </w:rPr>
        <w:t xml:space="preserve"> </w:t>
      </w:r>
    </w:p>
    <w:p w:rsidR="005132EF" w:rsidRPr="00370E70" w:rsidRDefault="005132EF" w:rsidP="00034AD4">
      <w:pPr>
        <w:pStyle w:val="Heading4"/>
        <w:rPr>
          <w:b/>
          <w:color w:val="000000"/>
        </w:rPr>
      </w:pPr>
      <w:bookmarkStart w:id="262" w:name="_Toc184101980"/>
      <w:r w:rsidRPr="00370E70">
        <w:rPr>
          <w:b/>
          <w:color w:val="000000"/>
        </w:rPr>
        <w:t>River discharge</w:t>
      </w:r>
      <w:bookmarkEnd w:id="262"/>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The Annan River is the closest river (12km) to the seagrass monitoring sites adjacent to Archer Point, however exposure to elevated Total Suspended Solids, Chlorophyll-</w:t>
      </w:r>
      <w:r w:rsidRPr="00370E70">
        <w:rPr>
          <w:rFonts w:cs="TimesNewRoman"/>
          <w:i/>
          <w:color w:val="000000"/>
          <w:szCs w:val="22"/>
        </w:rPr>
        <w:t>a</w:t>
      </w:r>
      <w:r w:rsidRPr="00370E70">
        <w:rPr>
          <w:rFonts w:cs="TimesNewRoman"/>
          <w:color w:val="000000"/>
          <w:szCs w:val="22"/>
        </w:rPr>
        <w:t xml:space="preserve"> and PSII herbicides was rated as low, with a nil probability of exceeding the GBR WQ Guidelines in 2010 (pers. comm. Michelle Devlin, JCU).</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The annual freshwater discharge for the Annan River over the 2011/12 monitoring period (324,136 ML) was lower than the previous monitoring period (589,750 ML ), but equal to the long term median (1990-2012) (</w:t>
      </w:r>
      <w:r w:rsidRPr="00370E70">
        <w:fldChar w:fldCharType="begin"/>
      </w:r>
      <w:r w:rsidRPr="00370E70">
        <w:instrText xml:space="preserve"> REF _Ref304971683 \h  \* MERGEFORMAT </w:instrText>
      </w:r>
      <w:r w:rsidRPr="00370E70">
        <w:fldChar w:fldCharType="separate"/>
      </w:r>
      <w:r w:rsidR="005B5FD6" w:rsidRPr="005B5FD6">
        <w:rPr>
          <w:szCs w:val="22"/>
        </w:rPr>
        <w:t xml:space="preserve">Figure </w:t>
      </w:r>
      <w:r w:rsidR="005B5FD6" w:rsidRPr="005B5FD6">
        <w:rPr>
          <w:noProof/>
          <w:color w:val="000000"/>
          <w:szCs w:val="22"/>
        </w:rPr>
        <w:t>40</w:t>
      </w:r>
      <w:r w:rsidRPr="00370E70">
        <w:fldChar w:fldCharType="end"/>
      </w:r>
      <w:r w:rsidRPr="00370E70">
        <w:rPr>
          <w:rFonts w:cs="TimesNewRoman"/>
          <w:color w:val="000000"/>
          <w:szCs w:val="22"/>
        </w:rPr>
        <w:t xml:space="preserve">). </w:t>
      </w:r>
      <w:r w:rsidRPr="00370E70">
        <w:rPr>
          <w:color w:val="000000"/>
          <w:szCs w:val="22"/>
        </w:rPr>
        <w:t xml:space="preserve"> </w:t>
      </w:r>
      <w:r w:rsidRPr="00370E70">
        <w:rPr>
          <w:rFonts w:cs="TimesNewRoman"/>
          <w:color w:val="000000"/>
          <w:szCs w:val="22"/>
        </w:rPr>
        <w:t xml:space="preserve">Highest flows in the </w:t>
      </w:r>
      <w:smartTag w:uri="urn:schemas-microsoft-com:office:smarttags" w:element="place">
        <w:smartTag w:uri="urn:schemas-microsoft-com:office:smarttags" w:element="PlaceName">
          <w:r w:rsidRPr="00370E70">
            <w:rPr>
              <w:rFonts w:cs="TimesNewRoman"/>
              <w:color w:val="000000"/>
              <w:szCs w:val="22"/>
            </w:rPr>
            <w:t>Annan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over 2011/12 occurred from March to May 2012 (late monsoon), with peak a</w:t>
      </w:r>
      <w:r w:rsidRPr="00370E70">
        <w:rPr>
          <w:color w:val="000000"/>
          <w:szCs w:val="22"/>
        </w:rPr>
        <w:t>verage daily flows</w:t>
      </w:r>
      <w:r w:rsidRPr="00370E70">
        <w:rPr>
          <w:rFonts w:cs="TimesNewRoman"/>
          <w:color w:val="000000"/>
          <w:szCs w:val="22"/>
        </w:rPr>
        <w:t xml:space="preserve"> in March (156,775 </w:t>
      </w:r>
      <w:r w:rsidRPr="00370E70">
        <w:rPr>
          <w:color w:val="000000"/>
          <w:szCs w:val="22"/>
        </w:rPr>
        <w:t>ML day</w:t>
      </w:r>
      <w:r w:rsidRPr="00370E70">
        <w:rPr>
          <w:color w:val="000000"/>
          <w:szCs w:val="22"/>
          <w:vertAlign w:val="superscript"/>
        </w:rPr>
        <w:noBreakHyphen/>
        <w:t>1</w:t>
      </w:r>
      <w:proofErr w:type="gramStart"/>
      <w:r w:rsidRPr="00370E70">
        <w:rPr>
          <w:rFonts w:cs="TimesNewRoman"/>
          <w:color w:val="000000"/>
          <w:szCs w:val="22"/>
        </w:rPr>
        <w:t>)(</w:t>
      </w:r>
      <w:proofErr w:type="gramEnd"/>
      <w:r w:rsidRPr="00370E70">
        <w:fldChar w:fldCharType="begin"/>
      </w:r>
      <w:r w:rsidRPr="00370E70">
        <w:instrText xml:space="preserve"> REF _Ref304971683 \h  \* MERGEFORMAT </w:instrText>
      </w:r>
      <w:r w:rsidRPr="00370E70">
        <w:fldChar w:fldCharType="separate"/>
      </w:r>
      <w:r w:rsidR="005B5FD6" w:rsidRPr="005B5FD6">
        <w:rPr>
          <w:szCs w:val="22"/>
        </w:rPr>
        <w:t xml:space="preserve">Figure </w:t>
      </w:r>
      <w:r w:rsidR="005B5FD6" w:rsidRPr="005B5FD6">
        <w:rPr>
          <w:noProof/>
          <w:color w:val="000000"/>
          <w:szCs w:val="22"/>
        </w:rPr>
        <w:t>40</w:t>
      </w:r>
      <w:r w:rsidRPr="00370E70">
        <w:fldChar w:fldCharType="end"/>
      </w:r>
      <w:r w:rsidRPr="00370E70">
        <w:rPr>
          <w:rFonts w:cs="TimesNewRoman"/>
          <w:color w:val="000000"/>
          <w:szCs w:val="22"/>
        </w:rPr>
        <w:t>).</w:t>
      </w:r>
    </w:p>
    <w:p w:rsidR="005132EF" w:rsidRPr="00370E70" w:rsidRDefault="005132EF" w:rsidP="00034AD4">
      <w:pPr>
        <w:autoSpaceDE w:val="0"/>
        <w:autoSpaceDN w:val="0"/>
        <w:adjustRightInd w:val="0"/>
        <w:rPr>
          <w:rFonts w:cs="TimesNewRoman"/>
          <w:color w:val="000000"/>
          <w:szCs w:val="22"/>
        </w:rPr>
      </w:pPr>
    </w:p>
    <w:p w:rsidR="005132EF" w:rsidRPr="00370E70" w:rsidRDefault="007B15AB" w:rsidP="00034AD4">
      <w:pPr>
        <w:keepNext/>
        <w:autoSpaceDE w:val="0"/>
        <w:autoSpaceDN w:val="0"/>
        <w:adjustRightInd w:val="0"/>
      </w:pPr>
      <w:r>
        <w:rPr>
          <w:noProof/>
          <w:lang w:eastAsia="en-AU"/>
        </w:rPr>
        <w:lastRenderedPageBreak/>
        <w:drawing>
          <wp:inline distT="0" distB="0" distL="0" distR="0">
            <wp:extent cx="5447665" cy="2099310"/>
            <wp:effectExtent l="0" t="0" r="635" b="0"/>
            <wp:docPr id="52" name="Picture 61" descr="Figure showing the long-term trend in average daily flow (ML day-1) per month from the Anna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igure showing the long-term trend in average daily flow (ML day-1) per month from the Annan River"/>
                    <pic:cNvPicPr>
                      <a:picLocks noChangeAspect="1" noChangeArrowheads="1"/>
                    </pic:cNvPicPr>
                  </pic:nvPicPr>
                  <pic:blipFill>
                    <a:blip r:embed="rId77">
                      <a:extLst>
                        <a:ext uri="{28A0092B-C50C-407E-A947-70E740481C1C}">
                          <a14:useLocalDpi xmlns:a14="http://schemas.microsoft.com/office/drawing/2010/main" val="0"/>
                        </a:ext>
                      </a:extLst>
                    </a:blip>
                    <a:srcRect b="5356"/>
                    <a:stretch>
                      <a:fillRect/>
                    </a:stretch>
                  </pic:blipFill>
                  <pic:spPr bwMode="auto">
                    <a:xfrm>
                      <a:off x="0" y="0"/>
                      <a:ext cx="5447665" cy="2099310"/>
                    </a:xfrm>
                    <a:prstGeom prst="rect">
                      <a:avLst/>
                    </a:prstGeom>
                    <a:noFill/>
                    <a:ln>
                      <a:noFill/>
                    </a:ln>
                  </pic:spPr>
                </pic:pic>
              </a:graphicData>
            </a:graphic>
          </wp:inline>
        </w:drawing>
      </w:r>
    </w:p>
    <w:p w:rsidR="00D12C48" w:rsidRPr="00370E70" w:rsidRDefault="005132EF" w:rsidP="00D12C48">
      <w:pPr>
        <w:pStyle w:val="Caption"/>
        <w:rPr>
          <w:i/>
          <w:vanish/>
          <w:color w:val="000000"/>
          <w:szCs w:val="22"/>
          <w:lang w:val="en-AU"/>
          <w:specVanish/>
        </w:rPr>
      </w:pPr>
      <w:bookmarkStart w:id="263" w:name="_Ref304971683"/>
      <w:bookmarkStart w:id="264" w:name="_Toc38419638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40</w:t>
      </w:r>
      <w:r w:rsidRPr="00370E70">
        <w:rPr>
          <w:lang w:val="en-AU"/>
        </w:rPr>
        <w:fldChar w:fldCharType="end"/>
      </w:r>
      <w:bookmarkEnd w:id="263"/>
      <w:r w:rsidRPr="00370E70">
        <w:rPr>
          <w:rStyle w:val="StyleCaptionCaptionCharCharLatinCalibri11ptBlackChar"/>
          <w:lang w:val="en-AU"/>
        </w:rPr>
        <w:t xml:space="preserve">. </w:t>
      </w:r>
      <w:r w:rsidRPr="00370E70">
        <w:rPr>
          <w:i/>
          <w:lang w:val="en-AU"/>
        </w:rPr>
        <w:t>Average daily flow (ML day</w:t>
      </w:r>
      <w:r w:rsidRPr="00370E70">
        <w:rPr>
          <w:i/>
          <w:vertAlign w:val="superscript"/>
          <w:lang w:val="en-AU"/>
        </w:rPr>
        <w:t>-1</w:t>
      </w:r>
      <w:r w:rsidRPr="00370E70">
        <w:rPr>
          <w:i/>
          <w:lang w:val="en-AU"/>
        </w:rPr>
        <w:t xml:space="preserve">) per month from the </w:t>
      </w:r>
      <w:smartTag w:uri="urn:schemas-microsoft-com:office:smarttags" w:element="place">
        <w:smartTag w:uri="urn:schemas-microsoft-com:office:smarttags" w:element="PlaceName">
          <w:r w:rsidRPr="00370E70">
            <w:rPr>
              <w:i/>
              <w:lang w:val="en-AU"/>
            </w:rPr>
            <w:t>Annan</w:t>
          </w:r>
        </w:smartTag>
        <w:r w:rsidRPr="00370E70">
          <w:rPr>
            <w:i/>
            <w:lang w:val="en-AU"/>
          </w:rPr>
          <w:t xml:space="preserve"> </w:t>
        </w:r>
        <w:smartTag w:uri="urn:schemas-microsoft-com:office:smarttags" w:element="PlaceType">
          <w:r w:rsidRPr="00370E70">
            <w:rPr>
              <w:i/>
              <w:lang w:val="en-AU"/>
            </w:rPr>
            <w:t>River</w:t>
          </w:r>
        </w:smartTag>
      </w:smartTag>
      <w:r w:rsidR="00D12C48" w:rsidRPr="00370E70">
        <w:rPr>
          <w:i/>
          <w:lang w:val="en-AU"/>
        </w:rPr>
        <w:t>.</w:t>
      </w:r>
      <w:bookmarkEnd w:id="264"/>
      <w:r w:rsidR="00D12C48" w:rsidRPr="00370E70">
        <w:rPr>
          <w:i/>
          <w:lang w:val="en-AU"/>
        </w:rPr>
        <w:t xml:space="preserve"> </w:t>
      </w:r>
    </w:p>
    <w:p w:rsidR="00D12C48" w:rsidRPr="00370E70" w:rsidRDefault="005132EF" w:rsidP="00D12C48">
      <w:pPr>
        <w:pStyle w:val="Caption"/>
        <w:rPr>
          <w:i/>
          <w:lang w:val="en-AU"/>
        </w:rPr>
      </w:pPr>
      <w:r w:rsidRPr="00370E70">
        <w:rPr>
          <w:i/>
          <w:lang w:val="en-AU"/>
        </w:rPr>
        <w:t xml:space="preserve"> </w:t>
      </w:r>
      <w:smartTag w:uri="urn:schemas-microsoft-com:office:smarttags" w:element="PlaceName">
        <w:r w:rsidR="00D12C48" w:rsidRPr="00370E70">
          <w:rPr>
            <w:i/>
            <w:lang w:val="en-AU"/>
          </w:rPr>
          <w:t>Annan</w:t>
        </w:r>
      </w:smartTag>
      <w:r w:rsidR="00D12C48" w:rsidRPr="00370E70">
        <w:rPr>
          <w:i/>
          <w:lang w:val="en-AU"/>
        </w:rPr>
        <w:t xml:space="preserve"> </w:t>
      </w:r>
      <w:smartTag w:uri="urn:schemas-microsoft-com:office:smarttags" w:element="PlaceType">
        <w:r w:rsidR="00D12C48" w:rsidRPr="00370E70">
          <w:rPr>
            <w:i/>
            <w:lang w:val="en-AU"/>
          </w:rPr>
          <w:t>River</w:t>
        </w:r>
      </w:smartTag>
      <w:r w:rsidR="00D12C48" w:rsidRPr="00370E70">
        <w:rPr>
          <w:i/>
          <w:lang w:val="en-AU"/>
        </w:rPr>
        <w:t xml:space="preserve"> discharges </w:t>
      </w:r>
      <w:r w:rsidRPr="00370E70">
        <w:rPr>
          <w:i/>
          <w:lang w:val="en-AU"/>
        </w:rPr>
        <w:t xml:space="preserve">recorded at Beesbike (DERM station 107003A, 15.68773S, 145.2085 E,  Elev:115m) (source The State of </w:t>
      </w:r>
      <w:smartTag w:uri="urn:schemas-microsoft-com:office:smarttags" w:element="place">
        <w:smartTag w:uri="urn:schemas-microsoft-com:office:smarttags" w:element="State">
          <w:r w:rsidRPr="00370E70">
            <w:rPr>
              <w:i/>
              <w:lang w:val="en-AU"/>
            </w:rPr>
            <w:t>Queensland</w:t>
          </w:r>
        </w:smartTag>
      </w:smartTag>
      <w:r w:rsidRPr="00370E70">
        <w:rPr>
          <w:i/>
          <w:lang w:val="en-AU"/>
        </w:rPr>
        <w:t xml:space="preserve"> (Department of Environment and Resource Management) 2012, watermonitoring.derm.qld.gov.au). </w:t>
      </w:r>
    </w:p>
    <w:p w:rsidR="005132EF" w:rsidRPr="00370E70" w:rsidRDefault="005132EF" w:rsidP="00034AD4">
      <w:pPr>
        <w:autoSpaceDE w:val="0"/>
        <w:autoSpaceDN w:val="0"/>
        <w:adjustRightInd w:val="0"/>
        <w:rPr>
          <w:rFonts w:ascii="TimesNewRoman" w:hAnsi="TimesNewRoman" w:cs="TimesNewRoman"/>
          <w:color w:val="000000"/>
        </w:rPr>
      </w:pPr>
    </w:p>
    <w:p w:rsidR="005132EF" w:rsidRPr="00370E70" w:rsidRDefault="005132EF" w:rsidP="00034AD4">
      <w:pPr>
        <w:autoSpaceDE w:val="0"/>
        <w:autoSpaceDN w:val="0"/>
        <w:adjustRightInd w:val="0"/>
        <w:rPr>
          <w:rFonts w:ascii="TimesNewRoman" w:hAnsi="TimesNewRoman" w:cs="TimesNewRoman"/>
          <w:color w:val="000000"/>
        </w:rPr>
      </w:pPr>
    </w:p>
    <w:p w:rsidR="005132EF" w:rsidRPr="00370E70" w:rsidRDefault="005132EF" w:rsidP="00034AD4">
      <w:pPr>
        <w:rPr>
          <w:color w:val="000000"/>
        </w:rPr>
      </w:pPr>
      <w:r w:rsidRPr="00370E70">
        <w:rPr>
          <w:rFonts w:ascii="TimesNewRoman" w:hAnsi="TimesNewRoman" w:cs="TimesNewRoman"/>
          <w:color w:val="000080"/>
        </w:rPr>
        <w:br w:type="page"/>
      </w:r>
      <w:r w:rsidR="007B15AB">
        <w:rPr>
          <w:noProof/>
          <w:color w:val="000000"/>
          <w:lang w:eastAsia="en-AU"/>
        </w:rPr>
        <w:lastRenderedPageBreak/>
        <w:drawing>
          <wp:inline distT="0" distB="0" distL="0" distR="0">
            <wp:extent cx="5756910" cy="2035175"/>
            <wp:effectExtent l="0" t="0" r="0" b="3175"/>
            <wp:docPr id="53" name="Picture 62" descr="Photgraph of the seagrass meadow at Green Island, 04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Photgraph of the seagrass meadow at Green Island, 04 April 201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56910" cy="203517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265" w:name="_Toc175991066"/>
      <w:bookmarkStart w:id="266" w:name="_Toc232845911"/>
      <w:bookmarkStart w:id="267" w:name="_Toc184101981"/>
      <w:bookmarkStart w:id="268" w:name="_Toc384196131"/>
      <w:r w:rsidRPr="00370E70">
        <w:rPr>
          <w:rFonts w:ascii="Century Gothic" w:hAnsi="Century Gothic"/>
          <w:color w:val="000000"/>
        </w:rPr>
        <w:t>Wet Tropics</w:t>
      </w:r>
      <w:bookmarkEnd w:id="265"/>
      <w:bookmarkEnd w:id="266"/>
      <w:bookmarkEnd w:id="267"/>
      <w:bookmarkEnd w:id="268"/>
    </w:p>
    <w:p w:rsidR="005132EF" w:rsidRPr="00370E70" w:rsidRDefault="005132EF" w:rsidP="00034AD4">
      <w:pPr>
        <w:pStyle w:val="Heading3"/>
        <w:rPr>
          <w:color w:val="000000"/>
        </w:rPr>
      </w:pPr>
      <w:bookmarkStart w:id="269" w:name="_Toc184101982"/>
      <w:bookmarkStart w:id="270" w:name="_Toc384196132"/>
      <w:r w:rsidRPr="00370E70">
        <w:rPr>
          <w:color w:val="000000"/>
        </w:rPr>
        <w:t>2011/12 Summary</w:t>
      </w:r>
      <w:bookmarkEnd w:id="269"/>
      <w:bookmarkEnd w:id="270"/>
    </w:p>
    <w:p w:rsidR="005132EF" w:rsidRPr="00370E70" w:rsidRDefault="005132EF" w:rsidP="00034AD4">
      <w:pPr>
        <w:rPr>
          <w:color w:val="000000"/>
          <w:szCs w:val="22"/>
        </w:rPr>
      </w:pPr>
      <w:r w:rsidRPr="00370E70">
        <w:rPr>
          <w:color w:val="000000"/>
          <w:szCs w:val="22"/>
        </w:rPr>
        <w:t xml:space="preserve">The region includes two World Heritage Areas, however increases in intensive agriculture, coastal development and declining water quality have been identified as significant </w:t>
      </w:r>
      <w:r w:rsidR="001B7FC7" w:rsidRPr="00370E70">
        <w:rPr>
          <w:color w:val="000000"/>
          <w:szCs w:val="22"/>
        </w:rPr>
        <w:t>across</w:t>
      </w:r>
      <w:r w:rsidRPr="00370E70">
        <w:rPr>
          <w:color w:val="000000"/>
          <w:szCs w:val="22"/>
        </w:rPr>
        <w:t xml:space="preserve"> the region. Seagrass monitoring was conducted on coastal and reef habitats. A dominant influence on these habitats is disturbance from wave action, sediment movement, elevated temperatures as well as seasonal terrigenous runoff. Nutrient concentrations are also generally low in reef habitats due to the </w:t>
      </w:r>
      <w:r w:rsidR="001B7FC7" w:rsidRPr="00370E70">
        <w:rPr>
          <w:color w:val="000000"/>
          <w:szCs w:val="22"/>
        </w:rPr>
        <w:t xml:space="preserve">carbonate </w:t>
      </w:r>
      <w:r w:rsidRPr="00370E70">
        <w:rPr>
          <w:color w:val="000000"/>
          <w:szCs w:val="22"/>
        </w:rPr>
        <w:t xml:space="preserve">nature of the sediments. </w:t>
      </w:r>
    </w:p>
    <w:p w:rsidR="0013419F" w:rsidRPr="00370E70" w:rsidRDefault="00FF2331" w:rsidP="0013419F">
      <w:pPr>
        <w:rPr>
          <w:color w:val="000000"/>
          <w:szCs w:val="22"/>
        </w:rPr>
      </w:pPr>
      <w:r w:rsidRPr="00370E70">
        <w:rPr>
          <w:color w:val="000000"/>
          <w:szCs w:val="22"/>
        </w:rPr>
        <w:t xml:space="preserve">During the 2011/12 monitoring period, </w:t>
      </w:r>
      <w:r w:rsidR="00A643F0" w:rsidRPr="00370E70">
        <w:rPr>
          <w:color w:val="000000"/>
          <w:szCs w:val="22"/>
        </w:rPr>
        <w:t xml:space="preserve">coastal </w:t>
      </w:r>
      <w:r w:rsidRPr="00370E70">
        <w:rPr>
          <w:color w:val="000000"/>
          <w:szCs w:val="22"/>
        </w:rPr>
        <w:t xml:space="preserve">seagrass </w:t>
      </w:r>
      <w:r w:rsidR="00A643F0" w:rsidRPr="00370E70">
        <w:rPr>
          <w:color w:val="000000"/>
          <w:szCs w:val="22"/>
        </w:rPr>
        <w:t xml:space="preserve">abundance declined, however </w:t>
      </w:r>
      <w:r w:rsidR="001B7FC7" w:rsidRPr="00370E70">
        <w:rPr>
          <w:color w:val="000000"/>
          <w:szCs w:val="22"/>
        </w:rPr>
        <w:t xml:space="preserve">intertidal and subtidal </w:t>
      </w:r>
      <w:r w:rsidR="00A643F0" w:rsidRPr="00370E70">
        <w:rPr>
          <w:color w:val="000000"/>
          <w:szCs w:val="22"/>
        </w:rPr>
        <w:t xml:space="preserve">reef </w:t>
      </w:r>
      <w:r w:rsidRPr="00370E70">
        <w:rPr>
          <w:color w:val="000000"/>
          <w:szCs w:val="22"/>
        </w:rPr>
        <w:t>abundance</w:t>
      </w:r>
      <w:r w:rsidR="001B7FC7" w:rsidRPr="00370E70">
        <w:rPr>
          <w:color w:val="000000"/>
          <w:szCs w:val="22"/>
        </w:rPr>
        <w:t>s</w:t>
      </w:r>
      <w:r w:rsidRPr="00370E70">
        <w:rPr>
          <w:color w:val="000000"/>
          <w:szCs w:val="22"/>
        </w:rPr>
        <w:t xml:space="preserve"> </w:t>
      </w:r>
      <w:r w:rsidR="00A643F0" w:rsidRPr="00370E70">
        <w:rPr>
          <w:color w:val="000000"/>
          <w:szCs w:val="22"/>
        </w:rPr>
        <w:t xml:space="preserve">remained </w:t>
      </w:r>
      <w:r w:rsidR="001B7FC7" w:rsidRPr="00370E70">
        <w:rPr>
          <w:color w:val="000000"/>
          <w:szCs w:val="22"/>
        </w:rPr>
        <w:t xml:space="preserve">relatively </w:t>
      </w:r>
      <w:r w:rsidR="00A643F0" w:rsidRPr="00370E70">
        <w:rPr>
          <w:color w:val="000000"/>
          <w:szCs w:val="22"/>
        </w:rPr>
        <w:t>stable (unchanged)</w:t>
      </w:r>
      <w:r w:rsidR="00C45494" w:rsidRPr="00370E70">
        <w:rPr>
          <w:color w:val="000000"/>
          <w:szCs w:val="22"/>
        </w:rPr>
        <w:t xml:space="preserve"> from the low levels reported in early 2011</w:t>
      </w:r>
      <w:r w:rsidRPr="00370E70">
        <w:rPr>
          <w:color w:val="000000"/>
          <w:szCs w:val="22"/>
        </w:rPr>
        <w:t xml:space="preserve">. </w:t>
      </w:r>
      <w:r w:rsidR="001B7FC7" w:rsidRPr="00370E70">
        <w:rPr>
          <w:color w:val="000000"/>
          <w:szCs w:val="22"/>
        </w:rPr>
        <w:t xml:space="preserve">Meadow extent across most sites either </w:t>
      </w:r>
      <w:r w:rsidR="0013419F" w:rsidRPr="00370E70">
        <w:rPr>
          <w:color w:val="000000"/>
          <w:szCs w:val="22"/>
        </w:rPr>
        <w:t>declined</w:t>
      </w:r>
      <w:r w:rsidR="001B7FC7" w:rsidRPr="00370E70">
        <w:rPr>
          <w:color w:val="000000"/>
          <w:szCs w:val="22"/>
        </w:rPr>
        <w:t xml:space="preserve"> or was lost as a consequence of the extreme weather events of early 2011. Over the 2011/12 monitoring period, there was little or no expansion of the meadows as the plants were </w:t>
      </w:r>
      <w:r w:rsidR="00C45494" w:rsidRPr="00370E70">
        <w:rPr>
          <w:color w:val="000000"/>
          <w:szCs w:val="22"/>
        </w:rPr>
        <w:t xml:space="preserve">in </w:t>
      </w:r>
      <w:r w:rsidR="001B7FC7" w:rsidRPr="00370E70">
        <w:rPr>
          <w:color w:val="000000"/>
          <w:szCs w:val="22"/>
        </w:rPr>
        <w:t>establish</w:t>
      </w:r>
      <w:r w:rsidR="00C45494" w:rsidRPr="00370E70">
        <w:rPr>
          <w:color w:val="000000"/>
          <w:szCs w:val="22"/>
        </w:rPr>
        <w:t>ment phase (onset of recovery</w:t>
      </w:r>
      <w:r w:rsidR="0044362E" w:rsidRPr="00370E70">
        <w:rPr>
          <w:color w:val="000000"/>
          <w:szCs w:val="22"/>
        </w:rPr>
        <w:t xml:space="preserve"> with appearance of seedlings</w:t>
      </w:r>
      <w:r w:rsidR="00C45494" w:rsidRPr="00370E70">
        <w:rPr>
          <w:color w:val="000000"/>
          <w:szCs w:val="22"/>
        </w:rPr>
        <w:t>)</w:t>
      </w:r>
      <w:r w:rsidR="001B7FC7" w:rsidRPr="00370E70">
        <w:rPr>
          <w:color w:val="000000"/>
          <w:szCs w:val="22"/>
        </w:rPr>
        <w:t xml:space="preserve"> or ha</w:t>
      </w:r>
      <w:r w:rsidR="00C45494" w:rsidRPr="00370E70">
        <w:rPr>
          <w:color w:val="000000"/>
          <w:szCs w:val="22"/>
        </w:rPr>
        <w:t>d</w:t>
      </w:r>
      <w:r w:rsidR="001B7FC7" w:rsidRPr="00370E70">
        <w:rPr>
          <w:color w:val="000000"/>
          <w:szCs w:val="22"/>
        </w:rPr>
        <w:t>n't recovered enough to progress to expansion phase</w:t>
      </w:r>
      <w:r w:rsidR="0044362E" w:rsidRPr="00370E70">
        <w:rPr>
          <w:color w:val="000000"/>
          <w:szCs w:val="22"/>
        </w:rPr>
        <w:t xml:space="preserve"> (isolated seedlings with few ramets)</w:t>
      </w:r>
      <w:r w:rsidR="001B7FC7" w:rsidRPr="00370E70">
        <w:rPr>
          <w:color w:val="000000"/>
          <w:szCs w:val="22"/>
        </w:rPr>
        <w:t>. Over the period s</w:t>
      </w:r>
      <w:r w:rsidR="00A643F0" w:rsidRPr="00370E70">
        <w:rPr>
          <w:color w:val="000000"/>
          <w:szCs w:val="22"/>
        </w:rPr>
        <w:t xml:space="preserve">eeds banks declined, but this </w:t>
      </w:r>
      <w:r w:rsidR="00C45494" w:rsidRPr="00370E70">
        <w:rPr>
          <w:color w:val="000000"/>
          <w:szCs w:val="22"/>
        </w:rPr>
        <w:t xml:space="preserve">may be a </w:t>
      </w:r>
      <w:r w:rsidR="00A643F0" w:rsidRPr="00370E70">
        <w:rPr>
          <w:color w:val="000000"/>
          <w:szCs w:val="22"/>
        </w:rPr>
        <w:t>reflect</w:t>
      </w:r>
      <w:r w:rsidR="00C45494" w:rsidRPr="00370E70">
        <w:rPr>
          <w:color w:val="000000"/>
          <w:szCs w:val="22"/>
        </w:rPr>
        <w:t>ion of the</w:t>
      </w:r>
      <w:r w:rsidR="00A643F0" w:rsidRPr="00370E70">
        <w:rPr>
          <w:color w:val="000000"/>
          <w:szCs w:val="22"/>
        </w:rPr>
        <w:t xml:space="preserve"> higher germination and </w:t>
      </w:r>
      <w:r w:rsidR="001B7FC7" w:rsidRPr="00370E70">
        <w:rPr>
          <w:color w:val="000000"/>
          <w:szCs w:val="22"/>
        </w:rPr>
        <w:t>establishment of isolated plants/patches. C</w:t>
      </w:r>
      <w:r w:rsidR="00A643F0" w:rsidRPr="00370E70">
        <w:rPr>
          <w:color w:val="000000"/>
          <w:szCs w:val="22"/>
        </w:rPr>
        <w:t xml:space="preserve">oastal </w:t>
      </w:r>
      <w:bookmarkStart w:id="271" w:name="OLE_LINK9"/>
      <w:bookmarkStart w:id="272" w:name="OLE_LINK11"/>
      <w:r w:rsidR="002C6536" w:rsidRPr="00370E70">
        <w:rPr>
          <w:color w:val="000000"/>
          <w:szCs w:val="22"/>
        </w:rPr>
        <w:t>reproductive</w:t>
      </w:r>
      <w:r w:rsidR="00A643F0" w:rsidRPr="00370E70">
        <w:rPr>
          <w:color w:val="000000"/>
          <w:szCs w:val="22"/>
        </w:rPr>
        <w:t xml:space="preserve"> status </w:t>
      </w:r>
      <w:bookmarkEnd w:id="271"/>
      <w:bookmarkEnd w:id="272"/>
      <w:r w:rsidR="001B7FC7" w:rsidRPr="00370E70">
        <w:rPr>
          <w:color w:val="000000"/>
          <w:szCs w:val="22"/>
        </w:rPr>
        <w:t xml:space="preserve">remained </w:t>
      </w:r>
      <w:r w:rsidR="00A643F0" w:rsidRPr="00370E70">
        <w:rPr>
          <w:color w:val="000000"/>
          <w:szCs w:val="22"/>
        </w:rPr>
        <w:t>unchanged</w:t>
      </w:r>
      <w:r w:rsidR="001B7FC7" w:rsidRPr="00370E70">
        <w:rPr>
          <w:color w:val="000000"/>
          <w:szCs w:val="22"/>
        </w:rPr>
        <w:t xml:space="preserve"> (at zero)</w:t>
      </w:r>
      <w:r w:rsidR="00A643F0" w:rsidRPr="00370E70">
        <w:rPr>
          <w:color w:val="000000"/>
          <w:szCs w:val="22"/>
        </w:rPr>
        <w:t xml:space="preserve">, however reef and subtidal </w:t>
      </w:r>
      <w:r w:rsidR="001B7FC7" w:rsidRPr="00370E70">
        <w:rPr>
          <w:color w:val="000000"/>
          <w:szCs w:val="22"/>
        </w:rPr>
        <w:t xml:space="preserve">reproductive status </w:t>
      </w:r>
      <w:r w:rsidR="002C6536" w:rsidRPr="00370E70">
        <w:rPr>
          <w:color w:val="000000"/>
          <w:szCs w:val="22"/>
        </w:rPr>
        <w:t>declined</w:t>
      </w:r>
      <w:r w:rsidR="0044362E" w:rsidRPr="00370E70">
        <w:rPr>
          <w:color w:val="000000"/>
          <w:szCs w:val="22"/>
        </w:rPr>
        <w:t>, indicating seed bank was the product of reproductive success the previous year</w:t>
      </w:r>
      <w:r w:rsidR="00A643F0" w:rsidRPr="00370E70">
        <w:rPr>
          <w:color w:val="000000"/>
          <w:szCs w:val="22"/>
        </w:rPr>
        <w:t>.</w:t>
      </w:r>
    </w:p>
    <w:p w:rsidR="00A643F0" w:rsidRPr="00370E70" w:rsidRDefault="00C45494" w:rsidP="003B7AF3">
      <w:pPr>
        <w:pStyle w:val="BodyText"/>
        <w:spacing w:after="0" w:line="240" w:lineRule="auto"/>
        <w:rPr>
          <w:color w:val="000000"/>
          <w:szCs w:val="22"/>
        </w:rPr>
      </w:pPr>
      <w:r w:rsidRPr="00370E70">
        <w:rPr>
          <w:color w:val="000000"/>
          <w:szCs w:val="22"/>
        </w:rPr>
        <w:t xml:space="preserve">Seagrass tissue nutrients in late 2011 </w:t>
      </w:r>
      <w:r w:rsidR="0013419F" w:rsidRPr="00370E70">
        <w:rPr>
          <w:color w:val="000000"/>
          <w:szCs w:val="22"/>
        </w:rPr>
        <w:t xml:space="preserve">remained </w:t>
      </w:r>
      <w:r w:rsidR="00A643F0" w:rsidRPr="00370E70">
        <w:rPr>
          <w:color w:val="000000"/>
          <w:szCs w:val="22"/>
        </w:rPr>
        <w:t>similar across habitats</w:t>
      </w:r>
      <w:r w:rsidR="0013419F" w:rsidRPr="00370E70">
        <w:rPr>
          <w:color w:val="000000"/>
          <w:szCs w:val="22"/>
        </w:rPr>
        <w:t xml:space="preserve"> to </w:t>
      </w:r>
      <w:r w:rsidRPr="00370E70">
        <w:rPr>
          <w:color w:val="000000"/>
          <w:szCs w:val="22"/>
        </w:rPr>
        <w:t xml:space="preserve">the </w:t>
      </w:r>
      <w:r w:rsidR="0013419F" w:rsidRPr="00370E70">
        <w:rPr>
          <w:color w:val="000000"/>
          <w:szCs w:val="22"/>
        </w:rPr>
        <w:t>previous monitoring period</w:t>
      </w:r>
      <w:r w:rsidR="00A643F0" w:rsidRPr="00370E70">
        <w:rPr>
          <w:color w:val="000000"/>
          <w:szCs w:val="22"/>
        </w:rPr>
        <w:t>, suggesting P and N surplus to C requirements</w:t>
      </w:r>
      <w:r w:rsidR="0013419F" w:rsidRPr="00370E70">
        <w:rPr>
          <w:color w:val="000000"/>
          <w:szCs w:val="22"/>
        </w:rPr>
        <w:t>.</w:t>
      </w:r>
      <w:r w:rsidRPr="00370E70">
        <w:rPr>
          <w:color w:val="000000"/>
          <w:szCs w:val="22"/>
        </w:rPr>
        <w:t xml:space="preserve"> The primary source of elevated nitrogen was either from N</w:t>
      </w:r>
      <w:r w:rsidRPr="00370E70">
        <w:rPr>
          <w:color w:val="000000"/>
          <w:szCs w:val="22"/>
          <w:vertAlign w:val="subscript"/>
        </w:rPr>
        <w:t>2</w:t>
      </w:r>
      <w:r w:rsidRPr="00370E70">
        <w:rPr>
          <w:color w:val="000000"/>
          <w:szCs w:val="22"/>
        </w:rPr>
        <w:t xml:space="preserve"> fixation or fertiliser. </w:t>
      </w:r>
      <w:r w:rsidR="003B7AF3" w:rsidRPr="00370E70">
        <w:rPr>
          <w:color w:val="000000"/>
          <w:szCs w:val="22"/>
        </w:rPr>
        <w:t xml:space="preserve">Epiphyte abundance remained high relative to the long-term average, possibly a consequence of the elevated N. </w:t>
      </w:r>
      <w:r w:rsidR="0013419F" w:rsidRPr="00370E70">
        <w:rPr>
          <w:color w:val="000000"/>
          <w:szCs w:val="22"/>
        </w:rPr>
        <w:t xml:space="preserve">The </w:t>
      </w:r>
      <w:r w:rsidR="003B7AF3" w:rsidRPr="00370E70">
        <w:rPr>
          <w:color w:val="000000"/>
          <w:szCs w:val="22"/>
        </w:rPr>
        <w:t xml:space="preserve">canopy incident light </w:t>
      </w:r>
      <w:r w:rsidR="0013419F" w:rsidRPr="00370E70">
        <w:rPr>
          <w:color w:val="000000"/>
          <w:szCs w:val="22"/>
        </w:rPr>
        <w:t>environment improved in 2011/12</w:t>
      </w:r>
      <w:r w:rsidR="003B7AF3" w:rsidRPr="00370E70">
        <w:rPr>
          <w:color w:val="000000"/>
          <w:szCs w:val="22"/>
        </w:rPr>
        <w:t xml:space="preserve">, however this was primarily due to the high light levels in </w:t>
      </w:r>
      <w:r w:rsidR="0013419F" w:rsidRPr="00370E70">
        <w:rPr>
          <w:color w:val="000000"/>
          <w:szCs w:val="22"/>
        </w:rPr>
        <w:t xml:space="preserve">October/November 2011. </w:t>
      </w:r>
      <w:r w:rsidR="003B7AF3" w:rsidRPr="00370E70">
        <w:rPr>
          <w:color w:val="000000"/>
          <w:szCs w:val="22"/>
        </w:rPr>
        <w:t>The influence of these s</w:t>
      </w:r>
      <w:r w:rsidR="0013419F" w:rsidRPr="00370E70">
        <w:rPr>
          <w:color w:val="000000"/>
          <w:szCs w:val="22"/>
        </w:rPr>
        <w:t xml:space="preserve">hort term </w:t>
      </w:r>
      <w:r w:rsidR="0044362E" w:rsidRPr="00370E70">
        <w:rPr>
          <w:color w:val="000000"/>
          <w:szCs w:val="22"/>
        </w:rPr>
        <w:t xml:space="preserve">increases in light availability </w:t>
      </w:r>
      <w:r w:rsidR="0013419F" w:rsidRPr="00370E70">
        <w:rPr>
          <w:color w:val="000000"/>
          <w:szCs w:val="22"/>
        </w:rPr>
        <w:t>need</w:t>
      </w:r>
      <w:r w:rsidR="003B7AF3" w:rsidRPr="00370E70">
        <w:rPr>
          <w:color w:val="000000"/>
          <w:szCs w:val="22"/>
        </w:rPr>
        <w:t>s</w:t>
      </w:r>
      <w:r w:rsidR="0013419F" w:rsidRPr="00370E70">
        <w:rPr>
          <w:color w:val="000000"/>
          <w:szCs w:val="22"/>
        </w:rPr>
        <w:t xml:space="preserve"> to be closely investigated and will require</w:t>
      </w:r>
      <w:r w:rsidR="003B7AF3" w:rsidRPr="00370E70">
        <w:rPr>
          <w:color w:val="000000"/>
          <w:szCs w:val="22"/>
        </w:rPr>
        <w:t>s</w:t>
      </w:r>
      <w:r w:rsidR="0013419F" w:rsidRPr="00370E70">
        <w:rPr>
          <w:color w:val="000000"/>
          <w:szCs w:val="22"/>
        </w:rPr>
        <w:t xml:space="preserve"> specific attention.</w:t>
      </w:r>
      <w:r w:rsidR="003B7AF3" w:rsidRPr="00370E70">
        <w:rPr>
          <w:color w:val="000000"/>
          <w:szCs w:val="22"/>
        </w:rPr>
        <w:t xml:space="preserve"> </w:t>
      </w:r>
    </w:p>
    <w:p w:rsidR="003B7AF3" w:rsidRPr="00370E70" w:rsidRDefault="0013419F" w:rsidP="003B7AF3">
      <w:pPr>
        <w:rPr>
          <w:rFonts w:cs="TimesNewRoman"/>
          <w:color w:val="000000"/>
          <w:szCs w:val="22"/>
        </w:rPr>
      </w:pPr>
      <w:r w:rsidRPr="00370E70">
        <w:rPr>
          <w:color w:val="000000"/>
          <w:szCs w:val="22"/>
        </w:rPr>
        <w:t xml:space="preserve">No </w:t>
      </w:r>
      <w:r w:rsidR="003B7AF3" w:rsidRPr="00370E70">
        <w:rPr>
          <w:color w:val="000000"/>
          <w:szCs w:val="22"/>
        </w:rPr>
        <w:t xml:space="preserve">extreme water temperatures were </w:t>
      </w:r>
      <w:r w:rsidR="003B7AF3" w:rsidRPr="00370E70">
        <w:rPr>
          <w:rFonts w:cs="Calibri"/>
          <w:color w:val="000000"/>
          <w:szCs w:val="22"/>
        </w:rPr>
        <w:t xml:space="preserve">recorded </w:t>
      </w:r>
      <w:r w:rsidR="003B7AF3" w:rsidRPr="00370E70">
        <w:rPr>
          <w:color w:val="000000"/>
          <w:szCs w:val="22"/>
        </w:rPr>
        <w:t xml:space="preserve">within the seagrass canopy </w:t>
      </w:r>
      <w:r w:rsidRPr="00370E70">
        <w:rPr>
          <w:color w:val="000000"/>
          <w:szCs w:val="22"/>
        </w:rPr>
        <w:t xml:space="preserve">over the </w:t>
      </w:r>
      <w:r w:rsidR="003B7AF3" w:rsidRPr="00370E70">
        <w:rPr>
          <w:color w:val="000000"/>
          <w:szCs w:val="22"/>
        </w:rPr>
        <w:t>monitoring</w:t>
      </w:r>
      <w:r w:rsidRPr="00370E70">
        <w:rPr>
          <w:color w:val="000000"/>
          <w:szCs w:val="22"/>
        </w:rPr>
        <w:t xml:space="preserve"> period, and </w:t>
      </w:r>
      <w:r w:rsidR="00A643F0" w:rsidRPr="00370E70">
        <w:rPr>
          <w:color w:val="000000"/>
          <w:szCs w:val="22"/>
        </w:rPr>
        <w:t>temperature</w:t>
      </w:r>
      <w:r w:rsidRPr="00370E70">
        <w:rPr>
          <w:color w:val="000000"/>
          <w:szCs w:val="22"/>
        </w:rPr>
        <w:t>s overall were</w:t>
      </w:r>
      <w:r w:rsidR="00A643F0" w:rsidRPr="00370E70">
        <w:rPr>
          <w:color w:val="000000"/>
          <w:szCs w:val="22"/>
        </w:rPr>
        <w:t xml:space="preserve"> similar to </w:t>
      </w:r>
      <w:r w:rsidR="003B7AF3" w:rsidRPr="00370E70">
        <w:rPr>
          <w:color w:val="000000"/>
          <w:szCs w:val="22"/>
        </w:rPr>
        <w:t>2010/11</w:t>
      </w:r>
      <w:r w:rsidRPr="00370E70">
        <w:rPr>
          <w:color w:val="000000"/>
          <w:szCs w:val="22"/>
        </w:rPr>
        <w:t xml:space="preserve">. </w:t>
      </w:r>
      <w:r w:rsidR="003B7AF3" w:rsidRPr="00370E70">
        <w:rPr>
          <w:rFonts w:cs="TimesNewRoman"/>
          <w:color w:val="000000"/>
          <w:szCs w:val="22"/>
        </w:rPr>
        <w:t xml:space="preserve">Climate across the region was on average wetter, cloudier and </w:t>
      </w:r>
      <w:r w:rsidR="00A643F0" w:rsidRPr="00370E70">
        <w:rPr>
          <w:color w:val="000000"/>
          <w:szCs w:val="22"/>
        </w:rPr>
        <w:t xml:space="preserve">windier than </w:t>
      </w:r>
      <w:r w:rsidR="003B7AF3" w:rsidRPr="00370E70">
        <w:rPr>
          <w:color w:val="000000"/>
          <w:szCs w:val="22"/>
        </w:rPr>
        <w:t xml:space="preserve">the </w:t>
      </w:r>
      <w:r w:rsidR="00A643F0" w:rsidRPr="00370E70">
        <w:rPr>
          <w:color w:val="000000"/>
          <w:szCs w:val="22"/>
        </w:rPr>
        <w:t xml:space="preserve">previous </w:t>
      </w:r>
      <w:r w:rsidR="002C6536" w:rsidRPr="00370E70">
        <w:rPr>
          <w:color w:val="000000"/>
          <w:szCs w:val="22"/>
        </w:rPr>
        <w:t>monitoring</w:t>
      </w:r>
      <w:r w:rsidR="00A643F0" w:rsidRPr="00370E70">
        <w:rPr>
          <w:color w:val="000000"/>
          <w:szCs w:val="22"/>
        </w:rPr>
        <w:t xml:space="preserve"> period</w:t>
      </w:r>
      <w:r w:rsidRPr="00370E70">
        <w:rPr>
          <w:color w:val="000000"/>
          <w:szCs w:val="22"/>
        </w:rPr>
        <w:t>.</w:t>
      </w:r>
      <w:r w:rsidR="003B7AF3" w:rsidRPr="00370E70">
        <w:rPr>
          <w:rFonts w:cs="TimesNewRoman"/>
          <w:color w:val="000000"/>
          <w:szCs w:val="22"/>
        </w:rPr>
        <w:t xml:space="preserve"> The increase in rainfall resulted in higher than median discharges from the major rivers in</w:t>
      </w:r>
      <w:r w:rsidR="00506158" w:rsidRPr="00370E70">
        <w:rPr>
          <w:rFonts w:cs="TimesNewRoman"/>
          <w:color w:val="000000"/>
          <w:szCs w:val="22"/>
        </w:rPr>
        <w:t xml:space="preserve"> </w:t>
      </w:r>
      <w:r w:rsidR="003B7AF3" w:rsidRPr="00370E70">
        <w:rPr>
          <w:rFonts w:cs="TimesNewRoman"/>
          <w:color w:val="000000"/>
          <w:szCs w:val="22"/>
        </w:rPr>
        <w:t>th</w:t>
      </w:r>
      <w:r w:rsidR="00506158" w:rsidRPr="00370E70">
        <w:rPr>
          <w:rFonts w:cs="TimesNewRoman"/>
          <w:color w:val="000000"/>
          <w:szCs w:val="22"/>
        </w:rPr>
        <w:t>e</w:t>
      </w:r>
      <w:r w:rsidR="003B7AF3" w:rsidRPr="00370E70">
        <w:rPr>
          <w:rFonts w:cs="TimesNewRoman"/>
          <w:color w:val="000000"/>
          <w:szCs w:val="22"/>
        </w:rPr>
        <w:t xml:space="preserve"> Wet Tropics although this was approximately half the discharge over the 2010/11 period.</w:t>
      </w:r>
    </w:p>
    <w:p w:rsidR="00EF5F41" w:rsidRPr="00370E70" w:rsidRDefault="00EF5F41" w:rsidP="00EF5F41">
      <w:pPr>
        <w:pStyle w:val="BodyText"/>
        <w:spacing w:after="0" w:line="240" w:lineRule="auto"/>
        <w:rPr>
          <w:szCs w:val="22"/>
        </w:rPr>
      </w:pPr>
      <w:r w:rsidRPr="00370E70">
        <w:rPr>
          <w:szCs w:val="22"/>
        </w:rPr>
        <w:t xml:space="preserve">Overall the status of seagrass condition in the Wet Tropics has declined from poor in 2010/11 to </w:t>
      </w:r>
      <w:r w:rsidRPr="00370E70">
        <w:rPr>
          <w:b/>
          <w:szCs w:val="22"/>
        </w:rPr>
        <w:t>very</w:t>
      </w:r>
      <w:r w:rsidRPr="00370E70">
        <w:rPr>
          <w:szCs w:val="22"/>
        </w:rPr>
        <w:t xml:space="preserve"> </w:t>
      </w:r>
      <w:r w:rsidRPr="00370E70">
        <w:rPr>
          <w:b/>
          <w:szCs w:val="22"/>
        </w:rPr>
        <w:t>poor</w:t>
      </w:r>
      <w:r w:rsidRPr="00370E70">
        <w:rPr>
          <w:szCs w:val="22"/>
        </w:rPr>
        <w:t xml:space="preserve"> (</w:t>
      </w:r>
      <w:r w:rsidR="00494624" w:rsidRPr="00370E70">
        <w:rPr>
          <w:szCs w:val="22"/>
        </w:rPr>
        <w:fldChar w:fldCharType="begin"/>
      </w:r>
      <w:r w:rsidR="00494624" w:rsidRPr="00370E70">
        <w:rPr>
          <w:szCs w:val="22"/>
        </w:rPr>
        <w:instrText xml:space="preserve"> REF _Ref382900054 \h </w:instrText>
      </w:r>
      <w:r w:rsidR="00494624" w:rsidRPr="00370E70">
        <w:rPr>
          <w:szCs w:val="22"/>
        </w:rPr>
      </w:r>
      <w:r w:rsidR="00494624" w:rsidRPr="00370E70">
        <w:rPr>
          <w:szCs w:val="22"/>
        </w:rPr>
        <w:fldChar w:fldCharType="separate"/>
      </w:r>
      <w:r w:rsidR="005B5FD6" w:rsidRPr="00370E70">
        <w:rPr>
          <w:rStyle w:val="StyleCaptionCaptionCharCharLatinCalibri11ptBlackChar"/>
          <w:lang w:val="en-AU"/>
        </w:rPr>
        <w:t xml:space="preserve">Table </w:t>
      </w:r>
      <w:r w:rsidR="005B5FD6">
        <w:rPr>
          <w:noProof/>
        </w:rPr>
        <w:t>19</w:t>
      </w:r>
      <w:r w:rsidR="00494624" w:rsidRPr="00370E70">
        <w:rPr>
          <w:szCs w:val="22"/>
        </w:rPr>
        <w:fldChar w:fldCharType="end"/>
      </w:r>
      <w:r w:rsidRPr="00370E70">
        <w:rPr>
          <w:szCs w:val="22"/>
        </w:rPr>
        <w:t xml:space="preserve">). </w:t>
      </w:r>
      <w:r w:rsidR="00506158" w:rsidRPr="00370E70">
        <w:rPr>
          <w:szCs w:val="22"/>
        </w:rPr>
        <w:t xml:space="preserve">Monitoring results indicate the onset of recovery </w:t>
      </w:r>
      <w:r w:rsidR="0044362E" w:rsidRPr="00370E70">
        <w:rPr>
          <w:szCs w:val="22"/>
        </w:rPr>
        <w:t xml:space="preserve">at some locations in early 2012 </w:t>
      </w:r>
      <w:r w:rsidR="00506158" w:rsidRPr="00370E70">
        <w:rPr>
          <w:szCs w:val="22"/>
        </w:rPr>
        <w:t>from previous stressors</w:t>
      </w:r>
      <w:r w:rsidRPr="00370E70">
        <w:rPr>
          <w:szCs w:val="22"/>
        </w:rPr>
        <w:t xml:space="preserve"> and once re-established, </w:t>
      </w:r>
      <w:r w:rsidR="00506158" w:rsidRPr="00370E70">
        <w:rPr>
          <w:szCs w:val="22"/>
        </w:rPr>
        <w:t xml:space="preserve">seagrass </w:t>
      </w:r>
      <w:r w:rsidRPr="00370E70">
        <w:rPr>
          <w:szCs w:val="22"/>
        </w:rPr>
        <w:t>meadows are expected to increase in abundance and distribution should environmental conditions remain favourable.</w:t>
      </w:r>
    </w:p>
    <w:p w:rsidR="003B7AF3" w:rsidRPr="00370E70" w:rsidRDefault="003B7AF3" w:rsidP="00034AD4">
      <w:pPr>
        <w:rPr>
          <w:color w:val="000000"/>
          <w:szCs w:val="22"/>
        </w:rPr>
      </w:pPr>
    </w:p>
    <w:p w:rsidR="00A62B1C" w:rsidRPr="00370E70" w:rsidRDefault="005132EF" w:rsidP="00A62B1C">
      <w:pPr>
        <w:pStyle w:val="Caption"/>
        <w:keepNext/>
        <w:jc w:val="center"/>
        <w:rPr>
          <w:i/>
          <w:vanish/>
          <w:szCs w:val="22"/>
          <w:lang w:val="en-AU"/>
          <w:specVanish/>
        </w:rPr>
      </w:pPr>
      <w:bookmarkStart w:id="273" w:name="_Ref382900054"/>
      <w:bookmarkStart w:id="274" w:name="_Toc384196555"/>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19</w:t>
      </w:r>
      <w:r w:rsidRPr="00370E70">
        <w:rPr>
          <w:lang w:val="en-AU"/>
        </w:rPr>
        <w:fldChar w:fldCharType="end"/>
      </w:r>
      <w:bookmarkEnd w:id="273"/>
      <w:r w:rsidRPr="00370E70">
        <w:rPr>
          <w:rStyle w:val="StyleCaptionCaptionCharCharLatinCalibri11ptBlackChar"/>
          <w:lang w:val="en-AU"/>
        </w:rPr>
        <w:t xml:space="preserve">. </w:t>
      </w:r>
      <w:r w:rsidRPr="00370E70">
        <w:rPr>
          <w:i/>
          <w:lang w:val="en-AU"/>
        </w:rPr>
        <w:t>Report card for seagrass status (community &amp; environment) for the Wet Tropics region: July 2011 – May 2012.</w:t>
      </w:r>
      <w:bookmarkEnd w:id="274"/>
      <w:r w:rsidRPr="00370E70">
        <w:rPr>
          <w:i/>
          <w:lang w:val="en-AU"/>
        </w:rPr>
        <w:t xml:space="preserve"> </w:t>
      </w:r>
    </w:p>
    <w:p w:rsidR="00A62B1C" w:rsidRPr="00370E70" w:rsidRDefault="005132EF" w:rsidP="00A62B1C">
      <w:pPr>
        <w:pStyle w:val="Caption"/>
        <w:keepNext/>
        <w:jc w:val="center"/>
        <w:rPr>
          <w:i/>
          <w:lang w:val="en-AU"/>
        </w:rPr>
      </w:pPr>
      <w:r w:rsidRPr="00370E70">
        <w:rPr>
          <w:i/>
          <w:lang w:val="en-AU"/>
        </w:rPr>
        <w:t xml:space="preserve">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A62B1C" w:rsidRPr="00370E70">
        <w:rPr>
          <w:i/>
          <w:lang w:val="en-AU"/>
        </w:rPr>
        <w:t xml:space="preserve"> </w:t>
      </w:r>
    </w:p>
    <w:tbl>
      <w:tblPr>
        <w:tblW w:w="7886" w:type="dxa"/>
        <w:jc w:val="center"/>
        <w:tblInd w:w="685" w:type="dxa"/>
        <w:tblLayout w:type="fixed"/>
        <w:tblLook w:val="0000" w:firstRow="0" w:lastRow="0" w:firstColumn="0" w:lastColumn="0" w:noHBand="0" w:noVBand="0"/>
      </w:tblPr>
      <w:tblGrid>
        <w:gridCol w:w="2040"/>
        <w:gridCol w:w="1339"/>
        <w:gridCol w:w="1540"/>
        <w:gridCol w:w="1666"/>
        <w:gridCol w:w="1301"/>
      </w:tblGrid>
      <w:tr w:rsidR="005132EF" w:rsidRPr="00370E70">
        <w:trPr>
          <w:trHeight w:val="437"/>
          <w:jc w:val="center"/>
        </w:trPr>
        <w:tc>
          <w:tcPr>
            <w:tcW w:w="20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 w:val="20"/>
                <w:szCs w:val="20"/>
              </w:rPr>
              <w:t>Habitat</w:t>
            </w:r>
          </w:p>
        </w:tc>
        <w:tc>
          <w:tcPr>
            <w:tcW w:w="1339"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Abundance</w:t>
            </w:r>
          </w:p>
        </w:tc>
        <w:tc>
          <w:tcPr>
            <w:tcW w:w="15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Reproductive</w:t>
            </w:r>
          </w:p>
          <w:p w:rsidR="005132EF" w:rsidRPr="00370E70" w:rsidRDefault="005132EF" w:rsidP="00034AD4">
            <w:pPr>
              <w:keepNext/>
              <w:spacing w:before="0" w:after="0"/>
              <w:jc w:val="center"/>
              <w:rPr>
                <w:color w:val="000000"/>
              </w:rPr>
            </w:pPr>
            <w:r w:rsidRPr="00370E70">
              <w:rPr>
                <w:color w:val="000000"/>
                <w:szCs w:val="22"/>
              </w:rPr>
              <w:t>Effort</w:t>
            </w:r>
          </w:p>
        </w:tc>
        <w:tc>
          <w:tcPr>
            <w:tcW w:w="1666"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Nutrient status</w:t>
            </w:r>
          </w:p>
          <w:p w:rsidR="005132EF" w:rsidRPr="00370E70" w:rsidRDefault="005132EF" w:rsidP="00034AD4">
            <w:pPr>
              <w:keepNext/>
              <w:spacing w:before="0" w:after="0"/>
              <w:jc w:val="center"/>
              <w:rPr>
                <w:color w:val="000000"/>
              </w:rPr>
            </w:pPr>
            <w:r w:rsidRPr="00370E70">
              <w:rPr>
                <w:color w:val="000000"/>
                <w:szCs w:val="22"/>
              </w:rPr>
              <w:t>(C:N ratio)</w:t>
            </w:r>
          </w:p>
        </w:tc>
        <w:tc>
          <w:tcPr>
            <w:tcW w:w="1301"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b/>
                <w:bCs/>
                <w:color w:val="000000"/>
              </w:rPr>
            </w:pPr>
            <w:r w:rsidRPr="00370E70">
              <w:rPr>
                <w:b/>
                <w:bCs/>
                <w:color w:val="000000"/>
                <w:szCs w:val="22"/>
              </w:rPr>
              <w:t>Seagrass</w:t>
            </w:r>
          </w:p>
          <w:p w:rsidR="005132EF" w:rsidRPr="00370E70" w:rsidRDefault="005132EF" w:rsidP="00034AD4">
            <w:pPr>
              <w:keepNext/>
              <w:spacing w:before="0" w:after="0"/>
              <w:jc w:val="center"/>
              <w:rPr>
                <w:b/>
                <w:bCs/>
                <w:color w:val="000000"/>
              </w:rPr>
            </w:pPr>
            <w:r w:rsidRPr="00370E70">
              <w:rPr>
                <w:b/>
                <w:bCs/>
                <w:color w:val="000000"/>
                <w:szCs w:val="22"/>
              </w:rPr>
              <w:t>Index</w:t>
            </w:r>
          </w:p>
        </w:tc>
      </w:tr>
      <w:tr w:rsidR="005132EF" w:rsidRPr="00370E70" w:rsidTr="00B54B0B">
        <w:trPr>
          <w:trHeight w:val="315"/>
          <w:jc w:val="center"/>
        </w:trPr>
        <w:tc>
          <w:tcPr>
            <w:tcW w:w="2040" w:type="dxa"/>
            <w:tcBorders>
              <w:top w:val="single" w:sz="4" w:space="0" w:color="000000"/>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color w:val="000000"/>
              </w:rPr>
            </w:pPr>
            <w:r w:rsidRPr="00370E70">
              <w:rPr>
                <w:color w:val="000000"/>
                <w:szCs w:val="22"/>
              </w:rPr>
              <w:t>20</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color w:val="000000"/>
              </w:rPr>
            </w:pPr>
            <w:r w:rsidRPr="00370E70">
              <w:rPr>
                <w:color w:val="000000"/>
                <w:szCs w:val="22"/>
              </w:rPr>
              <w:t>6</w:t>
            </w:r>
          </w:p>
        </w:tc>
        <w:tc>
          <w:tcPr>
            <w:tcW w:w="1666" w:type="dxa"/>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color w:val="000000"/>
              </w:rPr>
            </w:pPr>
            <w:r w:rsidRPr="00370E70">
              <w:rPr>
                <w:color w:val="000000"/>
                <w:szCs w:val="22"/>
              </w:rPr>
              <w:t>38</w:t>
            </w:r>
          </w:p>
        </w:tc>
        <w:tc>
          <w:tcPr>
            <w:tcW w:w="1301" w:type="dxa"/>
            <w:tcBorders>
              <w:top w:val="single" w:sz="4" w:space="0" w:color="000000"/>
              <w:left w:val="single" w:sz="4" w:space="0" w:color="FFFFFF"/>
              <w:bottom w:val="single" w:sz="4" w:space="0" w:color="FFFFFF"/>
              <w:right w:val="single" w:sz="4" w:space="0" w:color="FFFFFF"/>
            </w:tcBorders>
            <w:shd w:val="clear" w:color="auto" w:fill="FFC000"/>
            <w:noWrap/>
          </w:tcPr>
          <w:p w:rsidR="005132EF" w:rsidRPr="00370E70" w:rsidRDefault="005132EF" w:rsidP="00034AD4">
            <w:pPr>
              <w:keepNext/>
              <w:jc w:val="center"/>
              <w:rPr>
                <w:b/>
                <w:color w:val="000000"/>
              </w:rPr>
            </w:pPr>
            <w:r w:rsidRPr="00370E70">
              <w:rPr>
                <w:b/>
                <w:color w:val="000000"/>
                <w:szCs w:val="22"/>
              </w:rPr>
              <w:t>21</w:t>
            </w:r>
          </w:p>
        </w:tc>
      </w:tr>
      <w:tr w:rsidR="005132EF" w:rsidRPr="00370E70" w:rsidTr="00B54B0B">
        <w:trPr>
          <w:trHeight w:val="315"/>
          <w:jc w:val="center"/>
        </w:trPr>
        <w:tc>
          <w:tcPr>
            <w:tcW w:w="2040"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color w:val="000000"/>
              </w:rPr>
            </w:pPr>
            <w:r w:rsidRPr="00370E70">
              <w:rPr>
                <w:color w:val="000000"/>
                <w:szCs w:val="22"/>
              </w:rPr>
              <w:t>7</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color w:val="000000"/>
              </w:rPr>
            </w:pPr>
            <w:r w:rsidRPr="00370E70">
              <w:rPr>
                <w:color w:val="000000"/>
                <w:szCs w:val="22"/>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color w:val="000000"/>
              </w:rPr>
            </w:pPr>
            <w:r w:rsidRPr="00370E70">
              <w:rPr>
                <w:color w:val="000000"/>
                <w:szCs w:val="22"/>
              </w:rPr>
              <w:t>4</w:t>
            </w:r>
          </w:p>
        </w:tc>
        <w:tc>
          <w:tcPr>
            <w:tcW w:w="1301" w:type="dxa"/>
            <w:tcBorders>
              <w:top w:val="single" w:sz="4" w:space="0" w:color="FFFFFF"/>
              <w:left w:val="single" w:sz="4" w:space="0" w:color="FFFFFF"/>
              <w:bottom w:val="single" w:sz="4" w:space="0" w:color="FFFFFF"/>
              <w:right w:val="single" w:sz="4" w:space="0" w:color="FFFFFF"/>
            </w:tcBorders>
            <w:shd w:val="clear" w:color="auto" w:fill="FF0000"/>
            <w:noWrap/>
          </w:tcPr>
          <w:p w:rsidR="005132EF" w:rsidRPr="00370E70" w:rsidRDefault="005132EF" w:rsidP="00034AD4">
            <w:pPr>
              <w:keepNext/>
              <w:jc w:val="center"/>
              <w:rPr>
                <w:b/>
                <w:color w:val="000000"/>
              </w:rPr>
            </w:pPr>
            <w:r w:rsidRPr="00370E70">
              <w:rPr>
                <w:b/>
                <w:color w:val="000000"/>
                <w:szCs w:val="22"/>
              </w:rPr>
              <w:t>4</w:t>
            </w:r>
          </w:p>
        </w:tc>
      </w:tr>
      <w:tr w:rsidR="005132EF" w:rsidRPr="00370E70">
        <w:trPr>
          <w:trHeight w:val="315"/>
          <w:jc w:val="center"/>
        </w:trPr>
        <w:tc>
          <w:tcPr>
            <w:tcW w:w="2040"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estuarine intertidal</w:t>
            </w:r>
          </w:p>
        </w:tc>
        <w:tc>
          <w:tcPr>
            <w:tcW w:w="5846" w:type="dxa"/>
            <w:gridSpan w:val="4"/>
            <w:tcBorders>
              <w:top w:val="single" w:sz="4" w:space="0" w:color="FFFFFF"/>
              <w:left w:val="single" w:sz="4" w:space="0" w:color="FFFFFF"/>
              <w:bottom w:val="single" w:sz="4" w:space="0" w:color="FFFFFF"/>
              <w:right w:val="single" w:sz="4" w:space="0" w:color="FFFFFF"/>
            </w:tcBorders>
            <w:noWrap/>
          </w:tcPr>
          <w:p w:rsidR="005132EF" w:rsidRPr="00370E70" w:rsidRDefault="005132EF" w:rsidP="00034AD4">
            <w:pPr>
              <w:keepNext/>
              <w:spacing w:before="0" w:after="0"/>
              <w:jc w:val="center"/>
              <w:rPr>
                <w:b/>
                <w:color w:val="000000"/>
              </w:rPr>
            </w:pPr>
            <w:r w:rsidRPr="00370E70">
              <w:rPr>
                <w:i/>
                <w:color w:val="000000"/>
                <w:sz w:val="20"/>
                <w:szCs w:val="20"/>
              </w:rPr>
              <w:t>not monitored</w:t>
            </w:r>
          </w:p>
        </w:tc>
      </w:tr>
      <w:tr w:rsidR="005132EF" w:rsidRPr="00370E70" w:rsidTr="00B54B0B">
        <w:trPr>
          <w:trHeight w:val="315"/>
          <w:jc w:val="center"/>
        </w:trPr>
        <w:tc>
          <w:tcPr>
            <w:tcW w:w="2040"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Wet Tropics</w:t>
            </w:r>
          </w:p>
        </w:tc>
        <w:tc>
          <w:tcPr>
            <w:tcW w:w="1339" w:type="dxa"/>
            <w:tcBorders>
              <w:top w:val="single" w:sz="4" w:space="0" w:color="000000"/>
              <w:left w:val="single" w:sz="4" w:space="0" w:color="FFFFFF"/>
              <w:bottom w:val="single" w:sz="4" w:space="0" w:color="000000"/>
              <w:right w:val="single" w:sz="4" w:space="0" w:color="FFFFFF"/>
            </w:tcBorders>
            <w:shd w:val="clear" w:color="auto" w:fill="FF0000"/>
            <w:noWrap/>
            <w:vAlign w:val="bottom"/>
          </w:tcPr>
          <w:p w:rsidR="005132EF" w:rsidRPr="00370E70" w:rsidRDefault="005132EF" w:rsidP="00034AD4">
            <w:pPr>
              <w:keepNext/>
              <w:jc w:val="center"/>
              <w:rPr>
                <w:color w:val="000000"/>
              </w:rPr>
            </w:pPr>
            <w:r w:rsidRPr="00370E70">
              <w:rPr>
                <w:color w:val="000000"/>
                <w:szCs w:val="22"/>
              </w:rPr>
              <w:t>13</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bottom"/>
          </w:tcPr>
          <w:p w:rsidR="005132EF" w:rsidRPr="00370E70" w:rsidRDefault="005132EF" w:rsidP="00034AD4">
            <w:pPr>
              <w:keepNext/>
              <w:jc w:val="center"/>
              <w:rPr>
                <w:color w:val="000000"/>
              </w:rPr>
            </w:pPr>
            <w:r w:rsidRPr="00370E70">
              <w:rPr>
                <w:color w:val="000000"/>
                <w:szCs w:val="22"/>
              </w:rPr>
              <w:t>3</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bottom"/>
          </w:tcPr>
          <w:p w:rsidR="005132EF" w:rsidRPr="00370E70" w:rsidRDefault="005132EF" w:rsidP="00034AD4">
            <w:pPr>
              <w:keepNext/>
              <w:jc w:val="center"/>
              <w:rPr>
                <w:color w:val="000000"/>
              </w:rPr>
            </w:pPr>
            <w:r w:rsidRPr="00370E70">
              <w:rPr>
                <w:color w:val="000000"/>
                <w:szCs w:val="22"/>
              </w:rPr>
              <w:t>21</w:t>
            </w:r>
          </w:p>
        </w:tc>
        <w:tc>
          <w:tcPr>
            <w:tcW w:w="1301"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keepNext/>
              <w:spacing w:before="0" w:after="0"/>
              <w:jc w:val="center"/>
              <w:rPr>
                <w:b/>
                <w:color w:val="000000"/>
              </w:rPr>
            </w:pPr>
            <w:r w:rsidRPr="00370E70">
              <w:rPr>
                <w:b/>
                <w:color w:val="000000"/>
                <w:szCs w:val="22"/>
              </w:rPr>
              <w:t>13</w:t>
            </w:r>
          </w:p>
        </w:tc>
      </w:tr>
    </w:tbl>
    <w:p w:rsidR="005132EF" w:rsidRPr="00370E70" w:rsidRDefault="005132EF" w:rsidP="00034AD4">
      <w:pPr>
        <w:pStyle w:val="Heading3"/>
        <w:rPr>
          <w:color w:val="000000"/>
        </w:rPr>
      </w:pPr>
      <w:bookmarkStart w:id="275" w:name="_Toc184101983"/>
      <w:bookmarkStart w:id="276" w:name="_Toc384196133"/>
      <w:r w:rsidRPr="00370E70">
        <w:rPr>
          <w:color w:val="000000"/>
        </w:rPr>
        <w:t>Background</w:t>
      </w:r>
      <w:bookmarkEnd w:id="275"/>
      <w:bookmarkEnd w:id="276"/>
    </w:p>
    <w:p w:rsidR="005132EF" w:rsidRPr="00370E70" w:rsidRDefault="005132EF" w:rsidP="00034AD4">
      <w:pPr>
        <w:rPr>
          <w:color w:val="000000"/>
          <w:szCs w:val="22"/>
        </w:rPr>
      </w:pPr>
      <w:r w:rsidRPr="00370E70">
        <w:rPr>
          <w:color w:val="000000"/>
          <w:szCs w:val="22"/>
        </w:rPr>
        <w:t>The Wet Tropics region covers 22,000 km</w:t>
      </w:r>
      <w:r w:rsidRPr="00370E70">
        <w:rPr>
          <w:color w:val="000000"/>
          <w:szCs w:val="22"/>
          <w:vertAlign w:val="superscript"/>
        </w:rPr>
        <w:t>2</w:t>
      </w:r>
      <w:r w:rsidRPr="00370E70">
        <w:rPr>
          <w:color w:val="000000"/>
          <w:szCs w:val="22"/>
        </w:rPr>
        <w:t xml:space="preserve"> and land use practices include primary production such as cane and banana farming, dairying, beef, cropping and tropical horticulture (</w:t>
      </w:r>
      <w:hyperlink w:anchor="_ENREF_50" w:tooltip="Commonwealth of Australia, 2013 #9677" w:history="1">
        <w:r w:rsidR="00964A70" w:rsidRPr="00370E70">
          <w:rPr>
            <w:color w:val="000000"/>
          </w:rPr>
          <w:fldChar w:fldCharType="begin"/>
        </w:r>
        <w:r w:rsidR="00964A70" w:rsidRPr="00370E70">
          <w:rPr>
            <w:color w:val="000000"/>
          </w:rPr>
          <w:instrText xml:space="preserve"> ADDIN EN.CITE &lt;EndNote&gt;&lt;Cite&gt;&lt;Author&gt;Commonwealth of Australia&lt;/Author&gt;&lt;Year&gt;2013&lt;/Year&gt;&lt;RecNum&gt;9677&lt;/RecNum&gt;&lt;DisplayText&gt;Commonwealth of Australia 2013e&lt;/DisplayText&gt;&lt;record&gt;&lt;rec-number&gt;9677&lt;/rec-number&gt;&lt;foreign-keys&gt;&lt;key app="EN" db-id="0eve55x9y5vfd6e9dacxtew4eatve2dzds9a"&gt;9677&lt;/key&gt;&lt;/foreign-keys&gt;&lt;ref-type name="Web Page"&gt;12&lt;/ref-type&gt;&lt;contributors&gt;&lt;authors&gt;&lt;author&gt;Commonwealth of Australia,&lt;/author&gt;&lt;/authors&gt;&lt;/contributors&gt;&lt;titles&gt;&lt;title&gt;Wet Tropics Natural Resource Management region, http://www.nrm.gov.au/about/nrm/regions/qld-wetr.html&lt;/title&gt;&lt;/titles&gt;&lt;number&gt;18 February 2014&lt;/number&gt;&lt;dates&gt;&lt;year&gt;2013&lt;/year&gt;&lt;/dates&gt;&lt;urls&gt;&lt;related-urls&gt;&lt;url&gt;http://www.nrm.gov.au/about/nrm/regions/qld-wetr.html&lt;/url&gt;&lt;/related-urls&gt;&lt;/urls&gt;&lt;/record&gt;&lt;/Cite&gt;&lt;/EndNote&gt;</w:instrText>
        </w:r>
        <w:r w:rsidR="00964A70" w:rsidRPr="00370E70">
          <w:rPr>
            <w:color w:val="000000"/>
          </w:rPr>
          <w:fldChar w:fldCharType="separate"/>
        </w:r>
        <w:r w:rsidR="00964A70" w:rsidRPr="00370E70">
          <w:rPr>
            <w:noProof/>
            <w:color w:val="000000"/>
          </w:rPr>
          <w:t>Commonwealth of Australia 2013e</w:t>
        </w:r>
        <w:r w:rsidR="00964A70" w:rsidRPr="00370E70">
          <w:rPr>
            <w:color w:val="000000"/>
          </w:rPr>
          <w:fldChar w:fldCharType="end"/>
        </w:r>
      </w:hyperlink>
      <w:r w:rsidRPr="00370E70">
        <w:rPr>
          <w:color w:val="000000"/>
          <w:szCs w:val="22"/>
        </w:rPr>
        <w:t>).</w:t>
      </w:r>
      <w:r w:rsidRPr="00370E70">
        <w:rPr>
          <w:color w:val="000080"/>
          <w:szCs w:val="22"/>
        </w:rPr>
        <w:t xml:space="preserve"> </w:t>
      </w:r>
      <w:r w:rsidRPr="00370E70">
        <w:rPr>
          <w:color w:val="000000"/>
          <w:szCs w:val="22"/>
        </w:rPr>
        <w:t>Two types of seagrass habitats are monitored in the region: coastal and reef.</w:t>
      </w:r>
    </w:p>
    <w:p w:rsidR="005132EF" w:rsidRPr="00370E70" w:rsidRDefault="005132EF" w:rsidP="00034AD4">
      <w:pPr>
        <w:rPr>
          <w:color w:val="000000"/>
          <w:szCs w:val="22"/>
        </w:rPr>
      </w:pPr>
      <w:r w:rsidRPr="00370E70">
        <w:rPr>
          <w:color w:val="000000"/>
          <w:szCs w:val="22"/>
        </w:rPr>
        <w:t xml:space="preserve">Reef Rescue monitoring occurs at two coastal seagrass habitat locations: Yule Point, in the north and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in the south of the region</w:t>
      </w:r>
      <w:r w:rsidR="00494624" w:rsidRPr="00370E70">
        <w:rPr>
          <w:color w:val="000000"/>
          <w:szCs w:val="22"/>
        </w:rPr>
        <w:t xml:space="preserve"> (</w:t>
      </w:r>
      <w:r w:rsidR="00494624" w:rsidRPr="00370E70">
        <w:rPr>
          <w:color w:val="000000"/>
          <w:szCs w:val="22"/>
        </w:rPr>
        <w:fldChar w:fldCharType="begin"/>
      </w:r>
      <w:r w:rsidR="00494624" w:rsidRPr="00370E70">
        <w:rPr>
          <w:color w:val="000000"/>
          <w:szCs w:val="22"/>
        </w:rPr>
        <w:instrText xml:space="preserve"> REF _Ref179412950 \h </w:instrText>
      </w:r>
      <w:r w:rsidR="00494624" w:rsidRPr="00370E70">
        <w:rPr>
          <w:color w:val="000000"/>
          <w:szCs w:val="22"/>
        </w:rPr>
      </w:r>
      <w:r w:rsidR="00494624"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42</w:t>
      </w:r>
      <w:r w:rsidR="00494624" w:rsidRPr="00370E70">
        <w:rPr>
          <w:color w:val="000000"/>
          <w:szCs w:val="22"/>
        </w:rPr>
        <w:fldChar w:fldCharType="end"/>
      </w:r>
      <w:r w:rsidR="00494624" w:rsidRPr="00370E70">
        <w:rPr>
          <w:color w:val="000000"/>
          <w:szCs w:val="22"/>
        </w:rPr>
        <w:t>)</w:t>
      </w:r>
      <w:r w:rsidRPr="00370E70">
        <w:rPr>
          <w:color w:val="000000"/>
          <w:szCs w:val="22"/>
        </w:rPr>
        <w:t>.</w:t>
      </w:r>
      <w:r w:rsidRPr="00370E70">
        <w:rPr>
          <w:color w:val="000080"/>
          <w:szCs w:val="22"/>
        </w:rPr>
        <w:t xml:space="preserve"> </w:t>
      </w:r>
      <w:r w:rsidRPr="00370E70">
        <w:rPr>
          <w:color w:val="000000"/>
          <w:szCs w:val="22"/>
        </w:rPr>
        <w:t xml:space="preserve">The seagrass meadows at Yule Point and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are located on naturally dynamic intertidal sand banks, protected by fringing reefs. These meadows are dominated by </w:t>
      </w:r>
      <w:r w:rsidRPr="00370E70">
        <w:rPr>
          <w:i/>
          <w:color w:val="000000"/>
          <w:szCs w:val="22"/>
        </w:rPr>
        <w:t xml:space="preserve">Halodule uninervis </w:t>
      </w:r>
      <w:r w:rsidRPr="00370E70">
        <w:rPr>
          <w:color w:val="000000"/>
          <w:szCs w:val="22"/>
        </w:rPr>
        <w:t xml:space="preserve">with some </w:t>
      </w:r>
      <w:r w:rsidRPr="00370E70">
        <w:rPr>
          <w:i/>
          <w:color w:val="000000"/>
          <w:szCs w:val="22"/>
        </w:rPr>
        <w:t>Halophila ovalis</w:t>
      </w:r>
      <w:r w:rsidRPr="00370E70">
        <w:rPr>
          <w:color w:val="000000"/>
          <w:szCs w:val="22"/>
        </w:rPr>
        <w:t xml:space="preserve"> and are often exposed to regular periods of disturbance from wave action and consequent sediment movement. The sediments in these locations are relatively unstable restricting seagrass growth and distribution. A dominant influence of these coastal meadows is terrigenous runoff from seasonal rains (</w:t>
      </w:r>
      <w:r w:rsidRPr="00370E70">
        <w:rPr>
          <w:color w:val="000000"/>
        </w:rPr>
        <w:fldChar w:fldCharType="begin"/>
      </w:r>
      <w:r w:rsidRPr="00370E70">
        <w:rPr>
          <w:color w:val="000000"/>
        </w:rPr>
        <w:instrText xml:space="preserve"> REF _Ref179412899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41</w:t>
      </w:r>
      <w:r w:rsidRPr="00370E70">
        <w:rPr>
          <w:color w:val="000000"/>
        </w:rPr>
        <w:fldChar w:fldCharType="end"/>
      </w:r>
      <w:r w:rsidRPr="00370E70">
        <w:rPr>
          <w:color w:val="000000"/>
          <w:szCs w:val="22"/>
        </w:rPr>
        <w:t xml:space="preserve">). The Barron, Tully and </w:t>
      </w:r>
      <w:smartTag w:uri="urn:schemas-microsoft-com:office:smarttags" w:element="place">
        <w:smartTag w:uri="urn:schemas-microsoft-com:office:smarttags" w:element="PlaceName">
          <w:r w:rsidRPr="00370E70">
            <w:rPr>
              <w:color w:val="000000"/>
              <w:szCs w:val="22"/>
            </w:rPr>
            <w:t>Hull</w:t>
          </w:r>
        </w:smartTag>
        <w:r w:rsidRPr="00370E70">
          <w:rPr>
            <w:color w:val="000000"/>
            <w:szCs w:val="22"/>
          </w:rPr>
          <w:t xml:space="preserve"> </w:t>
        </w:r>
        <w:smartTag w:uri="urn:schemas-microsoft-com:office:smarttags" w:element="PlaceType">
          <w:r w:rsidRPr="00370E70">
            <w:rPr>
              <w:color w:val="000000"/>
              <w:szCs w:val="22"/>
            </w:rPr>
            <w:t>Rivers</w:t>
          </w:r>
        </w:smartTag>
      </w:smartTag>
      <w:r w:rsidRPr="00370E70">
        <w:rPr>
          <w:color w:val="000000"/>
          <w:szCs w:val="22"/>
        </w:rPr>
        <w:t xml:space="preserve"> are a major source of pulsed sediment and nutrient input to these monitored meadows. </w:t>
      </w:r>
    </w:p>
    <w:p w:rsidR="005132EF" w:rsidRPr="00370E70" w:rsidRDefault="007B15AB" w:rsidP="00034AD4">
      <w:pPr>
        <w:jc w:val="center"/>
        <w:rPr>
          <w:color w:val="000000"/>
        </w:rPr>
      </w:pPr>
      <w:r>
        <w:rPr>
          <w:noProof/>
          <w:color w:val="000000"/>
          <w:lang w:eastAsia="en-AU"/>
        </w:rPr>
        <w:drawing>
          <wp:inline distT="0" distB="0" distL="0" distR="0">
            <wp:extent cx="5756910" cy="2112010"/>
            <wp:effectExtent l="0" t="0" r="0" b="2540"/>
            <wp:docPr id="54" name="Picture 63" descr="Conceptual diagram of coastal habitat (&lt;15m) in the Wet Tropics region – major control is pulsed terrigenous runoff, salinity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onceptual diagram of coastal habitat (&lt;15m) in the Wet Tropics region – major control is pulsed terrigenous runoff, salinity and temperature extremes: general habitat, seagrass meadow processes and threats/impacts "/>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56910" cy="2112010"/>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277" w:name="_Ref179412899"/>
      <w:bookmarkStart w:id="278" w:name="_Toc384196388"/>
      <w:bookmarkStart w:id="279" w:name="_Toc176158858"/>
      <w:bookmarkStart w:id="280" w:name="_Toc23284596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41</w:t>
      </w:r>
      <w:r w:rsidRPr="00370E70">
        <w:rPr>
          <w:lang w:val="en-AU"/>
        </w:rPr>
        <w:fldChar w:fldCharType="end"/>
      </w:r>
      <w:bookmarkEnd w:id="277"/>
      <w:r w:rsidRPr="00370E70">
        <w:rPr>
          <w:lang w:val="en-AU"/>
        </w:rPr>
        <w:t xml:space="preserve">. </w:t>
      </w:r>
      <w:r w:rsidRPr="00370E70">
        <w:rPr>
          <w:i/>
          <w:lang w:val="en-AU"/>
        </w:rPr>
        <w:t xml:space="preserve">Conceptual diagram of coastal </w:t>
      </w:r>
      <w:r w:rsidR="00CE29A7">
        <w:rPr>
          <w:i/>
          <w:lang w:val="en-AU"/>
        </w:rPr>
        <w:t xml:space="preserve">seagrass </w:t>
      </w:r>
      <w:r w:rsidRPr="00370E70">
        <w:rPr>
          <w:i/>
          <w:lang w:val="en-AU"/>
        </w:rPr>
        <w:t>habitat (&lt;15m) in the Wet Tropics region</w:t>
      </w:r>
      <w:bookmarkEnd w:id="278"/>
    </w:p>
    <w:p w:rsidR="00A62B1C" w:rsidRPr="00370E70" w:rsidRDefault="005132EF" w:rsidP="00A62B1C">
      <w:pPr>
        <w:pStyle w:val="Caption"/>
        <w:rPr>
          <w:i/>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pulsed terrigenous runoff, salinity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279"/>
      <w:bookmarkEnd w:id="280"/>
      <w:r w:rsidR="00A62B1C" w:rsidRPr="00370E70">
        <w:rPr>
          <w:i/>
          <w:lang w:val="en-AU"/>
        </w:rPr>
        <w:t xml:space="preserve"> </w:t>
      </w:r>
    </w:p>
    <w:p w:rsidR="005132EF" w:rsidRPr="00370E70" w:rsidRDefault="005132EF" w:rsidP="00034AD4">
      <w:pPr>
        <w:rPr>
          <w:i/>
          <w:color w:val="000000"/>
          <w:szCs w:val="22"/>
        </w:rPr>
      </w:pPr>
      <w:r w:rsidRPr="00370E70">
        <w:rPr>
          <w:color w:val="000000"/>
          <w:szCs w:val="22"/>
        </w:rPr>
        <w:t xml:space="preserve">Monitoring of reef habitats occurs at three locations: Low Isles, </w:t>
      </w:r>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and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Low Isles is located in the north of the region and the monitoring sites were paired (not replicated): intertidal and subtidal. Low Isles is an inshore reef located 15km south east of the </w:t>
      </w:r>
      <w:smartTag w:uri="urn:schemas-microsoft-com:office:smarttags" w:element="place">
        <w:smartTag w:uri="urn:schemas-microsoft-com:office:smarttags" w:element="PlaceName">
          <w:r w:rsidRPr="00370E70">
            <w:rPr>
              <w:color w:val="000000"/>
              <w:szCs w:val="22"/>
            </w:rPr>
            <w:t>Daintree</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mouth. Low Isles refers to the 2 islets of Low Isles reef: </w:t>
      </w:r>
      <w:smartTag w:uri="urn:schemas-microsoft-com:office:smarttags" w:element="PlaceName">
        <w:r w:rsidRPr="00370E70">
          <w:rPr>
            <w:color w:val="000000"/>
            <w:szCs w:val="22"/>
          </w:rPr>
          <w:t>Low</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(the cay) and </w:t>
      </w:r>
      <w:smartTag w:uri="urn:schemas-microsoft-com:office:smarttags" w:element="place">
        <w:smartTag w:uri="urn:schemas-microsoft-com:office:smarttags" w:element="PlaceName">
          <w:r w:rsidRPr="00370E70">
            <w:rPr>
              <w:color w:val="000000"/>
              <w:szCs w:val="22"/>
            </w:rPr>
            <w:t>Woody</w:t>
          </w:r>
        </w:smartTag>
        <w:r w:rsidRPr="00370E70">
          <w:rPr>
            <w:color w:val="000000"/>
            <w:szCs w:val="22"/>
          </w:rPr>
          <w:t xml:space="preserve"> </w:t>
        </w:r>
        <w:smartTag w:uri="urn:schemas-microsoft-com:office:smarttags" w:element="PlaceName">
          <w:r w:rsidRPr="00370E70">
            <w:rPr>
              <w:color w:val="000000"/>
              <w:szCs w:val="22"/>
            </w:rPr>
            <w:t>Island</w:t>
          </w:r>
        </w:smartTag>
      </w:smartTag>
      <w:r w:rsidRPr="00370E70">
        <w:rPr>
          <w:color w:val="000000"/>
          <w:szCs w:val="22"/>
        </w:rPr>
        <w:t xml:space="preserve"> (predominantly </w:t>
      </w:r>
      <w:r w:rsidRPr="00370E70">
        <w:rPr>
          <w:i/>
          <w:color w:val="000000"/>
          <w:szCs w:val="22"/>
        </w:rPr>
        <w:t>Rhizophora</w:t>
      </w:r>
      <w:r w:rsidRPr="00370E70">
        <w:rPr>
          <w:color w:val="000000"/>
          <w:szCs w:val="22"/>
        </w:rPr>
        <w:t xml:space="preserve"> forest).  The intertidal site was located near the northern edge of the reef </w:t>
      </w:r>
      <w:r w:rsidR="002C6536" w:rsidRPr="00370E70">
        <w:rPr>
          <w:color w:val="000000"/>
          <w:szCs w:val="22"/>
        </w:rPr>
        <w:t>platform</w:t>
      </w:r>
      <w:r w:rsidRPr="00370E70">
        <w:rPr>
          <w:color w:val="000000"/>
          <w:szCs w:val="22"/>
        </w:rPr>
        <w:t xml:space="preserve"> between </w:t>
      </w:r>
      <w:smartTag w:uri="urn:schemas-microsoft-com:office:smarttags" w:element="PlaceName">
        <w:r w:rsidRPr="00370E70">
          <w:rPr>
            <w:color w:val="000000"/>
            <w:szCs w:val="22"/>
          </w:rPr>
          <w:t>Low</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and </w:t>
      </w:r>
      <w:smartTag w:uri="urn:schemas-microsoft-com:office:smarttags" w:element="place">
        <w:smartTag w:uri="urn:schemas-microsoft-com:office:smarttags" w:element="PlaceName">
          <w:r w:rsidRPr="00370E70">
            <w:rPr>
              <w:color w:val="000000"/>
              <w:szCs w:val="22"/>
            </w:rPr>
            <w:t>Woody</w:t>
          </w:r>
        </w:smartTag>
        <w:r w:rsidRPr="00370E70">
          <w:rPr>
            <w:color w:val="000000"/>
            <w:szCs w:val="22"/>
          </w:rPr>
          <w:t xml:space="preserve"> </w:t>
        </w:r>
        <w:smartTag w:uri="urn:schemas-microsoft-com:office:smarttags" w:element="PlaceName">
          <w:r w:rsidRPr="00370E70">
            <w:rPr>
              <w:color w:val="000000"/>
              <w:szCs w:val="22"/>
            </w:rPr>
            <w:t>Island</w:t>
          </w:r>
        </w:smartTag>
      </w:smartTag>
      <w:r w:rsidRPr="00370E70">
        <w:rPr>
          <w:color w:val="000000"/>
          <w:szCs w:val="22"/>
        </w:rPr>
        <w:t xml:space="preserve">. This area is dominated by </w:t>
      </w:r>
      <w:r w:rsidRPr="00370E70">
        <w:rPr>
          <w:i/>
          <w:color w:val="000000"/>
          <w:szCs w:val="22"/>
        </w:rPr>
        <w:t>Halodule uninervis</w:t>
      </w:r>
      <w:r w:rsidRPr="00370E70">
        <w:rPr>
          <w:color w:val="000000"/>
          <w:szCs w:val="22"/>
        </w:rPr>
        <w:t xml:space="preserve"> and </w:t>
      </w:r>
      <w:r w:rsidRPr="00370E70">
        <w:rPr>
          <w:i/>
          <w:color w:val="000000"/>
          <w:szCs w:val="22"/>
        </w:rPr>
        <w:t>Halophila ovalis</w:t>
      </w:r>
      <w:r w:rsidRPr="00370E70">
        <w:rPr>
          <w:color w:val="000000"/>
          <w:szCs w:val="22"/>
        </w:rPr>
        <w:t xml:space="preserve">. The subtidal site was approximately 250 north of the intertidal site, in the eastern </w:t>
      </w:r>
      <w:r w:rsidRPr="00370E70">
        <w:rPr>
          <w:color w:val="000000"/>
          <w:szCs w:val="22"/>
        </w:rPr>
        <w:lastRenderedPageBreak/>
        <w:t xml:space="preserve">edge of the anchorage (Low Isles lagoon), and was dominated by </w:t>
      </w:r>
      <w:r w:rsidRPr="00370E70">
        <w:rPr>
          <w:i/>
          <w:color w:val="000000"/>
          <w:szCs w:val="22"/>
        </w:rPr>
        <w:t>Halophila ovalis</w:t>
      </w:r>
      <w:r w:rsidRPr="00370E70">
        <w:rPr>
          <w:color w:val="000000"/>
          <w:szCs w:val="22"/>
        </w:rPr>
        <w:t xml:space="preserve"> and </w:t>
      </w:r>
      <w:r w:rsidRPr="00370E70">
        <w:rPr>
          <w:i/>
          <w:color w:val="000000"/>
          <w:szCs w:val="22"/>
        </w:rPr>
        <w:t>Halodule uninervis.</w:t>
      </w:r>
    </w:p>
    <w:p w:rsidR="0034367D" w:rsidRPr="00370E70" w:rsidRDefault="0034367D" w:rsidP="00034AD4">
      <w:pPr>
        <w:rPr>
          <w:i/>
          <w:color w:val="000000"/>
          <w:szCs w:val="22"/>
        </w:rPr>
      </w:pPr>
    </w:p>
    <w:p w:rsidR="0034367D" w:rsidRPr="00370E70" w:rsidRDefault="007B15AB" w:rsidP="0034367D">
      <w:pPr>
        <w:rPr>
          <w:color w:val="000000"/>
        </w:rPr>
      </w:pPr>
      <w:r>
        <w:rPr>
          <w:noProof/>
          <w:color w:val="000000"/>
          <w:lang w:eastAsia="en-AU"/>
        </w:rPr>
        <w:drawing>
          <wp:inline distT="0" distB="0" distL="0" distR="0">
            <wp:extent cx="5756910" cy="7225030"/>
            <wp:effectExtent l="0" t="0" r="0" b="0"/>
            <wp:docPr id="55" name="Picture 55" descr="Map showing location of Wet Tropics region long-term monitoring sites and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Map showing location of Wet Tropics region long-term monitoring sites and seagrass species composition at each sit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34367D" w:rsidRPr="00370E70" w:rsidRDefault="0034367D" w:rsidP="0034367D">
      <w:pPr>
        <w:pStyle w:val="Caption"/>
        <w:rPr>
          <w:i/>
          <w:vanish/>
          <w:lang w:val="en-AU"/>
          <w:specVanish/>
        </w:rPr>
      </w:pPr>
      <w:bookmarkStart w:id="281" w:name="_Ref179412950"/>
      <w:bookmarkStart w:id="282" w:name="_Toc384196389"/>
      <w:bookmarkStart w:id="283" w:name="_Toc176158860"/>
      <w:bookmarkStart w:id="284" w:name="_Toc23284596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42</w:t>
      </w:r>
      <w:r w:rsidRPr="00370E70">
        <w:rPr>
          <w:lang w:val="en-AU"/>
        </w:rPr>
        <w:fldChar w:fldCharType="end"/>
      </w:r>
      <w:bookmarkEnd w:id="281"/>
      <w:r w:rsidRPr="00370E70">
        <w:rPr>
          <w:lang w:val="en-AU"/>
        </w:rPr>
        <w:t xml:space="preserve">. </w:t>
      </w:r>
      <w:r w:rsidRPr="00370E70">
        <w:rPr>
          <w:i/>
          <w:lang w:val="en-AU"/>
        </w:rPr>
        <w:t>Location of Wet Tropics region long-term monitoring sites and seagrass species composition at each site.</w:t>
      </w:r>
      <w:bookmarkEnd w:id="282"/>
      <w:r w:rsidRPr="00370E70">
        <w:rPr>
          <w:i/>
          <w:vanish/>
          <w:color w:val="000000"/>
          <w:szCs w:val="22"/>
          <w:lang w:val="en-AU"/>
          <w:specVanish/>
        </w:rPr>
        <w:t xml:space="preserve"> </w:t>
      </w:r>
      <w:r w:rsidRPr="00370E70">
        <w:rPr>
          <w:i/>
          <w:lang w:val="en-AU"/>
        </w:rPr>
        <w:t xml:space="preserve"> </w:t>
      </w:r>
      <w:bookmarkEnd w:id="283"/>
      <w:bookmarkEnd w:id="284"/>
    </w:p>
    <w:p w:rsidR="0034367D" w:rsidRPr="00370E70" w:rsidRDefault="0034367D" w:rsidP="0034367D">
      <w:pPr>
        <w:pStyle w:val="Caption"/>
        <w:rPr>
          <w:i/>
          <w:szCs w:val="22"/>
          <w:lang w:val="en-AU"/>
        </w:rPr>
      </w:pPr>
      <w:r w:rsidRPr="00370E70">
        <w:rPr>
          <w:i/>
          <w:lang w:val="en-AU"/>
        </w:rPr>
        <w:t xml:space="preserve">Please note: replicate sites within 500m of each other; ^ denotes subtidal site. </w:t>
      </w:r>
    </w:p>
    <w:p w:rsidR="0034367D" w:rsidRPr="00370E70" w:rsidRDefault="0034367D" w:rsidP="00034AD4">
      <w:pPr>
        <w:rPr>
          <w:color w:val="000000"/>
          <w:szCs w:val="22"/>
        </w:rPr>
      </w:pPr>
    </w:p>
    <w:p w:rsidR="005132EF" w:rsidRPr="00370E70" w:rsidRDefault="005132EF" w:rsidP="00034AD4">
      <w:pPr>
        <w:rPr>
          <w:color w:val="000000"/>
          <w:szCs w:val="22"/>
        </w:rPr>
      </w:pPr>
      <w:r w:rsidRPr="00370E70">
        <w:rPr>
          <w:color w:val="000000"/>
          <w:szCs w:val="22"/>
        </w:rPr>
        <w:lastRenderedPageBreak/>
        <w:t xml:space="preserve">Green Island is a mid shelf reef located 26km north east of Cairns and the Barron River mouth, in approximately the centre of the </w:t>
      </w:r>
      <w:r w:rsidR="00494624" w:rsidRPr="00370E70">
        <w:rPr>
          <w:color w:val="000000"/>
          <w:szCs w:val="22"/>
        </w:rPr>
        <w:t>W</w:t>
      </w:r>
      <w:r w:rsidRPr="00370E70">
        <w:rPr>
          <w:color w:val="000000"/>
          <w:szCs w:val="22"/>
        </w:rPr>
        <w:t xml:space="preserve">et </w:t>
      </w:r>
      <w:r w:rsidR="00494624" w:rsidRPr="00370E70">
        <w:rPr>
          <w:color w:val="000000"/>
          <w:szCs w:val="22"/>
        </w:rPr>
        <w:t>T</w:t>
      </w:r>
      <w:r w:rsidRPr="00370E70">
        <w:rPr>
          <w:color w:val="000000"/>
          <w:szCs w:val="22"/>
        </w:rPr>
        <w:t xml:space="preserve">ropics region </w:t>
      </w:r>
      <w:r w:rsidR="00494624" w:rsidRPr="00370E70">
        <w:rPr>
          <w:color w:val="000000"/>
          <w:szCs w:val="22"/>
        </w:rPr>
        <w:t>(</w:t>
      </w:r>
      <w:r w:rsidR="00494624" w:rsidRPr="00370E70">
        <w:rPr>
          <w:color w:val="000000"/>
          <w:szCs w:val="22"/>
        </w:rPr>
        <w:fldChar w:fldCharType="begin"/>
      </w:r>
      <w:r w:rsidR="00494624" w:rsidRPr="00370E70">
        <w:rPr>
          <w:color w:val="000000"/>
          <w:szCs w:val="22"/>
        </w:rPr>
        <w:instrText xml:space="preserve"> REF _Ref179412950 \h </w:instrText>
      </w:r>
      <w:r w:rsidR="00494624" w:rsidRPr="00370E70">
        <w:rPr>
          <w:color w:val="000000"/>
          <w:szCs w:val="22"/>
        </w:rPr>
      </w:r>
      <w:r w:rsidR="00494624"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42</w:t>
      </w:r>
      <w:r w:rsidR="00494624" w:rsidRPr="00370E70">
        <w:rPr>
          <w:color w:val="000000"/>
          <w:szCs w:val="22"/>
        </w:rPr>
        <w:fldChar w:fldCharType="end"/>
      </w:r>
      <w:r w:rsidR="00494624" w:rsidRPr="00370E70">
        <w:rPr>
          <w:color w:val="000000"/>
          <w:szCs w:val="22"/>
        </w:rPr>
        <w:t>)</w:t>
      </w:r>
      <w:r w:rsidRPr="00370E70">
        <w:rPr>
          <w:color w:val="000000"/>
          <w:szCs w:val="22"/>
        </w:rPr>
        <w:t xml:space="preserve">. Monitoring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occurs on the large intertidal reef-platform south west of the cay. The meadow is dominated by </w:t>
      </w:r>
      <w:r w:rsidRPr="00370E70">
        <w:rPr>
          <w:i/>
          <w:color w:val="000000"/>
          <w:szCs w:val="22"/>
        </w:rPr>
        <w:t>Cymodocea rotundata</w:t>
      </w:r>
      <w:r w:rsidRPr="00370E70">
        <w:rPr>
          <w:color w:val="000000"/>
          <w:szCs w:val="22"/>
        </w:rPr>
        <w:t xml:space="preserve"> and </w:t>
      </w:r>
      <w:r w:rsidRPr="00370E70">
        <w:rPr>
          <w:i/>
          <w:color w:val="000000"/>
          <w:szCs w:val="22"/>
        </w:rPr>
        <w:t>Thalassia hemprichii</w:t>
      </w:r>
      <w:r w:rsidRPr="00370E70">
        <w:rPr>
          <w:color w:val="000000"/>
          <w:szCs w:val="22"/>
        </w:rPr>
        <w:t xml:space="preserve"> with some </w:t>
      </w:r>
      <w:r w:rsidRPr="00370E70">
        <w:rPr>
          <w:i/>
          <w:color w:val="000000"/>
          <w:szCs w:val="22"/>
        </w:rPr>
        <w:t>Halodule uninervis</w:t>
      </w:r>
      <w:r w:rsidRPr="00370E70">
        <w:rPr>
          <w:color w:val="000000"/>
          <w:szCs w:val="22"/>
        </w:rPr>
        <w:t xml:space="preserve"> and </w:t>
      </w:r>
      <w:r w:rsidRPr="00370E70">
        <w:rPr>
          <w:i/>
          <w:color w:val="000000"/>
          <w:szCs w:val="22"/>
        </w:rPr>
        <w:t>Halophila ovalis</w:t>
      </w:r>
      <w:r w:rsidRPr="00370E70">
        <w:rPr>
          <w:color w:val="000000"/>
          <w:szCs w:val="22"/>
        </w:rPr>
        <w:t>.</w:t>
      </w:r>
    </w:p>
    <w:p w:rsidR="005132EF" w:rsidRPr="00370E70" w:rsidRDefault="005132EF" w:rsidP="00034AD4">
      <w:pPr>
        <w:rPr>
          <w:color w:val="000000"/>
          <w:szCs w:val="22"/>
        </w:rPr>
      </w:pP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is an inshore continental island located in the southern section of the region</w:t>
      </w:r>
      <w:r w:rsidR="00494624" w:rsidRPr="00370E70">
        <w:rPr>
          <w:color w:val="000000"/>
          <w:szCs w:val="22"/>
        </w:rPr>
        <w:t xml:space="preserve"> (</w:t>
      </w:r>
      <w:r w:rsidR="00494624" w:rsidRPr="00370E70">
        <w:rPr>
          <w:color w:val="000000"/>
          <w:szCs w:val="22"/>
        </w:rPr>
        <w:fldChar w:fldCharType="begin"/>
      </w:r>
      <w:r w:rsidR="00494624" w:rsidRPr="00370E70">
        <w:rPr>
          <w:color w:val="000000"/>
          <w:szCs w:val="22"/>
        </w:rPr>
        <w:instrText xml:space="preserve"> REF _Ref179412950 \h </w:instrText>
      </w:r>
      <w:r w:rsidR="00494624" w:rsidRPr="00370E70">
        <w:rPr>
          <w:color w:val="000000"/>
          <w:szCs w:val="22"/>
        </w:rPr>
      </w:r>
      <w:r w:rsidR="00494624"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42</w:t>
      </w:r>
      <w:r w:rsidR="00494624" w:rsidRPr="00370E70">
        <w:rPr>
          <w:color w:val="000000"/>
          <w:szCs w:val="22"/>
        </w:rPr>
        <w:fldChar w:fldCharType="end"/>
      </w:r>
      <w:r w:rsidR="00494624" w:rsidRPr="00370E70">
        <w:rPr>
          <w:color w:val="000000"/>
          <w:szCs w:val="22"/>
        </w:rPr>
        <w:t>)</w:t>
      </w:r>
      <w:r w:rsidRPr="00370E70">
        <w:rPr>
          <w:color w:val="000000"/>
          <w:szCs w:val="22"/>
        </w:rPr>
        <w:t xml:space="preserve">. Intertidal monitoring sites are </w:t>
      </w:r>
      <w:r w:rsidR="002C6536" w:rsidRPr="00370E70">
        <w:rPr>
          <w:color w:val="000000"/>
          <w:szCs w:val="22"/>
        </w:rPr>
        <w:t>located</w:t>
      </w:r>
      <w:r w:rsidRPr="00370E70">
        <w:rPr>
          <w:color w:val="000000"/>
          <w:szCs w:val="22"/>
        </w:rPr>
        <w:t xml:space="preserve"> on the sand spit between the main island and </w:t>
      </w:r>
      <w:smartTag w:uri="urn:schemas-microsoft-com:office:smarttags" w:element="place">
        <w:smartTag w:uri="urn:schemas-microsoft-com:office:smarttags" w:element="PlaceName">
          <w:r w:rsidRPr="00370E70">
            <w:rPr>
              <w:color w:val="000000"/>
              <w:szCs w:val="22"/>
            </w:rPr>
            <w:t>Kumboola</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The subtidal site is located in the lee of the island, in front of the former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resort. Shallow unstable sediment, fluctuating temperature, and variable salinity in intertidal regions characterize these habitats. Physical disturbance from waves and swell and associated sediment movement primarily control seagrass growing in these habitats (</w:t>
      </w:r>
      <w:r w:rsidRPr="00370E70">
        <w:fldChar w:fldCharType="begin"/>
      </w:r>
      <w:r w:rsidRPr="00370E70">
        <w:instrText xml:space="preserve"> REF _Ref179412919 \h  \* MERGEFORMAT </w:instrText>
      </w:r>
      <w:r w:rsidRPr="00370E70">
        <w:fldChar w:fldCharType="separate"/>
      </w:r>
      <w:r w:rsidR="005B5FD6" w:rsidRPr="005B5FD6">
        <w:rPr>
          <w:szCs w:val="22"/>
        </w:rPr>
        <w:t xml:space="preserve">Figure </w:t>
      </w:r>
      <w:r w:rsidR="005B5FD6" w:rsidRPr="005B5FD6">
        <w:rPr>
          <w:noProof/>
          <w:color w:val="000000"/>
          <w:szCs w:val="22"/>
        </w:rPr>
        <w:t>43</w:t>
      </w:r>
      <w:r w:rsidRPr="00370E70">
        <w:fldChar w:fldCharType="end"/>
      </w:r>
      <w:r w:rsidRPr="00370E70">
        <w:rPr>
          <w:color w:val="000000"/>
          <w:szCs w:val="22"/>
        </w:rPr>
        <w:t>). Reef seagrass habitats in the region are often adjacent to areas of high tourism use and boating activity with propeller and anchor scarring impacts. Globally, nutrient concentrations are generally low in reef habitats due to the coarse nature of the coral sand sediments. In these types of carbonate sediments the primary limiting nutrient for seagrass growth is generally phosphate (</w:t>
      </w:r>
      <w:r w:rsidR="00494624" w:rsidRPr="00370E70">
        <w:rPr>
          <w:color w:val="000000"/>
          <w:szCs w:val="22"/>
        </w:rPr>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PjEyODwva2V5PjwvZm9yZWlnbi1rZXlzPjxyZWYtdHlwZSBuYW1lPSJKb3VybmFsIEFydGljbGUi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PjxwYWdlcz4xODctMTk4PC9wYWdlcz48dm9sdW1lPjEwMjwvdm9sdW1lPjxudW1iZXI+MS0yPC9u
dW1iZXI+PGtleXdvcmRzPjxrZXl3b3JkPldPUktTSE9QIC0gUEFDSUZJQyBSRUdJT04gU0VBR1JB
U1NFUzwva2V5d29yZD48L2tleXdvcmRzPjxkYXRlcz48eWVhcj4xOTkzPC95ZWFyPjwvZGF0ZXM+
PGxhYmVsPjE2MzwvbGFiZWw+PHVybHM+PC91cmxzPjxjdXN0b20xPkFubmV4PC9jdXN0b20xPjwv
cmVjb3JkPjwvQ2l0ZT48L0VuZE5vdGU+
</w:fldData>
        </w:fldChar>
      </w:r>
      <w:r w:rsidR="00494624" w:rsidRPr="00370E70">
        <w:rPr>
          <w:color w:val="000000"/>
          <w:szCs w:val="22"/>
        </w:rPr>
        <w:instrText xml:space="preserve"> ADDIN EN.CITE </w:instrText>
      </w:r>
      <w:r w:rsidR="00494624" w:rsidRPr="00370E70">
        <w:rPr>
          <w:color w:val="000000"/>
          <w:szCs w:val="22"/>
        </w:rPr>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PjEyODwva2V5PjwvZm9yZWlnbi1rZXlzPjxyZWYtdHlwZSBuYW1lPSJKb3VybmFsIEFydGljbGUi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PjxwYWdlcz4xODctMTk4PC9wYWdlcz48dm9sdW1lPjEwMjwvdm9sdW1lPjxudW1iZXI+MS0yPC9u
dW1iZXI+PGtleXdvcmRzPjxrZXl3b3JkPldPUktTSE9QIC0gUEFDSUZJQyBSRUdJT04gU0VBR1JB
U1NFUzwva2V5d29yZD48L2tleXdvcmRzPjxkYXRlcz48eWVhcj4xOTkzPC95ZWFyPjwvZGF0ZXM+
PGxhYmVsPjE2MzwvbGFiZWw+PHVybHM+PC91cmxzPjxjdXN0b20xPkFubmV4PC9jdXN0b20xPjwv
cmVjb3JkPjwvQ2l0ZT48L0VuZE5vdGU+
</w:fldData>
        </w:fldChar>
      </w:r>
      <w:r w:rsidR="00494624" w:rsidRPr="00370E70">
        <w:rPr>
          <w:color w:val="000000"/>
          <w:szCs w:val="22"/>
        </w:rPr>
        <w:instrText xml:space="preserve"> ADDIN EN.CITE.DATA </w:instrText>
      </w:r>
      <w:r w:rsidR="00494624" w:rsidRPr="00370E70">
        <w:rPr>
          <w:color w:val="000000"/>
          <w:szCs w:val="22"/>
        </w:rPr>
      </w:r>
      <w:r w:rsidR="00494624" w:rsidRPr="00370E70">
        <w:rPr>
          <w:color w:val="000000"/>
          <w:szCs w:val="22"/>
        </w:rPr>
        <w:fldChar w:fldCharType="end"/>
      </w:r>
      <w:r w:rsidR="00494624" w:rsidRPr="00370E70">
        <w:rPr>
          <w:color w:val="000000"/>
          <w:szCs w:val="22"/>
        </w:rPr>
      </w:r>
      <w:r w:rsidR="00494624" w:rsidRPr="00370E70">
        <w:rPr>
          <w:color w:val="000000"/>
          <w:szCs w:val="22"/>
        </w:rPr>
        <w:fldChar w:fldCharType="separate"/>
      </w:r>
      <w:hyperlink w:anchor="_ENREF_177" w:tooltip="Short, 1990 #128" w:history="1">
        <w:r w:rsidR="00964A70" w:rsidRPr="00370E70">
          <w:rPr>
            <w:noProof/>
            <w:color w:val="000000"/>
            <w:szCs w:val="22"/>
          </w:rPr>
          <w:t>Short</w:t>
        </w:r>
        <w:r w:rsidR="00964A70" w:rsidRPr="00370E70">
          <w:rPr>
            <w:i/>
            <w:noProof/>
            <w:color w:val="000000"/>
            <w:szCs w:val="22"/>
          </w:rPr>
          <w:t xml:space="preserve"> et al.</w:t>
        </w:r>
        <w:r w:rsidR="00964A70" w:rsidRPr="00370E70">
          <w:rPr>
            <w:noProof/>
            <w:color w:val="000000"/>
            <w:szCs w:val="22"/>
          </w:rPr>
          <w:t xml:space="preserve"> 1990</w:t>
        </w:r>
      </w:hyperlink>
      <w:r w:rsidR="00494624" w:rsidRPr="00370E70">
        <w:rPr>
          <w:noProof/>
          <w:color w:val="000000"/>
          <w:szCs w:val="22"/>
        </w:rPr>
        <w:t xml:space="preserve">; </w:t>
      </w:r>
      <w:hyperlink w:anchor="_ENREF_79" w:tooltip="Fourqurean, 1992 #9074" w:history="1">
        <w:r w:rsidR="00964A70" w:rsidRPr="00370E70">
          <w:rPr>
            <w:noProof/>
            <w:color w:val="000000"/>
            <w:szCs w:val="22"/>
          </w:rPr>
          <w:t>Fourqurean</w:t>
        </w:r>
        <w:r w:rsidR="00964A70" w:rsidRPr="00370E70">
          <w:rPr>
            <w:i/>
            <w:noProof/>
            <w:color w:val="000000"/>
            <w:szCs w:val="22"/>
          </w:rPr>
          <w:t xml:space="preserve"> et al.</w:t>
        </w:r>
        <w:r w:rsidR="00964A70" w:rsidRPr="00370E70">
          <w:rPr>
            <w:noProof/>
            <w:color w:val="000000"/>
            <w:szCs w:val="22"/>
          </w:rPr>
          <w:t xml:space="preserve"> 1992a</w:t>
        </w:r>
      </w:hyperlink>
      <w:r w:rsidR="00494624" w:rsidRPr="00370E70">
        <w:rPr>
          <w:noProof/>
          <w:color w:val="000000"/>
          <w:szCs w:val="22"/>
        </w:rPr>
        <w:t xml:space="preserve">; </w:t>
      </w:r>
      <w:hyperlink w:anchor="_ENREF_73" w:tooltip="Erftemeijer, 1993 #208" w:history="1">
        <w:r w:rsidR="00964A70" w:rsidRPr="00370E70">
          <w:rPr>
            <w:noProof/>
            <w:color w:val="000000"/>
            <w:szCs w:val="22"/>
          </w:rPr>
          <w:t>Erftemeijer and Middelburg 1993</w:t>
        </w:r>
      </w:hyperlink>
      <w:r w:rsidR="00494624" w:rsidRPr="00370E70">
        <w:rPr>
          <w:color w:val="000000"/>
          <w:szCs w:val="22"/>
        </w:rPr>
        <w:fldChar w:fldCharType="end"/>
      </w:r>
      <w:r w:rsidRPr="00370E70">
        <w:rPr>
          <w:color w:val="000000"/>
          <w:szCs w:val="22"/>
        </w:rPr>
        <w:t xml:space="preserve">). This is due to the sequestering of phosphate by calcium carbonate sediments. In this region seagrass meadows inhabiting the near shore inner reefs and fringing reefs of coastal islands inhabit a mixture of terrigenous and carbonate sediments, such as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Seagrasses at this location in the 1990’s were shown to be nitrogen limited (</w:t>
      </w:r>
      <w:hyperlink w:anchor="_ENREF_189" w:tooltip="Udy, 1999 #2371" w:history="1">
        <w:r w:rsidR="00964A70" w:rsidRPr="00370E70">
          <w:rPr>
            <w:color w:val="000000"/>
            <w:szCs w:val="22"/>
          </w:rPr>
          <w:fldChar w:fldCharType="begin"/>
        </w:r>
        <w:r w:rsidR="00964A70" w:rsidRPr="00370E70">
          <w:rPr>
            <w:color w:val="000000"/>
            <w:szCs w:val="22"/>
          </w:rPr>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964A70" w:rsidRPr="00370E70">
          <w:rPr>
            <w:color w:val="000000"/>
            <w:szCs w:val="22"/>
          </w:rPr>
          <w:fldChar w:fldCharType="separate"/>
        </w:r>
        <w:r w:rsidR="00964A70" w:rsidRPr="00370E70">
          <w:rPr>
            <w:noProof/>
            <w:color w:val="000000"/>
            <w:szCs w:val="22"/>
          </w:rPr>
          <w:t>Udy</w:t>
        </w:r>
        <w:r w:rsidR="00964A70" w:rsidRPr="00370E70">
          <w:rPr>
            <w:i/>
            <w:noProof/>
            <w:color w:val="000000"/>
            <w:szCs w:val="22"/>
          </w:rPr>
          <w:t>, et al.</w:t>
        </w:r>
        <w:r w:rsidR="00964A70" w:rsidRPr="00370E70">
          <w:rPr>
            <w:noProof/>
            <w:color w:val="000000"/>
            <w:szCs w:val="22"/>
          </w:rPr>
          <w:t xml:space="preserve"> 1999</w:t>
        </w:r>
        <w:r w:rsidR="00964A70" w:rsidRPr="00370E70">
          <w:rPr>
            <w:color w:val="000000"/>
            <w:szCs w:val="22"/>
          </w:rPr>
          <w:fldChar w:fldCharType="end"/>
        </w:r>
      </w:hyperlink>
      <w:r w:rsidRPr="00370E70">
        <w:rPr>
          <w:color w:val="000000"/>
          <w:szCs w:val="22"/>
        </w:rPr>
        <w:t>).</w:t>
      </w:r>
    </w:p>
    <w:p w:rsidR="005132EF" w:rsidRPr="00370E70" w:rsidRDefault="007B15AB" w:rsidP="00034AD4">
      <w:pPr>
        <w:jc w:val="center"/>
        <w:rPr>
          <w:color w:val="000000"/>
        </w:rPr>
      </w:pPr>
      <w:r>
        <w:rPr>
          <w:noProof/>
          <w:color w:val="000000"/>
          <w:lang w:eastAsia="en-AU"/>
        </w:rPr>
        <w:drawing>
          <wp:inline distT="0" distB="0" distL="0" distR="0">
            <wp:extent cx="5756910" cy="2189480"/>
            <wp:effectExtent l="0" t="0" r="0" b="1270"/>
            <wp:docPr id="56" name="Picture 64" descr="Conceptual diagram of reef habitat (&lt;15m) in the Wet Tropics region – major control is nutrient limitation, temperature extremes, light and grazing: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onceptual diagram of reef habitat (&lt;15m) in the Wet Tropics region – major control is nutrient limitation, temperature extremes, light and grazing: general habitat, seagrass meadow processes and threats/impacts"/>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56910" cy="2189480"/>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285" w:name="_Ref179412919"/>
      <w:bookmarkStart w:id="286" w:name="_Toc384196390"/>
      <w:bookmarkStart w:id="287" w:name="_Toc176158859"/>
      <w:bookmarkStart w:id="288" w:name="_Toc232845964"/>
      <w:bookmarkStart w:id="289" w:name="_Toc17019230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43</w:t>
      </w:r>
      <w:r w:rsidRPr="00370E70">
        <w:rPr>
          <w:lang w:val="en-AU"/>
        </w:rPr>
        <w:fldChar w:fldCharType="end"/>
      </w:r>
      <w:bookmarkEnd w:id="285"/>
      <w:r w:rsidRPr="00370E70">
        <w:rPr>
          <w:lang w:val="en-AU"/>
        </w:rPr>
        <w:t xml:space="preserve">. </w:t>
      </w:r>
      <w:r w:rsidRPr="00370E70">
        <w:rPr>
          <w:i/>
          <w:lang w:val="en-AU"/>
        </w:rPr>
        <w:t xml:space="preserve">Conceptual diagram of reef </w:t>
      </w:r>
      <w:r w:rsidR="00F43884">
        <w:rPr>
          <w:i/>
          <w:lang w:val="en-AU"/>
        </w:rPr>
        <w:t xml:space="preserve">seagrass </w:t>
      </w:r>
      <w:r w:rsidRPr="00370E70">
        <w:rPr>
          <w:i/>
          <w:lang w:val="en-AU"/>
        </w:rPr>
        <w:t>habitat (&lt;15m) in the Wet Tropics region</w:t>
      </w:r>
      <w:bookmarkEnd w:id="286"/>
    </w:p>
    <w:p w:rsidR="00A62B1C" w:rsidRPr="00370E70" w:rsidRDefault="005132EF" w:rsidP="00A62B1C">
      <w:pPr>
        <w:pStyle w:val="Caption"/>
        <w:rPr>
          <w:i/>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nutrient limitation, temperature extremes, light and grazing: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287"/>
      <w:bookmarkEnd w:id="288"/>
      <w:r w:rsidR="00A62B1C" w:rsidRPr="00370E70">
        <w:rPr>
          <w:i/>
          <w:lang w:val="en-AU"/>
        </w:rPr>
        <w:t xml:space="preserve"> </w:t>
      </w:r>
    </w:p>
    <w:p w:rsidR="005132EF" w:rsidRPr="00370E70" w:rsidRDefault="005132EF" w:rsidP="00034AD4">
      <w:pPr>
        <w:pStyle w:val="Heading3"/>
        <w:rPr>
          <w:color w:val="000000"/>
        </w:rPr>
      </w:pPr>
      <w:bookmarkStart w:id="290" w:name="_Toc184101984"/>
      <w:bookmarkStart w:id="291" w:name="_Toc384196134"/>
      <w:bookmarkStart w:id="292" w:name="_Toc175991067"/>
      <w:bookmarkStart w:id="293" w:name="_Toc232845912"/>
      <w:bookmarkEnd w:id="289"/>
      <w:r w:rsidRPr="00370E70">
        <w:rPr>
          <w:color w:val="000000"/>
        </w:rPr>
        <w:t>Status of the seagrass community</w:t>
      </w:r>
      <w:bookmarkEnd w:id="290"/>
      <w:bookmarkEnd w:id="291"/>
    </w:p>
    <w:p w:rsidR="00702E5E" w:rsidRPr="00370E70" w:rsidRDefault="00702E5E" w:rsidP="004B4D7F">
      <w:pPr>
        <w:rPr>
          <w:lang w:eastAsia="en-AU"/>
        </w:rPr>
      </w:pPr>
      <w:r w:rsidRPr="00370E70">
        <w:rPr>
          <w:lang w:eastAsia="en-AU"/>
        </w:rPr>
        <w:t>The overall condition of inshore seagrass in the Wet Tropics region declined in 2011/12 to very poor</w:t>
      </w:r>
      <w:r w:rsidR="00494624" w:rsidRPr="00370E70">
        <w:rPr>
          <w:lang w:eastAsia="en-AU"/>
        </w:rPr>
        <w:t xml:space="preserve"> (</w:t>
      </w:r>
      <w:r w:rsidR="00494624" w:rsidRPr="00370E70">
        <w:rPr>
          <w:lang w:eastAsia="en-AU"/>
        </w:rPr>
        <w:fldChar w:fldCharType="begin"/>
      </w:r>
      <w:r w:rsidR="00494624" w:rsidRPr="00370E70">
        <w:rPr>
          <w:lang w:eastAsia="en-AU"/>
        </w:rPr>
        <w:instrText xml:space="preserve"> REF _Ref382900466 \h </w:instrText>
      </w:r>
      <w:r w:rsidR="00494624" w:rsidRPr="00370E70">
        <w:rPr>
          <w:lang w:eastAsia="en-AU"/>
        </w:rPr>
      </w:r>
      <w:r w:rsidR="00494624" w:rsidRPr="00370E70">
        <w:rPr>
          <w:lang w:eastAsia="en-AU"/>
        </w:rPr>
        <w:fldChar w:fldCharType="separate"/>
      </w:r>
      <w:r w:rsidR="005B5FD6" w:rsidRPr="00370E70">
        <w:t xml:space="preserve">Figure </w:t>
      </w:r>
      <w:r w:rsidR="005B5FD6">
        <w:rPr>
          <w:noProof/>
        </w:rPr>
        <w:t>44</w:t>
      </w:r>
      <w:r w:rsidR="00494624" w:rsidRPr="00370E70">
        <w:rPr>
          <w:lang w:eastAsia="en-AU"/>
        </w:rPr>
        <w:fldChar w:fldCharType="end"/>
      </w:r>
      <w:r w:rsidR="00494624" w:rsidRPr="00370E70">
        <w:rPr>
          <w:lang w:eastAsia="en-AU"/>
        </w:rPr>
        <w:t>)</w:t>
      </w:r>
      <w:r w:rsidRPr="00370E70">
        <w:rPr>
          <w:lang w:eastAsia="en-AU"/>
        </w:rPr>
        <w:t xml:space="preserve">. This is due to declines in all three indictors over the monitoring period relative to 2010/11. The greatest </w:t>
      </w:r>
      <w:r w:rsidR="0034367D" w:rsidRPr="00370E70">
        <w:rPr>
          <w:lang w:eastAsia="en-AU"/>
        </w:rPr>
        <w:t>decline</w:t>
      </w:r>
      <w:r w:rsidRPr="00370E70">
        <w:rPr>
          <w:lang w:eastAsia="en-AU"/>
        </w:rPr>
        <w:t xml:space="preserve"> in inshore seagrass </w:t>
      </w:r>
      <w:r w:rsidR="0034367D" w:rsidRPr="00370E70">
        <w:rPr>
          <w:lang w:eastAsia="en-AU"/>
        </w:rPr>
        <w:t>abundance</w:t>
      </w:r>
      <w:r w:rsidRPr="00370E70">
        <w:rPr>
          <w:lang w:eastAsia="en-AU"/>
        </w:rPr>
        <w:t xml:space="preserve"> was in coastal habitats, which dropped from moderate in 2010/11 to very poor in 2011/12. Reproductive effort also </w:t>
      </w:r>
      <w:r w:rsidR="0034367D" w:rsidRPr="00370E70">
        <w:rPr>
          <w:lang w:eastAsia="en-AU"/>
        </w:rPr>
        <w:t>declined</w:t>
      </w:r>
      <w:r w:rsidRPr="00370E70">
        <w:rPr>
          <w:lang w:eastAsia="en-AU"/>
        </w:rPr>
        <w:t xml:space="preserve"> across the region in 2011/12 and there is little evidence of recovery of meadows that were directly affected by Cyclone Yasi in 2010/11. The very low abundance coupled with very low reproductive effort of seagrass in the region indicates that meadows may be at risk from repeated impacts and are likely to take many years to fully recover. Leaf tissue nutrient ratios were rated poor overall and were indicative of poor water quality.</w:t>
      </w:r>
    </w:p>
    <w:p w:rsidR="004B4D7F" w:rsidRPr="00370E70" w:rsidRDefault="007B15AB" w:rsidP="004B4D7F">
      <w:pPr>
        <w:keepNext/>
        <w:jc w:val="center"/>
        <w:rPr>
          <w:lang w:eastAsia="en-AU"/>
        </w:rPr>
      </w:pPr>
      <w:r>
        <w:rPr>
          <w:noProof/>
          <w:lang w:eastAsia="en-AU"/>
        </w:rPr>
        <w:lastRenderedPageBreak/>
        <w:drawing>
          <wp:inline distT="0" distB="0" distL="0" distR="0">
            <wp:extent cx="3593465" cy="1880235"/>
            <wp:effectExtent l="0" t="0" r="6985" b="5715"/>
            <wp:docPr id="57" name="Picture 57" descr="Figure of the report card of seagrass status indicators and index for the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igure of the report card of seagrass status indicators and index for the Wet Tropics NRM region over the life of the MMP"/>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593465" cy="1880235"/>
                    </a:xfrm>
                    <a:prstGeom prst="rect">
                      <a:avLst/>
                    </a:prstGeom>
                    <a:noFill/>
                    <a:ln>
                      <a:noFill/>
                    </a:ln>
                  </pic:spPr>
                </pic:pic>
              </a:graphicData>
            </a:graphic>
          </wp:inline>
        </w:drawing>
      </w:r>
    </w:p>
    <w:p w:rsidR="004B4D7F" w:rsidRPr="00370E70" w:rsidRDefault="004B4D7F" w:rsidP="004B4D7F">
      <w:pPr>
        <w:rPr>
          <w:i/>
          <w:vanish/>
          <w:color w:val="000000"/>
          <w:szCs w:val="22"/>
          <w:specVanish/>
        </w:rPr>
      </w:pPr>
      <w:bookmarkStart w:id="294" w:name="_Ref382900466"/>
      <w:bookmarkStart w:id="295" w:name="_Toc384196391"/>
      <w:r w:rsidRPr="00370E70">
        <w:t xml:space="preserve">Figure </w:t>
      </w:r>
      <w:r w:rsidR="009A14B8">
        <w:fldChar w:fldCharType="begin"/>
      </w:r>
      <w:r w:rsidR="009A14B8">
        <w:instrText xml:space="preserve"> SEQ Figure \* ARABIC </w:instrText>
      </w:r>
      <w:r w:rsidR="009A14B8">
        <w:fldChar w:fldCharType="separate"/>
      </w:r>
      <w:r w:rsidR="005B5FD6">
        <w:rPr>
          <w:noProof/>
        </w:rPr>
        <w:t>44</w:t>
      </w:r>
      <w:r w:rsidR="009A14B8">
        <w:rPr>
          <w:noProof/>
        </w:rPr>
        <w:fldChar w:fldCharType="end"/>
      </w:r>
      <w:bookmarkEnd w:id="294"/>
      <w:r w:rsidRPr="00370E70">
        <w:t xml:space="preserve">. </w:t>
      </w:r>
      <w:r w:rsidRPr="00370E70">
        <w:rPr>
          <w:i/>
          <w:color w:val="000000"/>
          <w:szCs w:val="22"/>
        </w:rPr>
        <w:t>Report card of seagrass status indicators and index for the Wet Tropics NRM region</w:t>
      </w:r>
      <w:bookmarkEnd w:id="295"/>
    </w:p>
    <w:p w:rsidR="004B4D7F" w:rsidRPr="00370E70" w:rsidRDefault="004B4D7F" w:rsidP="004B4D7F">
      <w:pPr>
        <w:pStyle w:val="Caption"/>
        <w:rPr>
          <w:lang w:val="en-AU" w:eastAsia="en-AU"/>
        </w:rPr>
      </w:pPr>
      <w:r w:rsidRPr="00370E70">
        <w:rPr>
          <w:i/>
          <w:color w:val="000000"/>
          <w:szCs w:val="22"/>
          <w:lang w:val="en-AU"/>
        </w:rPr>
        <w:t xml:space="preserve"> (averages across habitats and sites). Values are indexed scores scaled from 0-100; </w:t>
      </w:r>
      <w:r w:rsidRPr="00370E70">
        <w:rPr>
          <w:rFonts w:ascii="Arial" w:hAnsi="Arial" w:cs="Arial"/>
          <w:i/>
          <w:color w:val="008000"/>
          <w:szCs w:val="22"/>
          <w:lang w:val="en-AU"/>
        </w:rPr>
        <w:t>■ </w:t>
      </w:r>
      <w:r w:rsidRPr="00370E70">
        <w:rPr>
          <w:i/>
          <w:szCs w:val="22"/>
          <w:lang w:val="en-AU"/>
        </w:rPr>
        <w:t xml:space="preserve">= very good (80-100), </w:t>
      </w:r>
      <w:r w:rsidRPr="00370E70">
        <w:rPr>
          <w:rFonts w:ascii="Arial" w:hAnsi="Arial" w:cs="Arial"/>
          <w:i/>
          <w:color w:val="92D050"/>
          <w:szCs w:val="22"/>
          <w:lang w:val="en-AU"/>
        </w:rPr>
        <w:t>■</w:t>
      </w:r>
      <w:r w:rsidRPr="00370E70">
        <w:rPr>
          <w:i/>
          <w:szCs w:val="22"/>
          <w:lang w:val="en-AU"/>
        </w:rPr>
        <w:t xml:space="preserve"> = good (60 - &lt;80), </w:t>
      </w:r>
      <w:r w:rsidRPr="00370E70">
        <w:rPr>
          <w:rFonts w:ascii="Arial" w:hAnsi="Arial" w:cs="Arial"/>
          <w:i/>
          <w:color w:val="FFFF00"/>
          <w:szCs w:val="22"/>
          <w:lang w:val="en-AU"/>
        </w:rPr>
        <w:t>■</w:t>
      </w:r>
      <w:r w:rsidRPr="00370E70">
        <w:rPr>
          <w:i/>
          <w:szCs w:val="22"/>
          <w:lang w:val="en-AU"/>
        </w:rPr>
        <w:t xml:space="preserve"> = moderate (40 - &lt;60), </w:t>
      </w:r>
      <w:r w:rsidRPr="00370E70">
        <w:rPr>
          <w:rFonts w:ascii="Arial" w:hAnsi="Arial" w:cs="Arial"/>
          <w:i/>
          <w:color w:val="FFC000"/>
          <w:szCs w:val="22"/>
          <w:lang w:val="en-AU"/>
        </w:rPr>
        <w:t>■</w:t>
      </w:r>
      <w:r w:rsidRPr="00370E70">
        <w:rPr>
          <w:i/>
          <w:szCs w:val="22"/>
          <w:lang w:val="en-AU"/>
        </w:rPr>
        <w:t xml:space="preserve"> = poor (20 - &lt;40), </w:t>
      </w:r>
      <w:r w:rsidRPr="00370E70">
        <w:rPr>
          <w:rFonts w:ascii="Arial" w:hAnsi="Arial" w:cs="Arial"/>
          <w:i/>
          <w:color w:val="FF0000"/>
          <w:szCs w:val="22"/>
          <w:lang w:val="en-AU"/>
        </w:rPr>
        <w:t>■</w:t>
      </w:r>
      <w:r w:rsidRPr="00370E70">
        <w:rPr>
          <w:i/>
          <w:szCs w:val="22"/>
          <w:lang w:val="en-AU"/>
        </w:rPr>
        <w:t> = very poor (0 - &lt;20)</w:t>
      </w:r>
      <w:r w:rsidRPr="00370E70">
        <w:rPr>
          <w:i/>
          <w:color w:val="000000"/>
          <w:szCs w:val="22"/>
          <w:lang w:val="en-AU"/>
        </w:rPr>
        <w:t>.</w:t>
      </w:r>
    </w:p>
    <w:p w:rsidR="005132EF" w:rsidRPr="00370E70" w:rsidRDefault="005132EF" w:rsidP="00034AD4">
      <w:pPr>
        <w:pStyle w:val="Heading4"/>
        <w:rPr>
          <w:b/>
          <w:color w:val="000000"/>
        </w:rPr>
      </w:pPr>
      <w:bookmarkStart w:id="296" w:name="_Toc184101985"/>
      <w:bookmarkEnd w:id="292"/>
      <w:bookmarkEnd w:id="293"/>
      <w:r w:rsidRPr="00370E70">
        <w:rPr>
          <w:b/>
          <w:color w:val="000000"/>
        </w:rPr>
        <w:t>Seagrass abundance and composition</w:t>
      </w:r>
      <w:bookmarkEnd w:id="296"/>
    </w:p>
    <w:p w:rsidR="005132EF" w:rsidRPr="00370E70" w:rsidRDefault="005132EF" w:rsidP="00523CD6">
      <w:pPr>
        <w:pStyle w:val="Heading5"/>
        <w:rPr>
          <w:szCs w:val="22"/>
        </w:rPr>
      </w:pPr>
      <w:r w:rsidRPr="00370E70">
        <w:rPr>
          <w:szCs w:val="22"/>
        </w:rPr>
        <w:t>Coastal habitat</w:t>
      </w:r>
    </w:p>
    <w:p w:rsidR="005132EF" w:rsidRPr="00370E70" w:rsidRDefault="005132EF" w:rsidP="00034AD4">
      <w:pPr>
        <w:rPr>
          <w:szCs w:val="22"/>
        </w:rPr>
      </w:pPr>
      <w:r w:rsidRPr="00370E70">
        <w:rPr>
          <w:szCs w:val="22"/>
        </w:rPr>
        <w:t xml:space="preserve">The seagrass at Yule Point and </w:t>
      </w:r>
      <w:smartTag w:uri="urn:schemas-microsoft-com:office:smarttags" w:element="place">
        <w:smartTag w:uri="urn:schemas-microsoft-com:office:smarttags" w:element="PlaceName">
          <w:r w:rsidRPr="00370E70">
            <w:rPr>
              <w:szCs w:val="22"/>
            </w:rPr>
            <w:t>Lugger</w:t>
          </w:r>
        </w:smartTag>
        <w:r w:rsidRPr="00370E70">
          <w:rPr>
            <w:szCs w:val="22"/>
          </w:rPr>
          <w:t xml:space="preserve"> </w:t>
        </w:r>
        <w:smartTag w:uri="urn:schemas-microsoft-com:office:smarttags" w:element="PlaceType">
          <w:r w:rsidRPr="00370E70">
            <w:rPr>
              <w:szCs w:val="22"/>
            </w:rPr>
            <w:t>Bay</w:t>
          </w:r>
        </w:smartTag>
      </w:smartTag>
      <w:r w:rsidRPr="00370E70">
        <w:rPr>
          <w:szCs w:val="22"/>
        </w:rPr>
        <w:t xml:space="preserve"> were representative of coastal (inshore) seagrass communities in the region and were dominated by </w:t>
      </w:r>
      <w:r w:rsidRPr="00370E70">
        <w:rPr>
          <w:i/>
          <w:szCs w:val="22"/>
        </w:rPr>
        <w:t>Halodule uninervis</w:t>
      </w:r>
      <w:r w:rsidRPr="00370E70">
        <w:rPr>
          <w:szCs w:val="22"/>
        </w:rPr>
        <w:t xml:space="preserve"> and </w:t>
      </w:r>
      <w:bookmarkStart w:id="297" w:name="OLE_LINK29"/>
      <w:bookmarkStart w:id="298" w:name="OLE_LINK30"/>
      <w:r w:rsidRPr="00370E70">
        <w:rPr>
          <w:i/>
          <w:szCs w:val="22"/>
        </w:rPr>
        <w:t xml:space="preserve">Halophila ovalis </w:t>
      </w:r>
      <w:bookmarkEnd w:id="297"/>
      <w:bookmarkEnd w:id="298"/>
      <w:r w:rsidRPr="00370E70">
        <w:rPr>
          <w:szCs w:val="22"/>
        </w:rPr>
        <w:t>(</w:t>
      </w:r>
      <w:r w:rsidRPr="00370E70">
        <w:fldChar w:fldCharType="begin"/>
      </w:r>
      <w:r w:rsidRPr="00370E70">
        <w:instrText xml:space="preserve"> REF _Ref179412950 \h  \* MERGEFORMAT </w:instrText>
      </w:r>
      <w:r w:rsidRPr="00370E70">
        <w:fldChar w:fldCharType="separate"/>
      </w:r>
      <w:r w:rsidR="005B5FD6" w:rsidRPr="005B5FD6">
        <w:rPr>
          <w:szCs w:val="22"/>
        </w:rPr>
        <w:t xml:space="preserve">Figure </w:t>
      </w:r>
      <w:r w:rsidR="005B5FD6" w:rsidRPr="005B5FD6">
        <w:rPr>
          <w:noProof/>
          <w:szCs w:val="22"/>
        </w:rPr>
        <w:t>42</w:t>
      </w:r>
      <w:r w:rsidRPr="00370E70">
        <w:fldChar w:fldCharType="end"/>
      </w:r>
      <w:r w:rsidRPr="00370E70">
        <w:rPr>
          <w:szCs w:val="22"/>
        </w:rPr>
        <w:t xml:space="preserve">). Over the 2011/12 monitoring period, the proportion of </w:t>
      </w:r>
      <w:r w:rsidRPr="00370E70">
        <w:rPr>
          <w:i/>
          <w:szCs w:val="22"/>
        </w:rPr>
        <w:t>Halophila ovalis</w:t>
      </w:r>
      <w:r w:rsidRPr="00370E70">
        <w:rPr>
          <w:szCs w:val="22"/>
        </w:rPr>
        <w:t xml:space="preserve"> declined from the previous monitoring period and</w:t>
      </w:r>
      <w:r w:rsidRPr="00370E70">
        <w:rPr>
          <w:i/>
          <w:szCs w:val="22"/>
        </w:rPr>
        <w:t xml:space="preserve"> Halodule uninervis</w:t>
      </w:r>
      <w:r w:rsidRPr="00370E70">
        <w:rPr>
          <w:szCs w:val="22"/>
        </w:rPr>
        <w:t xml:space="preserve"> dominated the species composition at Yule Point sites. Overall, seagrass cover at Yule Point during the 2011/12 monitoring period was the lowest recorded since monitoring was establish in August 2000. Similarly, the dry season abundances in 2011 were the lowest ever recorded at Yule Point (</w:t>
      </w:r>
      <w:r w:rsidRPr="00370E70">
        <w:fldChar w:fldCharType="begin"/>
      </w:r>
      <w:r w:rsidRPr="00370E70">
        <w:instrText xml:space="preserve"> REF _Ref179412965 \h  \* MERGEFORMAT </w:instrText>
      </w:r>
      <w:r w:rsidRPr="00370E70">
        <w:fldChar w:fldCharType="separate"/>
      </w:r>
      <w:r w:rsidR="005B5FD6" w:rsidRPr="005B5FD6">
        <w:rPr>
          <w:szCs w:val="22"/>
        </w:rPr>
        <w:t xml:space="preserve">Figure </w:t>
      </w:r>
      <w:r w:rsidR="005B5FD6" w:rsidRPr="005B5FD6">
        <w:rPr>
          <w:noProof/>
          <w:szCs w:val="22"/>
        </w:rPr>
        <w:t>45</w:t>
      </w:r>
      <w:r w:rsidRPr="00370E70">
        <w:fldChar w:fldCharType="end"/>
      </w:r>
      <w:r w:rsidRPr="00370E70">
        <w:rPr>
          <w:szCs w:val="22"/>
        </w:rPr>
        <w:t>).</w:t>
      </w:r>
    </w:p>
    <w:p w:rsidR="005132EF" w:rsidRPr="00370E70" w:rsidRDefault="005132EF" w:rsidP="00034AD4">
      <w:pPr>
        <w:rPr>
          <w:szCs w:val="22"/>
        </w:rPr>
      </w:pPr>
      <w:r w:rsidRPr="00370E70">
        <w:rPr>
          <w:szCs w:val="22"/>
        </w:rPr>
        <w:t xml:space="preserve">The </w:t>
      </w:r>
      <w:smartTag w:uri="urn:schemas-microsoft-com:office:smarttags" w:element="place">
        <w:smartTag w:uri="urn:schemas-microsoft-com:office:smarttags" w:element="PlaceName">
          <w:r w:rsidRPr="00370E70">
            <w:rPr>
              <w:szCs w:val="22"/>
            </w:rPr>
            <w:t>Lugger</w:t>
          </w:r>
        </w:smartTag>
        <w:r w:rsidRPr="00370E70">
          <w:rPr>
            <w:szCs w:val="22"/>
          </w:rPr>
          <w:t xml:space="preserve"> </w:t>
        </w:r>
        <w:smartTag w:uri="urn:schemas-microsoft-com:office:smarttags" w:element="PlaceType">
          <w:r w:rsidRPr="00370E70">
            <w:rPr>
              <w:szCs w:val="22"/>
            </w:rPr>
            <w:t>Bay</w:t>
          </w:r>
        </w:smartTag>
      </w:smartTag>
      <w:r w:rsidRPr="00370E70">
        <w:rPr>
          <w:szCs w:val="22"/>
        </w:rPr>
        <w:t xml:space="preserve"> intertidal sandbanks only expose during very low tides (&lt;0.4m) and only </w:t>
      </w:r>
      <w:r w:rsidRPr="00370E70">
        <w:rPr>
          <w:i/>
          <w:szCs w:val="22"/>
        </w:rPr>
        <w:t>Halodule uninervis</w:t>
      </w:r>
      <w:r w:rsidRPr="00370E70">
        <w:rPr>
          <w:szCs w:val="22"/>
        </w:rPr>
        <w:t xml:space="preserve"> has been reported within the sites (</w:t>
      </w:r>
      <w:r w:rsidRPr="00370E70">
        <w:fldChar w:fldCharType="begin"/>
      </w:r>
      <w:r w:rsidRPr="00370E70">
        <w:instrText xml:space="preserve"> REF _Ref179412950 \h  \* MERGEFORMAT </w:instrText>
      </w:r>
      <w:r w:rsidRPr="00370E70">
        <w:fldChar w:fldCharType="separate"/>
      </w:r>
      <w:r w:rsidR="005B5FD6" w:rsidRPr="005B5FD6">
        <w:rPr>
          <w:szCs w:val="22"/>
        </w:rPr>
        <w:t xml:space="preserve">Figure </w:t>
      </w:r>
      <w:r w:rsidR="005B5FD6" w:rsidRPr="005B5FD6">
        <w:rPr>
          <w:noProof/>
          <w:szCs w:val="22"/>
        </w:rPr>
        <w:t>42</w:t>
      </w:r>
      <w:r w:rsidRPr="00370E70">
        <w:fldChar w:fldCharType="end"/>
      </w:r>
      <w:r w:rsidRPr="00370E70">
        <w:rPr>
          <w:szCs w:val="22"/>
        </w:rPr>
        <w:t xml:space="preserve">). Seagrass meadows at </w:t>
      </w:r>
      <w:smartTag w:uri="urn:schemas-microsoft-com:office:smarttags" w:element="place">
        <w:smartTag w:uri="urn:schemas-microsoft-com:office:smarttags" w:element="PlaceName">
          <w:r w:rsidRPr="00370E70">
            <w:rPr>
              <w:szCs w:val="22"/>
            </w:rPr>
            <w:t>Lugger</w:t>
          </w:r>
        </w:smartTag>
        <w:r w:rsidRPr="00370E70">
          <w:rPr>
            <w:szCs w:val="22"/>
          </w:rPr>
          <w:t xml:space="preserve"> </w:t>
        </w:r>
        <w:smartTag w:uri="urn:schemas-microsoft-com:office:smarttags" w:element="PlaceType">
          <w:r w:rsidRPr="00370E70">
            <w:rPr>
              <w:szCs w:val="22"/>
            </w:rPr>
            <w:t>Bay</w:t>
          </w:r>
        </w:smartTag>
      </w:smartTag>
      <w:r w:rsidRPr="00370E70">
        <w:rPr>
          <w:szCs w:val="22"/>
        </w:rPr>
        <w:t xml:space="preserve"> have fluctuated greatly since monitoring was established in late 2004, primarily from acute disturbances such as tropical cyclones. Seagrass cover declined in early 2010 and was completely lost in early 2011 following TC Yasi (</w:t>
      </w:r>
      <w:r w:rsidRPr="00370E70">
        <w:fldChar w:fldCharType="begin"/>
      </w:r>
      <w:r w:rsidRPr="00370E70">
        <w:instrText xml:space="preserve"> REF _Ref179412965 \h  \* MERGEFORMAT </w:instrText>
      </w:r>
      <w:r w:rsidRPr="00370E70">
        <w:fldChar w:fldCharType="separate"/>
      </w:r>
      <w:r w:rsidR="005B5FD6" w:rsidRPr="005B5FD6">
        <w:rPr>
          <w:szCs w:val="22"/>
        </w:rPr>
        <w:t xml:space="preserve">Figure </w:t>
      </w:r>
      <w:r w:rsidR="005B5FD6" w:rsidRPr="005B5FD6">
        <w:rPr>
          <w:noProof/>
          <w:szCs w:val="22"/>
        </w:rPr>
        <w:t>45</w:t>
      </w:r>
      <w:r w:rsidRPr="00370E70">
        <w:fldChar w:fldCharType="end"/>
      </w:r>
      <w:r w:rsidRPr="00370E70">
        <w:rPr>
          <w:szCs w:val="22"/>
        </w:rPr>
        <w:t>). No seagrass was observed within the long-term monitoring sites throughout 2011/12, although isolated plants were observed in the south eastern portion of the bay in late dry 2011, from which tissue samples were collected.</w:t>
      </w:r>
    </w:p>
    <w:p w:rsidR="005132EF" w:rsidRPr="00370E70" w:rsidRDefault="005132EF" w:rsidP="00A86BAC">
      <w:pPr>
        <w:rPr>
          <w:color w:val="000000"/>
          <w:szCs w:val="22"/>
        </w:rPr>
      </w:pPr>
      <w:r w:rsidRPr="00370E70">
        <w:rPr>
          <w:color w:val="000000"/>
          <w:szCs w:val="22"/>
        </w:rPr>
        <w:t>Although seagrass cover at Yule Point was low, over the past 12 months it continued to follow a seasonal trend with higher abundance over the period from late dry to monsoon (</w:t>
      </w:r>
      <w:r w:rsidRPr="00370E70">
        <w:fldChar w:fldCharType="begin"/>
      </w:r>
      <w:r w:rsidRPr="00370E70">
        <w:instrText xml:space="preserve"> REF _Ref179412979 \h  \* MERGEFORMAT </w:instrText>
      </w:r>
      <w:r w:rsidRPr="00370E70">
        <w:fldChar w:fldCharType="separate"/>
      </w:r>
      <w:r w:rsidR="005B5FD6" w:rsidRPr="005B5FD6">
        <w:rPr>
          <w:szCs w:val="22"/>
        </w:rPr>
        <w:t xml:space="preserve">Figure </w:t>
      </w:r>
      <w:r w:rsidR="005B5FD6" w:rsidRPr="005B5FD6">
        <w:rPr>
          <w:noProof/>
          <w:color w:val="000000"/>
          <w:szCs w:val="22"/>
        </w:rPr>
        <w:t>46</w:t>
      </w:r>
      <w:r w:rsidRPr="00370E70">
        <w:fldChar w:fldCharType="end"/>
      </w:r>
      <w:r w:rsidRPr="00370E70">
        <w:rPr>
          <w:color w:val="000000"/>
          <w:szCs w:val="22"/>
        </w:rPr>
        <w:t>).</w:t>
      </w:r>
    </w:p>
    <w:p w:rsidR="005132EF" w:rsidRPr="00370E70" w:rsidRDefault="007B15AB" w:rsidP="00034AD4">
      <w:pPr>
        <w:keepNext/>
        <w:jc w:val="center"/>
        <w:rPr>
          <w:color w:val="000000"/>
        </w:rPr>
      </w:pPr>
      <w:r>
        <w:rPr>
          <w:noProof/>
          <w:lang w:eastAsia="en-AU"/>
        </w:rPr>
        <w:drawing>
          <wp:inline distT="0" distB="0" distL="0" distR="0">
            <wp:extent cx="2769235" cy="1945005"/>
            <wp:effectExtent l="0" t="0" r="0" b="0"/>
            <wp:docPr id="58" name="Picture 66" descr="Figure shoiwing the long-term changes in seagrass abundance (% cover ±Standard Error) at coastal intertidal Halodule uninervis meadows monitored at Yule Point in the Wet Tropics region from 2000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igure shoiwing the long-term changes in seagrass abundance (% cover ±Standard Error) at coastal intertidal Halodule uninervis meadows monitored at Yule Point in the Wet Tropics region from 2000 to 201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769235" cy="1945005"/>
                    </a:xfrm>
                    <a:prstGeom prst="rect">
                      <a:avLst/>
                    </a:prstGeom>
                    <a:noFill/>
                    <a:ln>
                      <a:noFill/>
                    </a:ln>
                  </pic:spPr>
                </pic:pic>
              </a:graphicData>
            </a:graphic>
          </wp:inline>
        </w:drawing>
      </w:r>
      <w:r>
        <w:rPr>
          <w:noProof/>
          <w:lang w:eastAsia="en-AU"/>
        </w:rPr>
        <w:drawing>
          <wp:inline distT="0" distB="0" distL="0" distR="0">
            <wp:extent cx="2769235" cy="1945005"/>
            <wp:effectExtent l="0" t="0" r="0" b="0"/>
            <wp:docPr id="59" name="Picture 67" descr="Figure shoiwing the long-term changes in seagrass abundance (% cover ±Standard Error) at the coastal intertidal Halodule uninervis meadows monitored at Lugger Bay in the Wet Tropics region from 2000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igure shoiwing the long-term changes in seagrass abundance (% cover ±Standard Error) at the coastal intertidal Halodule uninervis meadows monitored at Lugger Bay in the Wet Tropics region from 2000 to 201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769235" cy="1945005"/>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299" w:name="_Ref179412965"/>
      <w:bookmarkStart w:id="300" w:name="_Toc176158861"/>
      <w:bookmarkStart w:id="301" w:name="_Toc232845966"/>
      <w:bookmarkStart w:id="302" w:name="_Toc38419639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45</w:t>
      </w:r>
      <w:r w:rsidRPr="00370E70">
        <w:rPr>
          <w:lang w:val="en-AU"/>
        </w:rPr>
        <w:fldChar w:fldCharType="end"/>
      </w:r>
      <w:bookmarkEnd w:id="299"/>
      <w:r w:rsidRPr="00370E70">
        <w:rPr>
          <w:lang w:val="en-AU"/>
        </w:rPr>
        <w:t xml:space="preserve">. </w:t>
      </w:r>
      <w:bookmarkEnd w:id="300"/>
      <w:bookmarkEnd w:id="301"/>
      <w:r w:rsidRPr="00370E70">
        <w:rPr>
          <w:i/>
          <w:lang w:val="en-AU"/>
        </w:rPr>
        <w:t xml:space="preserve">Changes in seagrass abundance (% cover ±Standard Error) </w:t>
      </w:r>
      <w:r w:rsidR="00F13044">
        <w:rPr>
          <w:i/>
          <w:lang w:val="en-AU"/>
        </w:rPr>
        <w:t>at</w:t>
      </w:r>
      <w:r w:rsidRPr="00370E70">
        <w:rPr>
          <w:i/>
          <w:lang w:val="en-AU"/>
        </w:rPr>
        <w:t xml:space="preserve"> </w:t>
      </w:r>
      <w:r w:rsidR="00F43884">
        <w:rPr>
          <w:i/>
          <w:lang w:val="en-AU"/>
        </w:rPr>
        <w:t xml:space="preserve">inshore </w:t>
      </w:r>
      <w:r w:rsidR="00F43884" w:rsidRPr="00370E70">
        <w:rPr>
          <w:i/>
          <w:lang w:val="en-AU"/>
        </w:rPr>
        <w:t xml:space="preserve">intertidal </w:t>
      </w:r>
      <w:r w:rsidRPr="00370E70">
        <w:rPr>
          <w:i/>
          <w:lang w:val="en-AU"/>
        </w:rPr>
        <w:t xml:space="preserve">coastal </w:t>
      </w:r>
      <w:r w:rsidR="00F43884">
        <w:rPr>
          <w:i/>
          <w:lang w:val="en-AU"/>
        </w:rPr>
        <w:t xml:space="preserve">habitats </w:t>
      </w:r>
      <w:r w:rsidRPr="00370E70">
        <w:rPr>
          <w:i/>
          <w:lang w:val="en-AU"/>
        </w:rPr>
        <w:t>in the Wet Tropics region from 2000 to 2012</w:t>
      </w:r>
      <w:bookmarkEnd w:id="302"/>
    </w:p>
    <w:p w:rsidR="00A62B1C" w:rsidRPr="00370E70" w:rsidRDefault="005132EF" w:rsidP="00A62B1C">
      <w:pPr>
        <w:pStyle w:val="Caption"/>
        <w:rPr>
          <w:i/>
          <w:lang w:val="en-AU"/>
        </w:rPr>
      </w:pPr>
      <w:r w:rsidRPr="00370E70">
        <w:rPr>
          <w:i/>
          <w:lang w:val="en-AU"/>
        </w:rPr>
        <w:t>. Trendline is 3rd order polynomial (95% confidence intervals displayed) where Yule Pt r</w:t>
      </w:r>
      <w:r w:rsidRPr="00370E70">
        <w:rPr>
          <w:i/>
          <w:vertAlign w:val="superscript"/>
          <w:lang w:val="en-AU"/>
        </w:rPr>
        <w:t>2</w:t>
      </w:r>
      <w:r w:rsidRPr="00370E70">
        <w:rPr>
          <w:i/>
          <w:lang w:val="en-AU"/>
        </w:rPr>
        <w:t xml:space="preserve"> = 0.223 and </w:t>
      </w:r>
      <w:smartTag w:uri="urn:schemas-microsoft-com:office:smarttags" w:element="place">
        <w:smartTag w:uri="urn:schemas-microsoft-com:office:smarttags" w:element="PlaceName">
          <w:r w:rsidRPr="00370E70">
            <w:rPr>
              <w:i/>
              <w:lang w:val="en-AU"/>
            </w:rPr>
            <w:t>Lugger</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xml:space="preserve"> r</w:t>
      </w:r>
      <w:r w:rsidRPr="00370E70">
        <w:rPr>
          <w:i/>
          <w:vertAlign w:val="superscript"/>
          <w:lang w:val="en-AU"/>
        </w:rPr>
        <w:t>2</w:t>
      </w:r>
      <w:r w:rsidRPr="00370E70">
        <w:rPr>
          <w:i/>
          <w:lang w:val="en-AU"/>
        </w:rPr>
        <w:t xml:space="preserve"> = 0.408)</w:t>
      </w:r>
      <w:r w:rsidR="00A62B1C" w:rsidRPr="00370E70">
        <w:rPr>
          <w:i/>
          <w:lang w:val="en-AU"/>
        </w:rPr>
        <w:t xml:space="preserve">. </w:t>
      </w:r>
    </w:p>
    <w:p w:rsidR="005132EF" w:rsidRPr="00370E70" w:rsidRDefault="007B15AB" w:rsidP="00034AD4">
      <w:pPr>
        <w:keepNext/>
        <w:jc w:val="center"/>
        <w:rPr>
          <w:color w:val="000000"/>
        </w:rPr>
      </w:pPr>
      <w:r>
        <w:rPr>
          <w:noProof/>
          <w:lang w:eastAsia="en-AU"/>
        </w:rPr>
        <w:lastRenderedPageBreak/>
        <w:drawing>
          <wp:inline distT="0" distB="0" distL="0" distR="0">
            <wp:extent cx="5408930" cy="2035175"/>
            <wp:effectExtent l="0" t="0" r="1270" b="3175"/>
            <wp:docPr id="60" name="Picture 68" descr="Figure showing the seasonality of seagrass cover (all species pooled) at Yule Point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Figure showing the seasonality of seagrass cover (all species pooled) at Yule Point long-term monitoring sites at time of year. "/>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08930" cy="2035175"/>
                    </a:xfrm>
                    <a:prstGeom prst="rect">
                      <a:avLst/>
                    </a:prstGeom>
                    <a:noFill/>
                    <a:ln>
                      <a:noFill/>
                    </a:ln>
                  </pic:spPr>
                </pic:pic>
              </a:graphicData>
            </a:graphic>
          </wp:inline>
        </w:drawing>
      </w:r>
    </w:p>
    <w:p w:rsidR="00D12C48" w:rsidRPr="00370E70" w:rsidRDefault="005132EF" w:rsidP="00D12C48">
      <w:pPr>
        <w:pStyle w:val="Caption"/>
        <w:rPr>
          <w:i/>
          <w:vanish/>
          <w:lang w:val="en-AU"/>
          <w:specVanish/>
        </w:rPr>
      </w:pPr>
      <w:bookmarkStart w:id="303" w:name="_Ref179412979"/>
      <w:bookmarkStart w:id="304" w:name="_Toc384196393"/>
      <w:bookmarkStart w:id="305" w:name="_Toc176158862"/>
      <w:bookmarkStart w:id="306" w:name="_Toc23284596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46</w:t>
      </w:r>
      <w:r w:rsidRPr="00370E70">
        <w:rPr>
          <w:lang w:val="en-AU"/>
        </w:rPr>
        <w:fldChar w:fldCharType="end"/>
      </w:r>
      <w:bookmarkEnd w:id="303"/>
      <w:r w:rsidRPr="00370E70">
        <w:rPr>
          <w:lang w:val="en-AU"/>
        </w:rPr>
        <w:t xml:space="preserve">. </w:t>
      </w:r>
      <w:r w:rsidRPr="00370E70">
        <w:rPr>
          <w:i/>
          <w:lang w:val="en-AU"/>
        </w:rPr>
        <w:t xml:space="preserve">Mean percentage seagrass cover (all species pooled) (± Standard Error) at </w:t>
      </w:r>
      <w:r w:rsidR="00F43884">
        <w:rPr>
          <w:i/>
          <w:lang w:val="en-AU"/>
        </w:rPr>
        <w:t xml:space="preserve">inshore </w:t>
      </w:r>
      <w:r w:rsidR="00F43884" w:rsidRPr="00370E70">
        <w:rPr>
          <w:i/>
          <w:lang w:val="en-AU"/>
        </w:rPr>
        <w:t xml:space="preserve">intertidal coastal </w:t>
      </w:r>
      <w:r w:rsidR="00F43884">
        <w:rPr>
          <w:i/>
          <w:lang w:val="en-AU"/>
        </w:rPr>
        <w:t>habitat</w:t>
      </w:r>
      <w:r w:rsidR="006B1B14">
        <w:rPr>
          <w:i/>
          <w:lang w:val="en-AU"/>
        </w:rPr>
        <w:t>s</w:t>
      </w:r>
      <w:r w:rsidR="00F43884">
        <w:rPr>
          <w:i/>
          <w:lang w:val="en-AU"/>
        </w:rPr>
        <w:t xml:space="preserve"> (</w:t>
      </w:r>
      <w:r w:rsidRPr="00370E70">
        <w:rPr>
          <w:i/>
          <w:lang w:val="en-AU"/>
        </w:rPr>
        <w:t>Yule Point</w:t>
      </w:r>
      <w:r w:rsidR="00F43884">
        <w:rPr>
          <w:i/>
          <w:lang w:val="en-AU"/>
        </w:rPr>
        <w:t>)</w:t>
      </w:r>
      <w:r w:rsidRPr="00370E70">
        <w:rPr>
          <w:i/>
          <w:lang w:val="en-AU"/>
        </w:rPr>
        <w:t xml:space="preserve"> at time of year.</w:t>
      </w:r>
      <w:bookmarkEnd w:id="304"/>
      <w:r w:rsidR="00A62B1C" w:rsidRPr="00370E70">
        <w:rPr>
          <w:i/>
          <w:vanish/>
          <w:color w:val="000000"/>
          <w:szCs w:val="22"/>
          <w:lang w:val="en-AU"/>
          <w:specVanish/>
        </w:rPr>
        <w:t xml:space="preserve"> </w:t>
      </w:r>
      <w:r w:rsidRPr="00370E70">
        <w:rPr>
          <w:i/>
          <w:lang w:val="en-AU"/>
        </w:rPr>
        <w:t xml:space="preserve"> </w:t>
      </w:r>
    </w:p>
    <w:p w:rsidR="00D12C48" w:rsidRPr="00370E70" w:rsidRDefault="005132EF" w:rsidP="00D12C48">
      <w:pPr>
        <w:pStyle w:val="Caption"/>
        <w:rPr>
          <w:i/>
          <w:lang w:val="en-AU"/>
        </w:rPr>
      </w:pPr>
      <w:r w:rsidRPr="00370E70">
        <w:rPr>
          <w:i/>
          <w:lang w:val="en-AU"/>
        </w:rPr>
        <w:t>NB: Polynomial trendline for all years pooled.</w:t>
      </w:r>
      <w:bookmarkEnd w:id="305"/>
      <w:bookmarkEnd w:id="306"/>
      <w:r w:rsidR="00A62B1C" w:rsidRPr="00370E70">
        <w:rPr>
          <w:i/>
          <w:lang w:val="en-AU"/>
        </w:rPr>
        <w:t xml:space="preserve"> </w:t>
      </w:r>
    </w:p>
    <w:p w:rsidR="005132EF" w:rsidRPr="00370E70" w:rsidRDefault="005132EF" w:rsidP="00034AD4">
      <w:pPr>
        <w:rPr>
          <w:color w:val="000000"/>
          <w:szCs w:val="22"/>
        </w:rPr>
      </w:pPr>
      <w:r w:rsidRPr="00370E70">
        <w:rPr>
          <w:color w:val="000000"/>
          <w:szCs w:val="22"/>
        </w:rPr>
        <w:t xml:space="preserve">Although seagrass was absent from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during 2011/12, historically seagrass abundance has followed a seasonal pattern with abundances increasing throughout the year until the monsoon (</w:t>
      </w:r>
      <w:r w:rsidRPr="00370E70">
        <w:fldChar w:fldCharType="begin"/>
      </w:r>
      <w:r w:rsidRPr="00370E70">
        <w:instrText xml:space="preserve"> REF _Ref179413043 \h  \* MERGEFORMAT </w:instrText>
      </w:r>
      <w:r w:rsidRPr="00370E70">
        <w:fldChar w:fldCharType="separate"/>
      </w:r>
      <w:r w:rsidR="005B5FD6" w:rsidRPr="005B5FD6">
        <w:rPr>
          <w:szCs w:val="22"/>
        </w:rPr>
        <w:t xml:space="preserve">Figure </w:t>
      </w:r>
      <w:r w:rsidR="005B5FD6" w:rsidRPr="005B5FD6">
        <w:rPr>
          <w:noProof/>
          <w:color w:val="000000"/>
          <w:szCs w:val="22"/>
        </w:rPr>
        <w:t>47</w:t>
      </w:r>
      <w:r w:rsidRPr="00370E70">
        <w:fldChar w:fldCharType="end"/>
      </w:r>
      <w:r w:rsidRPr="00370E70">
        <w:rPr>
          <w:color w:val="000000"/>
          <w:szCs w:val="22"/>
        </w:rPr>
        <w:t>).</w:t>
      </w:r>
    </w:p>
    <w:p w:rsidR="005132EF" w:rsidRPr="00370E70" w:rsidRDefault="007B15AB" w:rsidP="00034AD4">
      <w:pPr>
        <w:keepNext/>
        <w:jc w:val="center"/>
      </w:pPr>
      <w:r>
        <w:rPr>
          <w:noProof/>
          <w:lang w:eastAsia="en-AU"/>
        </w:rPr>
        <w:drawing>
          <wp:inline distT="0" distB="0" distL="0" distR="0">
            <wp:extent cx="5447665" cy="2112010"/>
            <wp:effectExtent l="0" t="0" r="635" b="2540"/>
            <wp:docPr id="61" name="Picture 69" descr="Mean percentage seagrass cover (all species pooled) (± Standard Error) at inshore intertidal coastal habitats (Lugger Bay) at time of year. NB: Polynomial trendline for all years pool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47665" cy="2112010"/>
                    </a:xfrm>
                    <a:prstGeom prst="rect">
                      <a:avLst/>
                    </a:prstGeom>
                    <a:noFill/>
                    <a:ln>
                      <a:noFill/>
                    </a:ln>
                  </pic:spPr>
                </pic:pic>
              </a:graphicData>
            </a:graphic>
          </wp:inline>
        </w:drawing>
      </w:r>
      <w:r>
        <w:rPr>
          <w:noProof/>
          <w:lang w:eastAsia="en-AU"/>
        </w:rPr>
        <w:drawing>
          <wp:anchor distT="0" distB="0" distL="114300" distR="114300" simplePos="0" relativeHeight="251656192" behindDoc="0" locked="0" layoutInCell="1" allowOverlap="1">
            <wp:simplePos x="0" y="0"/>
            <wp:positionH relativeFrom="column">
              <wp:posOffset>0</wp:posOffset>
            </wp:positionH>
            <wp:positionV relativeFrom="paragraph">
              <wp:posOffset>0</wp:posOffset>
            </wp:positionV>
            <wp:extent cx="5478780" cy="2129155"/>
            <wp:effectExtent l="0" t="0" r="7620" b="4445"/>
            <wp:wrapNone/>
            <wp:docPr id="4" name="Picture 903" descr="Figure showing the seasonality of seagrass cover (all species pooled) at Lugger Bay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 descr="Figure showing the seasonality of seagrass cover (all species pooled) at Lugger Bay long-term monitoring sites at time of year. "/>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78780" cy="2129155"/>
                    </a:xfrm>
                    <a:prstGeom prst="rect">
                      <a:avLst/>
                    </a:prstGeom>
                    <a:noFill/>
                  </pic:spPr>
                </pic:pic>
              </a:graphicData>
            </a:graphic>
            <wp14:sizeRelH relativeFrom="page">
              <wp14:pctWidth>0</wp14:pctWidth>
            </wp14:sizeRelH>
            <wp14:sizeRelV relativeFrom="page">
              <wp14:pctHeight>0</wp14:pctHeight>
            </wp14:sizeRelV>
          </wp:anchor>
        </w:drawing>
      </w:r>
    </w:p>
    <w:p w:rsidR="00AA19A4" w:rsidRPr="00370E70" w:rsidRDefault="005132EF" w:rsidP="00AA19A4">
      <w:pPr>
        <w:pStyle w:val="Caption"/>
        <w:rPr>
          <w:i/>
          <w:vanish/>
          <w:lang w:val="en-AU"/>
          <w:specVanish/>
        </w:rPr>
      </w:pPr>
      <w:bookmarkStart w:id="307" w:name="_Ref179413043"/>
      <w:bookmarkStart w:id="308" w:name="_Toc384196394"/>
      <w:bookmarkStart w:id="309" w:name="_Toc176158863"/>
      <w:bookmarkStart w:id="310" w:name="_Toc23284596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47</w:t>
      </w:r>
      <w:r w:rsidRPr="00370E70">
        <w:rPr>
          <w:lang w:val="en-AU"/>
        </w:rPr>
        <w:fldChar w:fldCharType="end"/>
      </w:r>
      <w:bookmarkEnd w:id="307"/>
      <w:r w:rsidRPr="00370E70">
        <w:rPr>
          <w:lang w:val="en-AU"/>
        </w:rPr>
        <w:t xml:space="preserve">. </w:t>
      </w:r>
      <w:r w:rsidRPr="00370E70">
        <w:rPr>
          <w:i/>
          <w:lang w:val="en-AU"/>
        </w:rPr>
        <w:t xml:space="preserve">Mean percentage seagrass cover (all species pooled) (± Standard Error) at </w:t>
      </w:r>
      <w:r w:rsidR="00F43884">
        <w:rPr>
          <w:i/>
          <w:lang w:val="en-AU"/>
        </w:rPr>
        <w:t xml:space="preserve">inshore </w:t>
      </w:r>
      <w:r w:rsidR="00F43884" w:rsidRPr="00370E70">
        <w:rPr>
          <w:i/>
          <w:lang w:val="en-AU"/>
        </w:rPr>
        <w:t xml:space="preserve">intertidal coastal </w:t>
      </w:r>
      <w:r w:rsidR="00F43884">
        <w:rPr>
          <w:i/>
          <w:lang w:val="en-AU"/>
        </w:rPr>
        <w:t>habitat</w:t>
      </w:r>
      <w:r w:rsidR="006B1B14">
        <w:rPr>
          <w:i/>
          <w:lang w:val="en-AU"/>
        </w:rPr>
        <w:t>s</w:t>
      </w:r>
      <w:r w:rsidR="00F43884">
        <w:rPr>
          <w:i/>
          <w:lang w:val="en-AU"/>
        </w:rPr>
        <w:t xml:space="preserve"> (</w:t>
      </w:r>
      <w:smartTag w:uri="urn:schemas-microsoft-com:office:smarttags" w:element="place">
        <w:smartTag w:uri="urn:schemas-microsoft-com:office:smarttags" w:element="PlaceName">
          <w:r w:rsidRPr="00370E70">
            <w:rPr>
              <w:i/>
              <w:lang w:val="en-AU"/>
            </w:rPr>
            <w:t>Lugger</w:t>
          </w:r>
        </w:smartTag>
        <w:r w:rsidRPr="00370E70">
          <w:rPr>
            <w:i/>
            <w:lang w:val="en-AU"/>
          </w:rPr>
          <w:t xml:space="preserve"> </w:t>
        </w:r>
        <w:smartTag w:uri="urn:schemas-microsoft-com:office:smarttags" w:element="PlaceType">
          <w:r w:rsidRPr="00370E70">
            <w:rPr>
              <w:i/>
              <w:lang w:val="en-AU"/>
            </w:rPr>
            <w:t>Bay</w:t>
          </w:r>
        </w:smartTag>
      </w:smartTag>
      <w:r w:rsidR="00F43884">
        <w:rPr>
          <w:i/>
          <w:lang w:val="en-AU"/>
        </w:rPr>
        <w:t>)</w:t>
      </w:r>
      <w:r w:rsidRPr="00370E70">
        <w:rPr>
          <w:i/>
          <w:lang w:val="en-AU"/>
        </w:rPr>
        <w:t xml:space="preserve"> at time of year.</w:t>
      </w:r>
      <w:bookmarkEnd w:id="308"/>
      <w:r w:rsidR="00A62B1C" w:rsidRPr="00370E70">
        <w:rPr>
          <w:i/>
          <w:vanish/>
          <w:color w:val="000000"/>
          <w:szCs w:val="22"/>
          <w:lang w:val="en-AU"/>
          <w:specVanish/>
        </w:rPr>
        <w:t xml:space="preserve"> </w:t>
      </w:r>
    </w:p>
    <w:p w:rsidR="00AA19A4" w:rsidRPr="00370E70" w:rsidRDefault="005132EF" w:rsidP="00AA19A4">
      <w:pPr>
        <w:pStyle w:val="Caption"/>
        <w:rPr>
          <w:i/>
          <w:lang w:val="en-AU"/>
        </w:rPr>
      </w:pPr>
      <w:r w:rsidRPr="00370E70">
        <w:rPr>
          <w:i/>
          <w:lang w:val="en-AU"/>
        </w:rPr>
        <w:t xml:space="preserve"> NB: Polynomial trendline for all years pooled.</w:t>
      </w:r>
      <w:bookmarkEnd w:id="309"/>
      <w:bookmarkEnd w:id="310"/>
      <w:r w:rsidR="00A62B1C" w:rsidRPr="00370E70">
        <w:rPr>
          <w:i/>
          <w:lang w:val="en-AU"/>
        </w:rPr>
        <w:t xml:space="preserve"> </w:t>
      </w:r>
    </w:p>
    <w:p w:rsidR="005132EF" w:rsidRPr="00370E70" w:rsidRDefault="005132EF" w:rsidP="00786E68">
      <w:pPr>
        <w:pStyle w:val="Heading5"/>
        <w:rPr>
          <w:szCs w:val="22"/>
        </w:rPr>
      </w:pPr>
      <w:r w:rsidRPr="00370E70">
        <w:rPr>
          <w:szCs w:val="22"/>
        </w:rPr>
        <w:t>Inshore reef habitat</w:t>
      </w:r>
    </w:p>
    <w:p w:rsidR="005132EF" w:rsidRPr="00370E70" w:rsidRDefault="005132EF" w:rsidP="00034AD4">
      <w:pPr>
        <w:rPr>
          <w:color w:val="000000"/>
          <w:szCs w:val="22"/>
        </w:rPr>
      </w:pPr>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and Low Isles sites were on inshore reef platforms. </w:t>
      </w:r>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is a continental island offshore from </w:t>
      </w:r>
      <w:smartTag w:uri="urn:schemas-microsoft-com:office:smarttags" w:element="place">
        <w:smartTag w:uri="urn:schemas-microsoft-com:office:smarttags" w:element="PlaceName">
          <w:r w:rsidRPr="00370E70">
            <w:rPr>
              <w:color w:val="000000"/>
              <w:szCs w:val="22"/>
            </w:rPr>
            <w:t>Mission</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xml:space="preserve">. Seagrass species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sites included </w:t>
      </w:r>
      <w:r w:rsidRPr="00370E70">
        <w:rPr>
          <w:i/>
          <w:color w:val="000000"/>
          <w:szCs w:val="22"/>
        </w:rPr>
        <w:t>H. uninervis</w:t>
      </w:r>
      <w:r w:rsidRPr="00370E70">
        <w:rPr>
          <w:color w:val="000000"/>
          <w:szCs w:val="22"/>
        </w:rPr>
        <w:t xml:space="preserve"> and </w:t>
      </w:r>
      <w:r w:rsidRPr="00370E70">
        <w:rPr>
          <w:i/>
          <w:color w:val="000000"/>
          <w:szCs w:val="22"/>
        </w:rPr>
        <w:t xml:space="preserve">C. rotundata </w:t>
      </w:r>
      <w:r w:rsidRPr="00370E70">
        <w:rPr>
          <w:color w:val="000000"/>
          <w:szCs w:val="22"/>
        </w:rPr>
        <w:t xml:space="preserve">with </w:t>
      </w:r>
      <w:r w:rsidRPr="00370E70">
        <w:rPr>
          <w:i/>
          <w:color w:val="000000"/>
          <w:szCs w:val="22"/>
        </w:rPr>
        <w:t>T. hemprichii</w:t>
      </w:r>
      <w:r w:rsidRPr="00370E70">
        <w:rPr>
          <w:color w:val="000000"/>
          <w:szCs w:val="22"/>
        </w:rPr>
        <w:t xml:space="preserve"> </w:t>
      </w:r>
      <w:r w:rsidRPr="00370E70">
        <w:rPr>
          <w:i/>
          <w:color w:val="000000"/>
          <w:szCs w:val="22"/>
        </w:rPr>
        <w:t>H. ovalis</w:t>
      </w:r>
      <w:r w:rsidRPr="00370E70">
        <w:rPr>
          <w:color w:val="000000"/>
          <w:szCs w:val="22"/>
        </w:rPr>
        <w:t xml:space="preserve"> and </w:t>
      </w:r>
      <w:r w:rsidRPr="00370E70">
        <w:rPr>
          <w:i/>
          <w:color w:val="000000"/>
          <w:szCs w:val="22"/>
        </w:rPr>
        <w:t xml:space="preserve">C. serrulata </w:t>
      </w:r>
      <w:r w:rsidRPr="00370E70">
        <w:rPr>
          <w:color w:val="000000"/>
          <w:szCs w:val="22"/>
        </w:rPr>
        <w:t>(</w:t>
      </w:r>
      <w:r w:rsidRPr="00370E70">
        <w:fldChar w:fldCharType="begin"/>
      </w:r>
      <w:r w:rsidRPr="00370E70">
        <w:instrText xml:space="preserve"> REF _Ref179412950 \h  \* MERGEFORMAT </w:instrText>
      </w:r>
      <w:r w:rsidRPr="00370E70">
        <w:fldChar w:fldCharType="separate"/>
      </w:r>
      <w:r w:rsidR="005B5FD6" w:rsidRPr="005B5FD6">
        <w:rPr>
          <w:szCs w:val="22"/>
        </w:rPr>
        <w:t xml:space="preserve">Figure </w:t>
      </w:r>
      <w:r w:rsidR="005B5FD6" w:rsidRPr="005B5FD6">
        <w:rPr>
          <w:noProof/>
          <w:color w:val="000000"/>
          <w:szCs w:val="22"/>
        </w:rPr>
        <w:t>42</w:t>
      </w:r>
      <w:r w:rsidRPr="00370E70">
        <w:fldChar w:fldCharType="end"/>
      </w:r>
      <w:r w:rsidRPr="00370E70">
        <w:rPr>
          <w:color w:val="000000"/>
          <w:szCs w:val="22"/>
        </w:rPr>
        <w:t>)</w:t>
      </w:r>
      <w:r w:rsidRPr="00370E70">
        <w:rPr>
          <w:i/>
          <w:color w:val="000000"/>
          <w:szCs w:val="22"/>
        </w:rPr>
        <w:t>.</w:t>
      </w:r>
      <w:r w:rsidRPr="00370E70">
        <w:rPr>
          <w:color w:val="000000"/>
          <w:szCs w:val="22"/>
        </w:rPr>
        <w:t xml:space="preserve"> </w:t>
      </w:r>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is on a mid shelf reef, approximately 27 km north east of </w:t>
      </w:r>
      <w:smartTag w:uri="urn:schemas-microsoft-com:office:smarttags" w:element="place">
        <w:smartTag w:uri="urn:schemas-microsoft-com:office:smarttags" w:element="City">
          <w:r w:rsidRPr="00370E70">
            <w:rPr>
              <w:color w:val="000000"/>
              <w:szCs w:val="22"/>
            </w:rPr>
            <w:t>Cairns</w:t>
          </w:r>
        </w:smartTag>
      </w:smartTag>
      <w:r w:rsidRPr="00370E70">
        <w:rPr>
          <w:color w:val="000000"/>
          <w:szCs w:val="22"/>
        </w:rPr>
        <w:t xml:space="preserve">. The sites were located on the reef platform south west of the cay and dominated by </w:t>
      </w:r>
      <w:r w:rsidRPr="00370E70">
        <w:rPr>
          <w:i/>
          <w:color w:val="000000"/>
          <w:szCs w:val="22"/>
        </w:rPr>
        <w:t>C. rotundata</w:t>
      </w:r>
      <w:r w:rsidRPr="00370E70">
        <w:rPr>
          <w:color w:val="000000"/>
          <w:szCs w:val="22"/>
        </w:rPr>
        <w:t xml:space="preserve"> and </w:t>
      </w:r>
      <w:r w:rsidRPr="00370E70">
        <w:rPr>
          <w:i/>
          <w:color w:val="000000"/>
          <w:szCs w:val="22"/>
        </w:rPr>
        <w:t xml:space="preserve">T. hemprichii </w:t>
      </w:r>
      <w:r w:rsidRPr="00370E70">
        <w:rPr>
          <w:color w:val="000000"/>
          <w:szCs w:val="22"/>
        </w:rPr>
        <w:t xml:space="preserve">with some </w:t>
      </w:r>
      <w:r w:rsidRPr="00370E70">
        <w:rPr>
          <w:i/>
          <w:color w:val="000000"/>
          <w:szCs w:val="22"/>
        </w:rPr>
        <w:t>H. uninervis</w:t>
      </w:r>
      <w:r w:rsidRPr="00370E70">
        <w:rPr>
          <w:color w:val="000000"/>
          <w:szCs w:val="22"/>
        </w:rPr>
        <w:t xml:space="preserve"> and </w:t>
      </w:r>
      <w:r w:rsidRPr="00370E70">
        <w:rPr>
          <w:i/>
          <w:color w:val="000000"/>
          <w:szCs w:val="22"/>
        </w:rPr>
        <w:t xml:space="preserve">H. ovalis </w:t>
      </w:r>
      <w:r w:rsidRPr="00370E70">
        <w:rPr>
          <w:color w:val="000000"/>
          <w:szCs w:val="22"/>
        </w:rPr>
        <w:t>(</w:t>
      </w:r>
      <w:r w:rsidRPr="00370E70">
        <w:fldChar w:fldCharType="begin"/>
      </w:r>
      <w:r w:rsidRPr="00370E70">
        <w:instrText xml:space="preserve"> REF _Ref179412950 \h  \* MERGEFORMAT </w:instrText>
      </w:r>
      <w:r w:rsidRPr="00370E70">
        <w:fldChar w:fldCharType="separate"/>
      </w:r>
      <w:r w:rsidR="005B5FD6" w:rsidRPr="005B5FD6">
        <w:rPr>
          <w:szCs w:val="22"/>
        </w:rPr>
        <w:t xml:space="preserve">Figure </w:t>
      </w:r>
      <w:r w:rsidR="005B5FD6" w:rsidRPr="005B5FD6">
        <w:rPr>
          <w:noProof/>
          <w:color w:val="000000"/>
          <w:szCs w:val="22"/>
        </w:rPr>
        <w:t>42</w:t>
      </w:r>
      <w:r w:rsidRPr="00370E70">
        <w:fldChar w:fldCharType="end"/>
      </w:r>
      <w:r w:rsidRPr="00370E70">
        <w:rPr>
          <w:color w:val="000000"/>
          <w:szCs w:val="22"/>
        </w:rPr>
        <w:t xml:space="preserve">). Low Isles is a reef platform located approximately 20km north east of Port Douglas on a mid-shelf reef. The intertidal site occurs on the northern side of the reef platform that separates </w:t>
      </w:r>
      <w:smartTag w:uri="urn:schemas-microsoft-com:office:smarttags" w:element="PlaceName">
        <w:r w:rsidRPr="00370E70">
          <w:rPr>
            <w:color w:val="000000"/>
            <w:szCs w:val="22"/>
          </w:rPr>
          <w:t>Low</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and </w:t>
      </w:r>
      <w:smartTag w:uri="urn:schemas-microsoft-com:office:smarttags" w:element="place">
        <w:smartTag w:uri="urn:schemas-microsoft-com:office:smarttags" w:element="PlaceName">
          <w:r w:rsidRPr="00370E70">
            <w:rPr>
              <w:color w:val="000000"/>
              <w:szCs w:val="22"/>
            </w:rPr>
            <w:t>Woody</w:t>
          </w:r>
        </w:smartTag>
        <w:r w:rsidRPr="00370E70">
          <w:rPr>
            <w:color w:val="000000"/>
            <w:szCs w:val="22"/>
          </w:rPr>
          <w:t xml:space="preserve"> </w:t>
        </w:r>
        <w:smartTag w:uri="urn:schemas-microsoft-com:office:smarttags" w:element="PlaceName">
          <w:r w:rsidRPr="00370E70">
            <w:rPr>
              <w:color w:val="000000"/>
              <w:szCs w:val="22"/>
            </w:rPr>
            <w:t>Island</w:t>
          </w:r>
        </w:smartTag>
      </w:smartTag>
      <w:r w:rsidRPr="00370E70">
        <w:rPr>
          <w:color w:val="000000"/>
          <w:szCs w:val="22"/>
        </w:rPr>
        <w:t xml:space="preserve">, and is comprised of </w:t>
      </w:r>
      <w:r w:rsidRPr="00370E70">
        <w:rPr>
          <w:i/>
          <w:color w:val="000000"/>
          <w:szCs w:val="22"/>
        </w:rPr>
        <w:t>T. hemprichii</w:t>
      </w:r>
      <w:r w:rsidRPr="00370E70">
        <w:rPr>
          <w:color w:val="000000"/>
          <w:szCs w:val="22"/>
        </w:rPr>
        <w:t xml:space="preserve">, </w:t>
      </w:r>
      <w:r w:rsidRPr="00370E70">
        <w:rPr>
          <w:i/>
          <w:color w:val="000000"/>
          <w:szCs w:val="22"/>
        </w:rPr>
        <w:t>H. uninervis</w:t>
      </w:r>
      <w:r w:rsidRPr="00370E70">
        <w:rPr>
          <w:color w:val="000000"/>
          <w:szCs w:val="22"/>
        </w:rPr>
        <w:t xml:space="preserve"> and </w:t>
      </w:r>
      <w:r w:rsidRPr="00370E70">
        <w:rPr>
          <w:i/>
          <w:color w:val="000000"/>
          <w:szCs w:val="22"/>
        </w:rPr>
        <w:t>H. ovalis</w:t>
      </w:r>
      <w:r w:rsidRPr="00370E70">
        <w:rPr>
          <w:color w:val="000000"/>
          <w:szCs w:val="22"/>
        </w:rPr>
        <w:t xml:space="preserve">. The subtidal site at Low Isles occurs in the shallow embayment that separates the two islands in the north and is located on mobile sands, which are dominated by the colonising species </w:t>
      </w:r>
      <w:r w:rsidRPr="00370E70">
        <w:rPr>
          <w:i/>
          <w:color w:val="000000"/>
          <w:szCs w:val="22"/>
        </w:rPr>
        <w:t>H. ovalis</w:t>
      </w:r>
      <w:r w:rsidRPr="00370E70">
        <w:rPr>
          <w:color w:val="000000"/>
          <w:szCs w:val="22"/>
        </w:rPr>
        <w:t xml:space="preserve"> with some </w:t>
      </w:r>
      <w:r w:rsidRPr="00370E70">
        <w:rPr>
          <w:i/>
          <w:color w:val="000000"/>
          <w:szCs w:val="22"/>
        </w:rPr>
        <w:t>H. uninervis</w:t>
      </w:r>
      <w:r w:rsidRPr="00370E70">
        <w:rPr>
          <w:color w:val="000000"/>
          <w:szCs w:val="22"/>
        </w:rPr>
        <w:t xml:space="preserve">.  </w:t>
      </w:r>
    </w:p>
    <w:p w:rsidR="005132EF" w:rsidRPr="00370E70" w:rsidRDefault="005132EF" w:rsidP="00034AD4">
      <w:pPr>
        <w:rPr>
          <w:color w:val="000000"/>
          <w:szCs w:val="22"/>
        </w:rPr>
      </w:pPr>
      <w:r w:rsidRPr="00370E70">
        <w:rPr>
          <w:color w:val="000000"/>
          <w:szCs w:val="22"/>
        </w:rPr>
        <w:t xml:space="preserve">Seagrass abundance on the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reef flat has slightly declined over the past 6 years and although changed little throughout the 2011/12 monitoring period, it appeared to follow a seasonal pattern, with high cover in the monsoon and low cover in the dry; no significant changes in species </w:t>
      </w:r>
      <w:r w:rsidRPr="00370E70">
        <w:rPr>
          <w:color w:val="000000"/>
          <w:szCs w:val="22"/>
        </w:rPr>
        <w:lastRenderedPageBreak/>
        <w:t>composition were observed (</w:t>
      </w:r>
      <w:r w:rsidRPr="00370E70">
        <w:fldChar w:fldCharType="begin"/>
      </w:r>
      <w:r w:rsidRPr="00370E70">
        <w:instrText xml:space="preserve"> REF _Ref179412950 \h  \* MERGEFORMAT </w:instrText>
      </w:r>
      <w:r w:rsidRPr="00370E70">
        <w:fldChar w:fldCharType="separate"/>
      </w:r>
      <w:r w:rsidR="005B5FD6" w:rsidRPr="005B5FD6">
        <w:rPr>
          <w:szCs w:val="22"/>
        </w:rPr>
        <w:t xml:space="preserve">Figure </w:t>
      </w:r>
      <w:r w:rsidR="005B5FD6" w:rsidRPr="005B5FD6">
        <w:rPr>
          <w:noProof/>
          <w:color w:val="000000"/>
          <w:szCs w:val="22"/>
        </w:rPr>
        <w:t>42</w:t>
      </w:r>
      <w:r w:rsidRPr="00370E70">
        <w:fldChar w:fldCharType="end"/>
      </w:r>
      <w:r w:rsidRPr="00370E70">
        <w:rPr>
          <w:color w:val="000000"/>
          <w:szCs w:val="22"/>
        </w:rPr>
        <w:t xml:space="preserve">, </w:t>
      </w:r>
      <w:r w:rsidRPr="00370E70">
        <w:fldChar w:fldCharType="begin"/>
      </w:r>
      <w:r w:rsidRPr="00370E70">
        <w:instrText xml:space="preserve"> REF _Ref179413098 \h  \* MERGEFORMAT </w:instrText>
      </w:r>
      <w:r w:rsidRPr="00370E70">
        <w:fldChar w:fldCharType="separate"/>
      </w:r>
      <w:r w:rsidR="005B5FD6" w:rsidRPr="005B5FD6">
        <w:rPr>
          <w:szCs w:val="22"/>
        </w:rPr>
        <w:t xml:space="preserve">Figure </w:t>
      </w:r>
      <w:r w:rsidR="005B5FD6" w:rsidRPr="005B5FD6">
        <w:rPr>
          <w:noProof/>
          <w:color w:val="000000"/>
          <w:szCs w:val="22"/>
        </w:rPr>
        <w:t>48</w:t>
      </w:r>
      <w:r w:rsidRPr="00370E70">
        <w:fldChar w:fldCharType="end"/>
      </w:r>
      <w:r w:rsidRPr="00370E70">
        <w:rPr>
          <w:color w:val="000000"/>
          <w:szCs w:val="22"/>
        </w:rPr>
        <w:t xml:space="preserve">, </w:t>
      </w:r>
      <w:r w:rsidRPr="00370E70">
        <w:rPr>
          <w:color w:val="000000"/>
          <w:szCs w:val="22"/>
        </w:rPr>
        <w:fldChar w:fldCharType="begin"/>
      </w:r>
      <w:r w:rsidRPr="00370E70">
        <w:rPr>
          <w:color w:val="000000"/>
          <w:szCs w:val="22"/>
        </w:rPr>
        <w:instrText xml:space="preserve"> REF _Ref179413121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49</w:t>
      </w:r>
      <w:r w:rsidRPr="00370E70">
        <w:rPr>
          <w:color w:val="000000"/>
          <w:szCs w:val="22"/>
        </w:rPr>
        <w:fldChar w:fldCharType="end"/>
      </w:r>
      <w:r w:rsidRPr="00370E70">
        <w:rPr>
          <w:color w:val="000000"/>
          <w:szCs w:val="22"/>
        </w:rPr>
        <w:t xml:space="preserve">). </w:t>
      </w:r>
      <w:r w:rsidR="002C6536" w:rsidRPr="00370E70">
        <w:rPr>
          <w:color w:val="000000"/>
          <w:szCs w:val="22"/>
        </w:rPr>
        <w:t>Conversely</w:t>
      </w:r>
      <w:r w:rsidRPr="00370E70">
        <w:rPr>
          <w:color w:val="000000"/>
          <w:szCs w:val="22"/>
        </w:rPr>
        <w:t xml:space="preserve">, subtidal seagrass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has changed little between years; however, the subtidal site has only been monitored since 2008 (</w:t>
      </w:r>
      <w:r w:rsidRPr="00370E70">
        <w:fldChar w:fldCharType="begin"/>
      </w:r>
      <w:r w:rsidRPr="00370E70">
        <w:instrText xml:space="preserve"> REF _Ref179413098 \h  \* MERGEFORMAT </w:instrText>
      </w:r>
      <w:r w:rsidRPr="00370E70">
        <w:fldChar w:fldCharType="separate"/>
      </w:r>
      <w:r w:rsidR="005B5FD6" w:rsidRPr="005B5FD6">
        <w:rPr>
          <w:szCs w:val="22"/>
        </w:rPr>
        <w:t xml:space="preserve">Figure </w:t>
      </w:r>
      <w:r w:rsidR="005B5FD6" w:rsidRPr="005B5FD6">
        <w:rPr>
          <w:noProof/>
          <w:color w:val="000000"/>
          <w:szCs w:val="22"/>
        </w:rPr>
        <w:t>48</w:t>
      </w:r>
      <w:r w:rsidRPr="00370E70">
        <w:fldChar w:fldCharType="end"/>
      </w:r>
      <w:r w:rsidRPr="00370E70">
        <w:rPr>
          <w:color w:val="000000"/>
          <w:szCs w:val="22"/>
        </w:rPr>
        <w:t>).</w:t>
      </w:r>
    </w:p>
    <w:p w:rsidR="005132EF" w:rsidRPr="00370E70" w:rsidRDefault="007B15AB" w:rsidP="00A13C52">
      <w:pPr>
        <w:keepNext/>
        <w:jc w:val="center"/>
        <w:rPr>
          <w:color w:val="000000"/>
        </w:rPr>
      </w:pPr>
      <w:r>
        <w:rPr>
          <w:noProof/>
          <w:color w:val="000000"/>
          <w:lang w:eastAsia="en-AU"/>
        </w:rPr>
        <w:drawing>
          <wp:inline distT="0" distB="0" distL="0" distR="0">
            <wp:extent cx="2769235" cy="1996440"/>
            <wp:effectExtent l="0" t="0" r="0" b="3810"/>
            <wp:docPr id="62" name="Picture 62" descr="Figure showing the long-term trend in seagrass abundance  at the Green Island intertidal meadows monitored from 2001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Figure showing the long-term trend in seagrass abundance  at the Green Island intertidal meadows monitored from 2001 to 2012. "/>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769235" cy="1996440"/>
                    </a:xfrm>
                    <a:prstGeom prst="rect">
                      <a:avLst/>
                    </a:prstGeom>
                    <a:noFill/>
                    <a:ln>
                      <a:noFill/>
                    </a:ln>
                  </pic:spPr>
                </pic:pic>
              </a:graphicData>
            </a:graphic>
          </wp:inline>
        </w:drawing>
      </w:r>
      <w:r w:rsidR="005132EF" w:rsidRPr="00370E70">
        <w:rPr>
          <w:noProof/>
          <w:color w:val="000000"/>
        </w:rPr>
        <w:t xml:space="preserve"> </w:t>
      </w:r>
      <w:r>
        <w:rPr>
          <w:i/>
          <w:noProof/>
          <w:color w:val="000000"/>
          <w:szCs w:val="22"/>
          <w:lang w:eastAsia="en-AU"/>
        </w:rPr>
        <w:drawing>
          <wp:inline distT="0" distB="0" distL="0" distR="0">
            <wp:extent cx="2769235" cy="1970405"/>
            <wp:effectExtent l="0" t="0" r="0" b="0"/>
            <wp:docPr id="63" name="Picture 63" descr="Figure showing the long-term trend in seagrass abundance  at the Green Island subtidal meadows monitored from 2009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igure showing the long-term trend in seagrass abundance  at the Green Island subtidal meadows monitored from 2009 to 2012. "/>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769235" cy="1970405"/>
                    </a:xfrm>
                    <a:prstGeom prst="rect">
                      <a:avLst/>
                    </a:prstGeom>
                    <a:noFill/>
                    <a:ln>
                      <a:noFill/>
                    </a:ln>
                  </pic:spPr>
                </pic:pic>
              </a:graphicData>
            </a:graphic>
          </wp:inline>
        </w:drawing>
      </w:r>
    </w:p>
    <w:p w:rsidR="00AA19A4" w:rsidRPr="00370E70" w:rsidRDefault="005132EF" w:rsidP="00AA19A4">
      <w:pPr>
        <w:pStyle w:val="Caption"/>
        <w:rPr>
          <w:i/>
          <w:vanish/>
          <w:lang w:val="en-AU"/>
          <w:specVanish/>
        </w:rPr>
      </w:pPr>
      <w:bookmarkStart w:id="311" w:name="_Ref179413098"/>
      <w:bookmarkStart w:id="312" w:name="_Toc384196395"/>
      <w:bookmarkStart w:id="313" w:name="_Toc176158864"/>
      <w:bookmarkStart w:id="314" w:name="_Toc23284596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48</w:t>
      </w:r>
      <w:r w:rsidRPr="00370E70">
        <w:rPr>
          <w:lang w:val="en-AU"/>
        </w:rPr>
        <w:fldChar w:fldCharType="end"/>
      </w:r>
      <w:bookmarkEnd w:id="311"/>
      <w:r w:rsidRPr="00370E70">
        <w:rPr>
          <w:lang w:val="en-AU"/>
        </w:rPr>
        <w:t xml:space="preserve">. </w:t>
      </w:r>
      <w:r w:rsidRPr="00370E70">
        <w:rPr>
          <w:i/>
          <w:lang w:val="en-AU"/>
        </w:rPr>
        <w:t xml:space="preserve">Changes in seagrass abundance (% cover ±Standard Error) of </w:t>
      </w:r>
      <w:r w:rsidR="00F43884">
        <w:rPr>
          <w:i/>
          <w:lang w:val="en-AU"/>
        </w:rPr>
        <w:t xml:space="preserve">inshore </w:t>
      </w:r>
      <w:r w:rsidRPr="00370E70">
        <w:rPr>
          <w:i/>
          <w:lang w:val="en-AU"/>
        </w:rPr>
        <w:t xml:space="preserve">intertidal and subtidal </w:t>
      </w:r>
      <w:r w:rsidR="00F43884">
        <w:rPr>
          <w:i/>
          <w:lang w:val="en-AU"/>
        </w:rPr>
        <w:t>reef habitats (</w:t>
      </w:r>
      <w:smartTag w:uri="urn:schemas-microsoft-com:office:smarttags" w:element="place">
        <w:smartTag w:uri="urn:schemas-microsoft-com:office:smarttags" w:element="PlaceName">
          <w:r w:rsidR="00F43884" w:rsidRPr="00370E70">
            <w:rPr>
              <w:i/>
              <w:lang w:val="en-AU"/>
            </w:rPr>
            <w:t>Green</w:t>
          </w:r>
        </w:smartTag>
        <w:r w:rsidR="00F43884" w:rsidRPr="00370E70">
          <w:rPr>
            <w:i/>
            <w:lang w:val="en-AU"/>
          </w:rPr>
          <w:t xml:space="preserve"> </w:t>
        </w:r>
        <w:smartTag w:uri="urn:schemas-microsoft-com:office:smarttags" w:element="PlaceType">
          <w:r w:rsidR="00F43884" w:rsidRPr="00370E70">
            <w:rPr>
              <w:i/>
              <w:lang w:val="en-AU"/>
            </w:rPr>
            <w:t>Island</w:t>
          </w:r>
        </w:smartTag>
      </w:smartTag>
      <w:r w:rsidR="00F43884">
        <w:rPr>
          <w:i/>
          <w:lang w:val="en-AU"/>
        </w:rPr>
        <w:t>)</w:t>
      </w:r>
      <w:r w:rsidR="00F43884" w:rsidRPr="00370E70">
        <w:rPr>
          <w:i/>
          <w:lang w:val="en-AU"/>
        </w:rPr>
        <w:t xml:space="preserve"> </w:t>
      </w:r>
      <w:r w:rsidR="006B1B14" w:rsidRPr="00370E70">
        <w:rPr>
          <w:i/>
          <w:lang w:val="en-AU"/>
        </w:rPr>
        <w:t xml:space="preserve">in the Wet Tropics region </w:t>
      </w:r>
      <w:r w:rsidRPr="00370E70">
        <w:rPr>
          <w:i/>
          <w:lang w:val="en-AU"/>
        </w:rPr>
        <w:t>from 2001 to 2012.</w:t>
      </w:r>
      <w:bookmarkEnd w:id="312"/>
      <w:r w:rsidR="00A62B1C" w:rsidRPr="00370E70">
        <w:rPr>
          <w:i/>
          <w:vanish/>
          <w:color w:val="000000"/>
          <w:szCs w:val="22"/>
          <w:lang w:val="en-AU"/>
          <w:specVanish/>
        </w:rPr>
        <w:t xml:space="preserve"> </w:t>
      </w:r>
      <w:r w:rsidRPr="00370E70">
        <w:rPr>
          <w:i/>
          <w:lang w:val="en-AU"/>
        </w:rPr>
        <w:t xml:space="preserve"> </w:t>
      </w:r>
    </w:p>
    <w:p w:rsidR="00AA19A4" w:rsidRPr="00370E70" w:rsidRDefault="005132EF" w:rsidP="00AA19A4">
      <w:pPr>
        <w:pStyle w:val="Caption"/>
        <w:rPr>
          <w:i/>
          <w:lang w:val="en-AU"/>
        </w:rPr>
      </w:pPr>
      <w:r w:rsidRPr="00370E70">
        <w:rPr>
          <w:i/>
          <w:lang w:val="en-AU"/>
        </w:rPr>
        <w:t>Trendline is 3rd order polynomial, 95% confidence intervals displayed, where intertidal r</w:t>
      </w:r>
      <w:r w:rsidRPr="00370E70">
        <w:rPr>
          <w:i/>
          <w:vertAlign w:val="superscript"/>
          <w:lang w:val="en-AU"/>
        </w:rPr>
        <w:t>2</w:t>
      </w:r>
      <w:r w:rsidRPr="00370E70">
        <w:rPr>
          <w:i/>
          <w:lang w:val="en-AU"/>
        </w:rPr>
        <w:t xml:space="preserve"> = 0.334 and subtidal r</w:t>
      </w:r>
      <w:r w:rsidRPr="00370E70">
        <w:rPr>
          <w:i/>
          <w:vertAlign w:val="superscript"/>
          <w:lang w:val="en-AU"/>
        </w:rPr>
        <w:t>2</w:t>
      </w:r>
      <w:r w:rsidRPr="00370E70">
        <w:rPr>
          <w:i/>
          <w:lang w:val="en-AU"/>
        </w:rPr>
        <w:t xml:space="preserve"> = 0.172.</w:t>
      </w:r>
      <w:bookmarkEnd w:id="313"/>
      <w:bookmarkEnd w:id="314"/>
      <w:r w:rsidR="00A62B1C" w:rsidRPr="00370E70">
        <w:rPr>
          <w:i/>
          <w:lang w:val="en-AU"/>
        </w:rPr>
        <w:t xml:space="preserve"> </w:t>
      </w:r>
    </w:p>
    <w:p w:rsidR="005132EF" w:rsidRPr="00370E70" w:rsidRDefault="007B15AB" w:rsidP="00034AD4">
      <w:pPr>
        <w:keepNext/>
        <w:jc w:val="center"/>
      </w:pPr>
      <w:r>
        <w:rPr>
          <w:noProof/>
          <w:lang w:eastAsia="en-AU"/>
        </w:rPr>
        <w:drawing>
          <wp:inline distT="0" distB="0" distL="0" distR="0">
            <wp:extent cx="4649470" cy="1802765"/>
            <wp:effectExtent l="0" t="0" r="0" b="6985"/>
            <wp:docPr id="64" name="Picture 72" descr="Figure showing the seasonality of seagrass cover (all species pooled) at Green Island intertidal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Figure showing the seasonality of seagrass cover (all species pooled) at Green Island intertidal long-term monitoring sites at time of year. "/>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649470" cy="1802765"/>
                    </a:xfrm>
                    <a:prstGeom prst="rect">
                      <a:avLst/>
                    </a:prstGeom>
                    <a:noFill/>
                    <a:ln>
                      <a:noFill/>
                    </a:ln>
                  </pic:spPr>
                </pic:pic>
              </a:graphicData>
            </a:graphic>
          </wp:inline>
        </w:drawing>
      </w:r>
    </w:p>
    <w:p w:rsidR="00AA19A4" w:rsidRPr="00370E70" w:rsidRDefault="005132EF" w:rsidP="00AA19A4">
      <w:pPr>
        <w:pStyle w:val="Caption"/>
        <w:rPr>
          <w:i/>
          <w:vanish/>
          <w:lang w:val="en-AU"/>
          <w:specVanish/>
        </w:rPr>
      </w:pPr>
      <w:bookmarkStart w:id="315" w:name="_Ref179413121"/>
      <w:bookmarkStart w:id="316" w:name="_Toc384196396"/>
      <w:bookmarkStart w:id="317" w:name="_Toc176158865"/>
      <w:bookmarkStart w:id="318" w:name="_Toc23284597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49</w:t>
      </w:r>
      <w:r w:rsidRPr="00370E70">
        <w:rPr>
          <w:lang w:val="en-AU"/>
        </w:rPr>
        <w:fldChar w:fldCharType="end"/>
      </w:r>
      <w:bookmarkEnd w:id="315"/>
      <w:r w:rsidRPr="00370E70">
        <w:rPr>
          <w:lang w:val="en-AU"/>
        </w:rPr>
        <w:t xml:space="preserve">. </w:t>
      </w:r>
      <w:r w:rsidRPr="00370E70">
        <w:rPr>
          <w:i/>
          <w:lang w:val="en-AU"/>
        </w:rPr>
        <w:t xml:space="preserve">Mean percentage seagrass cover (all species pooled) (± Standard Error) at </w:t>
      </w:r>
      <w:r w:rsidR="00F43884">
        <w:rPr>
          <w:i/>
          <w:lang w:val="en-AU"/>
        </w:rPr>
        <w:t>inshore intertidal reef habitat</w:t>
      </w:r>
      <w:r w:rsidR="006B1B14">
        <w:rPr>
          <w:i/>
          <w:lang w:val="en-AU"/>
        </w:rPr>
        <w:t>s</w:t>
      </w:r>
      <w:r w:rsidR="00F43884">
        <w:rPr>
          <w:i/>
          <w:lang w:val="en-AU"/>
        </w:rPr>
        <w:t xml:space="preserve"> </w:t>
      </w:r>
      <w:r w:rsidR="006B1B14">
        <w:rPr>
          <w:i/>
          <w:lang w:val="en-AU"/>
        </w:rPr>
        <w:t>(</w:t>
      </w:r>
      <w:smartTag w:uri="urn:schemas-microsoft-com:office:smarttags" w:element="place">
        <w:smartTag w:uri="urn:schemas-microsoft-com:office:smarttags" w:element="PlaceName">
          <w:r w:rsidR="006B1B14" w:rsidRPr="00370E70">
            <w:rPr>
              <w:i/>
              <w:lang w:val="en-AU"/>
            </w:rPr>
            <w:t>Green</w:t>
          </w:r>
        </w:smartTag>
        <w:r w:rsidR="006B1B14" w:rsidRPr="00370E70">
          <w:rPr>
            <w:i/>
            <w:lang w:val="en-AU"/>
          </w:rPr>
          <w:t xml:space="preserve"> </w:t>
        </w:r>
        <w:smartTag w:uri="urn:schemas-microsoft-com:office:smarttags" w:element="PlaceType">
          <w:r w:rsidR="006B1B14" w:rsidRPr="00370E70">
            <w:rPr>
              <w:i/>
              <w:lang w:val="en-AU"/>
            </w:rPr>
            <w:t>Island</w:t>
          </w:r>
        </w:smartTag>
      </w:smartTag>
      <w:r w:rsidR="006B1B14">
        <w:rPr>
          <w:i/>
          <w:lang w:val="en-AU"/>
        </w:rPr>
        <w:t>)</w:t>
      </w:r>
      <w:r w:rsidRPr="00370E70">
        <w:rPr>
          <w:i/>
          <w:lang w:val="en-AU"/>
        </w:rPr>
        <w:t xml:space="preserve"> at time of year.</w:t>
      </w:r>
      <w:bookmarkEnd w:id="316"/>
      <w:r w:rsidR="00A62B1C" w:rsidRPr="00370E70">
        <w:rPr>
          <w:i/>
          <w:vanish/>
          <w:color w:val="000000"/>
          <w:szCs w:val="22"/>
          <w:lang w:val="en-AU"/>
          <w:specVanish/>
        </w:rPr>
        <w:t xml:space="preserve"> </w:t>
      </w:r>
      <w:r w:rsidRPr="00370E70">
        <w:rPr>
          <w:i/>
          <w:lang w:val="en-AU"/>
        </w:rPr>
        <w:t xml:space="preserve"> </w:t>
      </w:r>
    </w:p>
    <w:p w:rsidR="00AA19A4" w:rsidRPr="00370E70" w:rsidRDefault="005132EF" w:rsidP="00AA19A4">
      <w:pPr>
        <w:pStyle w:val="Caption"/>
        <w:rPr>
          <w:i/>
          <w:lang w:val="en-AU"/>
        </w:rPr>
      </w:pPr>
      <w:r w:rsidRPr="00370E70">
        <w:rPr>
          <w:i/>
          <w:lang w:val="en-AU"/>
        </w:rPr>
        <w:t>NB: Polynomial trendline for all years pooled.</w:t>
      </w:r>
      <w:bookmarkEnd w:id="317"/>
      <w:bookmarkEnd w:id="318"/>
      <w:r w:rsidR="00A62B1C" w:rsidRPr="00370E70">
        <w:rPr>
          <w:i/>
          <w:lang w:val="en-AU"/>
        </w:rPr>
        <w:t xml:space="preserve"> </w:t>
      </w:r>
    </w:p>
    <w:p w:rsidR="005132EF" w:rsidRPr="00370E70" w:rsidRDefault="007B15AB" w:rsidP="00D010DC">
      <w:pPr>
        <w:keepNext/>
        <w:jc w:val="center"/>
      </w:pPr>
      <w:r>
        <w:rPr>
          <w:noProof/>
          <w:lang w:eastAsia="en-AU"/>
        </w:rPr>
        <w:drawing>
          <wp:inline distT="0" distB="0" distL="0" distR="0">
            <wp:extent cx="1983105" cy="1802765"/>
            <wp:effectExtent l="0" t="0" r="0" b="6985"/>
            <wp:docPr id="65" name="Picture 13" descr="Figure showing the seasonality of seagrass cover (all species pooled) at Green Island subtidal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ure showing the seasonality of seagrass cover (all species pooled) at Green Island subtidal long-term monitoring sites at time of year. "/>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983105" cy="1802765"/>
                    </a:xfrm>
                    <a:prstGeom prst="rect">
                      <a:avLst/>
                    </a:prstGeom>
                    <a:noFill/>
                    <a:ln>
                      <a:noFill/>
                    </a:ln>
                  </pic:spPr>
                </pic:pic>
              </a:graphicData>
            </a:graphic>
          </wp:inline>
        </w:drawing>
      </w:r>
    </w:p>
    <w:p w:rsidR="00AA19A4" w:rsidRPr="00370E70" w:rsidRDefault="005132EF" w:rsidP="00AA19A4">
      <w:pPr>
        <w:pStyle w:val="Caption"/>
        <w:rPr>
          <w:i/>
          <w:vanish/>
          <w:lang w:val="en-AU"/>
          <w:specVanish/>
        </w:rPr>
      </w:pPr>
      <w:bookmarkStart w:id="319" w:name="_Toc38419639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50</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Mean percentage seagrass cover (all species pooled) (± Standard Error) </w:t>
      </w:r>
      <w:r w:rsidR="006B1B14" w:rsidRPr="00370E70">
        <w:rPr>
          <w:i/>
          <w:lang w:val="en-AU"/>
        </w:rPr>
        <w:t xml:space="preserve">at </w:t>
      </w:r>
      <w:r w:rsidR="006B1B14">
        <w:rPr>
          <w:i/>
          <w:lang w:val="en-AU"/>
        </w:rPr>
        <w:t>inshore subtidal reef habitats (</w:t>
      </w:r>
      <w:smartTag w:uri="urn:schemas-microsoft-com:office:smarttags" w:element="place">
        <w:smartTag w:uri="urn:schemas-microsoft-com:office:smarttags" w:element="PlaceName">
          <w:r w:rsidR="006B1B14" w:rsidRPr="00370E70">
            <w:rPr>
              <w:i/>
              <w:lang w:val="en-AU"/>
            </w:rPr>
            <w:t>Green</w:t>
          </w:r>
        </w:smartTag>
        <w:r w:rsidR="006B1B14" w:rsidRPr="00370E70">
          <w:rPr>
            <w:i/>
            <w:lang w:val="en-AU"/>
          </w:rPr>
          <w:t xml:space="preserve"> </w:t>
        </w:r>
        <w:smartTag w:uri="urn:schemas-microsoft-com:office:smarttags" w:element="PlaceType">
          <w:r w:rsidR="006B1B14" w:rsidRPr="00370E70">
            <w:rPr>
              <w:i/>
              <w:lang w:val="en-AU"/>
            </w:rPr>
            <w:t>Island</w:t>
          </w:r>
        </w:smartTag>
      </w:smartTag>
      <w:r w:rsidR="006B1B14">
        <w:rPr>
          <w:i/>
          <w:lang w:val="en-AU"/>
        </w:rPr>
        <w:t>)</w:t>
      </w:r>
      <w:r w:rsidR="006B1B14" w:rsidRPr="00370E70">
        <w:rPr>
          <w:i/>
          <w:lang w:val="en-AU"/>
        </w:rPr>
        <w:t xml:space="preserve"> at time of year</w:t>
      </w:r>
      <w:r w:rsidRPr="00370E70">
        <w:rPr>
          <w:i/>
          <w:lang w:val="en-AU"/>
        </w:rPr>
        <w:t>.</w:t>
      </w:r>
      <w:bookmarkEnd w:id="319"/>
      <w:r w:rsidR="00A62B1C" w:rsidRPr="00370E70">
        <w:rPr>
          <w:i/>
          <w:vanish/>
          <w:color w:val="000000"/>
          <w:szCs w:val="22"/>
          <w:lang w:val="en-AU"/>
          <w:specVanish/>
        </w:rPr>
        <w:t xml:space="preserve"> </w:t>
      </w:r>
      <w:r w:rsidRPr="00370E70">
        <w:rPr>
          <w:i/>
          <w:lang w:val="en-AU"/>
        </w:rPr>
        <w:t xml:space="preserve"> </w:t>
      </w:r>
    </w:p>
    <w:p w:rsidR="00AA19A4" w:rsidRPr="00370E70" w:rsidRDefault="005132EF" w:rsidP="00AA19A4">
      <w:pPr>
        <w:pStyle w:val="Caption"/>
        <w:rPr>
          <w:i/>
          <w:lang w:val="en-AU"/>
        </w:rPr>
      </w:pPr>
      <w:r w:rsidRPr="00370E70">
        <w:rPr>
          <w:i/>
          <w:lang w:val="en-AU"/>
        </w:rPr>
        <w:t>NB: Polynomial trendline for all years pooled.</w:t>
      </w:r>
      <w:r w:rsidR="00A62B1C" w:rsidRPr="00370E70">
        <w:rPr>
          <w:i/>
          <w:lang w:val="en-AU"/>
        </w:rPr>
        <w:t xml:space="preserve"> </w:t>
      </w:r>
    </w:p>
    <w:p w:rsidR="005132EF" w:rsidRPr="00370E70" w:rsidRDefault="005132EF" w:rsidP="00796626">
      <w:pPr>
        <w:rPr>
          <w:color w:val="000000"/>
          <w:szCs w:val="22"/>
        </w:rPr>
      </w:pPr>
      <w:r w:rsidRPr="00370E70">
        <w:rPr>
          <w:color w:val="000000"/>
          <w:szCs w:val="22"/>
        </w:rPr>
        <w:t xml:space="preserve">Seagrass abundance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has been declining at both intertidal and subtidal sites since 2009 and was nearly completely lost in early 2011 following TC Yasi when the meadow was reduced to a few isolated shoots (</w:t>
      </w:r>
      <w:r w:rsidRPr="00370E70">
        <w:fldChar w:fldCharType="begin"/>
      </w:r>
      <w:r w:rsidRPr="00370E70">
        <w:instrText xml:space="preserve"> REF _Ref348439596 \h  \* MERGEFORMAT </w:instrText>
      </w:r>
      <w:r w:rsidRPr="00370E70">
        <w:fldChar w:fldCharType="separate"/>
      </w:r>
      <w:r w:rsidR="005B5FD6" w:rsidRPr="00370E70">
        <w:rPr>
          <w:color w:val="000000"/>
          <w:szCs w:val="22"/>
        </w:rPr>
        <w:t xml:space="preserve">Figure </w:t>
      </w:r>
      <w:r w:rsidR="005B5FD6">
        <w:rPr>
          <w:noProof/>
          <w:color w:val="000000"/>
          <w:szCs w:val="22"/>
        </w:rPr>
        <w:t>51</w:t>
      </w:r>
      <w:r w:rsidRPr="00370E70">
        <w:fldChar w:fldCharType="end"/>
      </w:r>
      <w:r w:rsidRPr="00370E70">
        <w:rPr>
          <w:color w:val="000000"/>
          <w:szCs w:val="22"/>
        </w:rPr>
        <w:t xml:space="preserve">). By April 2012, the seagrass had shown little recovery as only isolated shoots </w:t>
      </w:r>
      <w:r w:rsidR="00DD1910" w:rsidRPr="00370E70">
        <w:rPr>
          <w:color w:val="000000"/>
          <w:szCs w:val="22"/>
        </w:rPr>
        <w:t>were present</w:t>
      </w:r>
      <w:r w:rsidRPr="00370E70">
        <w:rPr>
          <w:color w:val="000000"/>
          <w:szCs w:val="22"/>
        </w:rPr>
        <w:t xml:space="preserve">. Prior to the extreme </w:t>
      </w:r>
      <w:r w:rsidR="002C6536" w:rsidRPr="00370E70">
        <w:rPr>
          <w:color w:val="000000"/>
          <w:szCs w:val="22"/>
        </w:rPr>
        <w:t>weather</w:t>
      </w:r>
      <w:r w:rsidRPr="00370E70">
        <w:rPr>
          <w:color w:val="000000"/>
          <w:szCs w:val="22"/>
        </w:rPr>
        <w:t xml:space="preserve"> events of 2011,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seagrass abundance </w:t>
      </w:r>
      <w:r w:rsidRPr="00370E70">
        <w:rPr>
          <w:color w:val="000000"/>
          <w:szCs w:val="22"/>
        </w:rPr>
        <w:lastRenderedPageBreak/>
        <w:t>has generally followed a seasonal pattern with abundances decreasing during the senescent season (</w:t>
      </w:r>
      <w:r w:rsidRPr="00370E70">
        <w:fldChar w:fldCharType="begin"/>
      </w:r>
      <w:r w:rsidRPr="00370E70">
        <w:instrText xml:space="preserve"> REF _Ref305068712 \h  \* MERGEFORMAT </w:instrText>
      </w:r>
      <w:r w:rsidRPr="00370E70">
        <w:fldChar w:fldCharType="separate"/>
      </w:r>
      <w:r w:rsidR="005B5FD6" w:rsidRPr="005B5FD6">
        <w:rPr>
          <w:szCs w:val="22"/>
        </w:rPr>
        <w:t xml:space="preserve">Figure </w:t>
      </w:r>
      <w:r w:rsidR="005B5FD6" w:rsidRPr="005B5FD6">
        <w:rPr>
          <w:noProof/>
          <w:color w:val="000000"/>
          <w:szCs w:val="22"/>
        </w:rPr>
        <w:t>52</w:t>
      </w:r>
      <w:r w:rsidRPr="00370E70">
        <w:fldChar w:fldCharType="end"/>
      </w:r>
      <w:r w:rsidRPr="00370E70">
        <w:rPr>
          <w:color w:val="000000"/>
          <w:szCs w:val="22"/>
        </w:rPr>
        <w:t>).</w:t>
      </w:r>
    </w:p>
    <w:p w:rsidR="005132EF" w:rsidRPr="00370E70" w:rsidRDefault="007B15AB" w:rsidP="000535CA">
      <w:pPr>
        <w:keepNext/>
      </w:pPr>
      <w:r>
        <w:rPr>
          <w:noProof/>
          <w:color w:val="000000"/>
          <w:lang w:eastAsia="en-AU"/>
        </w:rPr>
        <w:drawing>
          <wp:inline distT="0" distB="0" distL="0" distR="0">
            <wp:extent cx="2769235" cy="1945005"/>
            <wp:effectExtent l="0" t="0" r="0" b="0"/>
            <wp:docPr id="66" name="Picture 74" descr="Figure showing the long-term trend in seagrass abundance  at the Dunk Island intertidal meadows monitored from 2007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Figure showing the long-term trend in seagrass abundance  at the Dunk Island intertidal meadows monitored from 2007 to 2012. "/>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769235" cy="1945005"/>
                    </a:xfrm>
                    <a:prstGeom prst="rect">
                      <a:avLst/>
                    </a:prstGeom>
                    <a:noFill/>
                    <a:ln>
                      <a:noFill/>
                    </a:ln>
                  </pic:spPr>
                </pic:pic>
              </a:graphicData>
            </a:graphic>
          </wp:inline>
        </w:drawing>
      </w:r>
      <w:r w:rsidR="005132EF" w:rsidRPr="00370E70">
        <w:rPr>
          <w:color w:val="000000"/>
        </w:rPr>
        <w:t xml:space="preserve"> </w:t>
      </w:r>
      <w:r>
        <w:rPr>
          <w:noProof/>
          <w:lang w:eastAsia="en-AU"/>
        </w:rPr>
        <w:drawing>
          <wp:inline distT="0" distB="0" distL="0" distR="0">
            <wp:extent cx="2704465" cy="1970405"/>
            <wp:effectExtent l="0" t="0" r="635" b="0"/>
            <wp:docPr id="67" name="Picture 67" descr="Figure showing the long-term trend in seagrass abundance  at the Dunk Island subtidal meadows monitored from 2008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igure showing the long-term trend in seagrass abundance  at the Dunk Island subtidal meadows monitored from 2008 to 2012. "/>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704465" cy="1970405"/>
                    </a:xfrm>
                    <a:prstGeom prst="rect">
                      <a:avLst/>
                    </a:prstGeom>
                    <a:noFill/>
                    <a:ln>
                      <a:noFill/>
                    </a:ln>
                  </pic:spPr>
                </pic:pic>
              </a:graphicData>
            </a:graphic>
          </wp:inline>
        </w:drawing>
      </w:r>
    </w:p>
    <w:p w:rsidR="00A62B1C" w:rsidRPr="00370E70" w:rsidRDefault="005132EF" w:rsidP="00F43884">
      <w:pPr>
        <w:spacing w:after="0"/>
        <w:rPr>
          <w:i/>
          <w:vanish/>
          <w:color w:val="000000"/>
          <w:szCs w:val="22"/>
          <w:specVanish/>
        </w:rPr>
      </w:pPr>
      <w:bookmarkStart w:id="320" w:name="_Ref348439596"/>
      <w:bookmarkStart w:id="321" w:name="_Toc384196398"/>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51</w:t>
      </w:r>
      <w:r w:rsidRPr="00370E70">
        <w:rPr>
          <w:color w:val="000000"/>
          <w:szCs w:val="22"/>
        </w:rPr>
        <w:fldChar w:fldCharType="end"/>
      </w:r>
      <w:bookmarkEnd w:id="320"/>
      <w:r w:rsidRPr="00370E70">
        <w:rPr>
          <w:color w:val="000000"/>
          <w:szCs w:val="22"/>
        </w:rPr>
        <w:t>.</w:t>
      </w:r>
      <w:r w:rsidRPr="00370E70">
        <w:rPr>
          <w:i/>
          <w:color w:val="000000"/>
          <w:szCs w:val="22"/>
        </w:rPr>
        <w:t xml:space="preserve"> Changes in seagrass abundance (% cover ±Standard Error) of </w:t>
      </w:r>
      <w:r w:rsidR="00F43884">
        <w:rPr>
          <w:i/>
          <w:color w:val="000000"/>
          <w:szCs w:val="22"/>
        </w:rPr>
        <w:t xml:space="preserve">inshore </w:t>
      </w:r>
      <w:r w:rsidRPr="00370E70">
        <w:rPr>
          <w:i/>
          <w:color w:val="000000"/>
          <w:szCs w:val="22"/>
        </w:rPr>
        <w:t xml:space="preserve">intertidal and subtidal </w:t>
      </w:r>
      <w:r w:rsidR="00F43884">
        <w:rPr>
          <w:i/>
          <w:color w:val="000000"/>
          <w:szCs w:val="22"/>
        </w:rPr>
        <w:t>reef habitat</w:t>
      </w:r>
      <w:r w:rsidR="006B1B14">
        <w:rPr>
          <w:i/>
          <w:color w:val="000000"/>
          <w:szCs w:val="22"/>
        </w:rPr>
        <w:t>s</w:t>
      </w:r>
      <w:r w:rsidR="00F43884">
        <w:rPr>
          <w:i/>
          <w:color w:val="000000"/>
          <w:szCs w:val="22"/>
        </w:rPr>
        <w:t xml:space="preserve"> </w:t>
      </w:r>
      <w:r w:rsidR="006B1B14">
        <w:rPr>
          <w:i/>
          <w:color w:val="000000"/>
          <w:szCs w:val="22"/>
        </w:rPr>
        <w:t>(</w:t>
      </w:r>
      <w:smartTag w:uri="urn:schemas-microsoft-com:office:smarttags" w:element="place">
        <w:smartTag w:uri="urn:schemas-microsoft-com:office:smarttags" w:element="PlaceName">
          <w:r w:rsidR="006B1B14" w:rsidRPr="00370E70">
            <w:rPr>
              <w:i/>
              <w:color w:val="000000"/>
              <w:szCs w:val="22"/>
            </w:rPr>
            <w:t>Dunk</w:t>
          </w:r>
        </w:smartTag>
        <w:r w:rsidR="006B1B14" w:rsidRPr="00370E70">
          <w:rPr>
            <w:i/>
            <w:color w:val="000000"/>
            <w:szCs w:val="22"/>
          </w:rPr>
          <w:t xml:space="preserve"> </w:t>
        </w:r>
        <w:smartTag w:uri="urn:schemas-microsoft-com:office:smarttags" w:element="PlaceType">
          <w:r w:rsidR="006B1B14" w:rsidRPr="00370E70">
            <w:rPr>
              <w:i/>
              <w:color w:val="000000"/>
              <w:szCs w:val="22"/>
            </w:rPr>
            <w:t>Island</w:t>
          </w:r>
        </w:smartTag>
      </w:smartTag>
      <w:r w:rsidR="006B1B14">
        <w:rPr>
          <w:i/>
          <w:color w:val="000000"/>
          <w:szCs w:val="22"/>
        </w:rPr>
        <w:t>)</w:t>
      </w:r>
      <w:r w:rsidR="006B1B14" w:rsidRPr="00370E70">
        <w:rPr>
          <w:i/>
          <w:color w:val="000000"/>
          <w:szCs w:val="22"/>
        </w:rPr>
        <w:t xml:space="preserve"> </w:t>
      </w:r>
      <w:r w:rsidR="006B1B14" w:rsidRPr="00370E70">
        <w:rPr>
          <w:i/>
        </w:rPr>
        <w:t xml:space="preserve">in the </w:t>
      </w:r>
      <w:r w:rsidR="007C2BB4">
        <w:rPr>
          <w:i/>
        </w:rPr>
        <w:t xml:space="preserve">southern </w:t>
      </w:r>
      <w:r w:rsidR="006B1B14" w:rsidRPr="00370E70">
        <w:rPr>
          <w:i/>
        </w:rPr>
        <w:t xml:space="preserve">Wet Tropics region </w:t>
      </w:r>
      <w:r w:rsidRPr="00370E70">
        <w:rPr>
          <w:i/>
          <w:color w:val="000000"/>
          <w:szCs w:val="22"/>
        </w:rPr>
        <w:t>from 2007 to 201</w:t>
      </w:r>
      <w:r w:rsidR="008F4EDA">
        <w:rPr>
          <w:i/>
          <w:color w:val="000000"/>
          <w:szCs w:val="22"/>
        </w:rPr>
        <w:t>2</w:t>
      </w:r>
      <w:r w:rsidRPr="00370E70">
        <w:rPr>
          <w:i/>
          <w:color w:val="000000"/>
          <w:szCs w:val="22"/>
        </w:rPr>
        <w:t>.</w:t>
      </w:r>
      <w:bookmarkEnd w:id="321"/>
      <w:r w:rsidRPr="00370E70">
        <w:rPr>
          <w:i/>
          <w:color w:val="000000"/>
          <w:szCs w:val="22"/>
        </w:rPr>
        <w:t xml:space="preserve"> </w:t>
      </w:r>
    </w:p>
    <w:p w:rsidR="00A62B1C" w:rsidRPr="00370E70" w:rsidRDefault="005132EF" w:rsidP="00F43884">
      <w:pPr>
        <w:spacing w:after="0"/>
        <w:rPr>
          <w:i/>
        </w:rPr>
      </w:pPr>
      <w:r w:rsidRPr="00370E70">
        <w:rPr>
          <w:i/>
          <w:color w:val="000000"/>
          <w:szCs w:val="22"/>
        </w:rPr>
        <w:t>Trendline is 3</w:t>
      </w:r>
      <w:r w:rsidRPr="00F43884">
        <w:rPr>
          <w:i/>
          <w:color w:val="000000"/>
          <w:szCs w:val="22"/>
          <w:vertAlign w:val="superscript"/>
        </w:rPr>
        <w:t>rd</w:t>
      </w:r>
      <w:r w:rsidRPr="00370E70">
        <w:rPr>
          <w:i/>
          <w:color w:val="000000"/>
          <w:szCs w:val="22"/>
        </w:rPr>
        <w:t xml:space="preserve"> order polynomial, 95% confidence intervals displayed, where intertidal r</w:t>
      </w:r>
      <w:r w:rsidRPr="00370E70">
        <w:rPr>
          <w:i/>
          <w:color w:val="000000"/>
          <w:szCs w:val="22"/>
          <w:vertAlign w:val="superscript"/>
        </w:rPr>
        <w:t>2</w:t>
      </w:r>
      <w:r w:rsidRPr="00370E70">
        <w:rPr>
          <w:i/>
          <w:color w:val="000000"/>
          <w:szCs w:val="22"/>
        </w:rPr>
        <w:t xml:space="preserve"> = 0.888</w:t>
      </w:r>
      <w:r w:rsidRPr="00370E70">
        <w:rPr>
          <w:i/>
          <w:color w:val="000080"/>
          <w:szCs w:val="22"/>
        </w:rPr>
        <w:t xml:space="preserve"> </w:t>
      </w:r>
      <w:r w:rsidRPr="00370E70">
        <w:rPr>
          <w:i/>
          <w:color w:val="000000"/>
          <w:szCs w:val="22"/>
        </w:rPr>
        <w:t>and</w:t>
      </w:r>
      <w:r w:rsidRPr="00370E70">
        <w:rPr>
          <w:i/>
          <w:color w:val="000080"/>
          <w:szCs w:val="22"/>
        </w:rPr>
        <w:t xml:space="preserve"> </w:t>
      </w:r>
      <w:r w:rsidRPr="00370E70">
        <w:rPr>
          <w:i/>
          <w:color w:val="000000"/>
          <w:szCs w:val="22"/>
        </w:rPr>
        <w:t>subtidal r</w:t>
      </w:r>
      <w:r w:rsidRPr="00370E70">
        <w:rPr>
          <w:i/>
          <w:color w:val="000000"/>
          <w:szCs w:val="22"/>
          <w:vertAlign w:val="superscript"/>
        </w:rPr>
        <w:t>2</w:t>
      </w:r>
      <w:r w:rsidRPr="00370E70">
        <w:rPr>
          <w:i/>
          <w:color w:val="000000"/>
          <w:szCs w:val="22"/>
        </w:rPr>
        <w:t xml:space="preserve"> = 0.765.</w:t>
      </w:r>
      <w:r w:rsidR="00A62B1C" w:rsidRPr="00370E70">
        <w:rPr>
          <w:i/>
        </w:rPr>
        <w:t xml:space="preserve"> </w:t>
      </w:r>
    </w:p>
    <w:p w:rsidR="005132EF" w:rsidRPr="00370E70" w:rsidRDefault="007B15AB" w:rsidP="00F43884">
      <w:pPr>
        <w:keepNext/>
        <w:spacing w:before="0"/>
        <w:jc w:val="center"/>
      </w:pPr>
      <w:r>
        <w:rPr>
          <w:noProof/>
          <w:lang w:eastAsia="en-AU"/>
        </w:rPr>
        <w:drawing>
          <wp:inline distT="0" distB="0" distL="0" distR="0">
            <wp:extent cx="4327525" cy="1674495"/>
            <wp:effectExtent l="0" t="0" r="0" b="1905"/>
            <wp:docPr id="68" name="Picture 76" descr="Figure showing the seasonality of seagrass cover (all species pooled) at Dunk Island intertidal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Figure showing the seasonality of seagrass cover (all species pooled) at Dunk Island intertidal long-term monitoring sites at time of year. "/>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4327525" cy="1674495"/>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322" w:name="_Ref305068712"/>
      <w:bookmarkStart w:id="323" w:name="_Toc384196399"/>
      <w:bookmarkStart w:id="324" w:name="_Toc23284597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52</w:t>
      </w:r>
      <w:r w:rsidRPr="00370E70">
        <w:rPr>
          <w:lang w:val="en-AU"/>
        </w:rPr>
        <w:fldChar w:fldCharType="end"/>
      </w:r>
      <w:bookmarkEnd w:id="322"/>
      <w:r w:rsidRPr="00370E70">
        <w:rPr>
          <w:rStyle w:val="StyleCaptionCaptionCharCharLatinCalibri11ptBlackChar"/>
          <w:i/>
          <w:lang w:val="en-AU"/>
        </w:rPr>
        <w:t xml:space="preserve">. </w:t>
      </w:r>
      <w:r w:rsidRPr="00370E70">
        <w:rPr>
          <w:i/>
          <w:lang w:val="en-AU"/>
        </w:rPr>
        <w:t xml:space="preserve">Mean percentage seagrass cover (all species pooled) (± Standard Error) at </w:t>
      </w:r>
      <w:r w:rsidR="00F43884">
        <w:rPr>
          <w:i/>
          <w:lang w:val="en-AU"/>
        </w:rPr>
        <w:t xml:space="preserve">inshore intertidal reef habitat </w:t>
      </w:r>
      <w:r w:rsidR="007C2BB4">
        <w:rPr>
          <w:i/>
          <w:lang w:val="en-AU"/>
        </w:rPr>
        <w:t>(</w:t>
      </w:r>
      <w:smartTag w:uri="urn:schemas-microsoft-com:office:smarttags" w:element="place">
        <w:smartTag w:uri="urn:schemas-microsoft-com:office:smarttags" w:element="PlaceName">
          <w:r w:rsidR="007C2BB4" w:rsidRPr="00370E70">
            <w:rPr>
              <w:i/>
              <w:lang w:val="en-AU"/>
            </w:rPr>
            <w:t>Dunk</w:t>
          </w:r>
        </w:smartTag>
        <w:r w:rsidR="007C2BB4" w:rsidRPr="00370E70">
          <w:rPr>
            <w:i/>
            <w:lang w:val="en-AU"/>
          </w:rPr>
          <w:t xml:space="preserve"> </w:t>
        </w:r>
        <w:smartTag w:uri="urn:schemas-microsoft-com:office:smarttags" w:element="PlaceType">
          <w:r w:rsidR="007C2BB4" w:rsidRPr="00370E70">
            <w:rPr>
              <w:i/>
              <w:lang w:val="en-AU"/>
            </w:rPr>
            <w:t>Island</w:t>
          </w:r>
        </w:smartTag>
      </w:smartTag>
      <w:r w:rsidR="007C2BB4">
        <w:rPr>
          <w:i/>
          <w:lang w:val="en-AU"/>
        </w:rPr>
        <w:t>)</w:t>
      </w:r>
      <w:r w:rsidR="007C2BB4" w:rsidRPr="00370E70">
        <w:rPr>
          <w:i/>
          <w:lang w:val="en-AU"/>
        </w:rPr>
        <w:t xml:space="preserve"> </w:t>
      </w:r>
      <w:r w:rsidRPr="00370E70">
        <w:rPr>
          <w:i/>
          <w:lang w:val="en-AU"/>
        </w:rPr>
        <w:t>at time of year.</w:t>
      </w:r>
      <w:bookmarkEnd w:id="323"/>
      <w:r w:rsidRPr="00370E70">
        <w:rPr>
          <w:i/>
          <w:lang w:val="en-AU"/>
        </w:rPr>
        <w:t xml:space="preserve"> </w:t>
      </w:r>
    </w:p>
    <w:p w:rsidR="00A62B1C" w:rsidRPr="00370E70" w:rsidRDefault="005132EF" w:rsidP="00A62B1C">
      <w:pPr>
        <w:pStyle w:val="Caption"/>
        <w:rPr>
          <w:i/>
          <w:lang w:val="en-AU"/>
        </w:rPr>
      </w:pPr>
      <w:r w:rsidRPr="00370E70">
        <w:rPr>
          <w:i/>
          <w:lang w:val="en-AU"/>
        </w:rPr>
        <w:t>NB: Polynomial trendline for all years pooled.</w:t>
      </w:r>
      <w:bookmarkEnd w:id="324"/>
      <w:r w:rsidR="00A62B1C" w:rsidRPr="00370E70">
        <w:rPr>
          <w:i/>
          <w:lang w:val="en-AU"/>
        </w:rPr>
        <w:t xml:space="preserve"> </w:t>
      </w:r>
    </w:p>
    <w:p w:rsidR="005132EF" w:rsidRPr="00370E70" w:rsidRDefault="007B15AB" w:rsidP="00D010DC">
      <w:pPr>
        <w:keepNext/>
        <w:jc w:val="center"/>
      </w:pPr>
      <w:r>
        <w:rPr>
          <w:noProof/>
          <w:lang w:eastAsia="en-AU"/>
        </w:rPr>
        <w:drawing>
          <wp:inline distT="0" distB="0" distL="0" distR="0">
            <wp:extent cx="1854835" cy="1687195"/>
            <wp:effectExtent l="0" t="0" r="0" b="8255"/>
            <wp:docPr id="69" name="Picture 14" descr="Figure showing the seasonality of seagrass cover (all species pooled) at Dunk Island subtidal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gure showing the seasonality of seagrass cover (all species pooled) at Dunk Island subtidal long-term monitoring sites at time of year. "/>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854835" cy="1687195"/>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325" w:name="_Toc38419640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53</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6B1B14">
        <w:rPr>
          <w:i/>
          <w:lang w:val="en-AU"/>
        </w:rPr>
        <w:t xml:space="preserve">inshore subtidal reef habitat </w:t>
      </w:r>
      <w:r w:rsidR="007C2BB4">
        <w:rPr>
          <w:i/>
          <w:lang w:val="en-AU"/>
        </w:rPr>
        <w:t>(</w:t>
      </w:r>
      <w:smartTag w:uri="urn:schemas-microsoft-com:office:smarttags" w:element="place">
        <w:smartTag w:uri="urn:schemas-microsoft-com:office:smarttags" w:element="PlaceName">
          <w:r w:rsidR="007C2BB4" w:rsidRPr="00370E70">
            <w:rPr>
              <w:i/>
              <w:lang w:val="en-AU"/>
            </w:rPr>
            <w:t>Dunk</w:t>
          </w:r>
        </w:smartTag>
        <w:r w:rsidR="007C2BB4" w:rsidRPr="00370E70">
          <w:rPr>
            <w:i/>
            <w:lang w:val="en-AU"/>
          </w:rPr>
          <w:t xml:space="preserve"> </w:t>
        </w:r>
        <w:smartTag w:uri="urn:schemas-microsoft-com:office:smarttags" w:element="PlaceType">
          <w:r w:rsidR="007C2BB4" w:rsidRPr="00370E70">
            <w:rPr>
              <w:i/>
              <w:lang w:val="en-AU"/>
            </w:rPr>
            <w:t>Island</w:t>
          </w:r>
        </w:smartTag>
      </w:smartTag>
      <w:r w:rsidR="007C2BB4">
        <w:rPr>
          <w:i/>
          <w:lang w:val="en-AU"/>
        </w:rPr>
        <w:t>)</w:t>
      </w:r>
      <w:r w:rsidR="007C2BB4" w:rsidRPr="00370E70">
        <w:rPr>
          <w:i/>
          <w:lang w:val="en-AU"/>
        </w:rPr>
        <w:t xml:space="preserve"> </w:t>
      </w:r>
      <w:r w:rsidR="006B1B14" w:rsidRPr="00370E70">
        <w:rPr>
          <w:i/>
          <w:lang w:val="en-AU"/>
        </w:rPr>
        <w:t>at time of year</w:t>
      </w:r>
      <w:r w:rsidRPr="00370E70">
        <w:rPr>
          <w:i/>
          <w:lang w:val="en-AU"/>
        </w:rPr>
        <w:t>.</w:t>
      </w:r>
      <w:bookmarkEnd w:id="325"/>
      <w:r w:rsidRPr="00370E70">
        <w:rPr>
          <w:i/>
          <w:lang w:val="en-AU"/>
        </w:rPr>
        <w:t xml:space="preserve"> </w:t>
      </w:r>
    </w:p>
    <w:p w:rsidR="00A62B1C" w:rsidRPr="00370E70" w:rsidRDefault="005132EF" w:rsidP="00A62B1C">
      <w:pPr>
        <w:pStyle w:val="Caption"/>
        <w:rPr>
          <w:i/>
          <w:lang w:val="en-AU"/>
        </w:rPr>
      </w:pPr>
      <w:r w:rsidRPr="00370E70">
        <w:rPr>
          <w:i/>
          <w:lang w:val="en-AU"/>
        </w:rPr>
        <w:t>NB: Polynomial trendline for all years pooled.</w:t>
      </w:r>
    </w:p>
    <w:p w:rsidR="005132EF" w:rsidRPr="00370E70" w:rsidRDefault="005132EF" w:rsidP="00034AD4">
      <w:pPr>
        <w:rPr>
          <w:color w:val="000000"/>
          <w:szCs w:val="22"/>
        </w:rPr>
      </w:pPr>
      <w:r w:rsidRPr="00370E70">
        <w:rPr>
          <w:color w:val="000000"/>
          <w:szCs w:val="22"/>
        </w:rPr>
        <w:t xml:space="preserve">Similar to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seagrass abundance </w:t>
      </w:r>
      <w:r w:rsidR="00F43884">
        <w:rPr>
          <w:color w:val="000000"/>
          <w:szCs w:val="22"/>
        </w:rPr>
        <w:t xml:space="preserve">at Low Isles </w:t>
      </w:r>
      <w:r w:rsidRPr="00370E70">
        <w:rPr>
          <w:color w:val="000000"/>
          <w:szCs w:val="22"/>
        </w:rPr>
        <w:t>has been declining at both intertidal and subtidal meadows since 2009 (</w:t>
      </w:r>
      <w:r w:rsidRPr="00370E70">
        <w:rPr>
          <w:color w:val="000000"/>
          <w:szCs w:val="22"/>
        </w:rPr>
        <w:fldChar w:fldCharType="begin"/>
      </w:r>
      <w:r w:rsidRPr="00370E70">
        <w:rPr>
          <w:color w:val="000000"/>
          <w:szCs w:val="22"/>
        </w:rPr>
        <w:instrText xml:space="preserve"> REF _Ref348440100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54</w:t>
      </w:r>
      <w:r w:rsidRPr="00370E70">
        <w:rPr>
          <w:color w:val="000000"/>
          <w:szCs w:val="22"/>
        </w:rPr>
        <w:fldChar w:fldCharType="end"/>
      </w:r>
      <w:r w:rsidRPr="00370E70">
        <w:rPr>
          <w:color w:val="000000"/>
          <w:szCs w:val="22"/>
        </w:rPr>
        <w:t xml:space="preserve">). </w:t>
      </w:r>
      <w:r w:rsidR="00F43884">
        <w:rPr>
          <w:color w:val="000000"/>
          <w:szCs w:val="22"/>
        </w:rPr>
        <w:t xml:space="preserve"> </w:t>
      </w:r>
      <w:r w:rsidRPr="00370E70">
        <w:rPr>
          <w:color w:val="000000"/>
          <w:szCs w:val="22"/>
        </w:rPr>
        <w:t xml:space="preserve">Seagrass abundance at Low Isles has declined since monitoring began in 2008 but has shown some recovery over the past year (Figure 46). Abundance has increased slightly (from 2% to 4%) throughout the 2011/2012 monitoring period at the intertidal site; however, it remains considerably lower than when monitoring began in 2008 (when it was 18% cover). This has coincided with a drastic decline in </w:t>
      </w:r>
      <w:r w:rsidRPr="00370E70">
        <w:rPr>
          <w:i/>
          <w:color w:val="000000"/>
          <w:szCs w:val="22"/>
        </w:rPr>
        <w:t>T. hemprichii</w:t>
      </w:r>
      <w:r w:rsidRPr="00370E70">
        <w:rPr>
          <w:color w:val="000000"/>
          <w:szCs w:val="22"/>
        </w:rPr>
        <w:t xml:space="preserve"> abundance at the intertidal sites, with both the intertidal and subtidal sites now dominated by the colonising </w:t>
      </w:r>
      <w:r w:rsidRPr="00370E70">
        <w:rPr>
          <w:i/>
          <w:color w:val="000000"/>
          <w:szCs w:val="22"/>
        </w:rPr>
        <w:t>H. ovalis</w:t>
      </w:r>
      <w:r w:rsidRPr="00370E70">
        <w:rPr>
          <w:color w:val="000000"/>
          <w:szCs w:val="22"/>
        </w:rPr>
        <w:t xml:space="preserve">.  Seagrass cover </w:t>
      </w:r>
      <w:r w:rsidRPr="00370E70">
        <w:rPr>
          <w:color w:val="000000"/>
          <w:szCs w:val="22"/>
        </w:rPr>
        <w:lastRenderedPageBreak/>
        <w:t xml:space="preserve">declined to 0% at the subtidal site in the post-wet sampling of early 2012 (down from 2% at the same time the previous year). </w:t>
      </w:r>
    </w:p>
    <w:p w:rsidR="005132EF" w:rsidRPr="00370E70" w:rsidRDefault="007B15AB" w:rsidP="000C2604">
      <w:pPr>
        <w:keepNext/>
        <w:jc w:val="center"/>
      </w:pPr>
      <w:r>
        <w:rPr>
          <w:noProof/>
          <w:lang w:eastAsia="en-AU"/>
        </w:rPr>
        <w:drawing>
          <wp:inline distT="0" distB="0" distL="0" distR="0">
            <wp:extent cx="2807335" cy="2035175"/>
            <wp:effectExtent l="0" t="0" r="0" b="3175"/>
            <wp:docPr id="70" name="Picture 19" descr="Figure showing the long-term trend in seagrass abundance  at the Low Isles intertidal meadows monitored from 2009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gure showing the long-term trend in seagrass abundance  at the Low Isles intertidal meadows monitored from 2009 to 2012. "/>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807335" cy="2035175"/>
                    </a:xfrm>
                    <a:prstGeom prst="rect">
                      <a:avLst/>
                    </a:prstGeom>
                    <a:noFill/>
                    <a:ln>
                      <a:noFill/>
                    </a:ln>
                  </pic:spPr>
                </pic:pic>
              </a:graphicData>
            </a:graphic>
          </wp:inline>
        </w:drawing>
      </w:r>
      <w:r>
        <w:rPr>
          <w:noProof/>
          <w:lang w:eastAsia="en-AU"/>
        </w:rPr>
        <w:drawing>
          <wp:inline distT="0" distB="0" distL="0" distR="0">
            <wp:extent cx="2769235" cy="2035175"/>
            <wp:effectExtent l="0" t="0" r="0" b="3175"/>
            <wp:docPr id="71" name="Picture 8" descr="Figure showing the long-term trend in seagrass abundance  at the Low Isles subtidal meadows monitored from 2009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ure showing the long-term trend in seagrass abundance  at the Low Isles subtidal meadows monitored from 2009 to 2012. "/>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769235" cy="2035175"/>
                    </a:xfrm>
                    <a:prstGeom prst="rect">
                      <a:avLst/>
                    </a:prstGeom>
                    <a:noFill/>
                    <a:ln>
                      <a:noFill/>
                    </a:ln>
                  </pic:spPr>
                </pic:pic>
              </a:graphicData>
            </a:graphic>
          </wp:inline>
        </w:drawing>
      </w:r>
    </w:p>
    <w:p w:rsidR="00121A05" w:rsidRPr="00370E70" w:rsidRDefault="005132EF" w:rsidP="00121A05">
      <w:pPr>
        <w:pStyle w:val="Caption"/>
        <w:rPr>
          <w:i/>
          <w:vanish/>
          <w:color w:val="000000"/>
          <w:szCs w:val="22"/>
          <w:lang w:val="en-AU"/>
          <w:specVanish/>
        </w:rPr>
      </w:pPr>
      <w:bookmarkStart w:id="326" w:name="_Ref348440100"/>
      <w:bookmarkStart w:id="327" w:name="_Toc38419640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54</w:t>
      </w:r>
      <w:r w:rsidRPr="00370E70">
        <w:rPr>
          <w:lang w:val="en-AU"/>
        </w:rPr>
        <w:fldChar w:fldCharType="end"/>
      </w:r>
      <w:bookmarkEnd w:id="326"/>
      <w:r w:rsidRPr="00370E70">
        <w:rPr>
          <w:rStyle w:val="StyleCaptionCaptionCharCharLatinCalibri11ptBlackChar"/>
          <w:lang w:val="en-AU"/>
        </w:rPr>
        <w:t xml:space="preserve">. </w:t>
      </w:r>
      <w:r w:rsidRPr="00370E70">
        <w:rPr>
          <w:i/>
          <w:lang w:val="en-AU"/>
        </w:rPr>
        <w:t xml:space="preserve">Changes in seagrass abundance (% cover ±Standard Error) </w:t>
      </w:r>
      <w:r w:rsidR="00F43884">
        <w:rPr>
          <w:i/>
          <w:lang w:val="en-AU"/>
        </w:rPr>
        <w:t>at</w:t>
      </w:r>
      <w:r w:rsidRPr="00370E70">
        <w:rPr>
          <w:i/>
          <w:lang w:val="en-AU"/>
        </w:rPr>
        <w:t xml:space="preserve"> </w:t>
      </w:r>
      <w:r w:rsidR="00F43884">
        <w:rPr>
          <w:i/>
          <w:lang w:val="en-AU"/>
        </w:rPr>
        <w:t xml:space="preserve">inshore </w:t>
      </w:r>
      <w:r w:rsidR="00F43884" w:rsidRPr="00370E70">
        <w:rPr>
          <w:i/>
          <w:lang w:val="en-AU"/>
        </w:rPr>
        <w:t xml:space="preserve">intertidal </w:t>
      </w:r>
      <w:r w:rsidRPr="00370E70">
        <w:rPr>
          <w:i/>
          <w:lang w:val="en-AU"/>
        </w:rPr>
        <w:t xml:space="preserve">and subtidal </w:t>
      </w:r>
      <w:r w:rsidR="00F43884" w:rsidRPr="00370E70">
        <w:rPr>
          <w:i/>
          <w:lang w:val="en-AU"/>
        </w:rPr>
        <w:t xml:space="preserve">reef </w:t>
      </w:r>
      <w:r w:rsidR="00F43884">
        <w:rPr>
          <w:i/>
          <w:lang w:val="en-AU"/>
        </w:rPr>
        <w:t>habitats (</w:t>
      </w:r>
      <w:r w:rsidR="00F43884" w:rsidRPr="00370E70">
        <w:rPr>
          <w:i/>
          <w:lang w:val="en-AU"/>
        </w:rPr>
        <w:t>Low Isles</w:t>
      </w:r>
      <w:r w:rsidR="00F43884">
        <w:rPr>
          <w:i/>
          <w:lang w:val="en-AU"/>
        </w:rPr>
        <w:t>)</w:t>
      </w:r>
      <w:r w:rsidR="00F43884" w:rsidRPr="00370E70">
        <w:rPr>
          <w:i/>
          <w:lang w:val="en-AU"/>
        </w:rPr>
        <w:t xml:space="preserve"> </w:t>
      </w:r>
      <w:r w:rsidRPr="00370E70">
        <w:rPr>
          <w:i/>
          <w:lang w:val="en-AU"/>
        </w:rPr>
        <w:t xml:space="preserve">in the </w:t>
      </w:r>
      <w:r w:rsidR="007C2BB4">
        <w:rPr>
          <w:i/>
          <w:lang w:val="en-AU"/>
        </w:rPr>
        <w:t xml:space="preserve">northern </w:t>
      </w:r>
      <w:r w:rsidRPr="00370E70">
        <w:rPr>
          <w:i/>
          <w:lang w:val="en-AU"/>
        </w:rPr>
        <w:t>Wet Tropics region from 2008 to 2012.</w:t>
      </w:r>
      <w:bookmarkEnd w:id="327"/>
      <w:r w:rsidRPr="00370E70">
        <w:rPr>
          <w:i/>
          <w:lang w:val="en-AU"/>
        </w:rPr>
        <w:t xml:space="preserve"> </w:t>
      </w:r>
    </w:p>
    <w:p w:rsidR="00A62B1C" w:rsidRPr="00370E70" w:rsidRDefault="005132EF" w:rsidP="00121A05">
      <w:pPr>
        <w:pStyle w:val="Caption"/>
        <w:rPr>
          <w:i/>
          <w:lang w:val="en-AU"/>
        </w:rPr>
      </w:pPr>
      <w:r w:rsidRPr="00370E70">
        <w:rPr>
          <w:i/>
          <w:lang w:val="en-AU"/>
        </w:rPr>
        <w:t>Trendline is 3rd order polynomial (95% confidence intervals displayed) where intertidal r</w:t>
      </w:r>
      <w:r w:rsidRPr="00370E70">
        <w:rPr>
          <w:i/>
          <w:vertAlign w:val="superscript"/>
          <w:lang w:val="en-AU"/>
        </w:rPr>
        <w:t>2</w:t>
      </w:r>
      <w:r w:rsidRPr="00370E70">
        <w:rPr>
          <w:i/>
          <w:lang w:val="en-AU"/>
        </w:rPr>
        <w:t xml:space="preserve"> = 0.567 and subtidal r</w:t>
      </w:r>
      <w:r w:rsidRPr="00370E70">
        <w:rPr>
          <w:i/>
          <w:vertAlign w:val="superscript"/>
          <w:lang w:val="en-AU"/>
        </w:rPr>
        <w:t>2</w:t>
      </w:r>
      <w:r w:rsidRPr="00370E70">
        <w:rPr>
          <w:i/>
          <w:lang w:val="en-AU"/>
        </w:rPr>
        <w:t xml:space="preserve"> = 0.629)</w:t>
      </w:r>
      <w:r w:rsidR="00A62B1C" w:rsidRPr="00370E70">
        <w:rPr>
          <w:i/>
          <w:lang w:val="en-AU"/>
        </w:rPr>
        <w:t xml:space="preserve">. </w:t>
      </w:r>
    </w:p>
    <w:p w:rsidR="005132EF" w:rsidRPr="00370E70" w:rsidRDefault="007B15AB" w:rsidP="00D010DC">
      <w:pPr>
        <w:keepNext/>
        <w:jc w:val="center"/>
      </w:pPr>
      <w:r>
        <w:rPr>
          <w:noProof/>
          <w:lang w:eastAsia="en-AU"/>
        </w:rPr>
        <w:drawing>
          <wp:inline distT="0" distB="0" distL="0" distR="0">
            <wp:extent cx="1854835" cy="1687195"/>
            <wp:effectExtent l="0" t="0" r="0" b="8255"/>
            <wp:docPr id="72" name="Picture 72" descr="Figure showing the seasonality of seagrass cover (all species pooled) at Low Isles intertidal long-term monitoring site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Figure showing the seasonality of seagrass cover (all species pooled) at Low Isles intertidal long-term monitoring site at time of year. "/>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854835" cy="1687195"/>
                    </a:xfrm>
                    <a:prstGeom prst="rect">
                      <a:avLst/>
                    </a:prstGeom>
                    <a:noFill/>
                    <a:ln>
                      <a:noFill/>
                    </a:ln>
                  </pic:spPr>
                </pic:pic>
              </a:graphicData>
            </a:graphic>
          </wp:inline>
        </w:drawing>
      </w:r>
      <w:r w:rsidR="005132EF" w:rsidRPr="00370E70">
        <w:t xml:space="preserve"> </w:t>
      </w:r>
      <w:r>
        <w:rPr>
          <w:noProof/>
          <w:lang w:eastAsia="en-AU"/>
        </w:rPr>
        <w:drawing>
          <wp:inline distT="0" distB="0" distL="0" distR="0">
            <wp:extent cx="1854835" cy="1687195"/>
            <wp:effectExtent l="0" t="0" r="0" b="8255"/>
            <wp:docPr id="73" name="Picture 73" descr="Figure showing the seasonality of seagrass cover (all species pooled) at Low Isles subtidal long-term monitoring site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Figure showing the seasonality of seagrass cover (all species pooled) at Low Isles subtidal long-term monitoring site at time of year. "/>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854835" cy="1687195"/>
                    </a:xfrm>
                    <a:prstGeom prst="rect">
                      <a:avLst/>
                    </a:prstGeom>
                    <a:noFill/>
                    <a:ln>
                      <a:noFill/>
                    </a:ln>
                  </pic:spPr>
                </pic:pic>
              </a:graphicData>
            </a:graphic>
          </wp:inline>
        </w:drawing>
      </w:r>
    </w:p>
    <w:p w:rsidR="00121A05" w:rsidRPr="00370E70" w:rsidRDefault="005132EF" w:rsidP="00121A05">
      <w:pPr>
        <w:pStyle w:val="Caption"/>
        <w:rPr>
          <w:i/>
          <w:vanish/>
          <w:color w:val="000000"/>
          <w:szCs w:val="22"/>
          <w:lang w:val="en-AU"/>
          <w:specVanish/>
        </w:rPr>
      </w:pPr>
      <w:bookmarkStart w:id="328" w:name="_Toc38419640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55</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F43884">
        <w:rPr>
          <w:i/>
          <w:lang w:val="en-AU"/>
        </w:rPr>
        <w:t xml:space="preserve">inshore </w:t>
      </w:r>
      <w:r w:rsidRPr="00370E70">
        <w:rPr>
          <w:i/>
          <w:lang w:val="en-AU"/>
        </w:rPr>
        <w:t xml:space="preserve">intertidal (left) and subtidal (right) </w:t>
      </w:r>
      <w:r w:rsidR="00F43884">
        <w:rPr>
          <w:i/>
          <w:lang w:val="en-AU"/>
        </w:rPr>
        <w:t xml:space="preserve">reef habitat </w:t>
      </w:r>
      <w:r w:rsidR="007C2BB4">
        <w:rPr>
          <w:i/>
          <w:lang w:val="en-AU"/>
        </w:rPr>
        <w:t>(</w:t>
      </w:r>
      <w:r w:rsidR="007C2BB4" w:rsidRPr="00370E70">
        <w:rPr>
          <w:i/>
          <w:lang w:val="en-AU"/>
        </w:rPr>
        <w:t>Low Isles</w:t>
      </w:r>
      <w:r w:rsidR="007C2BB4">
        <w:rPr>
          <w:i/>
          <w:lang w:val="en-AU"/>
        </w:rPr>
        <w:t>)</w:t>
      </w:r>
      <w:r w:rsidR="007C2BB4" w:rsidRPr="00370E70">
        <w:rPr>
          <w:i/>
          <w:lang w:val="en-AU"/>
        </w:rPr>
        <w:t xml:space="preserve"> </w:t>
      </w:r>
      <w:r w:rsidRPr="00370E70">
        <w:rPr>
          <w:i/>
          <w:lang w:val="en-AU"/>
        </w:rPr>
        <w:t>long-term monitoring sites at time of year</w:t>
      </w:r>
      <w:bookmarkEnd w:id="328"/>
    </w:p>
    <w:p w:rsidR="00121A05" w:rsidRPr="00370E70" w:rsidRDefault="005132EF" w:rsidP="00121A05">
      <w:pPr>
        <w:pStyle w:val="Caption"/>
        <w:rPr>
          <w:i/>
          <w:lang w:val="en-AU"/>
        </w:rPr>
      </w:pPr>
      <w:r w:rsidRPr="00370E70">
        <w:rPr>
          <w:i/>
          <w:lang w:val="en-AU"/>
        </w:rPr>
        <w:t>. NB: Polynomial trendline for all years pooled.</w:t>
      </w:r>
      <w:r w:rsidR="00121A05" w:rsidRPr="00370E70">
        <w:rPr>
          <w:i/>
          <w:lang w:val="en-AU"/>
        </w:rPr>
        <w:t xml:space="preserve"> </w:t>
      </w:r>
    </w:p>
    <w:p w:rsidR="005132EF" w:rsidRPr="00370E70" w:rsidRDefault="005132EF" w:rsidP="00034AD4">
      <w:pPr>
        <w:rPr>
          <w:color w:val="000000"/>
          <w:szCs w:val="22"/>
        </w:rPr>
      </w:pPr>
      <w:r w:rsidRPr="00370E70">
        <w:rPr>
          <w:color w:val="000000"/>
          <w:szCs w:val="22"/>
        </w:rPr>
        <w:t>With the exception of Low Isles, seagrass meadow edge mapping was conducted within a 100m radius of all intertidal monitoring sites in October/November and March/April of each year to determine if changes in abundance were a consequence of the meadow edges changing (</w:t>
      </w:r>
      <w:r w:rsidRPr="00370E70">
        <w:fldChar w:fldCharType="begin"/>
      </w:r>
      <w:r w:rsidRPr="00370E70">
        <w:instrText xml:space="preserve"> REF _Ref211837465 \h  \* MERGEFORMAT </w:instrText>
      </w:r>
      <w:r w:rsidRPr="00370E70">
        <w:fldChar w:fldCharType="separate"/>
      </w:r>
      <w:r w:rsidR="005B5FD6" w:rsidRPr="005B5FD6">
        <w:rPr>
          <w:szCs w:val="22"/>
        </w:rPr>
        <w:t xml:space="preserve">Table </w:t>
      </w:r>
      <w:r w:rsidR="005B5FD6" w:rsidRPr="005B5FD6">
        <w:rPr>
          <w:noProof/>
          <w:color w:val="000000"/>
          <w:szCs w:val="22"/>
        </w:rPr>
        <w:t>20</w:t>
      </w:r>
      <w:r w:rsidRPr="00370E70">
        <w:fldChar w:fldCharType="end"/>
      </w:r>
      <w:r w:rsidRPr="00370E70">
        <w:rPr>
          <w:color w:val="000000"/>
          <w:szCs w:val="22"/>
        </w:rPr>
        <w:t xml:space="preserve">). </w:t>
      </w:r>
    </w:p>
    <w:p w:rsidR="005132EF" w:rsidRPr="00370E70" w:rsidRDefault="005132EF" w:rsidP="00291A06">
      <w:pPr>
        <w:rPr>
          <w:color w:val="000000"/>
          <w:szCs w:val="22"/>
        </w:rPr>
      </w:pPr>
      <w:r w:rsidRPr="00370E70">
        <w:rPr>
          <w:color w:val="000000"/>
          <w:szCs w:val="22"/>
        </w:rPr>
        <w:t>In the northern locations, coastal meadow extent declined in late 2011, and then recovered to some degree in early 2012 (</w:t>
      </w:r>
      <w:r w:rsidRPr="00370E70">
        <w:fldChar w:fldCharType="begin"/>
      </w:r>
      <w:r w:rsidRPr="00370E70">
        <w:instrText xml:space="preserve"> REF _Ref179439637 \h  \* MERGEFORMAT </w:instrText>
      </w:r>
      <w:r w:rsidRPr="00370E70">
        <w:fldChar w:fldCharType="separate"/>
      </w:r>
      <w:r w:rsidR="005B5FD6" w:rsidRPr="005B5FD6">
        <w:rPr>
          <w:szCs w:val="22"/>
        </w:rPr>
        <w:t xml:space="preserve">Figure </w:t>
      </w:r>
      <w:r w:rsidR="005B5FD6">
        <w:rPr>
          <w:noProof/>
          <w:color w:val="000000"/>
          <w:szCs w:val="22"/>
        </w:rPr>
        <w:t>56</w:t>
      </w:r>
      <w:r w:rsidRPr="00370E70">
        <w:fldChar w:fldCharType="end"/>
      </w:r>
      <w:r w:rsidRPr="00370E70">
        <w:rPr>
          <w:color w:val="000000"/>
          <w:szCs w:val="22"/>
        </w:rPr>
        <w:t xml:space="preserve">).  There were no detectable differences in the seagrass meadow edges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over the 2011/12 monitoring period (</w:t>
      </w:r>
      <w:r w:rsidRPr="00370E70">
        <w:fldChar w:fldCharType="begin"/>
      </w:r>
      <w:r w:rsidRPr="00370E70">
        <w:instrText xml:space="preserve"> REF _Ref211837465 \h  \* MERGEFORMAT </w:instrText>
      </w:r>
      <w:r w:rsidRPr="00370E70">
        <w:fldChar w:fldCharType="separate"/>
      </w:r>
      <w:r w:rsidR="005B5FD6" w:rsidRPr="005B5FD6">
        <w:rPr>
          <w:szCs w:val="22"/>
        </w:rPr>
        <w:t xml:space="preserve">Table </w:t>
      </w:r>
      <w:r w:rsidR="005B5FD6" w:rsidRPr="005B5FD6">
        <w:rPr>
          <w:noProof/>
          <w:color w:val="000000"/>
          <w:szCs w:val="22"/>
        </w:rPr>
        <w:t>20</w:t>
      </w:r>
      <w:r w:rsidRPr="00370E70">
        <w:fldChar w:fldCharType="end"/>
      </w:r>
      <w:r w:rsidRPr="00370E70">
        <w:rPr>
          <w:color w:val="000000"/>
          <w:szCs w:val="22"/>
        </w:rPr>
        <w:t xml:space="preserve">, </w:t>
      </w:r>
      <w:r w:rsidRPr="00370E70">
        <w:fldChar w:fldCharType="begin"/>
      </w:r>
      <w:r w:rsidRPr="00370E70">
        <w:instrText xml:space="preserve"> REF _Ref179515389 \h  \* MERGEFORMAT </w:instrText>
      </w:r>
      <w:r w:rsidRPr="00370E70">
        <w:fldChar w:fldCharType="separate"/>
      </w:r>
      <w:r w:rsidR="005B5FD6" w:rsidRPr="005B5FD6">
        <w:rPr>
          <w:szCs w:val="22"/>
        </w:rPr>
        <w:t xml:space="preserve">Figure </w:t>
      </w:r>
      <w:r w:rsidR="005B5FD6">
        <w:rPr>
          <w:noProof/>
          <w:color w:val="000000"/>
          <w:szCs w:val="22"/>
        </w:rPr>
        <w:t>57</w:t>
      </w:r>
      <w:r w:rsidRPr="00370E70">
        <w:fldChar w:fldCharType="end"/>
      </w:r>
      <w:r w:rsidRPr="00370E70">
        <w:rPr>
          <w:color w:val="000000"/>
          <w:szCs w:val="22"/>
        </w:rPr>
        <w:t>).</w:t>
      </w:r>
    </w:p>
    <w:p w:rsidR="005132EF" w:rsidRDefault="005132EF" w:rsidP="00034AD4">
      <w:pPr>
        <w:rPr>
          <w:color w:val="000000"/>
          <w:szCs w:val="22"/>
        </w:rPr>
      </w:pPr>
      <w:r w:rsidRPr="00370E70">
        <w:rPr>
          <w:color w:val="000000"/>
          <w:szCs w:val="22"/>
        </w:rPr>
        <w:t xml:space="preserve">Over the 2011/12 monitoring period, the distribution of seagrass in the southern part of the region either continued to decrease or remain absent as a consequence of the extreme weather events of early 2011. At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the distribution of the seagrass </w:t>
      </w:r>
      <w:r w:rsidR="00957396" w:rsidRPr="00370E70">
        <w:rPr>
          <w:color w:val="000000"/>
          <w:szCs w:val="22"/>
        </w:rPr>
        <w:t>declined</w:t>
      </w:r>
      <w:r w:rsidRPr="00370E70">
        <w:rPr>
          <w:color w:val="000000"/>
          <w:szCs w:val="22"/>
        </w:rPr>
        <w:t xml:space="preserve"> throughout 2010, and then was completely lost during the 2011 </w:t>
      </w:r>
      <w:r w:rsidR="00957396" w:rsidRPr="00370E70">
        <w:rPr>
          <w:color w:val="000000"/>
          <w:szCs w:val="22"/>
        </w:rPr>
        <w:t xml:space="preserve">monsoon </w:t>
      </w:r>
      <w:r w:rsidRPr="00370E70">
        <w:rPr>
          <w:color w:val="000000"/>
          <w:szCs w:val="22"/>
        </w:rPr>
        <w:t>after Tropical Cyclone Yasi (</w:t>
      </w:r>
      <w:r w:rsidRPr="00370E70">
        <w:rPr>
          <w:color w:val="000000"/>
          <w:szCs w:val="22"/>
        </w:rPr>
        <w:fldChar w:fldCharType="begin"/>
      </w:r>
      <w:r w:rsidRPr="00370E70">
        <w:rPr>
          <w:color w:val="000000"/>
          <w:szCs w:val="22"/>
        </w:rPr>
        <w:instrText xml:space="preserve"> REF _Ref211837465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20</w:t>
      </w:r>
      <w:r w:rsidRPr="00370E70">
        <w:rPr>
          <w:color w:val="000000"/>
          <w:szCs w:val="22"/>
        </w:rPr>
        <w:fldChar w:fldCharType="end"/>
      </w:r>
      <w:r w:rsidRPr="00370E70">
        <w:rPr>
          <w:color w:val="000000"/>
          <w:szCs w:val="22"/>
        </w:rPr>
        <w:t xml:space="preserve">, </w:t>
      </w:r>
      <w:r w:rsidRPr="00370E70">
        <w:fldChar w:fldCharType="begin"/>
      </w:r>
      <w:r w:rsidRPr="00370E70">
        <w:instrText xml:space="preserve"> REF _Ref179515389 \h  \* MERGEFORMAT </w:instrText>
      </w:r>
      <w:r w:rsidRPr="00370E70">
        <w:fldChar w:fldCharType="separate"/>
      </w:r>
      <w:r w:rsidR="005B5FD6" w:rsidRPr="005B5FD6">
        <w:rPr>
          <w:szCs w:val="22"/>
        </w:rPr>
        <w:t xml:space="preserve">Figure </w:t>
      </w:r>
      <w:r w:rsidR="005B5FD6">
        <w:rPr>
          <w:noProof/>
          <w:color w:val="000000"/>
          <w:szCs w:val="22"/>
        </w:rPr>
        <w:t>57</w:t>
      </w:r>
      <w:r w:rsidRPr="00370E70">
        <w:fldChar w:fldCharType="end"/>
      </w:r>
      <w:r w:rsidRPr="00370E70">
        <w:rPr>
          <w:color w:val="000000"/>
          <w:szCs w:val="22"/>
        </w:rPr>
        <w:t xml:space="preserve">). As of April 2012, no seagrass plants had recruited within the area of the monitoring site, however several patches had established in the south eastern part of the bay, approximately 700m from the sites.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the remaining isolated plants in late 2011 continued to decline through early 2012 (</w:t>
      </w:r>
      <w:r w:rsidRPr="00370E70">
        <w:rPr>
          <w:color w:val="000000"/>
          <w:szCs w:val="22"/>
        </w:rPr>
        <w:fldChar w:fldCharType="begin"/>
      </w:r>
      <w:r w:rsidRPr="00370E70">
        <w:rPr>
          <w:color w:val="000000"/>
          <w:szCs w:val="22"/>
        </w:rPr>
        <w:instrText xml:space="preserve"> REF _Ref211837465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Table </w:t>
      </w:r>
      <w:r w:rsidR="005B5FD6">
        <w:rPr>
          <w:noProof/>
        </w:rPr>
        <w:t>20</w:t>
      </w:r>
      <w:r w:rsidRPr="00370E70">
        <w:rPr>
          <w:color w:val="000000"/>
          <w:szCs w:val="22"/>
        </w:rPr>
        <w:fldChar w:fldCharType="end"/>
      </w:r>
      <w:r w:rsidRPr="00370E70">
        <w:rPr>
          <w:color w:val="000000"/>
          <w:szCs w:val="22"/>
        </w:rPr>
        <w:t xml:space="preserve">, </w:t>
      </w:r>
      <w:r w:rsidRPr="00370E70">
        <w:fldChar w:fldCharType="begin"/>
      </w:r>
      <w:r w:rsidRPr="00370E70">
        <w:instrText xml:space="preserve"> REF _Ref179515389 \h  \* MERGEFORMAT </w:instrText>
      </w:r>
      <w:r w:rsidRPr="00370E70">
        <w:fldChar w:fldCharType="separate"/>
      </w:r>
      <w:r w:rsidR="005B5FD6" w:rsidRPr="005B5FD6">
        <w:rPr>
          <w:szCs w:val="22"/>
        </w:rPr>
        <w:t xml:space="preserve">Figure </w:t>
      </w:r>
      <w:r w:rsidR="005B5FD6">
        <w:rPr>
          <w:noProof/>
          <w:color w:val="000000"/>
          <w:szCs w:val="22"/>
        </w:rPr>
        <w:t>57</w:t>
      </w:r>
      <w:r w:rsidRPr="00370E70">
        <w:fldChar w:fldCharType="end"/>
      </w:r>
      <w:r w:rsidRPr="00370E70">
        <w:rPr>
          <w:color w:val="000000"/>
          <w:szCs w:val="22"/>
        </w:rPr>
        <w:t>).</w:t>
      </w:r>
    </w:p>
    <w:p w:rsidR="006B1B14" w:rsidRDefault="006B1B14" w:rsidP="00034AD4">
      <w:pPr>
        <w:rPr>
          <w:color w:val="000000"/>
          <w:szCs w:val="22"/>
        </w:rPr>
      </w:pPr>
    </w:p>
    <w:p w:rsidR="006B1B14" w:rsidRPr="00370E70" w:rsidRDefault="006B1B14" w:rsidP="00034AD4">
      <w:pPr>
        <w:rPr>
          <w:color w:val="000000"/>
          <w:szCs w:val="22"/>
        </w:rPr>
      </w:pPr>
    </w:p>
    <w:p w:rsidR="00AA19A4" w:rsidRPr="00370E70" w:rsidRDefault="005132EF" w:rsidP="00AA19A4">
      <w:pPr>
        <w:pStyle w:val="Caption"/>
        <w:jc w:val="center"/>
        <w:rPr>
          <w:i/>
          <w:vanish/>
          <w:lang w:val="en-AU"/>
          <w:specVanish/>
        </w:rPr>
      </w:pPr>
      <w:bookmarkStart w:id="329" w:name="_Ref211837465"/>
      <w:bookmarkStart w:id="330" w:name="_Toc384196556"/>
      <w:bookmarkStart w:id="331" w:name="_Toc176158943"/>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20</w:t>
      </w:r>
      <w:r w:rsidRPr="00370E70">
        <w:rPr>
          <w:lang w:val="en-AU"/>
        </w:rPr>
        <w:fldChar w:fldCharType="end"/>
      </w:r>
      <w:bookmarkEnd w:id="329"/>
      <w:r w:rsidRPr="00370E70">
        <w:rPr>
          <w:rStyle w:val="StyleCaptionCaptionCharCharLatinCalibri11ptBlackChar"/>
          <w:lang w:val="en-AU"/>
        </w:rPr>
        <w:t xml:space="preserve">. </w:t>
      </w:r>
      <w:r w:rsidRPr="00370E70">
        <w:rPr>
          <w:i/>
          <w:lang w:val="en-AU"/>
        </w:rPr>
        <w:t>Area (ha) of seagrass meadow within 100m radius of each intertidal site.</w:t>
      </w:r>
      <w:bookmarkEnd w:id="330"/>
      <w:r w:rsidR="00121A05" w:rsidRPr="00370E70">
        <w:rPr>
          <w:i/>
          <w:vanish/>
          <w:color w:val="000000"/>
          <w:szCs w:val="22"/>
          <w:lang w:val="en-AU"/>
          <w:specVanish/>
        </w:rPr>
        <w:t xml:space="preserve"> </w:t>
      </w:r>
      <w:r w:rsidRPr="00370E70">
        <w:rPr>
          <w:i/>
          <w:lang w:val="en-AU"/>
        </w:rPr>
        <w:t xml:space="preserve"> </w:t>
      </w:r>
    </w:p>
    <w:p w:rsidR="00AA19A4" w:rsidRPr="00370E70" w:rsidRDefault="005132EF" w:rsidP="00AA19A4">
      <w:pPr>
        <w:pStyle w:val="Caption"/>
        <w:jc w:val="center"/>
        <w:rPr>
          <w:lang w:val="en-AU"/>
        </w:rPr>
      </w:pPr>
      <w:r w:rsidRPr="00370E70">
        <w:rPr>
          <w:i/>
          <w:lang w:val="en-AU"/>
        </w:rPr>
        <w:t>Value in parenthesis is % change from baseline and description of change from previous mapping. Shading indicates decrease in meadow area since baseline. NA=no data available as site not established.</w:t>
      </w:r>
      <w:bookmarkEnd w:id="331"/>
      <w:r w:rsidR="00121A05" w:rsidRPr="00370E70">
        <w:rPr>
          <w:i/>
          <w:lang w:val="en-AU"/>
        </w:rPr>
        <w:t xml:space="preserve"> </w:t>
      </w:r>
    </w:p>
    <w:tbl>
      <w:tblPr>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3"/>
        <w:gridCol w:w="1037"/>
        <w:gridCol w:w="1036"/>
        <w:gridCol w:w="1036"/>
        <w:gridCol w:w="1036"/>
        <w:gridCol w:w="1036"/>
        <w:gridCol w:w="1036"/>
        <w:gridCol w:w="1036"/>
        <w:gridCol w:w="1036"/>
      </w:tblGrid>
      <w:tr w:rsidR="005132EF" w:rsidRPr="00370E70" w:rsidTr="0034367D">
        <w:trPr>
          <w:trHeight w:val="284"/>
        </w:trPr>
        <w:tc>
          <w:tcPr>
            <w:tcW w:w="1233" w:type="dxa"/>
            <w:tcBorders>
              <w:top w:val="nil"/>
              <w:left w:val="nil"/>
            </w:tcBorders>
            <w:vAlign w:val="center"/>
          </w:tcPr>
          <w:p w:rsidR="005132EF" w:rsidRPr="00370E70" w:rsidRDefault="005132EF" w:rsidP="0034367D">
            <w:pPr>
              <w:spacing w:before="0" w:after="0"/>
              <w:rPr>
                <w:b/>
                <w:color w:val="000000"/>
              </w:rPr>
            </w:pPr>
          </w:p>
        </w:tc>
        <w:tc>
          <w:tcPr>
            <w:tcW w:w="2073" w:type="dxa"/>
            <w:gridSpan w:val="2"/>
            <w:vAlign w:val="center"/>
          </w:tcPr>
          <w:p w:rsidR="005132EF" w:rsidRPr="00370E70" w:rsidRDefault="005132EF" w:rsidP="0034367D">
            <w:pPr>
              <w:spacing w:before="0" w:after="0"/>
              <w:jc w:val="center"/>
              <w:rPr>
                <w:b/>
                <w:color w:val="000000"/>
              </w:rPr>
            </w:pPr>
            <w:r w:rsidRPr="00370E70">
              <w:rPr>
                <w:b/>
                <w:color w:val="000000"/>
                <w:szCs w:val="22"/>
              </w:rPr>
              <w:t>Yule Pt</w:t>
            </w:r>
          </w:p>
        </w:tc>
        <w:tc>
          <w:tcPr>
            <w:tcW w:w="2072" w:type="dxa"/>
            <w:gridSpan w:val="2"/>
            <w:vAlign w:val="center"/>
          </w:tcPr>
          <w:p w:rsidR="005132EF" w:rsidRPr="00370E70" w:rsidRDefault="005132EF" w:rsidP="0034367D">
            <w:pPr>
              <w:spacing w:before="0" w:after="0"/>
              <w:jc w:val="center"/>
              <w:rPr>
                <w:b/>
                <w:color w:val="000000"/>
              </w:rPr>
            </w:pPr>
            <w:smartTag w:uri="urn:schemas-microsoft-com:office:smarttags" w:element="place">
              <w:smartTag w:uri="urn:schemas-microsoft-com:office:smarttags" w:element="PlaceName">
                <w:r w:rsidRPr="00370E70">
                  <w:rPr>
                    <w:b/>
                    <w:color w:val="000000"/>
                    <w:szCs w:val="22"/>
                  </w:rPr>
                  <w:t>Green</w:t>
                </w:r>
              </w:smartTag>
              <w:r w:rsidRPr="00370E70">
                <w:rPr>
                  <w:b/>
                  <w:color w:val="000000"/>
                  <w:szCs w:val="22"/>
                </w:rPr>
                <w:t xml:space="preserve"> </w:t>
              </w:r>
              <w:smartTag w:uri="urn:schemas-microsoft-com:office:smarttags" w:element="PlaceType">
                <w:r w:rsidRPr="00370E70">
                  <w:rPr>
                    <w:b/>
                    <w:color w:val="000000"/>
                    <w:szCs w:val="22"/>
                  </w:rPr>
                  <w:t>Island</w:t>
                </w:r>
              </w:smartTag>
            </w:smartTag>
          </w:p>
        </w:tc>
        <w:tc>
          <w:tcPr>
            <w:tcW w:w="2072" w:type="dxa"/>
            <w:gridSpan w:val="2"/>
            <w:vAlign w:val="center"/>
          </w:tcPr>
          <w:p w:rsidR="005132EF" w:rsidRPr="00370E70" w:rsidRDefault="005132EF" w:rsidP="0034367D">
            <w:pPr>
              <w:spacing w:before="0" w:after="0"/>
              <w:jc w:val="center"/>
              <w:rPr>
                <w:b/>
                <w:color w:val="000000"/>
              </w:rPr>
            </w:pPr>
            <w:smartTag w:uri="urn:schemas-microsoft-com:office:smarttags" w:element="place">
              <w:smartTag w:uri="urn:schemas-microsoft-com:office:smarttags" w:element="PlaceName">
                <w:r w:rsidRPr="00370E70">
                  <w:rPr>
                    <w:b/>
                    <w:color w:val="000000"/>
                    <w:szCs w:val="22"/>
                  </w:rPr>
                  <w:t>Lugger</w:t>
                </w:r>
              </w:smartTag>
              <w:r w:rsidRPr="00370E70">
                <w:rPr>
                  <w:b/>
                  <w:color w:val="000000"/>
                  <w:szCs w:val="22"/>
                </w:rPr>
                <w:t xml:space="preserve"> </w:t>
              </w:r>
              <w:smartTag w:uri="urn:schemas-microsoft-com:office:smarttags" w:element="PlaceType">
                <w:r w:rsidRPr="00370E70">
                  <w:rPr>
                    <w:b/>
                    <w:color w:val="000000"/>
                    <w:szCs w:val="22"/>
                  </w:rPr>
                  <w:t>Bay</w:t>
                </w:r>
              </w:smartTag>
            </w:smartTag>
          </w:p>
        </w:tc>
        <w:tc>
          <w:tcPr>
            <w:tcW w:w="2072" w:type="dxa"/>
            <w:gridSpan w:val="2"/>
            <w:vAlign w:val="center"/>
          </w:tcPr>
          <w:p w:rsidR="005132EF" w:rsidRPr="00370E70" w:rsidRDefault="005132EF" w:rsidP="0034367D">
            <w:pPr>
              <w:spacing w:before="0" w:after="0"/>
              <w:jc w:val="center"/>
              <w:rPr>
                <w:b/>
                <w:color w:val="000000"/>
              </w:rPr>
            </w:pPr>
            <w:smartTag w:uri="urn:schemas-microsoft-com:office:smarttags" w:element="place">
              <w:smartTag w:uri="urn:schemas-microsoft-com:office:smarttags" w:element="PlaceName">
                <w:r w:rsidRPr="00370E70">
                  <w:rPr>
                    <w:b/>
                    <w:color w:val="000000"/>
                    <w:szCs w:val="22"/>
                  </w:rPr>
                  <w:t>Dunk</w:t>
                </w:r>
              </w:smartTag>
              <w:r w:rsidRPr="00370E70">
                <w:rPr>
                  <w:b/>
                  <w:color w:val="000000"/>
                  <w:szCs w:val="22"/>
                </w:rPr>
                <w:t xml:space="preserve"> </w:t>
              </w:r>
              <w:smartTag w:uri="urn:schemas-microsoft-com:office:smarttags" w:element="PlaceType">
                <w:r w:rsidRPr="00370E70">
                  <w:rPr>
                    <w:b/>
                    <w:color w:val="000000"/>
                    <w:szCs w:val="22"/>
                  </w:rPr>
                  <w:t>Island</w:t>
                </w:r>
              </w:smartTag>
            </w:smartTag>
          </w:p>
        </w:tc>
      </w:tr>
      <w:tr w:rsidR="005132EF" w:rsidRPr="00370E70" w:rsidTr="00C868F3">
        <w:trPr>
          <w:trHeight w:val="230"/>
        </w:trPr>
        <w:tc>
          <w:tcPr>
            <w:tcW w:w="1233" w:type="dxa"/>
            <w:vAlign w:val="center"/>
          </w:tcPr>
          <w:p w:rsidR="005132EF" w:rsidRPr="00370E70" w:rsidRDefault="005132EF" w:rsidP="00034AD4">
            <w:pPr>
              <w:spacing w:before="0" w:after="0"/>
              <w:rPr>
                <w:b/>
                <w:color w:val="000000"/>
              </w:rPr>
            </w:pPr>
          </w:p>
        </w:tc>
        <w:tc>
          <w:tcPr>
            <w:tcW w:w="1037" w:type="dxa"/>
            <w:vAlign w:val="center"/>
          </w:tcPr>
          <w:p w:rsidR="005132EF" w:rsidRPr="00370E70" w:rsidRDefault="005132EF" w:rsidP="00034AD4">
            <w:pPr>
              <w:spacing w:before="0" w:after="0"/>
              <w:jc w:val="center"/>
              <w:rPr>
                <w:b/>
                <w:color w:val="000000"/>
              </w:rPr>
            </w:pPr>
            <w:r w:rsidRPr="00370E70">
              <w:rPr>
                <w:b/>
                <w:color w:val="000000"/>
                <w:szCs w:val="22"/>
              </w:rPr>
              <w:t>YP1</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YP2</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GI1</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GI2</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LB1</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LB2</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DI1</w:t>
            </w:r>
          </w:p>
        </w:tc>
        <w:tc>
          <w:tcPr>
            <w:tcW w:w="1036" w:type="dxa"/>
            <w:vAlign w:val="center"/>
          </w:tcPr>
          <w:p w:rsidR="005132EF" w:rsidRPr="00370E70" w:rsidRDefault="005132EF" w:rsidP="00034AD4">
            <w:pPr>
              <w:spacing w:before="0" w:after="0"/>
              <w:jc w:val="center"/>
              <w:rPr>
                <w:b/>
                <w:color w:val="000000"/>
              </w:rPr>
            </w:pPr>
            <w:r w:rsidRPr="00370E70">
              <w:rPr>
                <w:b/>
                <w:color w:val="000000"/>
                <w:szCs w:val="22"/>
              </w:rPr>
              <w:t>DI2</w:t>
            </w:r>
          </w:p>
        </w:tc>
      </w:tr>
      <w:tr w:rsidR="005132EF" w:rsidRPr="00370E70">
        <w:tc>
          <w:tcPr>
            <w:tcW w:w="1233" w:type="dxa"/>
            <w:vAlign w:val="center"/>
          </w:tcPr>
          <w:p w:rsidR="0034367D" w:rsidRPr="00370E70" w:rsidRDefault="005132EF" w:rsidP="001C33E7">
            <w:pPr>
              <w:spacing w:before="0" w:after="0"/>
              <w:jc w:val="center"/>
              <w:rPr>
                <w:b/>
                <w:color w:val="000000"/>
                <w:sz w:val="20"/>
                <w:szCs w:val="20"/>
              </w:rPr>
            </w:pPr>
            <w:r w:rsidRPr="00370E70">
              <w:rPr>
                <w:b/>
                <w:color w:val="000000"/>
                <w:sz w:val="20"/>
                <w:szCs w:val="20"/>
              </w:rPr>
              <w:t>October 2005</w:t>
            </w:r>
          </w:p>
          <w:p w:rsidR="005132EF" w:rsidRPr="00370E70" w:rsidRDefault="005132EF" w:rsidP="001C33E7">
            <w:pPr>
              <w:spacing w:before="0" w:after="0"/>
              <w:jc w:val="center"/>
              <w:rPr>
                <w:color w:val="000000"/>
              </w:rPr>
            </w:pPr>
            <w:r w:rsidRPr="00370E70">
              <w:rPr>
                <w:color w:val="000000"/>
                <w:sz w:val="20"/>
                <w:szCs w:val="20"/>
              </w:rPr>
              <w:t>(baseline)</w:t>
            </w:r>
          </w:p>
        </w:tc>
        <w:tc>
          <w:tcPr>
            <w:tcW w:w="1037" w:type="dxa"/>
            <w:vAlign w:val="center"/>
          </w:tcPr>
          <w:p w:rsidR="005132EF" w:rsidRPr="00370E70" w:rsidRDefault="005132EF" w:rsidP="00034AD4">
            <w:pPr>
              <w:jc w:val="center"/>
              <w:rPr>
                <w:b/>
                <w:color w:val="000000"/>
              </w:rPr>
            </w:pPr>
            <w:r w:rsidRPr="00370E70">
              <w:rPr>
                <w:rFonts w:cs="Arial"/>
                <w:b/>
                <w:color w:val="000000"/>
              </w:rPr>
              <w:t>1.326</w:t>
            </w:r>
          </w:p>
        </w:tc>
        <w:tc>
          <w:tcPr>
            <w:tcW w:w="1036" w:type="dxa"/>
            <w:vAlign w:val="center"/>
          </w:tcPr>
          <w:p w:rsidR="005132EF" w:rsidRPr="00370E70" w:rsidRDefault="005132EF" w:rsidP="00034AD4">
            <w:pPr>
              <w:jc w:val="center"/>
              <w:rPr>
                <w:color w:val="000000"/>
              </w:rPr>
            </w:pPr>
            <w:r w:rsidRPr="00370E70">
              <w:rPr>
                <w:rFonts w:cs="Arial"/>
                <w:b/>
                <w:color w:val="000000"/>
              </w:rPr>
              <w:t>3.596</w:t>
            </w:r>
          </w:p>
        </w:tc>
        <w:tc>
          <w:tcPr>
            <w:tcW w:w="1036" w:type="dxa"/>
            <w:vAlign w:val="center"/>
          </w:tcPr>
          <w:p w:rsidR="005132EF" w:rsidRPr="00370E70" w:rsidRDefault="005132EF" w:rsidP="00034AD4">
            <w:pPr>
              <w:jc w:val="center"/>
              <w:rPr>
                <w:color w:val="000000"/>
              </w:rPr>
            </w:pPr>
            <w:r w:rsidRPr="00370E70">
              <w:rPr>
                <w:rFonts w:cs="Arial"/>
                <w:b/>
                <w:color w:val="000000"/>
              </w:rPr>
              <w:t>5.257</w:t>
            </w:r>
          </w:p>
        </w:tc>
        <w:tc>
          <w:tcPr>
            <w:tcW w:w="1036" w:type="dxa"/>
            <w:vAlign w:val="center"/>
          </w:tcPr>
          <w:p w:rsidR="005132EF" w:rsidRPr="00370E70" w:rsidRDefault="005132EF" w:rsidP="00034AD4">
            <w:pPr>
              <w:spacing w:before="0" w:after="0"/>
              <w:ind w:left="-692" w:firstLine="692"/>
              <w:jc w:val="center"/>
              <w:rPr>
                <w:rFonts w:cs="Arial"/>
                <w:b/>
                <w:color w:val="000000"/>
              </w:rPr>
            </w:pPr>
            <w:r w:rsidRPr="00370E70">
              <w:rPr>
                <w:rFonts w:cs="Arial"/>
                <w:b/>
                <w:color w:val="000000"/>
              </w:rPr>
              <w:t>4.632</w:t>
            </w:r>
          </w:p>
        </w:tc>
        <w:tc>
          <w:tcPr>
            <w:tcW w:w="1036" w:type="dxa"/>
            <w:vAlign w:val="center"/>
          </w:tcPr>
          <w:p w:rsidR="005132EF" w:rsidRPr="00370E70" w:rsidRDefault="005132EF" w:rsidP="00034AD4">
            <w:pPr>
              <w:jc w:val="center"/>
              <w:rPr>
                <w:color w:val="000000"/>
              </w:rPr>
            </w:pPr>
            <w:r w:rsidRPr="00370E70">
              <w:rPr>
                <w:rFonts w:cs="Arial"/>
                <w:b/>
                <w:color w:val="000000"/>
              </w:rPr>
              <w:t>1.675</w:t>
            </w:r>
          </w:p>
        </w:tc>
        <w:tc>
          <w:tcPr>
            <w:tcW w:w="1036" w:type="dxa"/>
            <w:vAlign w:val="center"/>
          </w:tcPr>
          <w:p w:rsidR="005132EF" w:rsidRPr="00370E70" w:rsidRDefault="005132EF" w:rsidP="00034AD4">
            <w:pPr>
              <w:jc w:val="center"/>
              <w:rPr>
                <w:color w:val="000000"/>
              </w:rPr>
            </w:pPr>
            <w:r w:rsidRPr="00370E70">
              <w:rPr>
                <w:rFonts w:cs="Arial"/>
                <w:b/>
                <w:color w:val="000000"/>
              </w:rPr>
              <w:t>1.801</w:t>
            </w:r>
          </w:p>
        </w:tc>
        <w:tc>
          <w:tcPr>
            <w:tcW w:w="1036" w:type="dxa"/>
            <w:vAlign w:val="center"/>
          </w:tcPr>
          <w:p w:rsidR="005132EF" w:rsidRPr="00370E70" w:rsidRDefault="005132EF" w:rsidP="00034AD4">
            <w:pPr>
              <w:spacing w:before="0" w:after="0"/>
              <w:ind w:left="-14" w:firstLine="14"/>
              <w:jc w:val="center"/>
              <w:rPr>
                <w:rFonts w:cs="Arial"/>
                <w:i/>
                <w:color w:val="000000"/>
                <w:sz w:val="20"/>
                <w:szCs w:val="20"/>
              </w:rPr>
            </w:pPr>
            <w:r w:rsidRPr="00370E70">
              <w:rPr>
                <w:rFonts w:cs="Arial"/>
                <w:i/>
                <w:color w:val="000000"/>
                <w:sz w:val="20"/>
                <w:szCs w:val="20"/>
              </w:rPr>
              <w:t>NA</w:t>
            </w:r>
          </w:p>
        </w:tc>
        <w:tc>
          <w:tcPr>
            <w:tcW w:w="1036" w:type="dxa"/>
            <w:vAlign w:val="center"/>
          </w:tcPr>
          <w:p w:rsidR="005132EF" w:rsidRPr="00370E70" w:rsidRDefault="005132EF" w:rsidP="00034AD4">
            <w:pPr>
              <w:spacing w:before="0" w:after="0"/>
              <w:ind w:left="-14" w:firstLine="14"/>
              <w:jc w:val="center"/>
              <w:rPr>
                <w:rFonts w:cs="Arial"/>
                <w:i/>
                <w:color w:val="000000"/>
                <w:sz w:val="20"/>
                <w:szCs w:val="20"/>
              </w:rPr>
            </w:pPr>
            <w:r w:rsidRPr="00370E70">
              <w:rPr>
                <w:rFonts w:cs="Arial"/>
                <w:i/>
                <w:color w:val="000000"/>
                <w:sz w:val="20"/>
                <w:szCs w:val="20"/>
              </w:rPr>
              <w:t>NA</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April</w:t>
            </w:r>
          </w:p>
          <w:p w:rsidR="005132EF" w:rsidRPr="00370E70" w:rsidRDefault="005132EF" w:rsidP="00034AD4">
            <w:pPr>
              <w:spacing w:before="0" w:after="0"/>
              <w:jc w:val="center"/>
              <w:rPr>
                <w:color w:val="000000"/>
              </w:rPr>
            </w:pPr>
            <w:r w:rsidRPr="00370E70">
              <w:rPr>
                <w:b/>
                <w:color w:val="000000"/>
                <w:sz w:val="20"/>
                <w:szCs w:val="20"/>
              </w:rPr>
              <w:t>2006</w:t>
            </w:r>
          </w:p>
        </w:tc>
        <w:tc>
          <w:tcPr>
            <w:tcW w:w="1037" w:type="dxa"/>
          </w:tcPr>
          <w:p w:rsidR="005132EF" w:rsidRPr="00370E70" w:rsidRDefault="005132EF" w:rsidP="00034AD4">
            <w:pPr>
              <w:spacing w:before="0" w:after="0"/>
              <w:ind w:left="-14" w:firstLine="14"/>
              <w:jc w:val="center"/>
              <w:rPr>
                <w:rFonts w:cs="Arial"/>
                <w:color w:val="000000"/>
              </w:rPr>
            </w:pPr>
            <w:r w:rsidRPr="00370E70">
              <w:rPr>
                <w:rFonts w:cs="Arial"/>
                <w:color w:val="000000"/>
              </w:rPr>
              <w:t>1.789</w:t>
            </w:r>
          </w:p>
          <w:p w:rsidR="005132EF" w:rsidRPr="00370E70" w:rsidRDefault="005132EF" w:rsidP="00034AD4">
            <w:pPr>
              <w:spacing w:before="0" w:after="0"/>
              <w:jc w:val="center"/>
              <w:rPr>
                <w:color w:val="000000"/>
              </w:rPr>
            </w:pPr>
            <w:r w:rsidRPr="00370E70">
              <w:rPr>
                <w:rFonts w:cs="Arial"/>
                <w:i/>
                <w:color w:val="000000"/>
                <w:sz w:val="16"/>
                <w:szCs w:val="16"/>
              </w:rPr>
              <w:t>(34.9% increase shoreward)</w:t>
            </w:r>
          </w:p>
        </w:tc>
        <w:tc>
          <w:tcPr>
            <w:tcW w:w="1036" w:type="dxa"/>
          </w:tcPr>
          <w:p w:rsidR="005132EF" w:rsidRPr="00370E70" w:rsidRDefault="005132EF" w:rsidP="00034AD4">
            <w:pPr>
              <w:spacing w:before="0" w:after="0"/>
              <w:ind w:left="-14" w:firstLine="14"/>
              <w:jc w:val="center"/>
              <w:rPr>
                <w:rFonts w:cs="Arial"/>
                <w:color w:val="000000"/>
              </w:rPr>
            </w:pPr>
            <w:r w:rsidRPr="00370E70">
              <w:rPr>
                <w:rFonts w:cs="Arial"/>
                <w:color w:val="000000"/>
              </w:rPr>
              <w:t>4.120</w:t>
            </w:r>
          </w:p>
          <w:p w:rsidR="005132EF" w:rsidRPr="00370E70" w:rsidRDefault="005132EF" w:rsidP="00034AD4">
            <w:pPr>
              <w:spacing w:before="0" w:after="0"/>
              <w:jc w:val="center"/>
              <w:rPr>
                <w:color w:val="000000"/>
              </w:rPr>
            </w:pPr>
            <w:r w:rsidRPr="00370E70">
              <w:rPr>
                <w:rFonts w:cs="Arial"/>
                <w:i/>
                <w:color w:val="000000"/>
                <w:sz w:val="16"/>
                <w:szCs w:val="16"/>
              </w:rPr>
              <w:t>(14.6% increase shoreward)</w:t>
            </w:r>
          </w:p>
        </w:tc>
        <w:tc>
          <w:tcPr>
            <w:tcW w:w="1036" w:type="dxa"/>
          </w:tcPr>
          <w:p w:rsidR="005132EF" w:rsidRPr="00370E70" w:rsidRDefault="005132EF" w:rsidP="00034AD4">
            <w:pPr>
              <w:spacing w:before="0" w:after="0"/>
              <w:ind w:left="-692" w:firstLine="692"/>
              <w:jc w:val="center"/>
              <w:rPr>
                <w:rFonts w:cs="Arial"/>
                <w:color w:val="000000"/>
              </w:rPr>
            </w:pPr>
            <w:r w:rsidRPr="00370E70">
              <w:rPr>
                <w:rFonts w:cs="Arial"/>
                <w:color w:val="000000"/>
              </w:rPr>
              <w:t>5.319</w:t>
            </w:r>
          </w:p>
          <w:p w:rsidR="005132EF" w:rsidRPr="00370E70" w:rsidRDefault="005132EF" w:rsidP="00034AD4">
            <w:pPr>
              <w:spacing w:before="0" w:after="0"/>
              <w:jc w:val="center"/>
              <w:rPr>
                <w:color w:val="000000"/>
              </w:rPr>
            </w:pPr>
            <w:r w:rsidRPr="00370E70">
              <w:rPr>
                <w:rFonts w:cs="Arial"/>
                <w:i/>
                <w:color w:val="000000"/>
                <w:sz w:val="16"/>
                <w:szCs w:val="16"/>
              </w:rPr>
              <w:t>(1.2%, increase shoreward)</w:t>
            </w:r>
          </w:p>
        </w:tc>
        <w:tc>
          <w:tcPr>
            <w:tcW w:w="1036" w:type="dxa"/>
          </w:tcPr>
          <w:p w:rsidR="005132EF" w:rsidRPr="00370E70" w:rsidRDefault="005132EF" w:rsidP="00034AD4">
            <w:pPr>
              <w:spacing w:before="0" w:after="0"/>
              <w:ind w:left="-14" w:firstLine="14"/>
              <w:jc w:val="center"/>
              <w:rPr>
                <w:rFonts w:cs="Arial"/>
                <w:color w:val="000000"/>
              </w:rPr>
            </w:pPr>
            <w:r w:rsidRPr="00370E70">
              <w:rPr>
                <w:rFonts w:cs="Arial"/>
                <w:color w:val="000000"/>
              </w:rPr>
              <w:t>4.647</w:t>
            </w:r>
          </w:p>
          <w:p w:rsidR="005132EF" w:rsidRPr="00370E70" w:rsidRDefault="005132EF" w:rsidP="00034AD4">
            <w:pPr>
              <w:spacing w:before="0" w:after="0"/>
              <w:ind w:left="-14" w:firstLine="14"/>
              <w:jc w:val="center"/>
              <w:rPr>
                <w:rFonts w:cs="Arial"/>
                <w:i/>
                <w:color w:val="000000"/>
                <w:sz w:val="16"/>
                <w:szCs w:val="16"/>
              </w:rPr>
            </w:pPr>
            <w:r w:rsidRPr="00370E70">
              <w:rPr>
                <w:rFonts w:cs="Arial"/>
                <w:i/>
                <w:color w:val="000000"/>
                <w:sz w:val="16"/>
                <w:szCs w:val="16"/>
              </w:rPr>
              <w:t>(0.3%, negligible)</w:t>
            </w:r>
          </w:p>
        </w:tc>
        <w:tc>
          <w:tcPr>
            <w:tcW w:w="1036" w:type="dxa"/>
            <w:shd w:val="clear" w:color="auto" w:fill="E6E6E6"/>
          </w:tcPr>
          <w:p w:rsidR="005132EF" w:rsidRPr="00370E70" w:rsidRDefault="005132EF" w:rsidP="00034AD4">
            <w:pPr>
              <w:spacing w:before="0" w:after="0"/>
              <w:ind w:left="-14" w:firstLine="14"/>
              <w:jc w:val="center"/>
              <w:rPr>
                <w:rFonts w:cs="Arial"/>
                <w:color w:val="000000"/>
              </w:rPr>
            </w:pPr>
            <w:r w:rsidRPr="00370E70">
              <w:rPr>
                <w:rFonts w:cs="Arial"/>
                <w:color w:val="000000"/>
              </w:rPr>
              <w:t>1.085</w:t>
            </w:r>
          </w:p>
          <w:p w:rsidR="005132EF" w:rsidRPr="00370E70" w:rsidRDefault="005132EF" w:rsidP="00034AD4">
            <w:pPr>
              <w:spacing w:before="0" w:after="0"/>
              <w:ind w:left="-14" w:firstLine="14"/>
              <w:jc w:val="center"/>
              <w:rPr>
                <w:rFonts w:cs="Arial"/>
                <w:color w:val="000000"/>
                <w:sz w:val="20"/>
                <w:szCs w:val="20"/>
              </w:rPr>
            </w:pPr>
            <w:r w:rsidRPr="00370E70">
              <w:rPr>
                <w:rFonts w:cs="Arial"/>
                <w:i/>
                <w:color w:val="000000"/>
                <w:sz w:val="16"/>
                <w:szCs w:val="16"/>
              </w:rPr>
              <w:t>(-35.2%, decrease landward)</w:t>
            </w:r>
          </w:p>
        </w:tc>
        <w:tc>
          <w:tcPr>
            <w:tcW w:w="1036" w:type="dxa"/>
            <w:shd w:val="clear" w:color="auto" w:fill="E6E6E6"/>
          </w:tcPr>
          <w:p w:rsidR="005132EF" w:rsidRPr="00370E70" w:rsidRDefault="005132EF" w:rsidP="00034AD4">
            <w:pPr>
              <w:spacing w:before="0" w:after="0"/>
              <w:ind w:left="-14" w:firstLine="14"/>
              <w:jc w:val="center"/>
              <w:rPr>
                <w:rFonts w:cs="Arial"/>
                <w:color w:val="000000"/>
              </w:rPr>
            </w:pPr>
            <w:r w:rsidRPr="00370E70">
              <w:rPr>
                <w:rFonts w:cs="Arial"/>
                <w:color w:val="000000"/>
              </w:rPr>
              <w:t>1.448</w:t>
            </w:r>
          </w:p>
          <w:p w:rsidR="005132EF" w:rsidRPr="00370E70" w:rsidRDefault="005132EF" w:rsidP="00034AD4">
            <w:pPr>
              <w:spacing w:before="0" w:after="0"/>
              <w:ind w:left="-14" w:firstLine="14"/>
              <w:jc w:val="center"/>
              <w:rPr>
                <w:rFonts w:cs="Arial"/>
                <w:color w:val="000000"/>
                <w:sz w:val="20"/>
                <w:szCs w:val="20"/>
              </w:rPr>
            </w:pPr>
            <w:r w:rsidRPr="00370E70">
              <w:rPr>
                <w:rFonts w:cs="Arial"/>
                <w:i/>
                <w:color w:val="000000"/>
                <w:sz w:val="16"/>
                <w:szCs w:val="16"/>
              </w:rPr>
              <w:t>(-19.6%, decrease landward)</w:t>
            </w:r>
          </w:p>
        </w:tc>
        <w:tc>
          <w:tcPr>
            <w:tcW w:w="1036" w:type="dxa"/>
          </w:tcPr>
          <w:p w:rsidR="005132EF" w:rsidRPr="00370E70" w:rsidRDefault="005132EF" w:rsidP="00034AD4">
            <w:pPr>
              <w:spacing w:before="0" w:after="0"/>
              <w:jc w:val="center"/>
              <w:rPr>
                <w:color w:val="000000"/>
              </w:rPr>
            </w:pPr>
            <w:r w:rsidRPr="00370E70">
              <w:rPr>
                <w:rFonts w:cs="Arial"/>
                <w:i/>
                <w:color w:val="000000"/>
                <w:sz w:val="20"/>
                <w:szCs w:val="20"/>
              </w:rPr>
              <w:t>NA</w:t>
            </w:r>
          </w:p>
        </w:tc>
        <w:tc>
          <w:tcPr>
            <w:tcW w:w="1036" w:type="dxa"/>
          </w:tcPr>
          <w:p w:rsidR="005132EF" w:rsidRPr="00370E70" w:rsidRDefault="005132EF" w:rsidP="00034AD4">
            <w:pPr>
              <w:spacing w:before="0" w:after="0"/>
              <w:jc w:val="center"/>
              <w:rPr>
                <w:color w:val="000000"/>
              </w:rPr>
            </w:pPr>
            <w:r w:rsidRPr="00370E70">
              <w:rPr>
                <w:rFonts w:cs="Arial"/>
                <w:i/>
                <w:color w:val="000000"/>
                <w:sz w:val="20"/>
                <w:szCs w:val="20"/>
              </w:rPr>
              <w:t>NA</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October</w:t>
            </w:r>
          </w:p>
          <w:p w:rsidR="005132EF" w:rsidRPr="00370E70" w:rsidRDefault="005132EF" w:rsidP="00034AD4">
            <w:pPr>
              <w:spacing w:before="0" w:after="0"/>
              <w:jc w:val="center"/>
              <w:rPr>
                <w:color w:val="000000"/>
              </w:rPr>
            </w:pPr>
            <w:r w:rsidRPr="00370E70">
              <w:rPr>
                <w:b/>
                <w:color w:val="000000"/>
                <w:sz w:val="20"/>
                <w:szCs w:val="20"/>
              </w:rPr>
              <w:t>2006</w:t>
            </w:r>
          </w:p>
        </w:tc>
        <w:tc>
          <w:tcPr>
            <w:tcW w:w="1037" w:type="dxa"/>
          </w:tcPr>
          <w:p w:rsidR="005132EF" w:rsidRPr="00370E70" w:rsidRDefault="005132EF" w:rsidP="00034AD4">
            <w:pPr>
              <w:spacing w:before="0" w:after="0"/>
              <w:jc w:val="center"/>
              <w:rPr>
                <w:color w:val="000000"/>
              </w:rPr>
            </w:pPr>
            <w:r w:rsidRPr="00370E70">
              <w:rPr>
                <w:color w:val="000000"/>
              </w:rPr>
              <w:t>1.768</w:t>
            </w:r>
          </w:p>
          <w:p w:rsidR="005132EF" w:rsidRPr="00370E70" w:rsidRDefault="005132EF" w:rsidP="00034AD4">
            <w:pPr>
              <w:spacing w:before="0" w:after="0"/>
              <w:jc w:val="center"/>
              <w:rPr>
                <w:color w:val="000000"/>
              </w:rPr>
            </w:pPr>
            <w:r w:rsidRPr="00370E70">
              <w:rPr>
                <w:i/>
                <w:iCs/>
                <w:color w:val="000000"/>
                <w:sz w:val="16"/>
                <w:szCs w:val="16"/>
              </w:rPr>
              <w:t>(33.3%</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color w:val="000000"/>
              </w:rPr>
            </w:pPr>
            <w:r w:rsidRPr="00370E70">
              <w:rPr>
                <w:color w:val="000000"/>
              </w:rPr>
              <w:t>3.697</w:t>
            </w:r>
          </w:p>
          <w:p w:rsidR="005132EF" w:rsidRPr="00370E70" w:rsidRDefault="005132EF" w:rsidP="00034AD4">
            <w:pPr>
              <w:spacing w:before="0" w:after="0"/>
              <w:jc w:val="center"/>
              <w:rPr>
                <w:color w:val="000000"/>
              </w:rPr>
            </w:pPr>
            <w:r w:rsidRPr="00370E70">
              <w:rPr>
                <w:i/>
                <w:iCs/>
                <w:color w:val="000000"/>
                <w:sz w:val="16"/>
                <w:szCs w:val="16"/>
              </w:rPr>
              <w:t>(2.8%</w:t>
            </w:r>
            <w:r w:rsidRPr="00370E70">
              <w:rPr>
                <w:rFonts w:cs="Arial"/>
                <w:i/>
                <w:color w:val="000000"/>
                <w:sz w:val="16"/>
                <w:szCs w:val="16"/>
              </w:rPr>
              <w:t xml:space="preserve"> decrease seaward)</w:t>
            </w:r>
          </w:p>
        </w:tc>
        <w:tc>
          <w:tcPr>
            <w:tcW w:w="1036" w:type="dxa"/>
          </w:tcPr>
          <w:p w:rsidR="005132EF" w:rsidRPr="00370E70" w:rsidRDefault="005132EF" w:rsidP="00034AD4">
            <w:pPr>
              <w:spacing w:before="0" w:after="0"/>
              <w:jc w:val="center"/>
              <w:rPr>
                <w:rFonts w:cs="Arial"/>
                <w:color w:val="000000"/>
                <w:sz w:val="20"/>
                <w:szCs w:val="20"/>
              </w:rPr>
            </w:pPr>
            <w:r w:rsidRPr="00370E70">
              <w:rPr>
                <w:color w:val="000000"/>
              </w:rPr>
              <w:t>5.266</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(0.2% decrease seaward)</w:t>
            </w:r>
          </w:p>
        </w:tc>
        <w:tc>
          <w:tcPr>
            <w:tcW w:w="1036" w:type="dxa"/>
          </w:tcPr>
          <w:p w:rsidR="005132EF" w:rsidRPr="00370E70" w:rsidRDefault="005132EF" w:rsidP="00034AD4">
            <w:pPr>
              <w:spacing w:before="0" w:after="0"/>
              <w:jc w:val="center"/>
              <w:rPr>
                <w:rFonts w:cs="Arial"/>
                <w:color w:val="000000"/>
                <w:sz w:val="20"/>
                <w:szCs w:val="20"/>
              </w:rPr>
            </w:pPr>
            <w:r w:rsidRPr="00370E70">
              <w:rPr>
                <w:color w:val="000000"/>
              </w:rPr>
              <w:t>4.674</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(0.9%,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color w:val="000000"/>
              </w:rPr>
              <w:t>0.453</w:t>
            </w:r>
          </w:p>
          <w:p w:rsidR="005132EF" w:rsidRPr="00370E70" w:rsidRDefault="005132EF" w:rsidP="00034AD4">
            <w:pPr>
              <w:spacing w:before="0" w:after="0"/>
              <w:jc w:val="center"/>
              <w:rPr>
                <w:rFonts w:cs="Arial"/>
                <w:color w:val="000000"/>
                <w:sz w:val="20"/>
                <w:szCs w:val="20"/>
              </w:rPr>
            </w:pPr>
            <w:r w:rsidRPr="00370E70">
              <w:rPr>
                <w:i/>
                <w:iCs/>
                <w:color w:val="000000"/>
                <w:sz w:val="16"/>
                <w:szCs w:val="16"/>
              </w:rPr>
              <w:t>(-73%, decrease</w:t>
            </w:r>
            <w:r w:rsidRPr="00370E70">
              <w:rPr>
                <w:rFonts w:cs="Arial"/>
                <w:i/>
                <w:color w:val="000000"/>
                <w:sz w:val="16"/>
                <w:szCs w:val="16"/>
              </w:rPr>
              <w:t xml:space="preserve"> overall</w:t>
            </w:r>
            <w:r w:rsidRPr="00370E70">
              <w:rPr>
                <w:i/>
                <w:iCs/>
                <w:color w:val="000000"/>
                <w:sz w:val="16"/>
                <w:szCs w:val="16"/>
              </w:rPr>
              <w:t>)</w:t>
            </w:r>
          </w:p>
        </w:tc>
        <w:tc>
          <w:tcPr>
            <w:tcW w:w="1036" w:type="dxa"/>
            <w:shd w:val="clear" w:color="auto" w:fill="E6E6E6"/>
          </w:tcPr>
          <w:p w:rsidR="005132EF" w:rsidRPr="00370E70" w:rsidRDefault="005132EF" w:rsidP="00034AD4">
            <w:pPr>
              <w:spacing w:before="0" w:after="0"/>
              <w:jc w:val="center"/>
              <w:rPr>
                <w:rFonts w:cs="Arial"/>
                <w:color w:val="000000"/>
                <w:sz w:val="20"/>
                <w:szCs w:val="20"/>
              </w:rPr>
            </w:pPr>
            <w:r w:rsidRPr="00370E70">
              <w:rPr>
                <w:color w:val="000000"/>
              </w:rPr>
              <w:t>0.561</w:t>
            </w:r>
          </w:p>
          <w:p w:rsidR="005132EF" w:rsidRPr="00370E70" w:rsidRDefault="005132EF" w:rsidP="00034AD4">
            <w:pPr>
              <w:spacing w:before="0" w:after="0"/>
              <w:jc w:val="center"/>
              <w:rPr>
                <w:rFonts w:cs="Arial"/>
                <w:color w:val="000000"/>
                <w:sz w:val="20"/>
                <w:szCs w:val="20"/>
              </w:rPr>
            </w:pPr>
            <w:r w:rsidRPr="00370E70">
              <w:rPr>
                <w:i/>
                <w:iCs/>
                <w:color w:val="000000"/>
                <w:sz w:val="16"/>
                <w:szCs w:val="16"/>
              </w:rPr>
              <w:t>(-68.8%, decrease</w:t>
            </w:r>
            <w:r w:rsidRPr="00370E70">
              <w:rPr>
                <w:rFonts w:cs="Arial"/>
                <w:i/>
                <w:color w:val="000000"/>
                <w:sz w:val="16"/>
                <w:szCs w:val="16"/>
              </w:rPr>
              <w:t xml:space="preserve"> overall</w:t>
            </w:r>
            <w:r w:rsidRPr="00370E70">
              <w:rPr>
                <w:i/>
                <w:iCs/>
                <w:color w:val="000000"/>
                <w:sz w:val="16"/>
                <w:szCs w:val="16"/>
              </w:rPr>
              <w:t xml:space="preserve"> )</w:t>
            </w:r>
          </w:p>
        </w:tc>
        <w:tc>
          <w:tcPr>
            <w:tcW w:w="1036" w:type="dxa"/>
          </w:tcPr>
          <w:p w:rsidR="005132EF" w:rsidRPr="00370E70" w:rsidRDefault="005132EF" w:rsidP="00034AD4">
            <w:pPr>
              <w:spacing w:before="0" w:after="0"/>
              <w:jc w:val="center"/>
              <w:rPr>
                <w:color w:val="000000"/>
              </w:rPr>
            </w:pPr>
            <w:r w:rsidRPr="00370E70">
              <w:rPr>
                <w:rFonts w:cs="Arial"/>
                <w:i/>
                <w:color w:val="000000"/>
                <w:sz w:val="20"/>
                <w:szCs w:val="20"/>
              </w:rPr>
              <w:t>NA</w:t>
            </w:r>
          </w:p>
        </w:tc>
        <w:tc>
          <w:tcPr>
            <w:tcW w:w="1036" w:type="dxa"/>
          </w:tcPr>
          <w:p w:rsidR="005132EF" w:rsidRPr="00370E70" w:rsidRDefault="005132EF" w:rsidP="00034AD4">
            <w:pPr>
              <w:spacing w:before="0" w:after="0"/>
              <w:jc w:val="center"/>
              <w:rPr>
                <w:color w:val="000000"/>
              </w:rPr>
            </w:pPr>
            <w:r w:rsidRPr="00370E70">
              <w:rPr>
                <w:rFonts w:cs="Arial"/>
                <w:i/>
                <w:color w:val="000000"/>
                <w:sz w:val="20"/>
                <w:szCs w:val="20"/>
              </w:rPr>
              <w:t>NA</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April</w:t>
            </w:r>
          </w:p>
          <w:p w:rsidR="005132EF" w:rsidRPr="00370E70" w:rsidRDefault="005132EF" w:rsidP="00034AD4">
            <w:pPr>
              <w:spacing w:before="0" w:after="0"/>
              <w:jc w:val="center"/>
              <w:rPr>
                <w:color w:val="000000"/>
              </w:rPr>
            </w:pPr>
            <w:r w:rsidRPr="00370E70">
              <w:rPr>
                <w:b/>
                <w:color w:val="000000"/>
                <w:sz w:val="20"/>
                <w:szCs w:val="20"/>
              </w:rPr>
              <w:t>2007</w:t>
            </w:r>
          </w:p>
        </w:tc>
        <w:tc>
          <w:tcPr>
            <w:tcW w:w="1037" w:type="dxa"/>
          </w:tcPr>
          <w:p w:rsidR="005132EF" w:rsidRPr="00370E70" w:rsidRDefault="005132EF" w:rsidP="00034AD4">
            <w:pPr>
              <w:spacing w:before="0" w:after="0"/>
              <w:jc w:val="center"/>
              <w:rPr>
                <w:color w:val="000000"/>
              </w:rPr>
            </w:pPr>
            <w:r w:rsidRPr="00370E70">
              <w:rPr>
                <w:color w:val="000000"/>
              </w:rPr>
              <w:t>2.452</w:t>
            </w:r>
          </w:p>
          <w:p w:rsidR="005132EF" w:rsidRPr="00370E70" w:rsidRDefault="005132EF" w:rsidP="00034AD4">
            <w:pPr>
              <w:spacing w:before="0" w:after="0"/>
              <w:jc w:val="center"/>
              <w:rPr>
                <w:color w:val="000000"/>
              </w:rPr>
            </w:pPr>
            <w:r w:rsidRPr="00370E70">
              <w:rPr>
                <w:i/>
                <w:iCs/>
                <w:color w:val="000000"/>
                <w:sz w:val="16"/>
                <w:szCs w:val="16"/>
              </w:rPr>
              <w:t>(84.9%</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color w:val="000000"/>
              </w:rPr>
            </w:pPr>
            <w:r w:rsidRPr="00370E70">
              <w:rPr>
                <w:color w:val="000000"/>
              </w:rPr>
              <w:t>3.735</w:t>
            </w:r>
          </w:p>
          <w:p w:rsidR="005132EF" w:rsidRPr="00370E70" w:rsidRDefault="005132EF" w:rsidP="00034AD4">
            <w:pPr>
              <w:spacing w:before="0" w:after="0"/>
              <w:jc w:val="center"/>
              <w:rPr>
                <w:color w:val="000000"/>
              </w:rPr>
            </w:pPr>
            <w:r w:rsidRPr="00370E70">
              <w:rPr>
                <w:i/>
                <w:iCs/>
                <w:color w:val="000000"/>
                <w:sz w:val="16"/>
                <w:szCs w:val="16"/>
              </w:rPr>
              <w:t xml:space="preserve">(3.9% </w:t>
            </w:r>
            <w:r w:rsidRPr="00370E70">
              <w:rPr>
                <w:rFonts w:cs="Arial"/>
                <w:i/>
                <w:color w:val="000000"/>
                <w:sz w:val="16"/>
                <w:szCs w:val="16"/>
              </w:rPr>
              <w:t>increase shoreward)</w:t>
            </w:r>
          </w:p>
        </w:tc>
        <w:tc>
          <w:tcPr>
            <w:tcW w:w="1036" w:type="dxa"/>
          </w:tcPr>
          <w:p w:rsidR="005132EF" w:rsidRPr="00370E70" w:rsidRDefault="005132EF" w:rsidP="00034AD4">
            <w:pPr>
              <w:spacing w:before="0" w:after="0"/>
              <w:jc w:val="center"/>
              <w:rPr>
                <w:rFonts w:cs="Arial"/>
                <w:color w:val="000000"/>
                <w:sz w:val="20"/>
                <w:szCs w:val="20"/>
              </w:rPr>
            </w:pPr>
            <w:r w:rsidRPr="00370E70">
              <w:rPr>
                <w:color w:val="000000"/>
              </w:rPr>
              <w:t>5.266</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(0.2%, no change)</w:t>
            </w:r>
          </w:p>
        </w:tc>
        <w:tc>
          <w:tcPr>
            <w:tcW w:w="1036" w:type="dxa"/>
            <w:shd w:val="clear" w:color="auto" w:fill="E6E6E6"/>
          </w:tcPr>
          <w:p w:rsidR="005132EF" w:rsidRPr="00370E70" w:rsidRDefault="005132EF" w:rsidP="00034AD4">
            <w:pPr>
              <w:spacing w:before="0" w:after="0"/>
              <w:jc w:val="center"/>
              <w:rPr>
                <w:rFonts w:cs="Arial"/>
                <w:color w:val="000000"/>
                <w:sz w:val="20"/>
                <w:szCs w:val="20"/>
              </w:rPr>
            </w:pPr>
            <w:r w:rsidRPr="00370E70">
              <w:rPr>
                <w:color w:val="000000"/>
              </w:rPr>
              <w:t>4.605</w:t>
            </w:r>
          </w:p>
          <w:p w:rsidR="005132EF" w:rsidRPr="00370E70" w:rsidRDefault="005132EF" w:rsidP="00034AD4">
            <w:pPr>
              <w:spacing w:before="0" w:after="0"/>
              <w:jc w:val="center"/>
              <w:rPr>
                <w:rFonts w:cs="Arial"/>
                <w:b/>
                <w:i/>
                <w:color w:val="000000"/>
                <w:sz w:val="20"/>
                <w:szCs w:val="20"/>
              </w:rPr>
            </w:pPr>
            <w:r w:rsidRPr="00370E70">
              <w:rPr>
                <w:rFonts w:cs="Arial"/>
                <w:i/>
                <w:color w:val="000000"/>
                <w:sz w:val="16"/>
                <w:szCs w:val="16"/>
              </w:rPr>
              <w:t>(-0.6%,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color w:val="000000"/>
              </w:rPr>
              <w:t>0.953</w:t>
            </w:r>
          </w:p>
          <w:p w:rsidR="005132EF" w:rsidRPr="00370E70" w:rsidRDefault="005132EF" w:rsidP="00034AD4">
            <w:pPr>
              <w:spacing w:before="0" w:after="0"/>
              <w:jc w:val="center"/>
              <w:rPr>
                <w:rFonts w:cs="Arial"/>
                <w:color w:val="000000"/>
                <w:sz w:val="20"/>
                <w:szCs w:val="20"/>
              </w:rPr>
            </w:pPr>
            <w:r w:rsidRPr="00370E70">
              <w:rPr>
                <w:i/>
                <w:iCs/>
                <w:color w:val="000000"/>
                <w:sz w:val="16"/>
                <w:szCs w:val="16"/>
              </w:rPr>
              <w:t>(-43.1%, increase</w:t>
            </w:r>
            <w:r w:rsidRPr="00370E70">
              <w:rPr>
                <w:rFonts w:cs="Arial"/>
                <w:i/>
                <w:color w:val="000000"/>
                <w:sz w:val="16"/>
                <w:szCs w:val="16"/>
              </w:rPr>
              <w:t xml:space="preserve"> overall</w:t>
            </w:r>
            <w:r w:rsidRPr="00370E70">
              <w:rPr>
                <w:i/>
                <w:iCs/>
                <w:color w:val="000000"/>
                <w:sz w:val="16"/>
                <w:szCs w:val="16"/>
              </w:rPr>
              <w:t>)</w:t>
            </w:r>
          </w:p>
        </w:tc>
        <w:tc>
          <w:tcPr>
            <w:tcW w:w="1036" w:type="dxa"/>
            <w:shd w:val="clear" w:color="auto" w:fill="E6E6E6"/>
          </w:tcPr>
          <w:p w:rsidR="005132EF" w:rsidRPr="00370E70" w:rsidRDefault="005132EF" w:rsidP="00034AD4">
            <w:pPr>
              <w:spacing w:before="0" w:after="0"/>
              <w:jc w:val="center"/>
              <w:rPr>
                <w:color w:val="000000"/>
              </w:rPr>
            </w:pPr>
            <w:r w:rsidRPr="00370E70">
              <w:rPr>
                <w:color w:val="000000"/>
              </w:rPr>
              <w:t>1.167</w:t>
            </w:r>
          </w:p>
          <w:p w:rsidR="005132EF" w:rsidRPr="00370E70" w:rsidRDefault="005132EF" w:rsidP="00034AD4">
            <w:pPr>
              <w:spacing w:before="0" w:after="0"/>
              <w:jc w:val="center"/>
              <w:rPr>
                <w:rFonts w:cs="Arial"/>
                <w:color w:val="000000"/>
              </w:rPr>
            </w:pPr>
            <w:r w:rsidRPr="00370E70">
              <w:rPr>
                <w:i/>
                <w:iCs/>
                <w:color w:val="000000"/>
                <w:sz w:val="16"/>
                <w:szCs w:val="16"/>
              </w:rPr>
              <w:t>(-35.2%, increase</w:t>
            </w:r>
            <w:r w:rsidRPr="00370E70">
              <w:rPr>
                <w:rFonts w:cs="Arial"/>
                <w:i/>
                <w:color w:val="000000"/>
                <w:sz w:val="16"/>
                <w:szCs w:val="16"/>
              </w:rPr>
              <w:t xml:space="preserve"> overall</w:t>
            </w:r>
            <w:r w:rsidRPr="00370E70">
              <w:rPr>
                <w:i/>
                <w:iCs/>
                <w:color w:val="000000"/>
                <w:sz w:val="16"/>
                <w:szCs w:val="16"/>
              </w:rPr>
              <w:t>)</w:t>
            </w:r>
          </w:p>
        </w:tc>
        <w:tc>
          <w:tcPr>
            <w:tcW w:w="1036" w:type="dxa"/>
          </w:tcPr>
          <w:p w:rsidR="005132EF" w:rsidRPr="00370E70" w:rsidRDefault="005132EF" w:rsidP="00034AD4">
            <w:pPr>
              <w:spacing w:before="0" w:after="0"/>
              <w:jc w:val="center"/>
              <w:rPr>
                <w:rFonts w:cs="Arial"/>
                <w:b/>
                <w:color w:val="000000"/>
              </w:rPr>
            </w:pPr>
            <w:r w:rsidRPr="00370E70">
              <w:rPr>
                <w:b/>
                <w:color w:val="000000"/>
              </w:rPr>
              <w:t>3.278</w:t>
            </w:r>
          </w:p>
          <w:p w:rsidR="005132EF" w:rsidRPr="00370E70" w:rsidRDefault="005132EF" w:rsidP="00034AD4">
            <w:pPr>
              <w:spacing w:before="0" w:after="0"/>
              <w:jc w:val="center"/>
              <w:rPr>
                <w:color w:val="000000"/>
              </w:rPr>
            </w:pPr>
          </w:p>
        </w:tc>
        <w:tc>
          <w:tcPr>
            <w:tcW w:w="1036" w:type="dxa"/>
          </w:tcPr>
          <w:p w:rsidR="005132EF" w:rsidRPr="00370E70" w:rsidRDefault="005132EF" w:rsidP="00034AD4">
            <w:pPr>
              <w:spacing w:before="0" w:after="0"/>
              <w:jc w:val="center"/>
              <w:rPr>
                <w:rFonts w:cs="Arial"/>
                <w:b/>
                <w:color w:val="000000"/>
              </w:rPr>
            </w:pPr>
            <w:r w:rsidRPr="00370E70">
              <w:rPr>
                <w:b/>
                <w:color w:val="000000"/>
              </w:rPr>
              <w:t>3.972</w:t>
            </w:r>
          </w:p>
          <w:p w:rsidR="005132EF" w:rsidRPr="00370E70" w:rsidRDefault="005132EF" w:rsidP="00034AD4">
            <w:pPr>
              <w:spacing w:before="0" w:after="0"/>
              <w:jc w:val="center"/>
              <w:rPr>
                <w:color w:val="000000"/>
              </w:rPr>
            </w:pP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October</w:t>
            </w:r>
          </w:p>
          <w:p w:rsidR="005132EF" w:rsidRPr="00370E70" w:rsidRDefault="005132EF" w:rsidP="00034AD4">
            <w:pPr>
              <w:spacing w:before="0" w:after="0"/>
              <w:jc w:val="center"/>
              <w:rPr>
                <w:color w:val="000000"/>
              </w:rPr>
            </w:pPr>
            <w:r w:rsidRPr="00370E70">
              <w:rPr>
                <w:b/>
                <w:color w:val="000000"/>
                <w:sz w:val="20"/>
                <w:szCs w:val="20"/>
              </w:rPr>
              <w:t>2007</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3.08</w:t>
            </w:r>
          </w:p>
          <w:p w:rsidR="005132EF" w:rsidRPr="00370E70" w:rsidRDefault="005132EF" w:rsidP="00034AD4">
            <w:pPr>
              <w:spacing w:before="0" w:after="0"/>
              <w:jc w:val="center"/>
              <w:rPr>
                <w:color w:val="000000"/>
              </w:rPr>
            </w:pPr>
            <w:r w:rsidRPr="00370E70">
              <w:rPr>
                <w:i/>
                <w:iCs/>
                <w:color w:val="000000"/>
                <w:sz w:val="16"/>
                <w:szCs w:val="16"/>
              </w:rPr>
              <w:t>(132.3%,</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4.422</w:t>
            </w:r>
          </w:p>
          <w:p w:rsidR="005132EF" w:rsidRPr="00370E70" w:rsidRDefault="005132EF" w:rsidP="00034AD4">
            <w:pPr>
              <w:spacing w:before="0" w:after="0"/>
              <w:jc w:val="center"/>
              <w:rPr>
                <w:color w:val="000000"/>
              </w:rPr>
            </w:pPr>
            <w:r w:rsidRPr="00370E70">
              <w:rPr>
                <w:i/>
                <w:iCs/>
                <w:color w:val="000000"/>
                <w:sz w:val="16"/>
                <w:szCs w:val="16"/>
              </w:rPr>
              <w:t>(23%,</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5.266</w:t>
            </w:r>
          </w:p>
          <w:p w:rsidR="005132EF" w:rsidRPr="00370E70" w:rsidRDefault="005132EF" w:rsidP="00034AD4">
            <w:pPr>
              <w:spacing w:before="0" w:after="0"/>
              <w:jc w:val="center"/>
              <w:rPr>
                <w:rFonts w:cs="Arial"/>
                <w:color w:val="000000"/>
              </w:rPr>
            </w:pPr>
            <w:r w:rsidRPr="00370E70">
              <w:rPr>
                <w:rFonts w:cs="Arial"/>
                <w:i/>
                <w:color w:val="000000"/>
                <w:sz w:val="16"/>
                <w:szCs w:val="16"/>
              </w:rPr>
              <w:t>(0.2%, no change)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4.674</w:t>
            </w:r>
          </w:p>
          <w:p w:rsidR="005132EF" w:rsidRPr="00370E70" w:rsidRDefault="005132EF" w:rsidP="00034AD4">
            <w:pPr>
              <w:spacing w:before="0" w:after="0"/>
              <w:jc w:val="center"/>
              <w:rPr>
                <w:rFonts w:cs="Arial"/>
                <w:color w:val="000000"/>
              </w:rPr>
            </w:pPr>
            <w:r w:rsidRPr="00370E70">
              <w:rPr>
                <w:rFonts w:cs="Arial"/>
                <w:i/>
                <w:color w:val="000000"/>
                <w:sz w:val="16"/>
                <w:szCs w:val="16"/>
              </w:rPr>
              <w:t>(0.9%,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1.183</w:t>
            </w:r>
          </w:p>
          <w:p w:rsidR="005132EF" w:rsidRPr="00370E70" w:rsidRDefault="005132EF" w:rsidP="00034AD4">
            <w:pPr>
              <w:spacing w:before="0" w:after="0"/>
              <w:jc w:val="center"/>
              <w:rPr>
                <w:rFonts w:cs="Arial"/>
                <w:color w:val="000000"/>
              </w:rPr>
            </w:pPr>
            <w:r w:rsidRPr="00370E70">
              <w:rPr>
                <w:i/>
                <w:iCs/>
                <w:color w:val="000000"/>
                <w:sz w:val="16"/>
                <w:szCs w:val="16"/>
              </w:rPr>
              <w:t>(-29.4%</w:t>
            </w:r>
            <w:r w:rsidRPr="00370E70">
              <w:rPr>
                <w:rFonts w:cs="Arial"/>
                <w:i/>
                <w:color w:val="000000"/>
                <w:sz w:val="16"/>
                <w:szCs w:val="16"/>
              </w:rPr>
              <w:t xml:space="preserve"> increase overall)</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1.6</w:t>
            </w:r>
          </w:p>
          <w:p w:rsidR="005132EF" w:rsidRPr="00370E70" w:rsidRDefault="005132EF" w:rsidP="00034AD4">
            <w:pPr>
              <w:spacing w:before="0" w:after="0"/>
              <w:jc w:val="center"/>
              <w:rPr>
                <w:rFonts w:cs="Arial"/>
                <w:color w:val="000000"/>
              </w:rPr>
            </w:pPr>
            <w:r w:rsidRPr="00370E70">
              <w:rPr>
                <w:i/>
                <w:iCs/>
                <w:color w:val="000000"/>
                <w:sz w:val="16"/>
                <w:szCs w:val="16"/>
              </w:rPr>
              <w:t>(-11.2%</w:t>
            </w:r>
            <w:r w:rsidRPr="00370E70">
              <w:rPr>
                <w:rFonts w:cs="Arial"/>
                <w:i/>
                <w:color w:val="000000"/>
                <w:sz w:val="16"/>
                <w:szCs w:val="16"/>
              </w:rPr>
              <w:t xml:space="preserve"> increase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3.479</w:t>
            </w:r>
          </w:p>
          <w:p w:rsidR="005132EF" w:rsidRPr="00370E70" w:rsidRDefault="005132EF" w:rsidP="00034AD4">
            <w:pPr>
              <w:spacing w:before="0" w:after="0"/>
              <w:jc w:val="center"/>
              <w:rPr>
                <w:rFonts w:cs="Arial"/>
                <w:color w:val="000000"/>
              </w:rPr>
            </w:pPr>
            <w:r w:rsidRPr="00370E70">
              <w:rPr>
                <w:i/>
                <w:iCs/>
                <w:color w:val="000000"/>
                <w:sz w:val="16"/>
                <w:szCs w:val="16"/>
              </w:rPr>
              <w:t>(6.1%</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4.19</w:t>
            </w:r>
          </w:p>
          <w:p w:rsidR="005132EF" w:rsidRPr="00370E70" w:rsidRDefault="005132EF" w:rsidP="00034AD4">
            <w:pPr>
              <w:spacing w:before="0" w:after="0"/>
              <w:jc w:val="center"/>
              <w:rPr>
                <w:rFonts w:cs="Arial"/>
                <w:color w:val="000000"/>
              </w:rPr>
            </w:pPr>
            <w:r w:rsidRPr="00370E70">
              <w:rPr>
                <w:i/>
                <w:iCs/>
                <w:color w:val="000000"/>
                <w:sz w:val="16"/>
                <w:szCs w:val="16"/>
              </w:rPr>
              <w:t>(5.5%</w:t>
            </w:r>
            <w:r w:rsidRPr="00370E70">
              <w:rPr>
                <w:rFonts w:cs="Arial"/>
                <w:i/>
                <w:color w:val="000000"/>
                <w:sz w:val="16"/>
                <w:szCs w:val="16"/>
              </w:rPr>
              <w:t xml:space="preserve"> increase overall)</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April</w:t>
            </w:r>
          </w:p>
          <w:p w:rsidR="005132EF" w:rsidRPr="00370E70" w:rsidRDefault="005132EF" w:rsidP="00034AD4">
            <w:pPr>
              <w:spacing w:before="0" w:after="0"/>
              <w:jc w:val="center"/>
              <w:rPr>
                <w:b/>
                <w:color w:val="000000"/>
                <w:sz w:val="20"/>
                <w:szCs w:val="20"/>
              </w:rPr>
            </w:pPr>
            <w:r w:rsidRPr="00370E70">
              <w:rPr>
                <w:b/>
                <w:color w:val="000000"/>
                <w:sz w:val="20"/>
                <w:szCs w:val="20"/>
              </w:rPr>
              <w:t>2008</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2.861</w:t>
            </w:r>
          </w:p>
          <w:p w:rsidR="005132EF" w:rsidRPr="00370E70" w:rsidRDefault="005132EF" w:rsidP="00034AD4">
            <w:pPr>
              <w:spacing w:before="0" w:after="0"/>
              <w:jc w:val="center"/>
              <w:rPr>
                <w:color w:val="000000"/>
              </w:rPr>
            </w:pPr>
            <w:r w:rsidRPr="00370E70">
              <w:rPr>
                <w:i/>
                <w:iCs/>
                <w:color w:val="000000"/>
                <w:sz w:val="16"/>
                <w:szCs w:val="16"/>
              </w:rPr>
              <w:t>(115.8%,</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4.724</w:t>
            </w:r>
          </w:p>
          <w:p w:rsidR="005132EF" w:rsidRPr="00370E70" w:rsidRDefault="005132EF" w:rsidP="00034AD4">
            <w:pPr>
              <w:spacing w:before="0" w:after="0"/>
              <w:jc w:val="center"/>
              <w:rPr>
                <w:color w:val="000000"/>
              </w:rPr>
            </w:pPr>
            <w:r w:rsidRPr="00370E70">
              <w:rPr>
                <w:i/>
                <w:iCs/>
                <w:color w:val="000000"/>
                <w:sz w:val="16"/>
                <w:szCs w:val="16"/>
              </w:rPr>
              <w:t>(31.9%,</w:t>
            </w:r>
            <w:r w:rsidRPr="00370E70">
              <w:rPr>
                <w:rFonts w:cs="Arial"/>
                <w:i/>
                <w:color w:val="000000"/>
                <w:sz w:val="16"/>
                <w:szCs w:val="16"/>
              </w:rPr>
              <w:t xml:space="preserve"> increase overall)</w:t>
            </w:r>
          </w:p>
        </w:tc>
        <w:tc>
          <w:tcPr>
            <w:tcW w:w="1036" w:type="dxa"/>
            <w:shd w:val="clear" w:color="auto" w:fill="FFFFFF"/>
          </w:tcPr>
          <w:p w:rsidR="005132EF" w:rsidRPr="00370E70" w:rsidRDefault="005132EF" w:rsidP="00034AD4">
            <w:pPr>
              <w:spacing w:before="0" w:after="0"/>
              <w:jc w:val="center"/>
              <w:rPr>
                <w:rFonts w:cs="Arial"/>
                <w:color w:val="000000"/>
              </w:rPr>
            </w:pPr>
            <w:r w:rsidRPr="00370E70">
              <w:rPr>
                <w:rFonts w:cs="Arial"/>
                <w:color w:val="000000"/>
              </w:rPr>
              <w:t>5.32</w:t>
            </w:r>
          </w:p>
          <w:p w:rsidR="005132EF" w:rsidRPr="00370E70" w:rsidRDefault="005132EF" w:rsidP="00034AD4">
            <w:pPr>
              <w:spacing w:before="0" w:after="0"/>
              <w:jc w:val="center"/>
              <w:rPr>
                <w:rFonts w:cs="Arial"/>
                <w:color w:val="000000"/>
              </w:rPr>
            </w:pPr>
            <w:r w:rsidRPr="00370E70">
              <w:rPr>
                <w:i/>
                <w:iCs/>
                <w:color w:val="000000"/>
                <w:sz w:val="16"/>
                <w:szCs w:val="16"/>
              </w:rPr>
              <w:t>(1.2%</w:t>
            </w:r>
            <w:r w:rsidRPr="00370E70">
              <w:rPr>
                <w:rFonts w:cs="Arial"/>
                <w:i/>
                <w:color w:val="000000"/>
                <w:sz w:val="16"/>
                <w:szCs w:val="16"/>
              </w:rPr>
              <w:t xml:space="preserve"> increase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4.66</w:t>
            </w:r>
          </w:p>
          <w:p w:rsidR="005132EF" w:rsidRPr="00370E70" w:rsidRDefault="005132EF" w:rsidP="00034AD4">
            <w:pPr>
              <w:spacing w:before="0" w:after="0"/>
              <w:jc w:val="center"/>
              <w:rPr>
                <w:rFonts w:cs="Arial"/>
                <w:color w:val="000000"/>
              </w:rPr>
            </w:pPr>
            <w:r w:rsidRPr="00370E70">
              <w:rPr>
                <w:rFonts w:cs="Arial"/>
                <w:i/>
                <w:color w:val="000000"/>
                <w:sz w:val="16"/>
                <w:szCs w:val="16"/>
              </w:rPr>
              <w:t>(0.6%,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1.046</w:t>
            </w:r>
          </w:p>
          <w:p w:rsidR="005132EF" w:rsidRPr="00370E70" w:rsidRDefault="005132EF" w:rsidP="00034AD4">
            <w:pPr>
              <w:spacing w:before="0" w:after="0"/>
              <w:jc w:val="center"/>
              <w:rPr>
                <w:rFonts w:cs="Arial"/>
                <w:color w:val="000000"/>
              </w:rPr>
            </w:pPr>
            <w:r w:rsidRPr="00370E70">
              <w:rPr>
                <w:i/>
                <w:iCs/>
                <w:color w:val="000000"/>
                <w:sz w:val="16"/>
                <w:szCs w:val="16"/>
              </w:rPr>
              <w:t>(-37.6%</w:t>
            </w:r>
            <w:r w:rsidRPr="00370E70">
              <w:rPr>
                <w:rFonts w:cs="Arial"/>
                <w:i/>
                <w:color w:val="000000"/>
                <w:sz w:val="16"/>
                <w:szCs w:val="16"/>
              </w:rPr>
              <w:t xml:space="preserve"> decrease seaward)</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1.442</w:t>
            </w:r>
          </w:p>
          <w:p w:rsidR="005132EF" w:rsidRPr="00370E70" w:rsidRDefault="005132EF" w:rsidP="00034AD4">
            <w:pPr>
              <w:spacing w:before="0" w:after="0"/>
              <w:jc w:val="center"/>
              <w:rPr>
                <w:rFonts w:cs="Arial"/>
                <w:color w:val="000000"/>
              </w:rPr>
            </w:pPr>
            <w:r w:rsidRPr="00370E70">
              <w:rPr>
                <w:i/>
                <w:iCs/>
                <w:color w:val="000000"/>
                <w:sz w:val="16"/>
                <w:szCs w:val="16"/>
              </w:rPr>
              <w:t>(-19.9%</w:t>
            </w:r>
            <w:r w:rsidRPr="00370E70">
              <w:rPr>
                <w:rFonts w:cs="Arial"/>
                <w:i/>
                <w:color w:val="000000"/>
                <w:sz w:val="16"/>
                <w:szCs w:val="16"/>
              </w:rPr>
              <w:t xml:space="preserve"> decrease seaward)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3.36</w:t>
            </w:r>
          </w:p>
          <w:p w:rsidR="005132EF" w:rsidRPr="00370E70" w:rsidRDefault="005132EF" w:rsidP="00034AD4">
            <w:pPr>
              <w:spacing w:before="0" w:after="0"/>
              <w:jc w:val="center"/>
              <w:rPr>
                <w:rFonts w:cs="Arial"/>
                <w:color w:val="000000"/>
              </w:rPr>
            </w:pPr>
            <w:r w:rsidRPr="00370E70">
              <w:rPr>
                <w:i/>
                <w:iCs/>
                <w:color w:val="000000"/>
                <w:sz w:val="16"/>
                <w:szCs w:val="16"/>
              </w:rPr>
              <w:t>(2.5%</w:t>
            </w:r>
            <w:r w:rsidRPr="00370E70">
              <w:rPr>
                <w:rFonts w:cs="Arial"/>
                <w:i/>
                <w:color w:val="000000"/>
                <w:sz w:val="16"/>
                <w:szCs w:val="16"/>
              </w:rPr>
              <w:t xml:space="preserve"> decrease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4.425</w:t>
            </w:r>
          </w:p>
          <w:p w:rsidR="005132EF" w:rsidRPr="00370E70" w:rsidRDefault="005132EF" w:rsidP="00034AD4">
            <w:pPr>
              <w:spacing w:before="0" w:after="0"/>
              <w:jc w:val="center"/>
              <w:rPr>
                <w:rFonts w:cs="Arial"/>
                <w:color w:val="000000"/>
              </w:rPr>
            </w:pPr>
            <w:r w:rsidRPr="00370E70">
              <w:rPr>
                <w:i/>
                <w:iCs/>
                <w:color w:val="000000"/>
                <w:sz w:val="16"/>
                <w:szCs w:val="16"/>
              </w:rPr>
              <w:t>11.4%</w:t>
            </w:r>
            <w:r w:rsidRPr="00370E70">
              <w:rPr>
                <w:rFonts w:cs="Arial"/>
                <w:i/>
                <w:color w:val="000000"/>
                <w:sz w:val="16"/>
                <w:szCs w:val="16"/>
              </w:rPr>
              <w:t xml:space="preserve"> increase overall)</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October</w:t>
            </w:r>
          </w:p>
          <w:p w:rsidR="005132EF" w:rsidRPr="00370E70" w:rsidRDefault="005132EF" w:rsidP="00034AD4">
            <w:pPr>
              <w:spacing w:before="0" w:after="0"/>
              <w:jc w:val="center"/>
              <w:rPr>
                <w:b/>
                <w:color w:val="000000"/>
                <w:sz w:val="20"/>
                <w:szCs w:val="20"/>
              </w:rPr>
            </w:pPr>
            <w:r w:rsidRPr="00370E70">
              <w:rPr>
                <w:b/>
                <w:color w:val="000000"/>
                <w:sz w:val="20"/>
                <w:szCs w:val="20"/>
              </w:rPr>
              <w:t>2008</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2.910</w:t>
            </w:r>
          </w:p>
          <w:p w:rsidR="005132EF" w:rsidRPr="00370E70" w:rsidRDefault="005132EF" w:rsidP="00034AD4">
            <w:pPr>
              <w:spacing w:before="0" w:after="0"/>
              <w:jc w:val="center"/>
              <w:rPr>
                <w:color w:val="000000"/>
              </w:rPr>
            </w:pPr>
            <w:r w:rsidRPr="00370E70">
              <w:rPr>
                <w:i/>
                <w:iCs/>
                <w:color w:val="000000"/>
                <w:sz w:val="16"/>
                <w:szCs w:val="16"/>
              </w:rPr>
              <w:t>(119.4%,</w:t>
            </w:r>
            <w:r w:rsidRPr="00370E70">
              <w:rPr>
                <w:rFonts w:cs="Arial"/>
                <w:i/>
                <w:color w:val="000000"/>
                <w:sz w:val="16"/>
                <w:szCs w:val="16"/>
              </w:rPr>
              <w:t xml:space="preserve"> decrease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4.432</w:t>
            </w:r>
          </w:p>
          <w:p w:rsidR="005132EF" w:rsidRPr="00370E70" w:rsidRDefault="005132EF" w:rsidP="00034AD4">
            <w:pPr>
              <w:spacing w:before="0" w:after="0"/>
              <w:jc w:val="center"/>
              <w:rPr>
                <w:color w:val="000000"/>
              </w:rPr>
            </w:pPr>
            <w:r w:rsidRPr="00370E70">
              <w:rPr>
                <w:i/>
                <w:iCs/>
                <w:color w:val="000000"/>
                <w:sz w:val="16"/>
                <w:szCs w:val="16"/>
              </w:rPr>
              <w:t>(23.2%,</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5.298</w:t>
            </w:r>
          </w:p>
          <w:p w:rsidR="005132EF" w:rsidRPr="00370E70" w:rsidRDefault="005132EF" w:rsidP="00034AD4">
            <w:pPr>
              <w:spacing w:before="0" w:after="0"/>
              <w:jc w:val="center"/>
              <w:rPr>
                <w:rFonts w:cs="Arial"/>
                <w:color w:val="000000"/>
              </w:rPr>
            </w:pPr>
            <w:r w:rsidRPr="00370E70">
              <w:rPr>
                <w:rFonts w:cs="Arial"/>
                <w:i/>
                <w:color w:val="000000"/>
                <w:sz w:val="16"/>
                <w:szCs w:val="16"/>
              </w:rPr>
              <w:t>(0.8%, no change)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4.682</w:t>
            </w:r>
          </w:p>
          <w:p w:rsidR="005132EF" w:rsidRPr="00370E70" w:rsidRDefault="005132EF" w:rsidP="00034AD4">
            <w:pPr>
              <w:spacing w:before="0" w:after="0"/>
              <w:jc w:val="center"/>
              <w:rPr>
                <w:rFonts w:cs="Arial"/>
                <w:color w:val="000000"/>
                <w:highlight w:val="yellow"/>
              </w:rPr>
            </w:pPr>
            <w:r w:rsidRPr="00370E70">
              <w:rPr>
                <w:rFonts w:cs="Arial"/>
                <w:i/>
                <w:color w:val="000000"/>
                <w:sz w:val="16"/>
                <w:szCs w:val="16"/>
              </w:rPr>
              <w:t>(1.1%,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1.607</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(-4.1%</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1.945</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(8.0%</w:t>
            </w:r>
            <w:r w:rsidRPr="00370E70">
              <w:rPr>
                <w:rFonts w:cs="Arial"/>
                <w:i/>
                <w:color w:val="000000"/>
                <w:sz w:val="16"/>
                <w:szCs w:val="16"/>
              </w:rPr>
              <w:t xml:space="preserve"> increase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3.393</w:t>
            </w:r>
          </w:p>
          <w:p w:rsidR="005132EF" w:rsidRPr="00370E70" w:rsidRDefault="005132EF" w:rsidP="00034AD4">
            <w:pPr>
              <w:spacing w:before="0" w:after="0"/>
              <w:jc w:val="center"/>
              <w:rPr>
                <w:rFonts w:cs="Arial"/>
                <w:color w:val="000000"/>
              </w:rPr>
            </w:pPr>
            <w:r w:rsidRPr="00370E70">
              <w:rPr>
                <w:i/>
                <w:iCs/>
                <w:color w:val="000000"/>
                <w:sz w:val="16"/>
                <w:szCs w:val="16"/>
              </w:rPr>
              <w:t>(3.5%</w:t>
            </w:r>
            <w:r w:rsidRPr="00370E70">
              <w:rPr>
                <w:rFonts w:cs="Arial"/>
                <w:i/>
                <w:color w:val="000000"/>
                <w:sz w:val="16"/>
                <w:szCs w:val="16"/>
              </w:rPr>
              <w:t xml:space="preserve"> increase overall)</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4.332</w:t>
            </w:r>
          </w:p>
          <w:p w:rsidR="005132EF" w:rsidRPr="00370E70" w:rsidRDefault="005132EF" w:rsidP="00034AD4">
            <w:pPr>
              <w:spacing w:before="0" w:after="0"/>
              <w:jc w:val="center"/>
              <w:rPr>
                <w:rFonts w:cs="Arial"/>
                <w:color w:val="000000"/>
              </w:rPr>
            </w:pPr>
            <w:r w:rsidRPr="00370E70">
              <w:rPr>
                <w:i/>
                <w:iCs/>
                <w:color w:val="000000"/>
                <w:sz w:val="16"/>
                <w:szCs w:val="16"/>
              </w:rPr>
              <w:t>(9.1%</w:t>
            </w:r>
            <w:r w:rsidRPr="00370E70">
              <w:rPr>
                <w:rFonts w:cs="Arial"/>
                <w:i/>
                <w:color w:val="000000"/>
                <w:sz w:val="16"/>
                <w:szCs w:val="16"/>
              </w:rPr>
              <w:t xml:space="preserve"> decrease overall)</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April</w:t>
            </w:r>
          </w:p>
          <w:p w:rsidR="005132EF" w:rsidRPr="00370E70" w:rsidRDefault="005132EF" w:rsidP="00034AD4">
            <w:pPr>
              <w:spacing w:before="0" w:after="0"/>
              <w:jc w:val="center"/>
              <w:rPr>
                <w:b/>
                <w:color w:val="000000"/>
                <w:sz w:val="20"/>
                <w:szCs w:val="20"/>
              </w:rPr>
            </w:pPr>
            <w:r w:rsidRPr="00370E70">
              <w:rPr>
                <w:b/>
                <w:color w:val="000000"/>
                <w:sz w:val="20"/>
                <w:szCs w:val="20"/>
              </w:rPr>
              <w:t>2009</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2.463</w:t>
            </w:r>
          </w:p>
          <w:p w:rsidR="005132EF" w:rsidRPr="00370E70" w:rsidRDefault="005132EF" w:rsidP="00034AD4">
            <w:pPr>
              <w:spacing w:before="0" w:after="0"/>
              <w:jc w:val="center"/>
              <w:rPr>
                <w:color w:val="000000"/>
              </w:rPr>
            </w:pPr>
            <w:r w:rsidRPr="00370E70">
              <w:rPr>
                <w:i/>
                <w:iCs/>
                <w:color w:val="000000"/>
                <w:sz w:val="16"/>
                <w:szCs w:val="16"/>
              </w:rPr>
              <w:t>(85.7%,</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4.712</w:t>
            </w:r>
          </w:p>
          <w:p w:rsidR="005132EF" w:rsidRPr="00370E70" w:rsidRDefault="005132EF" w:rsidP="00034AD4">
            <w:pPr>
              <w:spacing w:before="0" w:after="0"/>
              <w:jc w:val="center"/>
              <w:rPr>
                <w:color w:val="000000"/>
              </w:rPr>
            </w:pPr>
            <w:r w:rsidRPr="00370E70">
              <w:rPr>
                <w:i/>
                <w:iCs/>
                <w:color w:val="000000"/>
                <w:sz w:val="16"/>
                <w:szCs w:val="16"/>
              </w:rPr>
              <w:t>(31.0%,</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5.316</w:t>
            </w:r>
          </w:p>
          <w:p w:rsidR="005132EF" w:rsidRPr="00370E70" w:rsidRDefault="005132EF" w:rsidP="00034AD4">
            <w:pPr>
              <w:spacing w:before="0" w:after="0"/>
              <w:jc w:val="center"/>
              <w:rPr>
                <w:rFonts w:cs="Arial"/>
                <w:color w:val="000000"/>
              </w:rPr>
            </w:pPr>
            <w:r w:rsidRPr="00370E70">
              <w:rPr>
                <w:i/>
                <w:iCs/>
                <w:color w:val="000000"/>
                <w:sz w:val="16"/>
                <w:szCs w:val="16"/>
              </w:rPr>
              <w:t>(1.1%</w:t>
            </w:r>
            <w:r w:rsidRPr="00370E70">
              <w:rPr>
                <w:rFonts w:cs="Arial"/>
                <w:i/>
                <w:color w:val="000000"/>
                <w:sz w:val="16"/>
                <w:szCs w:val="16"/>
              </w:rPr>
              <w:t xml:space="preserve"> negligible)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4.703</w:t>
            </w:r>
          </w:p>
          <w:p w:rsidR="005132EF" w:rsidRPr="00370E70" w:rsidRDefault="005132EF" w:rsidP="00034AD4">
            <w:pPr>
              <w:spacing w:before="0" w:after="0"/>
              <w:jc w:val="center"/>
              <w:rPr>
                <w:rFonts w:cs="Arial"/>
                <w:color w:val="000000"/>
              </w:rPr>
            </w:pPr>
            <w:r w:rsidRPr="00370E70">
              <w:rPr>
                <w:rFonts w:cs="Arial"/>
                <w:i/>
                <w:color w:val="000000"/>
                <w:sz w:val="16"/>
                <w:szCs w:val="16"/>
              </w:rPr>
              <w:t>(1.5%, negligible)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1.218</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(-27.3%</w:t>
            </w:r>
            <w:r w:rsidRPr="00370E70">
              <w:rPr>
                <w:rFonts w:cs="Arial"/>
                <w:i/>
                <w:color w:val="000000"/>
                <w:sz w:val="16"/>
                <w:szCs w:val="16"/>
              </w:rPr>
              <w:t xml:space="preserve"> decrease seaward)</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1.655</w:t>
            </w:r>
          </w:p>
          <w:p w:rsidR="005132EF" w:rsidRPr="00370E70" w:rsidRDefault="005132EF" w:rsidP="00034AD4">
            <w:pPr>
              <w:spacing w:before="0" w:after="0"/>
              <w:jc w:val="center"/>
              <w:rPr>
                <w:rFonts w:cs="Arial"/>
                <w:color w:val="000000"/>
              </w:rPr>
            </w:pPr>
            <w:r w:rsidRPr="00370E70">
              <w:rPr>
                <w:i/>
                <w:iCs/>
                <w:color w:val="000000"/>
                <w:sz w:val="16"/>
                <w:szCs w:val="16"/>
              </w:rPr>
              <w:t>(-8.1%</w:t>
            </w:r>
            <w:r w:rsidRPr="00370E70">
              <w:rPr>
                <w:rFonts w:cs="Arial"/>
                <w:i/>
                <w:color w:val="000000"/>
                <w:sz w:val="16"/>
                <w:szCs w:val="16"/>
              </w:rPr>
              <w:t xml:space="preserve"> decrease seaward)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3.34</w:t>
            </w:r>
          </w:p>
          <w:p w:rsidR="005132EF" w:rsidRPr="00370E70" w:rsidRDefault="005132EF" w:rsidP="00034AD4">
            <w:pPr>
              <w:spacing w:before="0" w:after="0"/>
              <w:jc w:val="center"/>
              <w:rPr>
                <w:rFonts w:cs="Arial"/>
                <w:color w:val="000000"/>
              </w:rPr>
            </w:pPr>
            <w:r w:rsidRPr="00370E70">
              <w:rPr>
                <w:i/>
                <w:iCs/>
                <w:color w:val="000000"/>
                <w:sz w:val="16"/>
                <w:szCs w:val="16"/>
              </w:rPr>
              <w:t>(1.9%</w:t>
            </w:r>
            <w:r w:rsidRPr="00370E70">
              <w:rPr>
                <w:rFonts w:cs="Arial"/>
                <w:i/>
                <w:color w:val="000000"/>
                <w:sz w:val="16"/>
                <w:szCs w:val="16"/>
              </w:rPr>
              <w:t xml:space="preserve"> decrease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4.420</w:t>
            </w:r>
          </w:p>
          <w:p w:rsidR="005132EF" w:rsidRPr="00370E70" w:rsidRDefault="005132EF" w:rsidP="00034AD4">
            <w:pPr>
              <w:spacing w:before="0" w:after="0"/>
              <w:jc w:val="center"/>
              <w:rPr>
                <w:rFonts w:cs="Arial"/>
                <w:color w:val="000000"/>
              </w:rPr>
            </w:pPr>
            <w:r w:rsidRPr="00370E70">
              <w:rPr>
                <w:i/>
                <w:iCs/>
                <w:color w:val="000000"/>
                <w:sz w:val="16"/>
                <w:szCs w:val="16"/>
              </w:rPr>
              <w:t>(11.3%</w:t>
            </w:r>
            <w:r w:rsidRPr="00370E70">
              <w:rPr>
                <w:rFonts w:cs="Arial"/>
                <w:i/>
                <w:color w:val="000000"/>
                <w:sz w:val="16"/>
                <w:szCs w:val="16"/>
              </w:rPr>
              <w:t xml:space="preserve"> increase overall)</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October</w:t>
            </w:r>
          </w:p>
          <w:p w:rsidR="005132EF" w:rsidRPr="00370E70" w:rsidRDefault="005132EF" w:rsidP="00034AD4">
            <w:pPr>
              <w:spacing w:before="0" w:after="0"/>
              <w:jc w:val="center"/>
              <w:rPr>
                <w:b/>
                <w:color w:val="000000"/>
                <w:sz w:val="20"/>
                <w:szCs w:val="20"/>
              </w:rPr>
            </w:pPr>
            <w:r w:rsidRPr="00370E70">
              <w:rPr>
                <w:b/>
                <w:color w:val="000000"/>
                <w:sz w:val="20"/>
                <w:szCs w:val="20"/>
              </w:rPr>
              <w:t>2009</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2.249</w:t>
            </w:r>
          </w:p>
          <w:p w:rsidR="005132EF" w:rsidRPr="00370E70" w:rsidRDefault="005132EF" w:rsidP="00034AD4">
            <w:pPr>
              <w:spacing w:before="0" w:after="0"/>
              <w:jc w:val="center"/>
              <w:rPr>
                <w:color w:val="000000"/>
              </w:rPr>
            </w:pPr>
            <w:r w:rsidRPr="00370E70">
              <w:rPr>
                <w:i/>
                <w:iCs/>
                <w:color w:val="000000"/>
                <w:sz w:val="16"/>
                <w:szCs w:val="16"/>
              </w:rPr>
              <w:t>(-69.6%,</w:t>
            </w:r>
            <w:r w:rsidRPr="00370E70">
              <w:rPr>
                <w:rFonts w:cs="Arial"/>
                <w:i/>
                <w:color w:val="000000"/>
                <w:sz w:val="16"/>
                <w:szCs w:val="16"/>
              </w:rPr>
              <w:t xml:space="preserve"> decrease seaward)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4.645</w:t>
            </w:r>
          </w:p>
          <w:p w:rsidR="005132EF" w:rsidRPr="00370E70" w:rsidRDefault="005132EF" w:rsidP="00034AD4">
            <w:pPr>
              <w:spacing w:before="0" w:after="0"/>
              <w:jc w:val="center"/>
              <w:rPr>
                <w:color w:val="000000"/>
              </w:rPr>
            </w:pPr>
            <w:r w:rsidRPr="00370E70">
              <w:rPr>
                <w:i/>
                <w:iCs/>
                <w:color w:val="000000"/>
                <w:sz w:val="16"/>
                <w:szCs w:val="16"/>
              </w:rPr>
              <w:t>(-29.2%,</w:t>
            </w:r>
            <w:r w:rsidRPr="00370E70">
              <w:rPr>
                <w:rFonts w:cs="Arial"/>
                <w:i/>
                <w:color w:val="000000"/>
                <w:sz w:val="16"/>
                <w:szCs w:val="16"/>
              </w:rPr>
              <w:t xml:space="preserve"> negligible)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5.288</w:t>
            </w:r>
          </w:p>
          <w:p w:rsidR="005132EF" w:rsidRPr="00370E70" w:rsidRDefault="005132EF" w:rsidP="00034AD4">
            <w:pPr>
              <w:spacing w:before="0" w:after="0"/>
              <w:jc w:val="center"/>
              <w:rPr>
                <w:rFonts w:cs="Arial"/>
                <w:color w:val="000000"/>
              </w:rPr>
            </w:pPr>
            <w:r w:rsidRPr="00370E70">
              <w:rPr>
                <w:rFonts w:cs="Arial"/>
                <w:i/>
                <w:color w:val="000000"/>
                <w:sz w:val="16"/>
                <w:szCs w:val="16"/>
              </w:rPr>
              <w:t>(0.5%, no change)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4.671</w:t>
            </w:r>
          </w:p>
          <w:p w:rsidR="005132EF" w:rsidRPr="00370E70" w:rsidRDefault="005132EF" w:rsidP="00034AD4">
            <w:pPr>
              <w:spacing w:before="0" w:after="0"/>
              <w:jc w:val="center"/>
              <w:rPr>
                <w:rFonts w:cs="Arial"/>
                <w:color w:val="000000"/>
                <w:highlight w:val="yellow"/>
              </w:rPr>
            </w:pPr>
            <w:r w:rsidRPr="00370E70">
              <w:rPr>
                <w:rFonts w:cs="Arial"/>
                <w:i/>
                <w:color w:val="000000"/>
                <w:sz w:val="16"/>
                <w:szCs w:val="16"/>
              </w:rPr>
              <w:t>(0.9%, no change)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1.256</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(25%</w:t>
            </w:r>
            <w:r w:rsidRPr="00370E70">
              <w:rPr>
                <w:rFonts w:cs="Arial"/>
                <w:i/>
                <w:color w:val="000000"/>
                <w:sz w:val="16"/>
                <w:szCs w:val="16"/>
              </w:rPr>
              <w:t xml:space="preserve"> increase overall)</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1.567</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(-13%</w:t>
            </w:r>
            <w:r w:rsidRPr="00370E70">
              <w:rPr>
                <w:rFonts w:cs="Arial"/>
                <w:i/>
                <w:color w:val="000000"/>
                <w:sz w:val="16"/>
                <w:szCs w:val="16"/>
              </w:rPr>
              <w:t xml:space="preserve"> decrease shoreward)</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3.412</w:t>
            </w:r>
          </w:p>
          <w:p w:rsidR="005132EF" w:rsidRPr="00370E70" w:rsidRDefault="005132EF" w:rsidP="00034AD4">
            <w:pPr>
              <w:spacing w:before="0" w:after="0"/>
              <w:jc w:val="center"/>
              <w:rPr>
                <w:rFonts w:cs="Arial"/>
                <w:color w:val="000000"/>
              </w:rPr>
            </w:pPr>
            <w:r w:rsidRPr="00370E70">
              <w:rPr>
                <w:i/>
                <w:iCs/>
                <w:color w:val="000000"/>
                <w:sz w:val="16"/>
                <w:szCs w:val="16"/>
              </w:rPr>
              <w:t>(4.1%</w:t>
            </w:r>
            <w:r w:rsidRPr="00370E70">
              <w:rPr>
                <w:rFonts w:cs="Arial"/>
                <w:i/>
                <w:color w:val="000000"/>
                <w:sz w:val="16"/>
                <w:szCs w:val="16"/>
              </w:rPr>
              <w:t xml:space="preserve"> increase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4.371</w:t>
            </w:r>
          </w:p>
          <w:p w:rsidR="005132EF" w:rsidRPr="00370E70" w:rsidRDefault="005132EF" w:rsidP="00034AD4">
            <w:pPr>
              <w:spacing w:before="0" w:after="0"/>
              <w:jc w:val="center"/>
              <w:rPr>
                <w:rFonts w:cs="Arial"/>
                <w:color w:val="000000"/>
              </w:rPr>
            </w:pPr>
            <w:r w:rsidRPr="00370E70">
              <w:rPr>
                <w:i/>
                <w:iCs/>
                <w:color w:val="000000"/>
                <w:sz w:val="16"/>
                <w:szCs w:val="16"/>
              </w:rPr>
              <w:t>(-10%</w:t>
            </w:r>
            <w:r w:rsidRPr="00370E70">
              <w:rPr>
                <w:rFonts w:cs="Arial"/>
                <w:i/>
                <w:color w:val="000000"/>
                <w:sz w:val="16"/>
                <w:szCs w:val="16"/>
              </w:rPr>
              <w:t xml:space="preserve"> negligible)</w:t>
            </w:r>
          </w:p>
        </w:tc>
      </w:tr>
      <w:tr w:rsidR="005132EF" w:rsidRPr="00370E70">
        <w:tc>
          <w:tcPr>
            <w:tcW w:w="1233" w:type="dxa"/>
          </w:tcPr>
          <w:p w:rsidR="005132EF" w:rsidRPr="00370E70" w:rsidRDefault="005132EF" w:rsidP="00034AD4">
            <w:pPr>
              <w:spacing w:before="0" w:after="0"/>
              <w:jc w:val="center"/>
              <w:rPr>
                <w:b/>
                <w:color w:val="000000"/>
                <w:sz w:val="20"/>
                <w:szCs w:val="20"/>
              </w:rPr>
            </w:pPr>
            <w:r w:rsidRPr="00370E70">
              <w:rPr>
                <w:b/>
                <w:color w:val="000000"/>
                <w:sz w:val="20"/>
                <w:szCs w:val="20"/>
              </w:rPr>
              <w:t>April</w:t>
            </w:r>
          </w:p>
          <w:p w:rsidR="005132EF" w:rsidRPr="00370E70" w:rsidRDefault="005132EF" w:rsidP="00034AD4">
            <w:pPr>
              <w:spacing w:before="0" w:after="0"/>
              <w:jc w:val="center"/>
              <w:rPr>
                <w:b/>
                <w:color w:val="000000"/>
                <w:sz w:val="20"/>
                <w:szCs w:val="20"/>
              </w:rPr>
            </w:pPr>
            <w:r w:rsidRPr="00370E70">
              <w:rPr>
                <w:b/>
                <w:color w:val="000000"/>
                <w:sz w:val="20"/>
                <w:szCs w:val="20"/>
              </w:rPr>
              <w:t>2010</w:t>
            </w:r>
          </w:p>
        </w:tc>
        <w:tc>
          <w:tcPr>
            <w:tcW w:w="1037" w:type="dxa"/>
          </w:tcPr>
          <w:p w:rsidR="005132EF" w:rsidRPr="00370E70" w:rsidRDefault="005132EF" w:rsidP="00034AD4">
            <w:pPr>
              <w:spacing w:before="0" w:after="0"/>
              <w:jc w:val="center"/>
              <w:rPr>
                <w:rFonts w:cs="Arial"/>
                <w:color w:val="000000"/>
              </w:rPr>
            </w:pPr>
            <w:r w:rsidRPr="00370E70">
              <w:rPr>
                <w:rFonts w:cs="Arial"/>
                <w:color w:val="000000"/>
              </w:rPr>
              <w:t>1.634</w:t>
            </w:r>
          </w:p>
          <w:p w:rsidR="005132EF" w:rsidRPr="00370E70" w:rsidRDefault="005132EF" w:rsidP="00034AD4">
            <w:pPr>
              <w:spacing w:before="0" w:after="0"/>
              <w:jc w:val="center"/>
              <w:rPr>
                <w:color w:val="000000"/>
              </w:rPr>
            </w:pPr>
            <w:r w:rsidRPr="00370E70">
              <w:rPr>
                <w:i/>
                <w:iCs/>
                <w:color w:val="000000"/>
                <w:sz w:val="16"/>
                <w:szCs w:val="16"/>
              </w:rPr>
              <w:t>(23.2%,</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4.464</w:t>
            </w:r>
          </w:p>
          <w:p w:rsidR="005132EF" w:rsidRPr="00370E70" w:rsidRDefault="005132EF" w:rsidP="00034AD4">
            <w:pPr>
              <w:spacing w:before="0" w:after="0"/>
              <w:jc w:val="center"/>
              <w:rPr>
                <w:color w:val="000000"/>
              </w:rPr>
            </w:pPr>
            <w:r w:rsidRPr="00370E70">
              <w:rPr>
                <w:i/>
                <w:iCs/>
                <w:color w:val="000000"/>
                <w:sz w:val="16"/>
                <w:szCs w:val="16"/>
              </w:rPr>
              <w:t>(-24.1%,</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5.345</w:t>
            </w:r>
          </w:p>
          <w:p w:rsidR="005132EF" w:rsidRPr="00370E70" w:rsidRDefault="005132EF" w:rsidP="00034AD4">
            <w:pPr>
              <w:spacing w:before="0" w:after="0"/>
              <w:jc w:val="center"/>
              <w:rPr>
                <w:rFonts w:cs="Arial"/>
                <w:color w:val="000000"/>
              </w:rPr>
            </w:pPr>
            <w:r w:rsidRPr="00370E70">
              <w:rPr>
                <w:i/>
                <w:iCs/>
                <w:color w:val="000000"/>
                <w:sz w:val="16"/>
                <w:szCs w:val="16"/>
              </w:rPr>
              <w:t>(1.6%</w:t>
            </w:r>
            <w:r w:rsidRPr="00370E70">
              <w:rPr>
                <w:rFonts w:cs="Arial"/>
                <w:i/>
                <w:color w:val="000000"/>
                <w:sz w:val="16"/>
                <w:szCs w:val="16"/>
              </w:rPr>
              <w:t xml:space="preserve"> negligible)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4.675</w:t>
            </w:r>
          </w:p>
          <w:p w:rsidR="005132EF" w:rsidRPr="00370E70" w:rsidRDefault="005132EF" w:rsidP="00034AD4">
            <w:pPr>
              <w:spacing w:before="0" w:after="0"/>
              <w:jc w:val="center"/>
              <w:rPr>
                <w:rFonts w:cs="Arial"/>
                <w:color w:val="000000"/>
              </w:rPr>
            </w:pPr>
            <w:r w:rsidRPr="00370E70">
              <w:rPr>
                <w:rFonts w:cs="Arial"/>
                <w:i/>
                <w:color w:val="000000"/>
                <w:sz w:val="16"/>
                <w:szCs w:val="16"/>
              </w:rPr>
              <w:t>(0.9%, no change)</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0.464</w:t>
            </w:r>
          </w:p>
          <w:p w:rsidR="005132EF" w:rsidRPr="00370E70" w:rsidRDefault="005132EF" w:rsidP="00034AD4">
            <w:pPr>
              <w:spacing w:before="0" w:after="0"/>
              <w:jc w:val="center"/>
              <w:rPr>
                <w:rFonts w:cs="Arial"/>
                <w:color w:val="000000"/>
                <w:highlight w:val="yellow"/>
              </w:rPr>
            </w:pPr>
            <w:r w:rsidRPr="00370E70">
              <w:rPr>
                <w:i/>
                <w:iCs/>
                <w:color w:val="000000"/>
                <w:sz w:val="16"/>
                <w:szCs w:val="16"/>
              </w:rPr>
              <w:t>(-72.3%</w:t>
            </w:r>
            <w:r w:rsidRPr="00370E70">
              <w:rPr>
                <w:rFonts w:cs="Arial"/>
                <w:i/>
                <w:color w:val="000000"/>
                <w:sz w:val="16"/>
                <w:szCs w:val="16"/>
              </w:rPr>
              <w:t xml:space="preserve"> decrease overall)</w:t>
            </w:r>
          </w:p>
        </w:tc>
        <w:tc>
          <w:tcPr>
            <w:tcW w:w="103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rPr>
              <w:t>0.464</w:t>
            </w:r>
          </w:p>
          <w:p w:rsidR="005132EF" w:rsidRPr="00370E70" w:rsidRDefault="005132EF" w:rsidP="00034AD4">
            <w:pPr>
              <w:spacing w:before="0" w:after="0"/>
              <w:jc w:val="center"/>
              <w:rPr>
                <w:rFonts w:cs="Arial"/>
                <w:color w:val="000000"/>
              </w:rPr>
            </w:pPr>
            <w:r w:rsidRPr="00370E70">
              <w:rPr>
                <w:i/>
                <w:iCs/>
                <w:color w:val="000000"/>
                <w:sz w:val="16"/>
                <w:szCs w:val="16"/>
              </w:rPr>
              <w:t>(-74.2%</w:t>
            </w:r>
            <w:r w:rsidRPr="00370E70">
              <w:rPr>
                <w:rFonts w:cs="Arial"/>
                <w:i/>
                <w:color w:val="000000"/>
                <w:sz w:val="16"/>
                <w:szCs w:val="16"/>
              </w:rPr>
              <w:t xml:space="preserve"> decrease overall)</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3.398</w:t>
            </w:r>
          </w:p>
          <w:p w:rsidR="005132EF" w:rsidRPr="00370E70" w:rsidRDefault="005132EF" w:rsidP="00034AD4">
            <w:pPr>
              <w:spacing w:before="0" w:after="0"/>
              <w:jc w:val="center"/>
              <w:rPr>
                <w:rFonts w:cs="Arial"/>
                <w:i/>
                <w:color w:val="000000"/>
                <w:sz w:val="16"/>
                <w:szCs w:val="16"/>
              </w:rPr>
            </w:pPr>
            <w:r w:rsidRPr="00370E70">
              <w:rPr>
                <w:i/>
                <w:iCs/>
                <w:color w:val="000000"/>
                <w:sz w:val="16"/>
                <w:szCs w:val="16"/>
              </w:rPr>
              <w:t>(-3.6%</w:t>
            </w:r>
            <w:r w:rsidRPr="00370E70">
              <w:rPr>
                <w:rFonts w:cs="Arial"/>
                <w:i/>
                <w:color w:val="000000"/>
                <w:sz w:val="16"/>
                <w:szCs w:val="16"/>
              </w:rPr>
              <w:t xml:space="preserve"> </w:t>
            </w:r>
          </w:p>
          <w:p w:rsidR="005132EF" w:rsidRPr="00370E70" w:rsidRDefault="005132EF" w:rsidP="00034AD4">
            <w:pPr>
              <w:spacing w:before="0" w:after="0"/>
              <w:jc w:val="center"/>
              <w:rPr>
                <w:rFonts w:cs="Arial"/>
                <w:color w:val="000000"/>
              </w:rPr>
            </w:pPr>
            <w:r w:rsidRPr="00370E70">
              <w:rPr>
                <w:rFonts w:cs="Arial"/>
                <w:i/>
                <w:color w:val="000000"/>
                <w:sz w:val="16"/>
                <w:szCs w:val="16"/>
              </w:rPr>
              <w:t>no change)</w:t>
            </w:r>
          </w:p>
        </w:tc>
        <w:tc>
          <w:tcPr>
            <w:tcW w:w="1036" w:type="dxa"/>
          </w:tcPr>
          <w:p w:rsidR="005132EF" w:rsidRPr="00370E70" w:rsidRDefault="005132EF" w:rsidP="00034AD4">
            <w:pPr>
              <w:spacing w:before="0" w:after="0"/>
              <w:jc w:val="center"/>
              <w:rPr>
                <w:rFonts w:cs="Arial"/>
                <w:color w:val="000000"/>
              </w:rPr>
            </w:pPr>
            <w:r w:rsidRPr="00370E70">
              <w:rPr>
                <w:rFonts w:cs="Arial"/>
                <w:color w:val="000000"/>
              </w:rPr>
              <w:t>4.179</w:t>
            </w:r>
          </w:p>
          <w:p w:rsidR="005132EF" w:rsidRPr="00370E70" w:rsidRDefault="005132EF" w:rsidP="00034AD4">
            <w:pPr>
              <w:spacing w:before="0" w:after="0"/>
              <w:jc w:val="center"/>
              <w:rPr>
                <w:rFonts w:cs="Arial"/>
                <w:color w:val="000000"/>
              </w:rPr>
            </w:pPr>
            <w:r w:rsidRPr="00370E70">
              <w:rPr>
                <w:i/>
                <w:iCs/>
                <w:color w:val="000000"/>
                <w:sz w:val="16"/>
                <w:szCs w:val="16"/>
              </w:rPr>
              <w:t>(-5.2%</w:t>
            </w:r>
            <w:r w:rsidRPr="00370E70">
              <w:rPr>
                <w:rFonts w:cs="Arial"/>
                <w:i/>
                <w:color w:val="000000"/>
                <w:sz w:val="16"/>
                <w:szCs w:val="16"/>
              </w:rPr>
              <w:t xml:space="preserve"> decrease shoreward)</w:t>
            </w:r>
          </w:p>
        </w:tc>
      </w:tr>
      <w:tr w:rsidR="005132EF" w:rsidRPr="00370E70" w:rsidTr="003B1206">
        <w:tc>
          <w:tcPr>
            <w:tcW w:w="1233" w:type="dxa"/>
          </w:tcPr>
          <w:p w:rsidR="005132EF" w:rsidRPr="00370E70" w:rsidRDefault="005132EF" w:rsidP="003B1206">
            <w:pPr>
              <w:spacing w:before="0" w:after="0"/>
              <w:jc w:val="center"/>
              <w:rPr>
                <w:b/>
                <w:color w:val="000000"/>
                <w:sz w:val="20"/>
                <w:szCs w:val="20"/>
              </w:rPr>
            </w:pPr>
            <w:r w:rsidRPr="00370E70">
              <w:rPr>
                <w:b/>
                <w:color w:val="000000"/>
                <w:sz w:val="20"/>
                <w:szCs w:val="20"/>
              </w:rPr>
              <w:t>October</w:t>
            </w:r>
          </w:p>
          <w:p w:rsidR="005132EF" w:rsidRPr="00370E70" w:rsidRDefault="005132EF" w:rsidP="003B1206">
            <w:pPr>
              <w:spacing w:before="0" w:after="0"/>
              <w:jc w:val="center"/>
              <w:rPr>
                <w:b/>
                <w:color w:val="000000"/>
                <w:sz w:val="20"/>
                <w:szCs w:val="20"/>
              </w:rPr>
            </w:pPr>
            <w:r w:rsidRPr="00370E70">
              <w:rPr>
                <w:b/>
                <w:color w:val="000000"/>
                <w:sz w:val="20"/>
                <w:szCs w:val="20"/>
              </w:rPr>
              <w:t>2010</w:t>
            </w:r>
          </w:p>
        </w:tc>
        <w:tc>
          <w:tcPr>
            <w:tcW w:w="1037" w:type="dxa"/>
          </w:tcPr>
          <w:p w:rsidR="005132EF" w:rsidRPr="00370E70" w:rsidRDefault="005132EF" w:rsidP="003B1206">
            <w:pPr>
              <w:spacing w:before="0" w:after="0"/>
              <w:jc w:val="center"/>
              <w:rPr>
                <w:rFonts w:cs="Arial"/>
                <w:color w:val="000000"/>
              </w:rPr>
            </w:pPr>
            <w:r w:rsidRPr="00370E70">
              <w:rPr>
                <w:rFonts w:cs="Arial"/>
                <w:color w:val="000000"/>
              </w:rPr>
              <w:t>1.665</w:t>
            </w:r>
          </w:p>
          <w:p w:rsidR="005132EF" w:rsidRPr="00370E70" w:rsidRDefault="005132EF" w:rsidP="003B1206">
            <w:pPr>
              <w:spacing w:before="0" w:after="0"/>
              <w:jc w:val="center"/>
              <w:rPr>
                <w:color w:val="000000"/>
              </w:rPr>
            </w:pPr>
            <w:r w:rsidRPr="00370E70">
              <w:rPr>
                <w:i/>
                <w:iCs/>
                <w:color w:val="000000"/>
                <w:sz w:val="16"/>
                <w:szCs w:val="16"/>
              </w:rPr>
              <w:t>(25.6%,</w:t>
            </w:r>
            <w:r w:rsidRPr="00370E70">
              <w:rPr>
                <w:rFonts w:cs="Arial"/>
                <w:i/>
                <w:color w:val="000000"/>
                <w:sz w:val="16"/>
                <w:szCs w:val="16"/>
              </w:rPr>
              <w:t xml:space="preserve"> increase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4.243</w:t>
            </w:r>
          </w:p>
          <w:p w:rsidR="005132EF" w:rsidRPr="00370E70" w:rsidRDefault="005132EF" w:rsidP="003B1206">
            <w:pPr>
              <w:spacing w:before="0" w:after="0"/>
              <w:jc w:val="center"/>
              <w:rPr>
                <w:color w:val="000000"/>
              </w:rPr>
            </w:pPr>
            <w:r w:rsidRPr="00370E70">
              <w:rPr>
                <w:i/>
                <w:iCs/>
                <w:color w:val="000000"/>
                <w:sz w:val="16"/>
                <w:szCs w:val="16"/>
              </w:rPr>
              <w:t>(-18%,</w:t>
            </w:r>
            <w:r w:rsidRPr="00370E70">
              <w:rPr>
                <w:rFonts w:cs="Arial"/>
                <w:i/>
                <w:color w:val="000000"/>
                <w:sz w:val="16"/>
                <w:szCs w:val="16"/>
              </w:rPr>
              <w:t xml:space="preserve"> increase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5.285</w:t>
            </w:r>
          </w:p>
          <w:p w:rsidR="005132EF" w:rsidRPr="00370E70" w:rsidRDefault="005132EF" w:rsidP="003B1206">
            <w:pPr>
              <w:spacing w:before="0" w:after="0"/>
              <w:jc w:val="center"/>
              <w:rPr>
                <w:rFonts w:cs="Arial"/>
                <w:color w:val="000000"/>
              </w:rPr>
            </w:pPr>
            <w:r w:rsidRPr="00370E70">
              <w:rPr>
                <w:i/>
                <w:iCs/>
                <w:color w:val="000000"/>
                <w:sz w:val="16"/>
                <w:szCs w:val="16"/>
              </w:rPr>
              <w:t>(0.5%</w:t>
            </w:r>
            <w:r w:rsidRPr="00370E70">
              <w:rPr>
                <w:rFonts w:cs="Arial"/>
                <w:i/>
                <w:color w:val="000000"/>
                <w:sz w:val="16"/>
                <w:szCs w:val="16"/>
              </w:rPr>
              <w:t xml:space="preserve"> %, no change)</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4.612</w:t>
            </w:r>
          </w:p>
          <w:p w:rsidR="005132EF" w:rsidRPr="00370E70" w:rsidRDefault="005132EF" w:rsidP="003B1206">
            <w:pPr>
              <w:spacing w:before="0" w:after="0"/>
              <w:jc w:val="center"/>
              <w:rPr>
                <w:rFonts w:cs="Arial"/>
                <w:color w:val="000000"/>
              </w:rPr>
            </w:pPr>
            <w:r w:rsidRPr="00370E70">
              <w:rPr>
                <w:rFonts w:cs="Arial"/>
                <w:i/>
                <w:color w:val="000000"/>
                <w:sz w:val="16"/>
                <w:szCs w:val="16"/>
              </w:rPr>
              <w:t>(-0.4%, no change)</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0.151</w:t>
            </w:r>
          </w:p>
          <w:p w:rsidR="005132EF" w:rsidRPr="00370E70" w:rsidRDefault="005132EF" w:rsidP="003B1206">
            <w:pPr>
              <w:spacing w:before="0" w:after="0"/>
              <w:jc w:val="center"/>
              <w:rPr>
                <w:rFonts w:cs="Arial"/>
                <w:color w:val="000000"/>
                <w:highlight w:val="yellow"/>
              </w:rPr>
            </w:pPr>
            <w:r w:rsidRPr="00370E70">
              <w:rPr>
                <w:i/>
                <w:iCs/>
                <w:color w:val="000000"/>
                <w:sz w:val="16"/>
                <w:szCs w:val="16"/>
              </w:rPr>
              <w:t>(-91%</w:t>
            </w:r>
            <w:r w:rsidRPr="00370E70">
              <w:rPr>
                <w:rFonts w:cs="Arial"/>
                <w:i/>
                <w:color w:val="000000"/>
                <w:sz w:val="16"/>
                <w:szCs w:val="16"/>
              </w:rPr>
              <w:t xml:space="preserve"> decrease overall)</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0.151</w:t>
            </w:r>
          </w:p>
          <w:p w:rsidR="005132EF" w:rsidRPr="00370E70" w:rsidRDefault="005132EF" w:rsidP="003B1206">
            <w:pPr>
              <w:spacing w:before="0" w:after="0"/>
              <w:jc w:val="center"/>
              <w:rPr>
                <w:rFonts w:cs="Arial"/>
                <w:color w:val="000000"/>
              </w:rPr>
            </w:pPr>
            <w:r w:rsidRPr="00370E70">
              <w:rPr>
                <w:i/>
                <w:iCs/>
                <w:color w:val="000000"/>
                <w:sz w:val="16"/>
                <w:szCs w:val="16"/>
              </w:rPr>
              <w:t>(-91.6%</w:t>
            </w:r>
            <w:r w:rsidRPr="00370E70">
              <w:rPr>
                <w:rFonts w:cs="Arial"/>
                <w:i/>
                <w:color w:val="000000"/>
                <w:sz w:val="16"/>
                <w:szCs w:val="16"/>
              </w:rPr>
              <w:t xml:space="preserve"> decrease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3.429</w:t>
            </w:r>
          </w:p>
          <w:p w:rsidR="005132EF" w:rsidRPr="00370E70" w:rsidRDefault="005132EF" w:rsidP="003B1206">
            <w:pPr>
              <w:spacing w:before="0" w:after="0"/>
              <w:jc w:val="center"/>
              <w:rPr>
                <w:rFonts w:cs="Arial"/>
                <w:color w:val="000000"/>
              </w:rPr>
            </w:pPr>
            <w:r w:rsidRPr="00370E70">
              <w:rPr>
                <w:i/>
                <w:iCs/>
                <w:color w:val="000000"/>
                <w:sz w:val="16"/>
                <w:szCs w:val="16"/>
              </w:rPr>
              <w:t>(4.5%</w:t>
            </w:r>
            <w:r w:rsidRPr="00370E70">
              <w:rPr>
                <w:rFonts w:cs="Arial"/>
                <w:i/>
                <w:color w:val="000000"/>
                <w:sz w:val="16"/>
                <w:szCs w:val="16"/>
              </w:rPr>
              <w:t>, increase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4.282</w:t>
            </w:r>
          </w:p>
          <w:p w:rsidR="005132EF" w:rsidRPr="00370E70" w:rsidRDefault="005132EF" w:rsidP="003B1206">
            <w:pPr>
              <w:spacing w:before="0" w:after="0"/>
              <w:jc w:val="center"/>
              <w:rPr>
                <w:rFonts w:cs="Arial"/>
                <w:color w:val="000000"/>
              </w:rPr>
            </w:pPr>
            <w:r w:rsidRPr="00370E70">
              <w:rPr>
                <w:i/>
                <w:iCs/>
                <w:color w:val="000000"/>
                <w:sz w:val="16"/>
                <w:szCs w:val="16"/>
              </w:rPr>
              <w:t>(7.8%</w:t>
            </w:r>
            <w:r w:rsidRPr="00370E70">
              <w:rPr>
                <w:rFonts w:cs="Arial"/>
                <w:i/>
                <w:color w:val="000000"/>
                <w:sz w:val="16"/>
                <w:szCs w:val="16"/>
              </w:rPr>
              <w:t xml:space="preserve"> increase overall)</w:t>
            </w:r>
          </w:p>
        </w:tc>
      </w:tr>
      <w:tr w:rsidR="005132EF" w:rsidRPr="00370E70" w:rsidTr="003B1206">
        <w:tc>
          <w:tcPr>
            <w:tcW w:w="1233" w:type="dxa"/>
          </w:tcPr>
          <w:p w:rsidR="005132EF" w:rsidRPr="00370E70" w:rsidRDefault="005132EF" w:rsidP="003B1206">
            <w:pPr>
              <w:spacing w:before="0" w:after="0"/>
              <w:jc w:val="center"/>
              <w:rPr>
                <w:b/>
                <w:color w:val="000000"/>
                <w:sz w:val="20"/>
                <w:szCs w:val="20"/>
              </w:rPr>
            </w:pPr>
            <w:r w:rsidRPr="00370E70">
              <w:rPr>
                <w:b/>
                <w:color w:val="000000"/>
                <w:sz w:val="20"/>
                <w:szCs w:val="20"/>
              </w:rPr>
              <w:t>April</w:t>
            </w:r>
          </w:p>
          <w:p w:rsidR="005132EF" w:rsidRPr="00370E70" w:rsidRDefault="005132EF" w:rsidP="003B1206">
            <w:pPr>
              <w:spacing w:before="0" w:after="0"/>
              <w:jc w:val="center"/>
              <w:rPr>
                <w:b/>
                <w:color w:val="000000"/>
                <w:sz w:val="20"/>
                <w:szCs w:val="20"/>
              </w:rPr>
            </w:pPr>
            <w:r w:rsidRPr="00370E70">
              <w:rPr>
                <w:b/>
                <w:color w:val="000000"/>
                <w:sz w:val="20"/>
                <w:szCs w:val="20"/>
              </w:rPr>
              <w:t>2011</w:t>
            </w:r>
          </w:p>
        </w:tc>
        <w:tc>
          <w:tcPr>
            <w:tcW w:w="1037" w:type="dxa"/>
          </w:tcPr>
          <w:p w:rsidR="005132EF" w:rsidRPr="00370E70" w:rsidRDefault="005132EF" w:rsidP="003B1206">
            <w:pPr>
              <w:spacing w:before="0" w:after="0"/>
              <w:jc w:val="center"/>
              <w:rPr>
                <w:rFonts w:cs="Arial"/>
                <w:color w:val="000000"/>
              </w:rPr>
            </w:pPr>
            <w:r w:rsidRPr="00370E70">
              <w:rPr>
                <w:rFonts w:cs="Arial"/>
                <w:color w:val="000000"/>
              </w:rPr>
              <w:t>1.773</w:t>
            </w:r>
          </w:p>
          <w:p w:rsidR="005132EF" w:rsidRPr="00370E70" w:rsidRDefault="005132EF" w:rsidP="003B1206">
            <w:pPr>
              <w:spacing w:before="0" w:after="0"/>
              <w:jc w:val="center"/>
              <w:rPr>
                <w:color w:val="000000"/>
              </w:rPr>
            </w:pPr>
            <w:r w:rsidRPr="00370E70">
              <w:rPr>
                <w:i/>
                <w:iCs/>
                <w:color w:val="000000"/>
                <w:sz w:val="16"/>
                <w:szCs w:val="16"/>
              </w:rPr>
              <w:t>(33.7%,</w:t>
            </w:r>
            <w:r w:rsidRPr="00370E70">
              <w:rPr>
                <w:rFonts w:cs="Arial"/>
                <w:i/>
                <w:color w:val="000000"/>
                <w:sz w:val="16"/>
                <w:szCs w:val="16"/>
              </w:rPr>
              <w:t xml:space="preserve"> increase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4.367</w:t>
            </w:r>
          </w:p>
          <w:p w:rsidR="005132EF" w:rsidRPr="00370E70" w:rsidRDefault="005132EF" w:rsidP="003B1206">
            <w:pPr>
              <w:spacing w:before="0" w:after="0"/>
              <w:jc w:val="center"/>
              <w:rPr>
                <w:color w:val="000000"/>
              </w:rPr>
            </w:pPr>
            <w:r w:rsidRPr="00370E70">
              <w:rPr>
                <w:i/>
                <w:iCs/>
                <w:color w:val="000000"/>
                <w:sz w:val="16"/>
                <w:szCs w:val="16"/>
              </w:rPr>
              <w:t>(22.5%,</w:t>
            </w:r>
            <w:r w:rsidRPr="00370E70">
              <w:rPr>
                <w:rFonts w:cs="Arial"/>
                <w:i/>
                <w:color w:val="000000"/>
                <w:sz w:val="16"/>
                <w:szCs w:val="16"/>
              </w:rPr>
              <w:t xml:space="preserve"> increase overall)</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5.279</w:t>
            </w:r>
          </w:p>
          <w:p w:rsidR="005132EF" w:rsidRPr="00370E70" w:rsidRDefault="005132EF" w:rsidP="003B1206">
            <w:pPr>
              <w:spacing w:before="0" w:after="0"/>
              <w:jc w:val="center"/>
              <w:rPr>
                <w:rFonts w:cs="Arial"/>
                <w:color w:val="000000"/>
              </w:rPr>
            </w:pPr>
            <w:r w:rsidRPr="00370E70">
              <w:rPr>
                <w:i/>
                <w:iCs/>
                <w:color w:val="000000"/>
                <w:sz w:val="16"/>
                <w:szCs w:val="16"/>
              </w:rPr>
              <w:t>(0.4%</w:t>
            </w:r>
            <w:r w:rsidRPr="00370E70">
              <w:rPr>
                <w:rFonts w:cs="Arial"/>
                <w:i/>
                <w:color w:val="000000"/>
                <w:sz w:val="16"/>
                <w:szCs w:val="16"/>
              </w:rPr>
              <w:t xml:space="preserve"> %, no change)</w:t>
            </w:r>
          </w:p>
        </w:tc>
        <w:tc>
          <w:tcPr>
            <w:tcW w:w="1036" w:type="dxa"/>
          </w:tcPr>
          <w:p w:rsidR="005132EF" w:rsidRPr="00370E70" w:rsidRDefault="005132EF" w:rsidP="003B1206">
            <w:pPr>
              <w:spacing w:before="0" w:after="0"/>
              <w:jc w:val="center"/>
              <w:rPr>
                <w:rFonts w:cs="Arial"/>
                <w:color w:val="000000"/>
              </w:rPr>
            </w:pPr>
            <w:r w:rsidRPr="00370E70">
              <w:rPr>
                <w:rFonts w:cs="Arial"/>
                <w:color w:val="000000"/>
              </w:rPr>
              <w:t>4.614</w:t>
            </w:r>
          </w:p>
          <w:p w:rsidR="005132EF" w:rsidRPr="00370E70" w:rsidRDefault="005132EF" w:rsidP="003B1206">
            <w:pPr>
              <w:spacing w:before="0" w:after="0"/>
              <w:jc w:val="center"/>
              <w:rPr>
                <w:rFonts w:cs="Arial"/>
                <w:color w:val="000000"/>
              </w:rPr>
            </w:pPr>
            <w:r w:rsidRPr="00370E70">
              <w:rPr>
                <w:rFonts w:cs="Arial"/>
                <w:i/>
                <w:color w:val="000000"/>
                <w:sz w:val="16"/>
                <w:szCs w:val="16"/>
              </w:rPr>
              <w:t>(-0.4%, no change)</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w:t>
            </w:r>
          </w:p>
          <w:p w:rsidR="005132EF" w:rsidRPr="00370E70" w:rsidRDefault="005132EF" w:rsidP="003B1206">
            <w:pPr>
              <w:spacing w:before="0" w:after="0"/>
              <w:jc w:val="center"/>
              <w:rPr>
                <w:rFonts w:cs="Arial"/>
                <w:color w:val="000000"/>
                <w:highlight w:val="yellow"/>
              </w:rPr>
            </w:pPr>
            <w:r w:rsidRPr="00370E70">
              <w:rPr>
                <w:i/>
                <w:iCs/>
                <w:color w:val="000000"/>
                <w:sz w:val="16"/>
                <w:szCs w:val="16"/>
              </w:rPr>
              <w:t>(-100%,</w:t>
            </w:r>
            <w:r w:rsidRPr="00370E70">
              <w:rPr>
                <w:rFonts w:cs="Arial"/>
                <w:i/>
                <w:color w:val="000000"/>
                <w:sz w:val="16"/>
                <w:szCs w:val="16"/>
              </w:rPr>
              <w:t xml:space="preserve"> loss of meadow)</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w:t>
            </w:r>
          </w:p>
          <w:p w:rsidR="005132EF" w:rsidRPr="00370E70" w:rsidRDefault="005132EF" w:rsidP="003B1206">
            <w:pPr>
              <w:spacing w:before="0" w:after="0"/>
              <w:jc w:val="center"/>
              <w:rPr>
                <w:rFonts w:cs="Arial"/>
                <w:color w:val="000000"/>
                <w:highlight w:val="yellow"/>
              </w:rPr>
            </w:pPr>
            <w:r w:rsidRPr="00370E70">
              <w:rPr>
                <w:i/>
                <w:iCs/>
                <w:color w:val="000000"/>
                <w:sz w:val="16"/>
                <w:szCs w:val="16"/>
              </w:rPr>
              <w:t>(-100%,</w:t>
            </w:r>
            <w:r w:rsidRPr="00370E70">
              <w:rPr>
                <w:rFonts w:cs="Arial"/>
                <w:i/>
                <w:color w:val="000000"/>
                <w:sz w:val="16"/>
                <w:szCs w:val="16"/>
              </w:rPr>
              <w:t xml:space="preserve"> loss of meadow)</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w:t>
            </w:r>
          </w:p>
          <w:p w:rsidR="005132EF" w:rsidRPr="00370E70" w:rsidRDefault="005132EF" w:rsidP="003B1206">
            <w:pPr>
              <w:spacing w:before="0" w:after="0"/>
              <w:jc w:val="center"/>
              <w:rPr>
                <w:rFonts w:cs="Arial"/>
                <w:color w:val="000000"/>
                <w:highlight w:val="yellow"/>
              </w:rPr>
            </w:pPr>
            <w:r w:rsidRPr="00370E70">
              <w:rPr>
                <w:i/>
                <w:iCs/>
                <w:color w:val="000000"/>
                <w:sz w:val="16"/>
                <w:szCs w:val="16"/>
              </w:rPr>
              <w:t>(-100%,</w:t>
            </w:r>
            <w:r w:rsidRPr="00370E70">
              <w:rPr>
                <w:rFonts w:cs="Arial"/>
                <w:i/>
                <w:color w:val="000000"/>
                <w:sz w:val="16"/>
                <w:szCs w:val="16"/>
              </w:rPr>
              <w:t xml:space="preserve"> loss of meadow)</w:t>
            </w:r>
          </w:p>
        </w:tc>
        <w:tc>
          <w:tcPr>
            <w:tcW w:w="1036" w:type="dxa"/>
            <w:shd w:val="clear" w:color="auto" w:fill="E6E6E6"/>
          </w:tcPr>
          <w:p w:rsidR="005132EF" w:rsidRPr="00370E70" w:rsidRDefault="005132EF" w:rsidP="003B1206">
            <w:pPr>
              <w:spacing w:before="0" w:after="0"/>
              <w:jc w:val="center"/>
              <w:rPr>
                <w:rFonts w:cs="Arial"/>
                <w:color w:val="000000"/>
              </w:rPr>
            </w:pPr>
            <w:r w:rsidRPr="00370E70">
              <w:rPr>
                <w:rFonts w:cs="Arial"/>
                <w:color w:val="000000"/>
              </w:rPr>
              <w:t>0.013</w:t>
            </w:r>
          </w:p>
          <w:p w:rsidR="005132EF" w:rsidRPr="00370E70" w:rsidRDefault="005132EF" w:rsidP="003B1206">
            <w:pPr>
              <w:spacing w:before="0" w:after="0"/>
              <w:jc w:val="center"/>
              <w:rPr>
                <w:rFonts w:cs="Arial"/>
                <w:color w:val="000000"/>
              </w:rPr>
            </w:pPr>
            <w:r w:rsidRPr="00370E70">
              <w:rPr>
                <w:i/>
                <w:iCs/>
                <w:color w:val="000000"/>
                <w:sz w:val="16"/>
                <w:szCs w:val="16"/>
              </w:rPr>
              <w:t>(-99.7%</w:t>
            </w:r>
            <w:r w:rsidRPr="00370E70">
              <w:rPr>
                <w:rFonts w:cs="Arial"/>
                <w:i/>
                <w:color w:val="000000"/>
                <w:sz w:val="16"/>
                <w:szCs w:val="16"/>
              </w:rPr>
              <w:t xml:space="preserve"> isolated patches)</w:t>
            </w:r>
          </w:p>
        </w:tc>
      </w:tr>
      <w:tr w:rsidR="005132EF" w:rsidRPr="00370E70" w:rsidTr="00D81D10">
        <w:tc>
          <w:tcPr>
            <w:tcW w:w="1233" w:type="dxa"/>
          </w:tcPr>
          <w:p w:rsidR="005132EF" w:rsidRPr="00370E70" w:rsidRDefault="005132EF" w:rsidP="00C7725F">
            <w:pPr>
              <w:spacing w:before="0" w:after="0"/>
              <w:jc w:val="center"/>
              <w:rPr>
                <w:b/>
                <w:color w:val="000000"/>
                <w:sz w:val="20"/>
                <w:szCs w:val="20"/>
              </w:rPr>
            </w:pPr>
            <w:r w:rsidRPr="00370E70">
              <w:rPr>
                <w:b/>
                <w:color w:val="000000"/>
                <w:sz w:val="20"/>
                <w:szCs w:val="20"/>
              </w:rPr>
              <w:t>October</w:t>
            </w:r>
          </w:p>
          <w:p w:rsidR="005132EF" w:rsidRPr="00370E70" w:rsidRDefault="005132EF" w:rsidP="00C7725F">
            <w:pPr>
              <w:spacing w:before="0" w:after="0"/>
              <w:jc w:val="center"/>
              <w:rPr>
                <w:b/>
                <w:color w:val="000000"/>
                <w:sz w:val="20"/>
                <w:szCs w:val="20"/>
              </w:rPr>
            </w:pPr>
            <w:r w:rsidRPr="00370E70">
              <w:rPr>
                <w:b/>
                <w:color w:val="000000"/>
                <w:sz w:val="20"/>
                <w:szCs w:val="20"/>
              </w:rPr>
              <w:t>2011</w:t>
            </w:r>
          </w:p>
        </w:tc>
        <w:tc>
          <w:tcPr>
            <w:tcW w:w="1037" w:type="dxa"/>
            <w:shd w:val="clear" w:color="auto" w:fill="E6E6E6"/>
          </w:tcPr>
          <w:p w:rsidR="005132EF" w:rsidRPr="00370E70" w:rsidRDefault="005132EF" w:rsidP="00C868F3">
            <w:pPr>
              <w:spacing w:before="0" w:after="0"/>
              <w:jc w:val="center"/>
              <w:rPr>
                <w:rFonts w:cs="Arial"/>
                <w:color w:val="000000"/>
              </w:rPr>
            </w:pPr>
            <w:r w:rsidRPr="00370E70">
              <w:rPr>
                <w:rFonts w:cs="Arial"/>
                <w:color w:val="000000"/>
              </w:rPr>
              <w:t>0.432</w:t>
            </w:r>
          </w:p>
          <w:p w:rsidR="005132EF" w:rsidRPr="00370E70" w:rsidRDefault="005132EF" w:rsidP="00C868F3">
            <w:pPr>
              <w:spacing w:before="0" w:after="0"/>
              <w:jc w:val="center"/>
              <w:rPr>
                <w:rFonts w:cs="Arial"/>
                <w:color w:val="000000"/>
              </w:rPr>
            </w:pPr>
            <w:r w:rsidRPr="00370E70">
              <w:rPr>
                <w:i/>
                <w:iCs/>
                <w:color w:val="000000"/>
                <w:sz w:val="16"/>
                <w:szCs w:val="16"/>
              </w:rPr>
              <w:t>(-67.4, loss overall)</w:t>
            </w:r>
          </w:p>
        </w:tc>
        <w:tc>
          <w:tcPr>
            <w:tcW w:w="1036" w:type="dxa"/>
            <w:shd w:val="clear" w:color="auto" w:fill="E6E6E6"/>
          </w:tcPr>
          <w:p w:rsidR="005132EF" w:rsidRPr="00370E70" w:rsidRDefault="005132EF" w:rsidP="00C868F3">
            <w:pPr>
              <w:spacing w:before="0" w:after="0"/>
              <w:jc w:val="center"/>
              <w:rPr>
                <w:rFonts w:cs="Arial"/>
                <w:color w:val="000000"/>
              </w:rPr>
            </w:pPr>
            <w:r w:rsidRPr="00370E70">
              <w:rPr>
                <w:rFonts w:cs="Arial"/>
                <w:color w:val="000000"/>
              </w:rPr>
              <w:t>2.027</w:t>
            </w:r>
          </w:p>
          <w:p w:rsidR="005132EF" w:rsidRPr="00370E70" w:rsidRDefault="005132EF" w:rsidP="00C868F3">
            <w:pPr>
              <w:spacing w:before="0" w:after="0"/>
              <w:jc w:val="center"/>
              <w:rPr>
                <w:i/>
                <w:iCs/>
                <w:color w:val="000000"/>
                <w:sz w:val="16"/>
                <w:szCs w:val="16"/>
              </w:rPr>
            </w:pPr>
            <w:r w:rsidRPr="00370E70">
              <w:rPr>
                <w:i/>
                <w:iCs/>
                <w:color w:val="000000"/>
                <w:sz w:val="16"/>
                <w:szCs w:val="16"/>
              </w:rPr>
              <w:t>(-43.6, loss overall)</w:t>
            </w:r>
          </w:p>
        </w:tc>
        <w:tc>
          <w:tcPr>
            <w:tcW w:w="1036" w:type="dxa"/>
          </w:tcPr>
          <w:p w:rsidR="005132EF" w:rsidRPr="00370E70" w:rsidRDefault="005132EF" w:rsidP="00D81D10">
            <w:pPr>
              <w:spacing w:before="0" w:after="0"/>
              <w:jc w:val="center"/>
              <w:rPr>
                <w:rFonts w:cs="Arial"/>
                <w:color w:val="000000"/>
              </w:rPr>
            </w:pPr>
            <w:r w:rsidRPr="00370E70">
              <w:rPr>
                <w:rFonts w:cs="Arial"/>
                <w:color w:val="000000"/>
              </w:rPr>
              <w:t>5.337</w:t>
            </w:r>
          </w:p>
          <w:p w:rsidR="005132EF" w:rsidRPr="00370E70" w:rsidRDefault="005132EF" w:rsidP="00D81D10">
            <w:pPr>
              <w:spacing w:before="0" w:after="0"/>
              <w:jc w:val="center"/>
              <w:rPr>
                <w:i/>
                <w:iCs/>
                <w:color w:val="000000"/>
                <w:sz w:val="16"/>
                <w:szCs w:val="16"/>
              </w:rPr>
            </w:pPr>
            <w:r w:rsidRPr="00370E70">
              <w:rPr>
                <w:i/>
                <w:iCs/>
                <w:color w:val="000000"/>
                <w:sz w:val="16"/>
                <w:szCs w:val="16"/>
              </w:rPr>
              <w:t xml:space="preserve">(1.5, </w:t>
            </w:r>
            <w:r w:rsidRPr="00370E70">
              <w:rPr>
                <w:rFonts w:cs="Arial"/>
                <w:i/>
                <w:color w:val="000000"/>
                <w:sz w:val="16"/>
                <w:szCs w:val="16"/>
              </w:rPr>
              <w:t>negligible)</w:t>
            </w:r>
          </w:p>
        </w:tc>
        <w:tc>
          <w:tcPr>
            <w:tcW w:w="1036" w:type="dxa"/>
          </w:tcPr>
          <w:p w:rsidR="005132EF" w:rsidRPr="00370E70" w:rsidRDefault="005132EF" w:rsidP="00D81D10">
            <w:pPr>
              <w:spacing w:before="0" w:after="0"/>
              <w:jc w:val="center"/>
              <w:rPr>
                <w:rFonts w:cs="Arial"/>
                <w:color w:val="000000"/>
              </w:rPr>
            </w:pPr>
            <w:r w:rsidRPr="00370E70">
              <w:rPr>
                <w:rFonts w:cs="Arial"/>
                <w:color w:val="000000"/>
              </w:rPr>
              <w:t>4.706</w:t>
            </w:r>
          </w:p>
          <w:p w:rsidR="005132EF" w:rsidRPr="00370E70" w:rsidRDefault="005132EF" w:rsidP="00D81D10">
            <w:pPr>
              <w:spacing w:before="0" w:after="0"/>
              <w:jc w:val="center"/>
              <w:rPr>
                <w:i/>
                <w:iCs/>
                <w:color w:val="000000"/>
                <w:sz w:val="16"/>
                <w:szCs w:val="16"/>
              </w:rPr>
            </w:pPr>
            <w:r w:rsidRPr="00370E70">
              <w:rPr>
                <w:i/>
                <w:iCs/>
                <w:color w:val="000000"/>
                <w:sz w:val="16"/>
                <w:szCs w:val="16"/>
              </w:rPr>
              <w:t xml:space="preserve">(1.6, </w:t>
            </w:r>
            <w:r w:rsidRPr="00370E70">
              <w:rPr>
                <w:rFonts w:cs="Arial"/>
                <w:i/>
                <w:color w:val="000000"/>
                <w:sz w:val="16"/>
                <w:szCs w:val="16"/>
              </w:rPr>
              <w:t>negligible)</w:t>
            </w:r>
          </w:p>
        </w:tc>
        <w:tc>
          <w:tcPr>
            <w:tcW w:w="1036" w:type="dxa"/>
            <w:shd w:val="clear" w:color="auto" w:fill="E6E6E6"/>
          </w:tcPr>
          <w:p w:rsidR="005132EF" w:rsidRPr="00370E70" w:rsidRDefault="005132EF" w:rsidP="006A49C1">
            <w:pPr>
              <w:spacing w:before="0" w:after="0"/>
              <w:jc w:val="center"/>
              <w:rPr>
                <w:rFonts w:cs="Arial"/>
                <w:color w:val="000000"/>
              </w:rPr>
            </w:pPr>
            <w:r w:rsidRPr="00370E70">
              <w:rPr>
                <w:rFonts w:cs="Arial"/>
                <w:color w:val="000000"/>
              </w:rPr>
              <w:t>0</w:t>
            </w:r>
          </w:p>
          <w:p w:rsidR="005132EF" w:rsidRPr="00370E70" w:rsidRDefault="005132EF" w:rsidP="006A49C1">
            <w:pPr>
              <w:spacing w:before="0" w:after="0"/>
              <w:jc w:val="center"/>
              <w:rPr>
                <w:rFonts w:cs="Arial"/>
                <w:color w:val="000000"/>
                <w:highlight w:val="yellow"/>
              </w:rPr>
            </w:pPr>
            <w:r w:rsidRPr="00370E70">
              <w:rPr>
                <w:rFonts w:cs="Arial"/>
                <w:i/>
                <w:color w:val="000000"/>
                <w:sz w:val="16"/>
                <w:szCs w:val="16"/>
              </w:rPr>
              <w:t>(meadow absent)</w:t>
            </w:r>
          </w:p>
        </w:tc>
        <w:tc>
          <w:tcPr>
            <w:tcW w:w="1036" w:type="dxa"/>
            <w:shd w:val="clear" w:color="auto" w:fill="E6E6E6"/>
          </w:tcPr>
          <w:p w:rsidR="005132EF" w:rsidRPr="00370E70" w:rsidRDefault="005132EF" w:rsidP="006A49C1">
            <w:pPr>
              <w:spacing w:before="0" w:after="0"/>
              <w:jc w:val="center"/>
              <w:rPr>
                <w:rFonts w:cs="Arial"/>
                <w:color w:val="000000"/>
              </w:rPr>
            </w:pPr>
            <w:r w:rsidRPr="00370E70">
              <w:rPr>
                <w:rFonts w:cs="Arial"/>
                <w:color w:val="000000"/>
              </w:rPr>
              <w:t>0</w:t>
            </w:r>
          </w:p>
          <w:p w:rsidR="005132EF" w:rsidRPr="00370E70" w:rsidRDefault="005132EF" w:rsidP="006A49C1">
            <w:pPr>
              <w:spacing w:before="0" w:after="0"/>
              <w:jc w:val="center"/>
              <w:rPr>
                <w:rFonts w:cs="Arial"/>
                <w:color w:val="000000"/>
                <w:highlight w:val="yellow"/>
              </w:rPr>
            </w:pPr>
            <w:r w:rsidRPr="00370E70">
              <w:rPr>
                <w:rFonts w:cs="Arial"/>
                <w:i/>
                <w:color w:val="000000"/>
                <w:sz w:val="16"/>
                <w:szCs w:val="16"/>
              </w:rPr>
              <w:t>(meadow absent)</w:t>
            </w:r>
          </w:p>
        </w:tc>
        <w:tc>
          <w:tcPr>
            <w:tcW w:w="1036" w:type="dxa"/>
            <w:shd w:val="clear" w:color="auto" w:fill="E6E6E6"/>
          </w:tcPr>
          <w:p w:rsidR="005132EF" w:rsidRPr="00370E70" w:rsidRDefault="005132EF" w:rsidP="00D81D10">
            <w:pPr>
              <w:spacing w:before="0" w:after="0"/>
              <w:jc w:val="center"/>
              <w:rPr>
                <w:rFonts w:cs="Arial"/>
                <w:color w:val="000000"/>
              </w:rPr>
            </w:pPr>
            <w:r w:rsidRPr="00370E70">
              <w:rPr>
                <w:rFonts w:cs="Arial"/>
                <w:color w:val="000000"/>
              </w:rPr>
              <w:t>0.072</w:t>
            </w:r>
          </w:p>
          <w:p w:rsidR="005132EF" w:rsidRPr="00370E70" w:rsidRDefault="005132EF" w:rsidP="00D81D10">
            <w:pPr>
              <w:spacing w:before="0" w:after="0"/>
              <w:jc w:val="center"/>
              <w:rPr>
                <w:i/>
                <w:iCs/>
                <w:color w:val="000000"/>
                <w:sz w:val="16"/>
                <w:szCs w:val="16"/>
              </w:rPr>
            </w:pPr>
            <w:r w:rsidRPr="00370E70">
              <w:rPr>
                <w:i/>
                <w:iCs/>
                <w:color w:val="000000"/>
                <w:sz w:val="16"/>
                <w:szCs w:val="16"/>
              </w:rPr>
              <w:t>(-97.8, isolated patches)</w:t>
            </w:r>
          </w:p>
        </w:tc>
        <w:tc>
          <w:tcPr>
            <w:tcW w:w="1036" w:type="dxa"/>
            <w:shd w:val="clear" w:color="auto" w:fill="E6E6E6"/>
          </w:tcPr>
          <w:p w:rsidR="005132EF" w:rsidRPr="00370E70" w:rsidRDefault="005132EF" w:rsidP="00D81D10">
            <w:pPr>
              <w:spacing w:before="0" w:after="0"/>
              <w:jc w:val="center"/>
              <w:rPr>
                <w:rFonts w:cs="Arial"/>
                <w:color w:val="000000"/>
              </w:rPr>
            </w:pPr>
            <w:r w:rsidRPr="00370E70">
              <w:rPr>
                <w:rFonts w:cs="Arial"/>
                <w:color w:val="000000"/>
              </w:rPr>
              <w:t>0.255</w:t>
            </w:r>
          </w:p>
          <w:p w:rsidR="005132EF" w:rsidRPr="00370E70" w:rsidRDefault="005132EF" w:rsidP="00D81D10">
            <w:pPr>
              <w:spacing w:before="0" w:after="0"/>
              <w:jc w:val="center"/>
              <w:rPr>
                <w:i/>
                <w:iCs/>
                <w:color w:val="000000"/>
                <w:sz w:val="16"/>
                <w:szCs w:val="16"/>
              </w:rPr>
            </w:pPr>
            <w:r w:rsidRPr="00370E70">
              <w:rPr>
                <w:i/>
                <w:iCs/>
                <w:color w:val="000000"/>
                <w:sz w:val="16"/>
                <w:szCs w:val="16"/>
              </w:rPr>
              <w:t>(-93.6, isolated patches)</w:t>
            </w:r>
          </w:p>
        </w:tc>
      </w:tr>
      <w:tr w:rsidR="005132EF" w:rsidRPr="00370E70" w:rsidTr="00D81D10">
        <w:tc>
          <w:tcPr>
            <w:tcW w:w="1233" w:type="dxa"/>
          </w:tcPr>
          <w:p w:rsidR="005132EF" w:rsidRPr="00370E70" w:rsidRDefault="005132EF" w:rsidP="00C7725F">
            <w:pPr>
              <w:spacing w:before="0" w:after="0"/>
              <w:jc w:val="center"/>
              <w:rPr>
                <w:b/>
                <w:color w:val="000000"/>
                <w:sz w:val="20"/>
                <w:szCs w:val="20"/>
              </w:rPr>
            </w:pPr>
            <w:r w:rsidRPr="00370E70">
              <w:rPr>
                <w:b/>
                <w:color w:val="000000"/>
                <w:sz w:val="20"/>
                <w:szCs w:val="20"/>
              </w:rPr>
              <w:t>April</w:t>
            </w:r>
          </w:p>
          <w:p w:rsidR="005132EF" w:rsidRPr="00370E70" w:rsidRDefault="005132EF" w:rsidP="00C7725F">
            <w:pPr>
              <w:spacing w:before="0" w:after="0"/>
              <w:jc w:val="center"/>
              <w:rPr>
                <w:b/>
                <w:color w:val="000000"/>
                <w:sz w:val="20"/>
                <w:szCs w:val="20"/>
              </w:rPr>
            </w:pPr>
            <w:r w:rsidRPr="00370E70">
              <w:rPr>
                <w:b/>
                <w:color w:val="000000"/>
                <w:sz w:val="20"/>
                <w:szCs w:val="20"/>
              </w:rPr>
              <w:t>2012</w:t>
            </w:r>
          </w:p>
        </w:tc>
        <w:tc>
          <w:tcPr>
            <w:tcW w:w="1037" w:type="dxa"/>
            <w:shd w:val="clear" w:color="auto" w:fill="E6E6E6"/>
          </w:tcPr>
          <w:p w:rsidR="005132EF" w:rsidRPr="00370E70" w:rsidRDefault="005132EF" w:rsidP="00C868F3">
            <w:pPr>
              <w:spacing w:before="0" w:after="0"/>
              <w:jc w:val="center"/>
              <w:rPr>
                <w:rFonts w:cs="Arial"/>
                <w:color w:val="000000"/>
              </w:rPr>
            </w:pPr>
            <w:r w:rsidRPr="00370E70">
              <w:rPr>
                <w:rFonts w:cs="Arial"/>
                <w:color w:val="000000"/>
              </w:rPr>
              <w:t>1.244</w:t>
            </w:r>
          </w:p>
          <w:p w:rsidR="005132EF" w:rsidRPr="00370E70" w:rsidRDefault="005132EF" w:rsidP="00C868F3">
            <w:pPr>
              <w:spacing w:before="0" w:after="0"/>
              <w:jc w:val="center"/>
              <w:rPr>
                <w:i/>
                <w:iCs/>
                <w:color w:val="000000"/>
                <w:sz w:val="16"/>
                <w:szCs w:val="16"/>
              </w:rPr>
            </w:pPr>
            <w:r w:rsidRPr="00370E70">
              <w:rPr>
                <w:i/>
                <w:iCs/>
                <w:color w:val="000000"/>
                <w:sz w:val="16"/>
                <w:szCs w:val="16"/>
              </w:rPr>
              <w:t>(-6.2, increase overall)</w:t>
            </w:r>
          </w:p>
        </w:tc>
        <w:tc>
          <w:tcPr>
            <w:tcW w:w="1036" w:type="dxa"/>
          </w:tcPr>
          <w:p w:rsidR="005132EF" w:rsidRPr="00370E70" w:rsidRDefault="005132EF" w:rsidP="00C868F3">
            <w:pPr>
              <w:spacing w:before="0" w:after="0"/>
              <w:jc w:val="center"/>
              <w:rPr>
                <w:rFonts w:cs="Arial"/>
                <w:color w:val="000000"/>
              </w:rPr>
            </w:pPr>
            <w:r w:rsidRPr="00370E70">
              <w:rPr>
                <w:rFonts w:cs="Arial"/>
                <w:color w:val="000000"/>
              </w:rPr>
              <w:t>3.602</w:t>
            </w:r>
          </w:p>
          <w:p w:rsidR="005132EF" w:rsidRPr="00370E70" w:rsidRDefault="005132EF" w:rsidP="00C868F3">
            <w:pPr>
              <w:spacing w:before="0" w:after="0"/>
              <w:jc w:val="center"/>
              <w:rPr>
                <w:i/>
                <w:iCs/>
                <w:color w:val="000000"/>
                <w:sz w:val="16"/>
                <w:szCs w:val="16"/>
              </w:rPr>
            </w:pPr>
            <w:r w:rsidRPr="00370E70">
              <w:rPr>
                <w:i/>
                <w:iCs/>
                <w:color w:val="000000"/>
                <w:sz w:val="16"/>
                <w:szCs w:val="16"/>
              </w:rPr>
              <w:t>(0.2, increase overall)</w:t>
            </w:r>
          </w:p>
        </w:tc>
        <w:tc>
          <w:tcPr>
            <w:tcW w:w="1036" w:type="dxa"/>
          </w:tcPr>
          <w:p w:rsidR="005132EF" w:rsidRPr="00370E70" w:rsidRDefault="005132EF" w:rsidP="00D81D10">
            <w:pPr>
              <w:spacing w:before="0" w:after="0"/>
              <w:jc w:val="center"/>
              <w:rPr>
                <w:rFonts w:cs="Arial"/>
                <w:color w:val="000000"/>
              </w:rPr>
            </w:pPr>
            <w:r w:rsidRPr="00370E70">
              <w:rPr>
                <w:rFonts w:cs="Arial"/>
                <w:color w:val="000000"/>
              </w:rPr>
              <w:t>5.312</w:t>
            </w:r>
          </w:p>
          <w:p w:rsidR="005132EF" w:rsidRPr="00370E70" w:rsidRDefault="005132EF" w:rsidP="00D81D10">
            <w:pPr>
              <w:spacing w:before="0" w:after="0"/>
              <w:jc w:val="center"/>
              <w:rPr>
                <w:i/>
                <w:iCs/>
                <w:color w:val="000000"/>
                <w:sz w:val="16"/>
                <w:szCs w:val="16"/>
              </w:rPr>
            </w:pPr>
            <w:r w:rsidRPr="00370E70">
              <w:rPr>
                <w:i/>
                <w:iCs/>
                <w:color w:val="000000"/>
                <w:sz w:val="16"/>
                <w:szCs w:val="16"/>
              </w:rPr>
              <w:t xml:space="preserve">(1.1, </w:t>
            </w:r>
            <w:r w:rsidRPr="00370E70">
              <w:rPr>
                <w:rFonts w:cs="Arial"/>
                <w:i/>
                <w:color w:val="000000"/>
                <w:sz w:val="16"/>
                <w:szCs w:val="16"/>
              </w:rPr>
              <w:t>negligible)</w:t>
            </w:r>
          </w:p>
        </w:tc>
        <w:tc>
          <w:tcPr>
            <w:tcW w:w="1036" w:type="dxa"/>
          </w:tcPr>
          <w:p w:rsidR="005132EF" w:rsidRPr="00370E70" w:rsidRDefault="005132EF" w:rsidP="00D81D10">
            <w:pPr>
              <w:spacing w:before="0" w:after="0"/>
              <w:jc w:val="center"/>
              <w:rPr>
                <w:rFonts w:cs="Arial"/>
                <w:color w:val="000000"/>
              </w:rPr>
            </w:pPr>
            <w:r w:rsidRPr="00370E70">
              <w:rPr>
                <w:rFonts w:cs="Arial"/>
                <w:color w:val="000000"/>
              </w:rPr>
              <w:t>4.714</w:t>
            </w:r>
          </w:p>
          <w:p w:rsidR="005132EF" w:rsidRPr="00370E70" w:rsidRDefault="005132EF" w:rsidP="00D81D10">
            <w:pPr>
              <w:spacing w:before="0" w:after="0"/>
              <w:jc w:val="center"/>
              <w:rPr>
                <w:i/>
                <w:iCs/>
                <w:color w:val="000000"/>
                <w:sz w:val="16"/>
                <w:szCs w:val="16"/>
              </w:rPr>
            </w:pPr>
            <w:r w:rsidRPr="00370E70">
              <w:rPr>
                <w:i/>
                <w:iCs/>
                <w:color w:val="000000"/>
                <w:sz w:val="16"/>
                <w:szCs w:val="16"/>
              </w:rPr>
              <w:t xml:space="preserve">(1.8, </w:t>
            </w:r>
            <w:r w:rsidRPr="00370E70">
              <w:rPr>
                <w:rFonts w:cs="Arial"/>
                <w:i/>
                <w:color w:val="000000"/>
                <w:sz w:val="16"/>
                <w:szCs w:val="16"/>
              </w:rPr>
              <w:t>negligible)</w:t>
            </w:r>
          </w:p>
        </w:tc>
        <w:tc>
          <w:tcPr>
            <w:tcW w:w="1036" w:type="dxa"/>
            <w:shd w:val="clear" w:color="auto" w:fill="E6E6E6"/>
          </w:tcPr>
          <w:p w:rsidR="005132EF" w:rsidRPr="00370E70" w:rsidRDefault="005132EF" w:rsidP="006A49C1">
            <w:pPr>
              <w:spacing w:before="0" w:after="0"/>
              <w:jc w:val="center"/>
              <w:rPr>
                <w:rFonts w:cs="Arial"/>
                <w:color w:val="000000"/>
              </w:rPr>
            </w:pPr>
            <w:r w:rsidRPr="00370E70">
              <w:rPr>
                <w:rFonts w:cs="Arial"/>
                <w:color w:val="000000"/>
              </w:rPr>
              <w:t>0</w:t>
            </w:r>
          </w:p>
          <w:p w:rsidR="005132EF" w:rsidRPr="00370E70" w:rsidRDefault="005132EF" w:rsidP="006A49C1">
            <w:pPr>
              <w:spacing w:before="0" w:after="0"/>
              <w:jc w:val="center"/>
              <w:rPr>
                <w:rFonts w:cs="Arial"/>
                <w:color w:val="000000"/>
                <w:highlight w:val="yellow"/>
              </w:rPr>
            </w:pPr>
            <w:r w:rsidRPr="00370E70">
              <w:rPr>
                <w:rFonts w:cs="Arial"/>
                <w:i/>
                <w:color w:val="000000"/>
                <w:sz w:val="16"/>
                <w:szCs w:val="16"/>
              </w:rPr>
              <w:t>(meadow absent)</w:t>
            </w:r>
          </w:p>
        </w:tc>
        <w:tc>
          <w:tcPr>
            <w:tcW w:w="1036" w:type="dxa"/>
            <w:shd w:val="clear" w:color="auto" w:fill="E6E6E6"/>
          </w:tcPr>
          <w:p w:rsidR="005132EF" w:rsidRPr="00370E70" w:rsidRDefault="005132EF" w:rsidP="006A49C1">
            <w:pPr>
              <w:spacing w:before="0" w:after="0"/>
              <w:jc w:val="center"/>
              <w:rPr>
                <w:rFonts w:cs="Arial"/>
                <w:color w:val="000000"/>
              </w:rPr>
            </w:pPr>
            <w:r w:rsidRPr="00370E70">
              <w:rPr>
                <w:rFonts w:cs="Arial"/>
                <w:color w:val="000000"/>
              </w:rPr>
              <w:t>0</w:t>
            </w:r>
          </w:p>
          <w:p w:rsidR="005132EF" w:rsidRPr="00370E70" w:rsidRDefault="005132EF" w:rsidP="006A49C1">
            <w:pPr>
              <w:spacing w:before="0" w:after="0"/>
              <w:jc w:val="center"/>
              <w:rPr>
                <w:rFonts w:cs="Arial"/>
                <w:color w:val="000000"/>
                <w:highlight w:val="yellow"/>
              </w:rPr>
            </w:pPr>
            <w:r w:rsidRPr="00370E70">
              <w:rPr>
                <w:rFonts w:cs="Arial"/>
                <w:i/>
                <w:color w:val="000000"/>
                <w:sz w:val="16"/>
                <w:szCs w:val="16"/>
              </w:rPr>
              <w:t>(meadow absent)</w:t>
            </w:r>
          </w:p>
        </w:tc>
        <w:tc>
          <w:tcPr>
            <w:tcW w:w="1036" w:type="dxa"/>
            <w:shd w:val="clear" w:color="auto" w:fill="E6E6E6"/>
          </w:tcPr>
          <w:p w:rsidR="005132EF" w:rsidRPr="00370E70" w:rsidRDefault="005132EF" w:rsidP="00D81D10">
            <w:pPr>
              <w:spacing w:before="0" w:after="0"/>
              <w:jc w:val="center"/>
              <w:rPr>
                <w:rFonts w:cs="Arial"/>
                <w:color w:val="000000"/>
              </w:rPr>
            </w:pPr>
            <w:r w:rsidRPr="00370E70">
              <w:rPr>
                <w:rFonts w:cs="Arial"/>
                <w:color w:val="000000"/>
              </w:rPr>
              <w:t>0.019</w:t>
            </w:r>
          </w:p>
          <w:p w:rsidR="005132EF" w:rsidRPr="00370E70" w:rsidRDefault="005132EF" w:rsidP="00D81D10">
            <w:pPr>
              <w:spacing w:before="0" w:after="0"/>
              <w:jc w:val="center"/>
              <w:rPr>
                <w:i/>
                <w:iCs/>
                <w:color w:val="000000"/>
                <w:sz w:val="16"/>
                <w:szCs w:val="16"/>
              </w:rPr>
            </w:pPr>
            <w:r w:rsidRPr="00370E70">
              <w:rPr>
                <w:i/>
                <w:iCs/>
                <w:color w:val="000000"/>
                <w:sz w:val="16"/>
                <w:szCs w:val="16"/>
              </w:rPr>
              <w:t>(-99.4, isolated patches)</w:t>
            </w:r>
          </w:p>
        </w:tc>
        <w:tc>
          <w:tcPr>
            <w:tcW w:w="1036" w:type="dxa"/>
            <w:shd w:val="clear" w:color="auto" w:fill="E6E6E6"/>
          </w:tcPr>
          <w:p w:rsidR="005132EF" w:rsidRPr="00370E70" w:rsidRDefault="005132EF" w:rsidP="00D81D10">
            <w:pPr>
              <w:spacing w:before="0" w:after="0"/>
              <w:jc w:val="center"/>
              <w:rPr>
                <w:rFonts w:cs="Arial"/>
                <w:color w:val="000000"/>
              </w:rPr>
            </w:pPr>
            <w:r w:rsidRPr="00370E70">
              <w:rPr>
                <w:rFonts w:cs="Arial"/>
                <w:color w:val="000000"/>
              </w:rPr>
              <w:t>0.151</w:t>
            </w:r>
          </w:p>
          <w:p w:rsidR="005132EF" w:rsidRPr="00370E70" w:rsidRDefault="005132EF" w:rsidP="00D81D10">
            <w:pPr>
              <w:spacing w:before="0" w:after="0"/>
              <w:jc w:val="center"/>
              <w:rPr>
                <w:i/>
                <w:iCs/>
                <w:color w:val="000000"/>
                <w:sz w:val="16"/>
                <w:szCs w:val="16"/>
              </w:rPr>
            </w:pPr>
            <w:r w:rsidRPr="00370E70">
              <w:rPr>
                <w:i/>
                <w:iCs/>
                <w:color w:val="000000"/>
                <w:sz w:val="16"/>
                <w:szCs w:val="16"/>
              </w:rPr>
              <w:t>(-96.2, isolated patches)</w:t>
            </w:r>
          </w:p>
        </w:tc>
      </w:tr>
    </w:tbl>
    <w:p w:rsidR="000535CA" w:rsidRPr="00370E70" w:rsidRDefault="007B15AB" w:rsidP="000535CA">
      <w:pPr>
        <w:keepNext/>
        <w:jc w:val="center"/>
        <w:rPr>
          <w:color w:val="000000"/>
        </w:rPr>
      </w:pPr>
      <w:r>
        <w:rPr>
          <w:noProof/>
          <w:lang w:eastAsia="en-AU"/>
        </w:rPr>
        <w:lastRenderedPageBreak/>
        <w:drawing>
          <wp:inline distT="0" distB="0" distL="0" distR="0">
            <wp:extent cx="5396230" cy="1816100"/>
            <wp:effectExtent l="0" t="0" r="0" b="0"/>
            <wp:docPr id="74" name="Picture 82" descr="Figure showing changes in extent of area (100m radius of monitoring site) covered by seagrass at each coastal and reef intertidal monitoring sites in the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Figure showing changes in extent of area (100m radius of monitoring site) covered by seagrass at each coastal and reef intertidal monitoring sites in the northern Wet Tropics region"/>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96230" cy="1816100"/>
                    </a:xfrm>
                    <a:prstGeom prst="rect">
                      <a:avLst/>
                    </a:prstGeom>
                    <a:noFill/>
                    <a:ln>
                      <a:noFill/>
                    </a:ln>
                  </pic:spPr>
                </pic:pic>
              </a:graphicData>
            </a:graphic>
          </wp:inline>
        </w:drawing>
      </w:r>
    </w:p>
    <w:p w:rsidR="000535CA" w:rsidRPr="00370E70" w:rsidRDefault="000535CA" w:rsidP="000535CA">
      <w:pPr>
        <w:pStyle w:val="Caption"/>
        <w:rPr>
          <w:i/>
          <w:color w:val="000000"/>
          <w:szCs w:val="22"/>
          <w:lang w:val="en-AU"/>
        </w:rPr>
      </w:pPr>
      <w:bookmarkStart w:id="332" w:name="_Ref179439637"/>
      <w:bookmarkStart w:id="333" w:name="_Toc176158868"/>
      <w:bookmarkStart w:id="334" w:name="_Toc232845972"/>
      <w:bookmarkStart w:id="335" w:name="_Toc384196403"/>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56</w:t>
      </w:r>
      <w:r w:rsidRPr="00370E70">
        <w:rPr>
          <w:color w:val="000000"/>
          <w:szCs w:val="22"/>
          <w:lang w:val="en-AU"/>
        </w:rPr>
        <w:fldChar w:fldCharType="end"/>
      </w:r>
      <w:bookmarkEnd w:id="332"/>
      <w:r w:rsidRPr="00370E70">
        <w:rPr>
          <w:i/>
          <w:color w:val="000000"/>
          <w:szCs w:val="22"/>
          <w:lang w:val="en-AU"/>
        </w:rPr>
        <w:t xml:space="preserve">. Extent of area (100m radius of monitoring site) covered by seagrass at </w:t>
      </w:r>
      <w:r w:rsidR="00563F19">
        <w:rPr>
          <w:i/>
          <w:color w:val="000000"/>
          <w:szCs w:val="22"/>
          <w:lang w:val="en-AU"/>
        </w:rPr>
        <w:t xml:space="preserve">inshore intertidal </w:t>
      </w:r>
      <w:r w:rsidRPr="00370E70">
        <w:rPr>
          <w:i/>
          <w:color w:val="000000"/>
          <w:szCs w:val="22"/>
          <w:lang w:val="en-AU"/>
        </w:rPr>
        <w:t xml:space="preserve">coastal and reef </w:t>
      </w:r>
      <w:r w:rsidR="00563F19">
        <w:rPr>
          <w:i/>
          <w:color w:val="000000"/>
          <w:szCs w:val="22"/>
          <w:lang w:val="en-AU"/>
        </w:rPr>
        <w:t>habitat</w:t>
      </w:r>
      <w:r w:rsidRPr="00370E70">
        <w:rPr>
          <w:i/>
          <w:color w:val="000000"/>
          <w:szCs w:val="22"/>
          <w:lang w:val="en-AU"/>
        </w:rPr>
        <w:t xml:space="preserve"> monitoring sites in the northern Wet Tropics region.</w:t>
      </w:r>
      <w:bookmarkEnd w:id="333"/>
      <w:bookmarkEnd w:id="334"/>
      <w:bookmarkEnd w:id="335"/>
    </w:p>
    <w:p w:rsidR="005132EF" w:rsidRPr="00370E70" w:rsidRDefault="007B15AB" w:rsidP="00034AD4">
      <w:pPr>
        <w:keepNext/>
        <w:jc w:val="center"/>
        <w:rPr>
          <w:color w:val="000000"/>
        </w:rPr>
      </w:pPr>
      <w:r>
        <w:rPr>
          <w:noProof/>
          <w:lang w:eastAsia="en-AU"/>
        </w:rPr>
        <w:drawing>
          <wp:inline distT="0" distB="0" distL="0" distR="0">
            <wp:extent cx="5396230" cy="1816100"/>
            <wp:effectExtent l="0" t="0" r="0" b="0"/>
            <wp:docPr id="75" name="Picture 83" descr="Figure 56. Extent of area (100m radius of monitoring site) covered by seagrass at each coastal and reef intertidal monitoring sites in the sou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Figure 56. Extent of area (100m radius of monitoring site) covered by seagrass at each coastal and reef intertidal monitoring sites in the southern Wet Tropics region"/>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96230" cy="181610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336" w:name="_Ref179515389"/>
      <w:bookmarkStart w:id="337" w:name="_Toc176158869"/>
      <w:bookmarkStart w:id="338" w:name="_Toc232845973"/>
      <w:bookmarkStart w:id="339" w:name="_Toc384196404"/>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57</w:t>
      </w:r>
      <w:r w:rsidRPr="00370E70">
        <w:rPr>
          <w:color w:val="000000"/>
          <w:szCs w:val="22"/>
          <w:lang w:val="en-AU"/>
        </w:rPr>
        <w:fldChar w:fldCharType="end"/>
      </w:r>
      <w:bookmarkEnd w:id="336"/>
      <w:r w:rsidRPr="00370E70">
        <w:rPr>
          <w:i/>
          <w:color w:val="000000"/>
          <w:szCs w:val="22"/>
          <w:lang w:val="en-AU"/>
        </w:rPr>
        <w:t xml:space="preserve">. Extent of area (100m radius of monitoring site) covered by seagrass at </w:t>
      </w:r>
      <w:r w:rsidR="00563F19">
        <w:rPr>
          <w:i/>
          <w:color w:val="000000"/>
          <w:szCs w:val="22"/>
          <w:lang w:val="en-AU"/>
        </w:rPr>
        <w:t>inshore intertidal</w:t>
      </w:r>
      <w:r w:rsidRPr="00370E70">
        <w:rPr>
          <w:i/>
          <w:color w:val="000000"/>
          <w:szCs w:val="22"/>
          <w:lang w:val="en-AU"/>
        </w:rPr>
        <w:t xml:space="preserve"> coastal and reef monitoring sites </w:t>
      </w:r>
      <w:r w:rsidR="00563F19">
        <w:rPr>
          <w:i/>
          <w:color w:val="000000"/>
          <w:szCs w:val="22"/>
          <w:lang w:val="en-AU"/>
        </w:rPr>
        <w:t xml:space="preserve">in the </w:t>
      </w:r>
      <w:r w:rsidRPr="00370E70">
        <w:rPr>
          <w:i/>
          <w:color w:val="000000"/>
          <w:szCs w:val="22"/>
          <w:lang w:val="en-AU"/>
        </w:rPr>
        <w:t>southern Wet Tropics region.</w:t>
      </w:r>
      <w:bookmarkEnd w:id="337"/>
      <w:bookmarkEnd w:id="338"/>
      <w:bookmarkEnd w:id="339"/>
    </w:p>
    <w:p w:rsidR="005132EF" w:rsidRPr="00370E70" w:rsidRDefault="005132EF" w:rsidP="00034AD4">
      <w:pPr>
        <w:rPr>
          <w:color w:val="000000"/>
          <w:szCs w:val="22"/>
        </w:rPr>
      </w:pPr>
    </w:p>
    <w:p w:rsidR="005132EF" w:rsidRPr="00370E70" w:rsidRDefault="005132EF" w:rsidP="00034AD4">
      <w:pPr>
        <w:pStyle w:val="Heading4"/>
        <w:rPr>
          <w:b/>
          <w:color w:val="000000"/>
        </w:rPr>
      </w:pPr>
      <w:bookmarkStart w:id="340" w:name="_Toc184101986"/>
      <w:r w:rsidRPr="00370E70">
        <w:rPr>
          <w:b/>
          <w:color w:val="000000"/>
        </w:rPr>
        <w:t>Seagrass reproductive status</w:t>
      </w:r>
      <w:bookmarkEnd w:id="340"/>
    </w:p>
    <w:p w:rsidR="005132EF" w:rsidRPr="00370E70" w:rsidRDefault="005132EF" w:rsidP="00034AD4">
      <w:pPr>
        <w:autoSpaceDE w:val="0"/>
        <w:autoSpaceDN w:val="0"/>
        <w:adjustRightInd w:val="0"/>
        <w:spacing w:before="0" w:after="0"/>
        <w:rPr>
          <w:color w:val="000000"/>
          <w:szCs w:val="22"/>
        </w:rPr>
      </w:pPr>
      <w:r w:rsidRPr="00370E70">
        <w:rPr>
          <w:color w:val="000000"/>
          <w:szCs w:val="22"/>
          <w:lang w:eastAsia="en-AU"/>
        </w:rPr>
        <w:t xml:space="preserve">Seed banks and reproductive effort across the region declined over the monitoring periods </w:t>
      </w:r>
      <w:r w:rsidRPr="00370E70">
        <w:rPr>
          <w:color w:val="000000"/>
          <w:szCs w:val="22"/>
        </w:rPr>
        <w:t>(</w:t>
      </w:r>
      <w:r w:rsidRPr="00370E70">
        <w:rPr>
          <w:color w:val="000000"/>
        </w:rPr>
        <w:fldChar w:fldCharType="begin"/>
      </w:r>
      <w:r w:rsidRPr="00370E70">
        <w:rPr>
          <w:color w:val="000000"/>
        </w:rPr>
        <w:instrText xml:space="preserve"> REF _Ref271530838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58</w:t>
      </w:r>
      <w:r w:rsidRPr="00370E70">
        <w:rPr>
          <w:color w:val="000000"/>
        </w:rPr>
        <w:fldChar w:fldCharType="end"/>
      </w:r>
      <w:r w:rsidRPr="00370E70">
        <w:rPr>
          <w:color w:val="000000"/>
          <w:szCs w:val="22"/>
        </w:rPr>
        <w:t xml:space="preserve">, </w:t>
      </w:r>
      <w:r w:rsidRPr="00370E70">
        <w:fldChar w:fldCharType="begin"/>
      </w:r>
      <w:r w:rsidRPr="00370E70">
        <w:instrText xml:space="preserve"> REF _Ref271530839 \h  \* MERGEFORMAT </w:instrText>
      </w:r>
      <w:r w:rsidRPr="00370E70">
        <w:fldChar w:fldCharType="separate"/>
      </w:r>
      <w:r w:rsidR="005B5FD6" w:rsidRPr="005B5FD6">
        <w:rPr>
          <w:color w:val="000000"/>
          <w:szCs w:val="22"/>
        </w:rPr>
        <w:t xml:space="preserve">Figure </w:t>
      </w:r>
      <w:r w:rsidR="005B5FD6" w:rsidRPr="005B5FD6">
        <w:rPr>
          <w:noProof/>
          <w:color w:val="000000"/>
          <w:szCs w:val="22"/>
        </w:rPr>
        <w:t>59</w:t>
      </w:r>
      <w:r w:rsidRPr="00370E70">
        <w:fldChar w:fldCharType="end"/>
      </w:r>
      <w:r w:rsidRPr="00370E70">
        <w:rPr>
          <w:color w:val="000000"/>
          <w:szCs w:val="22"/>
        </w:rPr>
        <w:t xml:space="preserve">). The only location with a seed bank present over the 2011/12 monitoring period was Yule Point with the largest seed banks </w:t>
      </w:r>
      <w:r w:rsidR="00957396" w:rsidRPr="00370E70">
        <w:rPr>
          <w:color w:val="000000"/>
          <w:szCs w:val="22"/>
        </w:rPr>
        <w:t>observed</w:t>
      </w:r>
      <w:r w:rsidRPr="00370E70">
        <w:rPr>
          <w:color w:val="000000"/>
          <w:szCs w:val="22"/>
        </w:rPr>
        <w:t xml:space="preserve"> July 2011 (127±76 seeds m</w:t>
      </w:r>
      <w:r w:rsidRPr="00370E70">
        <w:rPr>
          <w:color w:val="000000"/>
          <w:szCs w:val="22"/>
          <w:vertAlign w:val="superscript"/>
        </w:rPr>
        <w:t>-2</w:t>
      </w:r>
      <w:r w:rsidRPr="00370E70">
        <w:rPr>
          <w:color w:val="000000"/>
          <w:szCs w:val="22"/>
        </w:rPr>
        <w:t xml:space="preserve">). However the seed bank was reduced by 87% in October 2011, when the bulk of seeds germinated (evident by over a doubling in remnants of germinated seeds over the same period). At reef habitats, only remnants of germinated seeds were present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in October 2011 and April 2012 (</w:t>
      </w:r>
      <w:r w:rsidRPr="00370E70">
        <w:fldChar w:fldCharType="begin"/>
      </w:r>
      <w:r w:rsidRPr="00370E70">
        <w:instrText xml:space="preserve"> REF _Ref271530839 \h  \* MERGEFORMAT </w:instrText>
      </w:r>
      <w:r w:rsidRPr="00370E70">
        <w:fldChar w:fldCharType="separate"/>
      </w:r>
      <w:r w:rsidR="005B5FD6" w:rsidRPr="005B5FD6">
        <w:rPr>
          <w:color w:val="000000"/>
          <w:szCs w:val="22"/>
        </w:rPr>
        <w:t xml:space="preserve">Figure </w:t>
      </w:r>
      <w:r w:rsidR="005B5FD6" w:rsidRPr="005B5FD6">
        <w:rPr>
          <w:noProof/>
          <w:color w:val="000000"/>
          <w:szCs w:val="22"/>
        </w:rPr>
        <w:t>59</w:t>
      </w:r>
      <w:r w:rsidRPr="00370E70">
        <w:fldChar w:fldCharType="end"/>
      </w:r>
      <w:r w:rsidRPr="00370E70">
        <w:rPr>
          <w:color w:val="000000"/>
          <w:szCs w:val="22"/>
        </w:rPr>
        <w:t>).</w:t>
      </w:r>
    </w:p>
    <w:p w:rsidR="005132EF" w:rsidRPr="00370E70" w:rsidRDefault="005132EF" w:rsidP="00034AD4">
      <w:pPr>
        <w:autoSpaceDE w:val="0"/>
        <w:autoSpaceDN w:val="0"/>
        <w:adjustRightInd w:val="0"/>
        <w:spacing w:before="0" w:after="0"/>
        <w:rPr>
          <w:color w:val="000000"/>
          <w:szCs w:val="22"/>
        </w:rPr>
      </w:pPr>
    </w:p>
    <w:p w:rsidR="005132EF" w:rsidRPr="00370E70" w:rsidRDefault="005132EF" w:rsidP="00034AD4">
      <w:pPr>
        <w:autoSpaceDE w:val="0"/>
        <w:autoSpaceDN w:val="0"/>
        <w:adjustRightInd w:val="0"/>
        <w:spacing w:before="0" w:after="0"/>
        <w:rPr>
          <w:color w:val="000000"/>
          <w:szCs w:val="22"/>
        </w:rPr>
      </w:pPr>
      <w:r w:rsidRPr="00370E70">
        <w:rPr>
          <w:color w:val="000000"/>
          <w:szCs w:val="22"/>
        </w:rPr>
        <w:t>There has been little change in seagrass reproductive effort at coastal and reef sites during 2011/12, with the low values recorded in the previous year occurring again (</w:t>
      </w:r>
      <w:r w:rsidRPr="00370E70">
        <w:rPr>
          <w:color w:val="000000"/>
        </w:rPr>
        <w:fldChar w:fldCharType="begin"/>
      </w:r>
      <w:r w:rsidRPr="00370E70">
        <w:rPr>
          <w:color w:val="000000"/>
        </w:rPr>
        <w:instrText xml:space="preserve"> REF _Ref271530838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58</w:t>
      </w:r>
      <w:r w:rsidRPr="00370E70">
        <w:rPr>
          <w:color w:val="000000"/>
        </w:rPr>
        <w:fldChar w:fldCharType="end"/>
      </w:r>
      <w:r w:rsidRPr="00370E70">
        <w:rPr>
          <w:color w:val="000000"/>
          <w:szCs w:val="22"/>
        </w:rPr>
        <w:t xml:space="preserve">). The </w:t>
      </w:r>
      <w:r w:rsidR="00957396" w:rsidRPr="00370E70">
        <w:rPr>
          <w:color w:val="000000"/>
          <w:szCs w:val="22"/>
        </w:rPr>
        <w:t>low</w:t>
      </w:r>
      <w:r w:rsidRPr="00370E70">
        <w:rPr>
          <w:color w:val="000000"/>
          <w:szCs w:val="22"/>
        </w:rPr>
        <w:t xml:space="preserve"> reproductive effort is not associated with a loss in meadow </w:t>
      </w:r>
      <w:r w:rsidR="00957396" w:rsidRPr="00370E70">
        <w:rPr>
          <w:color w:val="000000"/>
          <w:szCs w:val="22"/>
        </w:rPr>
        <w:t>extent</w:t>
      </w:r>
      <w:r w:rsidRPr="00370E70">
        <w:rPr>
          <w:color w:val="000000"/>
          <w:szCs w:val="22"/>
        </w:rPr>
        <w:t xml:space="preserve"> (see above), but does appear coincident with the low </w:t>
      </w:r>
      <w:r w:rsidR="00957396" w:rsidRPr="00370E70">
        <w:rPr>
          <w:color w:val="000000"/>
          <w:szCs w:val="22"/>
        </w:rPr>
        <w:t>abudance</w:t>
      </w:r>
      <w:r w:rsidRPr="00370E70">
        <w:rPr>
          <w:color w:val="000000"/>
          <w:szCs w:val="22"/>
        </w:rPr>
        <w:t xml:space="preserve"> at the coastal and reef sites (except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which has high </w:t>
      </w:r>
      <w:r w:rsidR="00957396" w:rsidRPr="00370E70">
        <w:rPr>
          <w:color w:val="000000"/>
          <w:szCs w:val="22"/>
        </w:rPr>
        <w:t>abundance</w:t>
      </w:r>
      <w:r w:rsidRPr="00370E70">
        <w:rPr>
          <w:color w:val="000000"/>
          <w:szCs w:val="22"/>
        </w:rPr>
        <w:t xml:space="preserve"> yet always has low reproductive effort). This may reflect the more chronic ongoing loss of meadow condition. The low seed bank and reproductive effort signals a reduced resilience, which is likely to be restored only after years of meadow development (i.e. increasing abundance through asexual </w:t>
      </w:r>
      <w:r w:rsidR="002C6536" w:rsidRPr="00370E70">
        <w:rPr>
          <w:color w:val="000000"/>
          <w:szCs w:val="22"/>
        </w:rPr>
        <w:t>propagation</w:t>
      </w:r>
      <w:r w:rsidRPr="00370E70">
        <w:rPr>
          <w:color w:val="000000"/>
          <w:szCs w:val="22"/>
        </w:rPr>
        <w:t xml:space="preserve">). Reproductive effort has been measured at WT reef subtidal sites since 2010 only, and in that time dry season values increased from 0.017 to 0.338 and wet season declined from 0.713 to 0.  </w:t>
      </w:r>
    </w:p>
    <w:p w:rsidR="005132EF" w:rsidRPr="00370E70" w:rsidRDefault="007B15AB" w:rsidP="000535CA">
      <w:pPr>
        <w:keepNext/>
        <w:autoSpaceDE w:val="0"/>
        <w:autoSpaceDN w:val="0"/>
        <w:adjustRightInd w:val="0"/>
        <w:spacing w:before="0" w:after="0"/>
        <w:jc w:val="center"/>
        <w:rPr>
          <w:noProof/>
          <w:lang w:eastAsia="en-AU"/>
        </w:rPr>
      </w:pPr>
      <w:r>
        <w:rPr>
          <w:noProof/>
          <w:lang w:eastAsia="en-AU"/>
        </w:rPr>
        <w:lastRenderedPageBreak/>
        <w:drawing>
          <wp:inline distT="0" distB="0" distL="0" distR="0">
            <wp:extent cx="4688205" cy="1570990"/>
            <wp:effectExtent l="0" t="0" r="0" b="0"/>
            <wp:docPr id="76" name="Picture 84" descr="Figure showing the changes in seed banks and germinated seed abundance in coastal habitats in the Wet Tropics region each samling ev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Figure showing the changes in seed banks and germinated seed abundance in coastal habitats in the Wet Tropics region each samling event "/>
                    <pic:cNvPicPr>
                      <a:picLocks noChangeAspect="1" noChangeArrowheads="1"/>
                    </pic:cNvPicPr>
                  </pic:nvPicPr>
                  <pic:blipFill>
                    <a:blip r:embed="rId102" cstate="print">
                      <a:extLst>
                        <a:ext uri="{28A0092B-C50C-407E-A947-70E740481C1C}">
                          <a14:useLocalDpi xmlns:a14="http://schemas.microsoft.com/office/drawing/2010/main" val="0"/>
                        </a:ext>
                      </a:extLst>
                    </a:blip>
                    <a:srcRect t="3055" b="3928"/>
                    <a:stretch>
                      <a:fillRect/>
                    </a:stretch>
                  </pic:blipFill>
                  <pic:spPr bwMode="auto">
                    <a:xfrm>
                      <a:off x="0" y="0"/>
                      <a:ext cx="4688205" cy="1570990"/>
                    </a:xfrm>
                    <a:prstGeom prst="rect">
                      <a:avLst/>
                    </a:prstGeom>
                    <a:noFill/>
                    <a:ln>
                      <a:noFill/>
                    </a:ln>
                  </pic:spPr>
                </pic:pic>
              </a:graphicData>
            </a:graphic>
          </wp:inline>
        </w:drawing>
      </w:r>
    </w:p>
    <w:p w:rsidR="0034367D" w:rsidRPr="00370E70" w:rsidRDefault="0034367D" w:rsidP="0034367D">
      <w:pPr>
        <w:keepNext/>
        <w:tabs>
          <w:tab w:val="left" w:pos="2268"/>
        </w:tabs>
        <w:autoSpaceDE w:val="0"/>
        <w:autoSpaceDN w:val="0"/>
        <w:adjustRightInd w:val="0"/>
        <w:spacing w:before="0" w:after="0"/>
        <w:rPr>
          <w:b/>
          <w:sz w:val="20"/>
          <w:szCs w:val="20"/>
        </w:rPr>
      </w:pPr>
      <w:r w:rsidRPr="00370E70">
        <w:rPr>
          <w:b/>
          <w:noProof/>
          <w:sz w:val="20"/>
          <w:szCs w:val="20"/>
          <w:lang w:eastAsia="en-AU"/>
        </w:rPr>
        <w:tab/>
        <w:t>c.</w:t>
      </w:r>
    </w:p>
    <w:p w:rsidR="005132EF" w:rsidRPr="00370E70" w:rsidRDefault="007B15AB" w:rsidP="000535CA">
      <w:pPr>
        <w:keepNext/>
        <w:autoSpaceDE w:val="0"/>
        <w:autoSpaceDN w:val="0"/>
        <w:adjustRightInd w:val="0"/>
        <w:spacing w:before="0" w:after="0"/>
        <w:jc w:val="center"/>
        <w:rPr>
          <w:b/>
          <w:color w:val="000000"/>
          <w:szCs w:val="22"/>
        </w:rPr>
      </w:pPr>
      <w:r>
        <w:rPr>
          <w:b/>
          <w:noProof/>
          <w:color w:val="000000"/>
          <w:szCs w:val="22"/>
          <w:lang w:eastAsia="en-AU"/>
        </w:rPr>
        <w:drawing>
          <wp:inline distT="0" distB="0" distL="0" distR="0">
            <wp:extent cx="2163445" cy="1661160"/>
            <wp:effectExtent l="0" t="0" r="0" b="0"/>
            <wp:docPr id="77" name="Picture 242" descr="Figure showing the changes in reproductive effort in coastal habitats in the Wet Tropics region each samling ev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Figure showing the changes in reproductive effort in coastal habitats in the Wet Tropics region each samling event "/>
                    <pic:cNvPicPr>
                      <a:picLocks noChangeAspect="1" noChangeArrowheads="1"/>
                    </pic:cNvPicPr>
                  </pic:nvPicPr>
                  <pic:blipFill>
                    <a:blip r:embed="rId103">
                      <a:extLst>
                        <a:ext uri="{28A0092B-C50C-407E-A947-70E740481C1C}">
                          <a14:useLocalDpi xmlns:a14="http://schemas.microsoft.com/office/drawing/2010/main" val="0"/>
                        </a:ext>
                      </a:extLst>
                    </a:blip>
                    <a:srcRect b="7907"/>
                    <a:stretch>
                      <a:fillRect/>
                    </a:stretch>
                  </pic:blipFill>
                  <pic:spPr bwMode="auto">
                    <a:xfrm>
                      <a:off x="0" y="0"/>
                      <a:ext cx="2163445" cy="1661160"/>
                    </a:xfrm>
                    <a:prstGeom prst="rect">
                      <a:avLst/>
                    </a:prstGeom>
                    <a:noFill/>
                    <a:ln>
                      <a:noFill/>
                    </a:ln>
                  </pic:spPr>
                </pic:pic>
              </a:graphicData>
            </a:graphic>
          </wp:inline>
        </w:drawing>
      </w:r>
    </w:p>
    <w:p w:rsidR="00121A05" w:rsidRPr="00370E70" w:rsidRDefault="005132EF" w:rsidP="00121A05">
      <w:pPr>
        <w:pStyle w:val="Caption"/>
        <w:spacing w:before="0"/>
        <w:rPr>
          <w:i/>
          <w:vanish/>
          <w:color w:val="000000"/>
          <w:szCs w:val="22"/>
          <w:lang w:val="en-AU"/>
          <w:specVanish/>
        </w:rPr>
      </w:pPr>
      <w:bookmarkStart w:id="341" w:name="_Ref271530838"/>
      <w:bookmarkStart w:id="342" w:name="_Toc38419640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58</w:t>
      </w:r>
      <w:r w:rsidRPr="00370E70">
        <w:rPr>
          <w:lang w:val="en-AU"/>
        </w:rPr>
        <w:fldChar w:fldCharType="end"/>
      </w:r>
      <w:bookmarkEnd w:id="341"/>
      <w:r w:rsidRPr="00370E70">
        <w:rPr>
          <w:rStyle w:val="StyleCaptionCaptionCharCharLatinCalibri11ptBlackChar"/>
          <w:lang w:val="en-AU"/>
        </w:rPr>
        <w:t xml:space="preserve">. </w:t>
      </w:r>
      <w:r w:rsidR="00563F19" w:rsidRPr="00563F19">
        <w:rPr>
          <w:rStyle w:val="StyleCaptionCaptionCharCharLatinCalibri11ptBlackChar"/>
          <w:i/>
          <w:lang w:val="en-AU"/>
        </w:rPr>
        <w:t>Inshore intertidal c</w:t>
      </w:r>
      <w:r w:rsidR="00121A05" w:rsidRPr="00563F19">
        <w:rPr>
          <w:i/>
          <w:lang w:val="en-AU"/>
        </w:rPr>
        <w:t>oastal</w:t>
      </w:r>
      <w:r w:rsidR="00121A05" w:rsidRPr="00370E70">
        <w:rPr>
          <w:i/>
          <w:lang w:val="en-AU"/>
        </w:rPr>
        <w:t xml:space="preserve"> habitat s</w:t>
      </w:r>
      <w:r w:rsidRPr="00370E70">
        <w:rPr>
          <w:i/>
          <w:lang w:val="en-AU"/>
        </w:rPr>
        <w:t>eed bank (a)</w:t>
      </w:r>
      <w:r w:rsidR="00121A05" w:rsidRPr="00370E70">
        <w:rPr>
          <w:i/>
          <w:lang w:val="en-AU"/>
        </w:rPr>
        <w:t>,</w:t>
      </w:r>
      <w:r w:rsidRPr="00370E70">
        <w:rPr>
          <w:i/>
          <w:lang w:val="en-AU"/>
        </w:rPr>
        <w:t xml:space="preserve"> germinated seed abundance (b)</w:t>
      </w:r>
      <w:r w:rsidR="00121A05" w:rsidRPr="00370E70">
        <w:rPr>
          <w:i/>
          <w:lang w:val="en-AU"/>
        </w:rPr>
        <w:t xml:space="preserve">, and total seagrass reproductive effort (c) </w:t>
      </w:r>
      <w:r w:rsidRPr="00370E70">
        <w:rPr>
          <w:i/>
          <w:lang w:val="en-AU"/>
        </w:rPr>
        <w:t>in the Wet Tropics region</w:t>
      </w:r>
      <w:bookmarkEnd w:id="342"/>
    </w:p>
    <w:p w:rsidR="00121A05" w:rsidRPr="00370E70" w:rsidRDefault="00121A05" w:rsidP="00121A05">
      <w:pPr>
        <w:pStyle w:val="Caption"/>
        <w:spacing w:before="0"/>
        <w:rPr>
          <w:i/>
          <w:lang w:val="en-AU"/>
        </w:rPr>
      </w:pPr>
      <w:r w:rsidRPr="00370E70">
        <w:rPr>
          <w:i/>
          <w:lang w:val="en-AU"/>
        </w:rPr>
        <w:t>. Seed bank presented as the total number of Halodule uninervis</w:t>
      </w:r>
      <w:r w:rsidRPr="00370E70">
        <w:rPr>
          <w:rStyle w:val="StyleCaptionCaptionCharCharLatinCalibri11ptBlackChar"/>
          <w:i/>
          <w:lang w:val="en-AU"/>
        </w:rPr>
        <w:t xml:space="preserve"> </w:t>
      </w:r>
      <w:r w:rsidRPr="00370E70">
        <w:rPr>
          <w:i/>
          <w:lang w:val="en-AU"/>
        </w:rPr>
        <w:t>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 </w:t>
      </w:r>
    </w:p>
    <w:p w:rsidR="005132EF" w:rsidRPr="00370E70" w:rsidRDefault="007B15AB" w:rsidP="000535CA">
      <w:pPr>
        <w:keepNext/>
        <w:autoSpaceDE w:val="0"/>
        <w:autoSpaceDN w:val="0"/>
        <w:adjustRightInd w:val="0"/>
        <w:spacing w:before="0" w:after="0"/>
        <w:jc w:val="center"/>
        <w:rPr>
          <w:noProof/>
          <w:lang w:eastAsia="en-AU"/>
        </w:rPr>
      </w:pPr>
      <w:r>
        <w:rPr>
          <w:noProof/>
          <w:lang w:eastAsia="en-AU"/>
        </w:rPr>
        <w:drawing>
          <wp:inline distT="0" distB="0" distL="0" distR="0">
            <wp:extent cx="4688205" cy="1558290"/>
            <wp:effectExtent l="0" t="0" r="0" b="3810"/>
            <wp:docPr id="78" name="Picture 88" descr="Figure showing the changes in seed banks and germinated seed abundance in reef habitats in the Wet Tropics region each samling ev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Figure showing the changes in seed banks and germinated seed abundance in reef habitats in the Wet Tropics region each samling event "/>
                    <pic:cNvPicPr>
                      <a:picLocks noChangeAspect="1" noChangeArrowheads="1"/>
                    </pic:cNvPicPr>
                  </pic:nvPicPr>
                  <pic:blipFill>
                    <a:blip r:embed="rId104" cstate="print">
                      <a:extLst>
                        <a:ext uri="{28A0092B-C50C-407E-A947-70E740481C1C}">
                          <a14:useLocalDpi xmlns:a14="http://schemas.microsoft.com/office/drawing/2010/main" val="0"/>
                        </a:ext>
                      </a:extLst>
                    </a:blip>
                    <a:srcRect t="3273" b="4582"/>
                    <a:stretch>
                      <a:fillRect/>
                    </a:stretch>
                  </pic:blipFill>
                  <pic:spPr bwMode="auto">
                    <a:xfrm>
                      <a:off x="0" y="0"/>
                      <a:ext cx="4688205" cy="1558290"/>
                    </a:xfrm>
                    <a:prstGeom prst="rect">
                      <a:avLst/>
                    </a:prstGeom>
                    <a:noFill/>
                    <a:ln>
                      <a:noFill/>
                    </a:ln>
                  </pic:spPr>
                </pic:pic>
              </a:graphicData>
            </a:graphic>
          </wp:inline>
        </w:drawing>
      </w:r>
    </w:p>
    <w:p w:rsidR="0034367D" w:rsidRPr="00370E70" w:rsidRDefault="0034367D" w:rsidP="0034367D">
      <w:pPr>
        <w:keepNext/>
        <w:tabs>
          <w:tab w:val="left" w:pos="2268"/>
        </w:tabs>
        <w:autoSpaceDE w:val="0"/>
        <w:autoSpaceDN w:val="0"/>
        <w:adjustRightInd w:val="0"/>
        <w:spacing w:before="0" w:after="0"/>
        <w:rPr>
          <w:b/>
          <w:sz w:val="20"/>
          <w:szCs w:val="20"/>
        </w:rPr>
      </w:pPr>
      <w:r w:rsidRPr="00370E70">
        <w:rPr>
          <w:b/>
          <w:noProof/>
          <w:sz w:val="20"/>
          <w:szCs w:val="20"/>
          <w:lang w:eastAsia="en-AU"/>
        </w:rPr>
        <w:tab/>
        <w:t>c.</w:t>
      </w:r>
    </w:p>
    <w:p w:rsidR="005132EF" w:rsidRPr="00370E70" w:rsidRDefault="007B15AB" w:rsidP="000535CA">
      <w:pPr>
        <w:keepNext/>
        <w:autoSpaceDE w:val="0"/>
        <w:autoSpaceDN w:val="0"/>
        <w:adjustRightInd w:val="0"/>
        <w:spacing w:before="0" w:after="0"/>
        <w:jc w:val="center"/>
        <w:rPr>
          <w:color w:val="000000"/>
          <w:szCs w:val="22"/>
        </w:rPr>
      </w:pPr>
      <w:r>
        <w:rPr>
          <w:noProof/>
          <w:color w:val="000000"/>
          <w:szCs w:val="22"/>
          <w:lang w:eastAsia="en-AU"/>
        </w:rPr>
        <w:drawing>
          <wp:inline distT="0" distB="0" distL="0" distR="0">
            <wp:extent cx="2163445" cy="1648460"/>
            <wp:effectExtent l="0" t="0" r="0" b="8890"/>
            <wp:docPr id="79" name="Picture 243" descr="Figure showing the changes in reproductive effort  in reef habitats in the Wet Tropics region each samling ev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Figure showing the changes in reproductive effort  in reef habitats in the Wet Tropics region each samling event "/>
                    <pic:cNvPicPr>
                      <a:picLocks noChangeAspect="1" noChangeArrowheads="1"/>
                    </pic:cNvPicPr>
                  </pic:nvPicPr>
                  <pic:blipFill>
                    <a:blip r:embed="rId105">
                      <a:extLst>
                        <a:ext uri="{28A0092B-C50C-407E-A947-70E740481C1C}">
                          <a14:useLocalDpi xmlns:a14="http://schemas.microsoft.com/office/drawing/2010/main" val="0"/>
                        </a:ext>
                      </a:extLst>
                    </a:blip>
                    <a:srcRect b="8540"/>
                    <a:stretch>
                      <a:fillRect/>
                    </a:stretch>
                  </pic:blipFill>
                  <pic:spPr bwMode="auto">
                    <a:xfrm>
                      <a:off x="0" y="0"/>
                      <a:ext cx="2163445" cy="1648460"/>
                    </a:xfrm>
                    <a:prstGeom prst="rect">
                      <a:avLst/>
                    </a:prstGeom>
                    <a:noFill/>
                    <a:ln>
                      <a:noFill/>
                    </a:ln>
                  </pic:spPr>
                </pic:pic>
              </a:graphicData>
            </a:graphic>
          </wp:inline>
        </w:drawing>
      </w:r>
    </w:p>
    <w:p w:rsidR="00121A05" w:rsidRPr="00370E70" w:rsidRDefault="005132EF" w:rsidP="00121A05">
      <w:pPr>
        <w:pStyle w:val="Caption"/>
        <w:spacing w:before="0"/>
        <w:rPr>
          <w:i/>
          <w:vanish/>
          <w:color w:val="000000"/>
          <w:szCs w:val="22"/>
          <w:lang w:val="en-AU"/>
          <w:specVanish/>
        </w:rPr>
      </w:pPr>
      <w:bookmarkStart w:id="343" w:name="_Ref271530839"/>
      <w:bookmarkStart w:id="344" w:name="_Toc384196406"/>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59</w:t>
      </w:r>
      <w:r w:rsidRPr="00370E70">
        <w:rPr>
          <w:lang w:val="en-AU"/>
        </w:rPr>
        <w:fldChar w:fldCharType="end"/>
      </w:r>
      <w:bookmarkEnd w:id="343"/>
      <w:r w:rsidRPr="00370E70">
        <w:rPr>
          <w:lang w:val="en-AU"/>
        </w:rPr>
        <w:t xml:space="preserve">. </w:t>
      </w:r>
      <w:r w:rsidR="00563F19" w:rsidRPr="00563F19">
        <w:rPr>
          <w:i/>
          <w:lang w:val="en-AU"/>
        </w:rPr>
        <w:t>Inshore intertidal r</w:t>
      </w:r>
      <w:r w:rsidR="00D17533" w:rsidRPr="00563F19">
        <w:rPr>
          <w:i/>
          <w:lang w:val="en-AU"/>
        </w:rPr>
        <w:t>eef habitat</w:t>
      </w:r>
      <w:r w:rsidR="00D17533" w:rsidRPr="00370E70">
        <w:rPr>
          <w:i/>
          <w:lang w:val="en-AU"/>
        </w:rPr>
        <w:t xml:space="preserve"> s</w:t>
      </w:r>
      <w:r w:rsidRPr="00370E70">
        <w:rPr>
          <w:i/>
          <w:lang w:val="en-AU"/>
        </w:rPr>
        <w:t>eed bank</w:t>
      </w:r>
      <w:r w:rsidR="00D17533" w:rsidRPr="00370E70">
        <w:rPr>
          <w:i/>
          <w:lang w:val="en-AU"/>
        </w:rPr>
        <w:t>s</w:t>
      </w:r>
      <w:r w:rsidRPr="00370E70">
        <w:rPr>
          <w:i/>
          <w:lang w:val="en-AU"/>
        </w:rPr>
        <w:t xml:space="preserve"> (a)</w:t>
      </w:r>
      <w:r w:rsidR="00121A05" w:rsidRPr="00370E70">
        <w:rPr>
          <w:i/>
          <w:lang w:val="en-AU"/>
        </w:rPr>
        <w:t xml:space="preserve">, germinated seed abundance (b), and total reproductive effort (c) </w:t>
      </w:r>
      <w:r w:rsidRPr="00370E70">
        <w:rPr>
          <w:i/>
          <w:lang w:val="en-AU"/>
        </w:rPr>
        <w:t>in the Wet Tropics region.</w:t>
      </w:r>
      <w:bookmarkEnd w:id="344"/>
      <w:r w:rsidRPr="00370E70">
        <w:rPr>
          <w:i/>
          <w:lang w:val="en-AU"/>
        </w:rPr>
        <w:t xml:space="preserve"> </w:t>
      </w:r>
    </w:p>
    <w:p w:rsidR="00121A05" w:rsidRPr="00370E70" w:rsidRDefault="00121A05" w:rsidP="00121A05">
      <w:pPr>
        <w:pStyle w:val="Caption"/>
        <w:spacing w:before="0"/>
        <w:rPr>
          <w:i/>
          <w:lang w:val="en-AU"/>
        </w:rPr>
      </w:pPr>
      <w:r w:rsidRPr="00370E70">
        <w:rPr>
          <w:i/>
          <w:lang w:val="en-AU"/>
        </w:rPr>
        <w:t>S</w:t>
      </w:r>
      <w:r w:rsidRPr="00370E70">
        <w:rPr>
          <w:i/>
          <w:color w:val="000000"/>
          <w:lang w:val="en-AU"/>
        </w:rPr>
        <w:t>eed bank presented as the total number of seeds per m</w:t>
      </w:r>
      <w:r w:rsidRPr="00370E70">
        <w:rPr>
          <w:i/>
          <w:color w:val="000000"/>
          <w:vertAlign w:val="superscript"/>
          <w:lang w:val="en-AU"/>
        </w:rPr>
        <w:t>2</w:t>
      </w:r>
      <w:r w:rsidRPr="00370E70">
        <w:rPr>
          <w:i/>
          <w:color w:val="000000"/>
          <w:lang w:val="en-AU"/>
        </w:rPr>
        <w:t xml:space="preserve"> sediment surface and reproductive effort presented as the average number of reproductive structures per core (all species pooled).</w:t>
      </w:r>
      <w:r w:rsidRPr="00370E70">
        <w:rPr>
          <w:i/>
          <w:lang w:val="en-AU"/>
        </w:rPr>
        <w:t xml:space="preserve"> </w:t>
      </w:r>
    </w:p>
    <w:p w:rsidR="005132EF" w:rsidRPr="00370E70" w:rsidRDefault="005132EF" w:rsidP="00034AD4">
      <w:pPr>
        <w:autoSpaceDE w:val="0"/>
        <w:autoSpaceDN w:val="0"/>
        <w:adjustRightInd w:val="0"/>
        <w:spacing w:before="0" w:after="0"/>
        <w:rPr>
          <w:color w:val="000000"/>
          <w:szCs w:val="22"/>
        </w:rPr>
      </w:pPr>
      <w:r w:rsidRPr="00370E70">
        <w:rPr>
          <w:color w:val="000000"/>
          <w:szCs w:val="22"/>
          <w:lang w:eastAsia="en-AU"/>
        </w:rPr>
        <w:t>Reproductive effort across the whole Wet Tropics region is classified as very poor. This suggests that  sites within the region will take longer to recover following disturbance and may be at risk from repeated impacts</w:t>
      </w:r>
      <w:r w:rsidRPr="00370E70">
        <w:rPr>
          <w:color w:val="000000"/>
          <w:szCs w:val="22"/>
        </w:rPr>
        <w:t>.</w:t>
      </w:r>
    </w:p>
    <w:p w:rsidR="005132EF" w:rsidRPr="00370E70" w:rsidRDefault="005132EF" w:rsidP="00034AD4">
      <w:pPr>
        <w:pStyle w:val="Heading3"/>
        <w:rPr>
          <w:color w:val="000000"/>
        </w:rPr>
      </w:pPr>
      <w:bookmarkStart w:id="345" w:name="_Toc184101987"/>
      <w:bookmarkStart w:id="346" w:name="_Toc384196135"/>
      <w:r w:rsidRPr="00370E70">
        <w:rPr>
          <w:color w:val="000000"/>
        </w:rPr>
        <w:lastRenderedPageBreak/>
        <w:t>Status of the seagrass environment</w:t>
      </w:r>
      <w:bookmarkEnd w:id="345"/>
      <w:bookmarkEnd w:id="346"/>
    </w:p>
    <w:p w:rsidR="005132EF" w:rsidRPr="00370E70" w:rsidRDefault="005132EF" w:rsidP="00034AD4">
      <w:pPr>
        <w:pStyle w:val="Heading4"/>
        <w:rPr>
          <w:b/>
          <w:color w:val="000000"/>
        </w:rPr>
      </w:pPr>
      <w:bookmarkStart w:id="347" w:name="_Toc184101988"/>
      <w:r w:rsidRPr="00370E70">
        <w:rPr>
          <w:b/>
          <w:color w:val="000000"/>
        </w:rPr>
        <w:t>Seagrass tissue nutrients</w:t>
      </w:r>
      <w:bookmarkEnd w:id="347"/>
    </w:p>
    <w:p w:rsidR="005132EF" w:rsidRPr="00370E70" w:rsidRDefault="005132EF" w:rsidP="00034AD4">
      <w:pPr>
        <w:rPr>
          <w:color w:val="000000"/>
          <w:szCs w:val="22"/>
        </w:rPr>
      </w:pPr>
      <w:r w:rsidRPr="00370E70">
        <w:rPr>
          <w:color w:val="000000"/>
          <w:szCs w:val="22"/>
        </w:rPr>
        <w:t xml:space="preserve">Within the Wet Tropics region, </w:t>
      </w:r>
      <w:bookmarkStart w:id="348" w:name="OLE_LINK42"/>
      <w:bookmarkStart w:id="349" w:name="OLE_LINK43"/>
      <w:r w:rsidRPr="00370E70">
        <w:rPr>
          <w:color w:val="000000"/>
          <w:szCs w:val="22"/>
        </w:rPr>
        <w:t>seagrasses in reef environments (</w:t>
      </w:r>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and </w:t>
      </w:r>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had higher C</w:t>
      </w:r>
      <w:proofErr w:type="gramStart"/>
      <w:r w:rsidRPr="00370E70">
        <w:rPr>
          <w:color w:val="000000"/>
          <w:szCs w:val="22"/>
        </w:rPr>
        <w:t>:N</w:t>
      </w:r>
      <w:proofErr w:type="gramEnd"/>
      <w:r w:rsidRPr="00370E70">
        <w:rPr>
          <w:color w:val="000000"/>
          <w:szCs w:val="22"/>
        </w:rPr>
        <w:t xml:space="preserve"> ratios than those in coastal environments (Yule Point and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w:t>
      </w:r>
      <w:r w:rsidRPr="00370E70">
        <w:fldChar w:fldCharType="begin"/>
      </w:r>
      <w:r w:rsidRPr="00370E70">
        <w:instrText xml:space="preserve"> REF _Ref304271974 \h  \* MERGEFORMAT </w:instrText>
      </w:r>
      <w:r w:rsidRPr="00370E70">
        <w:fldChar w:fldCharType="separate"/>
      </w:r>
      <w:r w:rsidR="005B5FD6" w:rsidRPr="005B5FD6">
        <w:rPr>
          <w:szCs w:val="22"/>
        </w:rPr>
        <w:t xml:space="preserve">Figure </w:t>
      </w:r>
      <w:r w:rsidR="005B5FD6" w:rsidRPr="005B5FD6">
        <w:rPr>
          <w:noProof/>
          <w:color w:val="000000"/>
          <w:szCs w:val="22"/>
        </w:rPr>
        <w:t>60</w:t>
      </w:r>
      <w:r w:rsidRPr="00370E70">
        <w:fldChar w:fldCharType="end"/>
      </w:r>
      <w:r w:rsidRPr="00370E70">
        <w:rPr>
          <w:color w:val="000000"/>
          <w:szCs w:val="22"/>
        </w:rPr>
        <w:t xml:space="preserve">). This pattern has been </w:t>
      </w:r>
      <w:r w:rsidR="00D247AF" w:rsidRPr="00370E70">
        <w:rPr>
          <w:color w:val="000000"/>
          <w:szCs w:val="22"/>
        </w:rPr>
        <w:t>consistent</w:t>
      </w:r>
      <w:r w:rsidRPr="00370E70">
        <w:rPr>
          <w:color w:val="000000"/>
          <w:szCs w:val="22"/>
        </w:rPr>
        <w:t xml:space="preserve"> across all years of monitoring. </w:t>
      </w:r>
      <w:bookmarkEnd w:id="348"/>
      <w:bookmarkEnd w:id="349"/>
      <w:r w:rsidRPr="00370E70">
        <w:rPr>
          <w:color w:val="000000"/>
          <w:szCs w:val="22"/>
        </w:rPr>
        <w:t xml:space="preserve">In 2011, C:N ratios were similar or lower in all seagrass habitats than reported in 2010. Levels of the C:N ratio below 20 may be considered as indicative of environments where light may be limiting to growth. </w:t>
      </w:r>
    </w:p>
    <w:p w:rsidR="005132EF" w:rsidRPr="00370E70" w:rsidRDefault="007B15AB" w:rsidP="00034AD4">
      <w:pPr>
        <w:keepNext/>
        <w:jc w:val="center"/>
      </w:pPr>
      <w:r>
        <w:rPr>
          <w:noProof/>
          <w:lang w:eastAsia="en-AU"/>
        </w:rPr>
        <w:drawing>
          <wp:inline distT="0" distB="0" distL="0" distR="0">
            <wp:extent cx="4314190" cy="3541395"/>
            <wp:effectExtent l="0" t="0" r="0" b="1905"/>
            <wp:docPr id="80" name="Picture 89" descr="Figure showing long-term trend in elemental ratios (atomic) of seagrass leaf tissue C:N for the foundation seagrass species examined at each location in the Wet Tropics region each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Figure showing long-term trend in elemental ratios (atomic) of seagrass leaf tissue C:N for the foundation seagrass species examined at each location in the Wet Tropics region each year "/>
                    <pic:cNvPicPr>
                      <a:picLocks noChangeAspect="1" noChangeArrowheads="1"/>
                    </pic:cNvPicPr>
                  </pic:nvPicPr>
                  <pic:blipFill>
                    <a:blip r:embed="rId106" cstate="print">
                      <a:extLst>
                        <a:ext uri="{28A0092B-C50C-407E-A947-70E740481C1C}">
                          <a14:useLocalDpi xmlns:a14="http://schemas.microsoft.com/office/drawing/2010/main" val="0"/>
                        </a:ext>
                      </a:extLst>
                    </a:blip>
                    <a:srcRect t="8733" r="4089" b="2438"/>
                    <a:stretch>
                      <a:fillRect/>
                    </a:stretch>
                  </pic:blipFill>
                  <pic:spPr bwMode="auto">
                    <a:xfrm>
                      <a:off x="0" y="0"/>
                      <a:ext cx="4314190" cy="3541395"/>
                    </a:xfrm>
                    <a:prstGeom prst="rect">
                      <a:avLst/>
                    </a:prstGeom>
                    <a:noFill/>
                    <a:ln>
                      <a:noFill/>
                    </a:ln>
                  </pic:spPr>
                </pic:pic>
              </a:graphicData>
            </a:graphic>
          </wp:inline>
        </w:drawing>
      </w:r>
    </w:p>
    <w:p w:rsidR="00AA19A4" w:rsidRPr="00370E70" w:rsidRDefault="005132EF" w:rsidP="00AA19A4">
      <w:pPr>
        <w:pStyle w:val="Caption"/>
        <w:rPr>
          <w:i/>
          <w:iCs/>
          <w:vanish/>
          <w:color w:val="000000"/>
          <w:szCs w:val="22"/>
          <w:lang w:val="en-AU" w:eastAsia="en-AU"/>
          <w:specVanish/>
        </w:rPr>
      </w:pPr>
      <w:bookmarkStart w:id="350" w:name="_Ref304271974"/>
      <w:bookmarkStart w:id="351" w:name="_Toc38419640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60</w:t>
      </w:r>
      <w:r w:rsidRPr="00370E70">
        <w:rPr>
          <w:lang w:val="en-AU"/>
        </w:rPr>
        <w:fldChar w:fldCharType="end"/>
      </w:r>
      <w:bookmarkEnd w:id="350"/>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Pr="00370E70">
        <w:rPr>
          <w:i/>
          <w:lang w:val="en-AU"/>
        </w:rPr>
        <w:t xml:space="preserve">the foundation seagrass species examined at each </w:t>
      </w:r>
      <w:r w:rsidR="00563F19">
        <w:rPr>
          <w:i/>
          <w:lang w:val="en-AU"/>
        </w:rPr>
        <w:t xml:space="preserve">inshore intertidal </w:t>
      </w:r>
      <w:r w:rsidRPr="00370E70">
        <w:rPr>
          <w:i/>
          <w:lang w:val="en-AU"/>
        </w:rPr>
        <w:t xml:space="preserve">location in the Wet Tropics region </w:t>
      </w:r>
      <w:r w:rsidRPr="00370E70">
        <w:rPr>
          <w:i/>
          <w:lang w:val="en-AU" w:eastAsia="en-AU"/>
        </w:rPr>
        <w:t>each year</w:t>
      </w:r>
      <w:bookmarkEnd w:id="351"/>
      <w:r w:rsidRPr="00370E70">
        <w:rPr>
          <w:i/>
          <w:lang w:val="en-AU" w:eastAsia="en-AU"/>
        </w:rPr>
        <w:t xml:space="preserve"> </w:t>
      </w:r>
    </w:p>
    <w:p w:rsidR="00AA19A4" w:rsidRPr="00370E70" w:rsidRDefault="00AA19A4" w:rsidP="00AA19A4">
      <w:pPr>
        <w:pStyle w:val="Caption"/>
        <w:rPr>
          <w:lang w:val="en-AU" w:eastAsia="en-AU"/>
        </w:rPr>
      </w:pPr>
      <w:r w:rsidRPr="00370E70">
        <w:rPr>
          <w:i/>
          <w:lang w:val="en-AU" w:eastAsia="en-AU"/>
        </w:rPr>
        <w:t xml:space="preserve"> </w:t>
      </w:r>
      <w:r w:rsidR="005132EF" w:rsidRPr="00370E70">
        <w:rPr>
          <w:i/>
          <w:lang w:val="en-AU" w:eastAsia="en-AU"/>
        </w:rPr>
        <w:t xml:space="preserve">(species pooled) </w:t>
      </w:r>
      <w:r w:rsidR="005132EF" w:rsidRPr="00370E70">
        <w:rPr>
          <w:i/>
          <w:lang w:val="en-AU"/>
        </w:rPr>
        <w:t>(mean</w:t>
      </w:r>
      <w:r w:rsidR="005132EF" w:rsidRPr="00370E70">
        <w:rPr>
          <w:i/>
          <w:lang w:val="en-AU" w:eastAsia="en-AU"/>
        </w:rPr>
        <w:t xml:space="preserve"> ± Standard Error</w:t>
      </w:r>
      <w:r w:rsidR="005132EF" w:rsidRPr="00370E70">
        <w:rPr>
          <w:i/>
          <w:lang w:val="en-AU"/>
        </w:rPr>
        <w:t>)</w:t>
      </w:r>
      <w:r w:rsidR="005132EF" w:rsidRPr="00370E70">
        <w:rPr>
          <w:i/>
          <w:lang w:val="en-AU" w:eastAsia="en-AU"/>
        </w:rPr>
        <w:t xml:space="preserve">. Horizontal shaded band on the C:N ratio panel represents the accepted </w:t>
      </w:r>
      <w:r w:rsidR="005132EF" w:rsidRPr="00370E70">
        <w:rPr>
          <w:i/>
          <w:lang w:val="en-AU"/>
        </w:rPr>
        <w:t xml:space="preserve">guideline </w:t>
      </w:r>
      <w:r w:rsidR="005132EF" w:rsidRPr="00370E70">
        <w:rPr>
          <w:i/>
          <w:lang w:val="en-AU" w:eastAsia="en-AU"/>
        </w:rPr>
        <w:t xml:space="preserve">seagrass “Redfield” ratio </w:t>
      </w:r>
      <w:r w:rsidR="005132EF"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005132EF" w:rsidRPr="00370E70">
        <w:rPr>
          <w:i/>
          <w:lang w:val="en-AU" w:eastAsia="en-AU"/>
        </w:rPr>
        <w:t xml:space="preserve">. C:N ratios below this line </w:t>
      </w:r>
      <w:r w:rsidR="005132EF" w:rsidRPr="00370E70">
        <w:rPr>
          <w:i/>
          <w:lang w:val="en-AU"/>
        </w:rPr>
        <w:t>indicate reduced light availability</w:t>
      </w:r>
      <w:r w:rsidR="00C702ED">
        <w:rPr>
          <w:i/>
          <w:lang w:val="en-AU"/>
        </w:rPr>
        <w:t xml:space="preserve"> and/or N enrichment</w:t>
      </w:r>
      <w:r w:rsidR="005132EF" w:rsidRPr="00370E70">
        <w:rPr>
          <w:i/>
          <w:lang w:val="en-AU" w:eastAsia="en-AU"/>
        </w:rPr>
        <w:t>.</w:t>
      </w:r>
      <w:r w:rsidRPr="00370E70">
        <w:rPr>
          <w:lang w:val="en-AU" w:eastAsia="en-AU"/>
        </w:rPr>
        <w:t xml:space="preserve"> </w:t>
      </w:r>
    </w:p>
    <w:p w:rsidR="005132EF" w:rsidRPr="00370E70" w:rsidRDefault="005132EF" w:rsidP="00034AD4">
      <w:pPr>
        <w:rPr>
          <w:color w:val="000000"/>
          <w:szCs w:val="22"/>
        </w:rPr>
      </w:pPr>
      <w:bookmarkStart w:id="352" w:name="_Toc175991069"/>
      <w:bookmarkStart w:id="353" w:name="_Toc232845913"/>
      <w:r w:rsidRPr="00370E70">
        <w:rPr>
          <w:color w:val="000000"/>
          <w:szCs w:val="22"/>
        </w:rPr>
        <w:t>The late dry 2011, C:P ratios of the foundation seagrass species at Green Island, Yule Pt and Lugger Bay all remained below 500; indicating these sites were nutrient rich or had a large P pool (</w:t>
      </w:r>
      <w:r w:rsidRPr="00370E70">
        <w:fldChar w:fldCharType="begin"/>
      </w:r>
      <w:r w:rsidRPr="00370E70">
        <w:instrText xml:space="preserve"> REF _Ref237498756 \h  \* MERGEFORMAT </w:instrText>
      </w:r>
      <w:r w:rsidRPr="00370E70">
        <w:fldChar w:fldCharType="separate"/>
      </w:r>
      <w:r w:rsidR="005B5FD6" w:rsidRPr="00370E70">
        <w:rPr>
          <w:color w:val="000000"/>
          <w:szCs w:val="22"/>
        </w:rPr>
        <w:t xml:space="preserve">Figure </w:t>
      </w:r>
      <w:r w:rsidR="005B5FD6">
        <w:rPr>
          <w:noProof/>
          <w:color w:val="000000"/>
          <w:szCs w:val="22"/>
        </w:rPr>
        <w:t>61</w:t>
      </w:r>
      <w:r w:rsidRPr="00370E70">
        <w:fldChar w:fldCharType="end"/>
      </w:r>
      <w:r w:rsidRPr="00370E70">
        <w:rPr>
          <w:color w:val="000000"/>
          <w:szCs w:val="22"/>
        </w:rPr>
        <w:t>).</w:t>
      </w:r>
      <w:r w:rsidRPr="00370E70">
        <w:rPr>
          <w:color w:val="000080"/>
          <w:szCs w:val="22"/>
        </w:rPr>
        <w:t xml:space="preserve">  </w:t>
      </w:r>
      <w:r w:rsidRPr="00370E70">
        <w:rPr>
          <w:color w:val="000000"/>
          <w:szCs w:val="22"/>
        </w:rPr>
        <w:t xml:space="preserve">Values below 500 were consistently recorded at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since monitoring was established in 2008, indicating a nutrient rich environment. The N:P ratios of the foundation seagrass species at reef habitats in 2010 indicated environments were either N-limited (</w:t>
      </w:r>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or P-limited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N:P ratios of the foundation seagrass species at coastal habitats in 2010 declined in the north, but increased in the south of he region. In the north at Yule Point, although the amount of N relative to P declined, the plants remained P-limited (</w:t>
      </w:r>
      <w:r w:rsidRPr="00370E70">
        <w:fldChar w:fldCharType="begin"/>
      </w:r>
      <w:r w:rsidRPr="00370E70">
        <w:instrText xml:space="preserve"> REF _Ref237498756 \h  \* MERGEFORMAT </w:instrText>
      </w:r>
      <w:r w:rsidRPr="00370E70">
        <w:fldChar w:fldCharType="separate"/>
      </w:r>
      <w:r w:rsidR="005B5FD6" w:rsidRPr="00370E70">
        <w:rPr>
          <w:color w:val="000000"/>
          <w:szCs w:val="22"/>
        </w:rPr>
        <w:t xml:space="preserve">Figure </w:t>
      </w:r>
      <w:r w:rsidR="005B5FD6">
        <w:rPr>
          <w:noProof/>
          <w:color w:val="000000"/>
          <w:szCs w:val="22"/>
        </w:rPr>
        <w:t>61</w:t>
      </w:r>
      <w:r w:rsidRPr="00370E70">
        <w:fldChar w:fldCharType="end"/>
      </w:r>
      <w:r w:rsidRPr="00370E70">
        <w:rPr>
          <w:color w:val="000000"/>
          <w:szCs w:val="22"/>
        </w:rPr>
        <w:t xml:space="preserve">). Whereas in the south at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the amount of N increased relative to P with the plants becoming replete</w:t>
      </w:r>
      <w:r w:rsidR="006B4FAF" w:rsidRPr="00370E70">
        <w:rPr>
          <w:color w:val="000000"/>
          <w:szCs w:val="22"/>
        </w:rPr>
        <w:t xml:space="preserve"> </w:t>
      </w:r>
      <w:r w:rsidR="006B4FAF" w:rsidRPr="00370E70">
        <w:rPr>
          <w:rFonts w:cs="TimesNewRoman,Italic"/>
          <w:iCs/>
          <w:color w:val="000000"/>
          <w:szCs w:val="22"/>
        </w:rPr>
        <w:t xml:space="preserve">(well supplied and balanced macronutrients for growth) </w:t>
      </w:r>
      <w:r w:rsidRPr="00370E70">
        <w:rPr>
          <w:color w:val="000000"/>
          <w:szCs w:val="22"/>
        </w:rPr>
        <w:t xml:space="preserve">in 2011. </w:t>
      </w:r>
      <w:r w:rsidRPr="00370E70">
        <w:rPr>
          <w:color w:val="000000"/>
          <w:szCs w:val="22"/>
          <w:lang w:eastAsia="en-AU"/>
        </w:rPr>
        <w:t xml:space="preserve">Overall results suggest the region demonstrates higher nutrient loading (elevated N). </w:t>
      </w:r>
    </w:p>
    <w:bookmarkEnd w:id="352"/>
    <w:bookmarkEnd w:id="353"/>
    <w:p w:rsidR="005132EF" w:rsidRPr="00370E70" w:rsidRDefault="007B15AB" w:rsidP="00034AD4">
      <w:pPr>
        <w:keepNext/>
        <w:jc w:val="center"/>
        <w:rPr>
          <w:color w:val="000000"/>
        </w:rPr>
      </w:pPr>
      <w:r>
        <w:rPr>
          <w:noProof/>
          <w:lang w:eastAsia="en-AU"/>
        </w:rPr>
        <w:lastRenderedPageBreak/>
        <w:drawing>
          <wp:inline distT="0" distB="0" distL="0" distR="0">
            <wp:extent cx="4314190" cy="5949950"/>
            <wp:effectExtent l="0" t="0" r="0" b="0"/>
            <wp:docPr id="81" name="Picture 90" descr="Figure showing the long-term trend in elemental ratios (atomic) of seagrass leaf tissue N:P and C:P for the foundation seagrass species examined at each location in the Wet Tropics region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Figure showing the long-term trend in elemental ratios (atomic) of seagrass leaf tissue N:P and C:P for the foundation seagrass species examined at each location in the Wet Tropics region each year"/>
                    <pic:cNvPicPr>
                      <a:picLocks noChangeAspect="1" noChangeArrowheads="1"/>
                    </pic:cNvPicPr>
                  </pic:nvPicPr>
                  <pic:blipFill>
                    <a:blip r:embed="rId107" cstate="print">
                      <a:extLst>
                        <a:ext uri="{28A0092B-C50C-407E-A947-70E740481C1C}">
                          <a14:useLocalDpi xmlns:a14="http://schemas.microsoft.com/office/drawing/2010/main" val="0"/>
                        </a:ext>
                      </a:extLst>
                    </a:blip>
                    <a:srcRect t="5507" r="3674" b="1355"/>
                    <a:stretch>
                      <a:fillRect/>
                    </a:stretch>
                  </pic:blipFill>
                  <pic:spPr bwMode="auto">
                    <a:xfrm>
                      <a:off x="0" y="0"/>
                      <a:ext cx="4314190" cy="5949950"/>
                    </a:xfrm>
                    <a:prstGeom prst="rect">
                      <a:avLst/>
                    </a:prstGeom>
                    <a:noFill/>
                    <a:ln>
                      <a:noFill/>
                    </a:ln>
                  </pic:spPr>
                </pic:pic>
              </a:graphicData>
            </a:graphic>
          </wp:inline>
        </w:drawing>
      </w:r>
    </w:p>
    <w:p w:rsidR="00AA19A4" w:rsidRPr="00370E70" w:rsidRDefault="005132EF" w:rsidP="00AA19A4">
      <w:pPr>
        <w:rPr>
          <w:i/>
          <w:iCs/>
          <w:vanish/>
          <w:color w:val="000000"/>
          <w:szCs w:val="22"/>
          <w:lang w:eastAsia="en-AU"/>
          <w:specVanish/>
        </w:rPr>
      </w:pPr>
      <w:bookmarkStart w:id="354" w:name="_Ref237498756"/>
      <w:bookmarkStart w:id="355" w:name="_Toc384196408"/>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61</w:t>
      </w:r>
      <w:r w:rsidRPr="00370E70">
        <w:rPr>
          <w:color w:val="000000"/>
          <w:szCs w:val="22"/>
        </w:rPr>
        <w:fldChar w:fldCharType="end"/>
      </w:r>
      <w:bookmarkEnd w:id="354"/>
      <w:r w:rsidRPr="00370E70">
        <w:rPr>
          <w:color w:val="000000"/>
          <w:szCs w:val="22"/>
        </w:rPr>
        <w:t xml:space="preserve">. </w:t>
      </w:r>
      <w:r w:rsidRPr="00370E70">
        <w:rPr>
          <w:i/>
          <w:iCs/>
          <w:color w:val="000000"/>
          <w:szCs w:val="22"/>
          <w:lang w:eastAsia="en-AU"/>
        </w:rPr>
        <w:t xml:space="preserve">Elemental ratios (atomic) of seagrass leaf tissue N:P and C:P </w:t>
      </w:r>
      <w:r w:rsidRPr="00370E70">
        <w:rPr>
          <w:i/>
          <w:iCs/>
          <w:color w:val="000000"/>
          <w:szCs w:val="22"/>
        </w:rPr>
        <w:t xml:space="preserve">for the foundation seagrass species examined at each </w:t>
      </w:r>
      <w:r w:rsidR="00563F19">
        <w:rPr>
          <w:i/>
          <w:iCs/>
          <w:color w:val="000000"/>
          <w:szCs w:val="22"/>
        </w:rPr>
        <w:t xml:space="preserve">inshore intertidal </w:t>
      </w:r>
      <w:r w:rsidRPr="00370E70">
        <w:rPr>
          <w:i/>
          <w:iCs/>
          <w:color w:val="000000"/>
          <w:szCs w:val="22"/>
        </w:rPr>
        <w:t xml:space="preserve">location in the Wet Tropics region </w:t>
      </w:r>
      <w:r w:rsidRPr="00370E70">
        <w:rPr>
          <w:i/>
          <w:iCs/>
          <w:color w:val="000000"/>
          <w:szCs w:val="22"/>
          <w:lang w:eastAsia="en-AU"/>
        </w:rPr>
        <w:t>each year</w:t>
      </w:r>
      <w:bookmarkEnd w:id="355"/>
    </w:p>
    <w:p w:rsidR="00AA19A4" w:rsidRPr="00370E70" w:rsidRDefault="005132EF" w:rsidP="00034AD4">
      <w:pPr>
        <w:rPr>
          <w:color w:val="000000"/>
        </w:rPr>
      </w:pPr>
      <w:r w:rsidRPr="00370E70">
        <w:rPr>
          <w:i/>
          <w:iCs/>
          <w:color w:val="000000"/>
          <w:szCs w:val="22"/>
          <w:lang w:eastAsia="en-AU"/>
        </w:rPr>
        <w:t xml:space="preserve"> (species pooled) (</w:t>
      </w:r>
      <w:r w:rsidRPr="00370E70">
        <w:rPr>
          <w:i/>
          <w:iCs/>
          <w:color w:val="000000"/>
          <w:szCs w:val="22"/>
        </w:rPr>
        <w:t>mean</w:t>
      </w:r>
      <w:r w:rsidRPr="00370E70">
        <w:rPr>
          <w:i/>
          <w:iCs/>
          <w:color w:val="000000"/>
          <w:szCs w:val="22"/>
          <w:lang w:eastAsia="en-AU"/>
        </w:rPr>
        <w:t xml:space="preserve"> ± Standard Error). Horizontal shaded band on the N:P ratio panel represents the range of value associated with N:P balance ratio in the plant tissues, i.e. a seagrass “Redfield” ratio </w:t>
      </w:r>
      <w:r w:rsidR="00A62B1C" w:rsidRPr="00370E70">
        <w:rPr>
          <w:i/>
          <w:lang w:eastAsia="en-AU"/>
        </w:rPr>
        <w:t>(</w:t>
      </w:r>
      <w:r w:rsidR="00A62B1C"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 </w:instrText>
      </w:r>
      <w:r w:rsidR="00494624"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EN.CITE.DATA </w:instrText>
      </w:r>
      <w:r w:rsidR="00494624" w:rsidRPr="00370E70">
        <w:rPr>
          <w:i/>
          <w:lang w:eastAsia="en-AU"/>
        </w:rPr>
      </w:r>
      <w:r w:rsidR="00494624" w:rsidRPr="00370E70">
        <w:rPr>
          <w:i/>
          <w:lang w:eastAsia="en-AU"/>
        </w:rPr>
        <w:fldChar w:fldCharType="end"/>
      </w:r>
      <w:r w:rsidR="00A62B1C" w:rsidRPr="00370E70">
        <w:rPr>
          <w:i/>
          <w:lang w:eastAsia="en-AU"/>
        </w:rPr>
      </w:r>
      <w:r w:rsidR="00A62B1C" w:rsidRPr="00370E70">
        <w:rPr>
          <w:i/>
          <w:lang w:eastAsia="en-AU"/>
        </w:rPr>
        <w:fldChar w:fldCharType="separate"/>
      </w:r>
      <w:hyperlink w:anchor="_ENREF_9" w:tooltip="Atkinson, 1983 #6292" w:history="1">
        <w:r w:rsidR="00964A70" w:rsidRPr="00370E70">
          <w:rPr>
            <w:i/>
            <w:noProof/>
            <w:lang w:eastAsia="en-AU"/>
          </w:rPr>
          <w:t>Atkinson and Smith 1983</w:t>
        </w:r>
      </w:hyperlink>
      <w:r w:rsidR="00494624" w:rsidRPr="00370E70">
        <w:rPr>
          <w:i/>
          <w:noProof/>
          <w:lang w:eastAsia="en-AU"/>
        </w:rPr>
        <w:t xml:space="preserve">; </w:t>
      </w:r>
      <w:hyperlink w:anchor="_ENREF_66" w:tooltip="Duarte, 1990 #1954" w:history="1">
        <w:r w:rsidR="00964A70" w:rsidRPr="00370E70">
          <w:rPr>
            <w:i/>
            <w:noProof/>
            <w:lang w:eastAsia="en-AU"/>
          </w:rPr>
          <w:t>Duarte 1990</w:t>
        </w:r>
      </w:hyperlink>
      <w:r w:rsidR="00494624" w:rsidRPr="00370E70">
        <w:rPr>
          <w:i/>
          <w:noProof/>
          <w:lang w:eastAsia="en-AU"/>
        </w:rPr>
        <w:t xml:space="preserve">; </w:t>
      </w:r>
      <w:hyperlink w:anchor="_ENREF_80" w:tooltip="Fourqurean, 1992 #9493" w:history="1">
        <w:r w:rsidR="00964A70" w:rsidRPr="00370E70">
          <w:rPr>
            <w:i/>
            <w:noProof/>
            <w:lang w:eastAsia="en-AU"/>
          </w:rPr>
          <w:t>Fourqurean, et al. 1992b</w:t>
        </w:r>
      </w:hyperlink>
      <w:r w:rsidR="00494624" w:rsidRPr="00370E70">
        <w:rPr>
          <w:i/>
          <w:noProof/>
          <w:lang w:eastAsia="en-AU"/>
        </w:rPr>
        <w:t xml:space="preserve">; </w:t>
      </w:r>
      <w:hyperlink w:anchor="_ENREF_76" w:tooltip="Fourqurean, 2001 #9492" w:history="1">
        <w:r w:rsidR="00964A70" w:rsidRPr="00370E70">
          <w:rPr>
            <w:i/>
            <w:noProof/>
            <w:lang w:eastAsia="en-AU"/>
          </w:rPr>
          <w:t>Fourqurean and Cai 2001</w:t>
        </w:r>
      </w:hyperlink>
      <w:r w:rsidR="00A62B1C" w:rsidRPr="00370E70">
        <w:rPr>
          <w:i/>
          <w:lang w:eastAsia="en-AU"/>
        </w:rPr>
        <w:fldChar w:fldCharType="end"/>
      </w:r>
      <w:r w:rsidR="00A62B1C" w:rsidRPr="00370E70">
        <w:rPr>
          <w:i/>
          <w:lang w:eastAsia="en-AU"/>
        </w:rPr>
        <w:t>)</w:t>
      </w:r>
      <w:r w:rsidRPr="00370E70">
        <w:rPr>
          <w:i/>
          <w:iCs/>
          <w:color w:val="000000"/>
          <w:szCs w:val="22"/>
          <w:lang w:eastAsia="en-AU"/>
        </w:rPr>
        <w:t>. N:P ratio above this band indicates P limitation, below indicates N limitation and within indicates replete</w:t>
      </w:r>
      <w:r w:rsidR="006B4FAF" w:rsidRPr="00370E70">
        <w:rPr>
          <w:i/>
          <w:iCs/>
          <w:color w:val="000000"/>
          <w:szCs w:val="22"/>
          <w:lang w:eastAsia="en-AU"/>
        </w:rPr>
        <w:t xml:space="preserve"> (balanced)</w:t>
      </w:r>
      <w:r w:rsidRPr="00370E70">
        <w:rPr>
          <w:i/>
          <w:iCs/>
          <w:color w:val="000000"/>
          <w:szCs w:val="22"/>
          <w:lang w:eastAsia="en-AU"/>
        </w:rPr>
        <w:t>. Shaded portion on the C:P panel ≤500 represents the value associated with C:P balance ratio in the plant tissues, C:P values &lt;500 may indicate nutrient rich habitats (large P pool).</w:t>
      </w:r>
      <w:r w:rsidR="00AA19A4" w:rsidRPr="00370E70">
        <w:rPr>
          <w:color w:val="000000"/>
        </w:rPr>
        <w:t xml:space="preserve"> </w:t>
      </w:r>
    </w:p>
    <w:p w:rsidR="00ED4E20" w:rsidRPr="00370E70" w:rsidRDefault="00951A81" w:rsidP="00ED4E20">
      <w:pPr>
        <w:rPr>
          <w:color w:val="000000"/>
          <w:szCs w:val="22"/>
        </w:rPr>
      </w:pPr>
      <w:bookmarkStart w:id="356" w:name="_Toc232845914"/>
      <w:bookmarkStart w:id="357" w:name="_Toc184101989"/>
      <w:r w:rsidRPr="00370E70">
        <w:rPr>
          <w:color w:val="000000"/>
          <w:szCs w:val="22"/>
        </w:rPr>
        <w:t>In October 2011, t</w:t>
      </w:r>
      <w:r w:rsidR="005132EF" w:rsidRPr="00370E70">
        <w:rPr>
          <w:color w:val="000000"/>
          <w:szCs w:val="22"/>
        </w:rPr>
        <w:t xml:space="preserve">issue nutrient ratios were collected </w:t>
      </w:r>
      <w:r w:rsidRPr="00370E70">
        <w:rPr>
          <w:color w:val="000000"/>
          <w:szCs w:val="22"/>
        </w:rPr>
        <w:t xml:space="preserve">for the first time </w:t>
      </w:r>
      <w:r w:rsidR="005132EF" w:rsidRPr="00370E70">
        <w:rPr>
          <w:color w:val="000000"/>
          <w:szCs w:val="22"/>
        </w:rPr>
        <w:t xml:space="preserve">at the Low Isles intertidal site (but not subtidal, as there was insufficient plant material available), and at the </w:t>
      </w:r>
      <w:smartTag w:uri="urn:schemas-microsoft-com:office:smarttags" w:element="place">
        <w:smartTag w:uri="urn:schemas-microsoft-com:office:smarttags" w:element="PlaceName">
          <w:r w:rsidR="005132EF" w:rsidRPr="00370E70">
            <w:rPr>
              <w:color w:val="000000"/>
              <w:szCs w:val="22"/>
            </w:rPr>
            <w:t>Green</w:t>
          </w:r>
        </w:smartTag>
        <w:r w:rsidR="005132EF" w:rsidRPr="00370E70">
          <w:rPr>
            <w:color w:val="000000"/>
            <w:szCs w:val="22"/>
          </w:rPr>
          <w:t xml:space="preserve"> </w:t>
        </w:r>
        <w:smartTag w:uri="urn:schemas-microsoft-com:office:smarttags" w:element="PlaceType">
          <w:r w:rsidR="005132EF" w:rsidRPr="00370E70">
            <w:rPr>
              <w:color w:val="000000"/>
              <w:szCs w:val="22"/>
            </w:rPr>
            <w:t>Island</w:t>
          </w:r>
        </w:smartTag>
      </w:smartTag>
      <w:r w:rsidR="005132EF" w:rsidRPr="00370E70">
        <w:rPr>
          <w:color w:val="000000"/>
          <w:szCs w:val="22"/>
        </w:rPr>
        <w:t xml:space="preserve"> subtidal site. </w:t>
      </w:r>
      <w:r w:rsidR="00ED4E20" w:rsidRPr="00370E70">
        <w:rPr>
          <w:color w:val="000000"/>
          <w:szCs w:val="22"/>
        </w:rPr>
        <w:t>C:N ratios of the foundation seagrass species were below 20 which may be considered as indicative of environments where light may be limiting to growth. C</w:t>
      </w:r>
      <w:proofErr w:type="gramStart"/>
      <w:r w:rsidR="00ED4E20" w:rsidRPr="00370E70">
        <w:rPr>
          <w:color w:val="000000"/>
          <w:szCs w:val="22"/>
        </w:rPr>
        <w:t>:P</w:t>
      </w:r>
      <w:proofErr w:type="gramEnd"/>
      <w:r w:rsidR="00ED4E20" w:rsidRPr="00370E70">
        <w:rPr>
          <w:color w:val="000000"/>
          <w:szCs w:val="22"/>
        </w:rPr>
        <w:t xml:space="preserve"> </w:t>
      </w:r>
      <w:r w:rsidRPr="00370E70">
        <w:rPr>
          <w:color w:val="000000"/>
          <w:szCs w:val="22"/>
        </w:rPr>
        <w:t xml:space="preserve">and N:P ratios </w:t>
      </w:r>
      <w:r w:rsidR="00ED4E20" w:rsidRPr="00370E70">
        <w:rPr>
          <w:color w:val="000000"/>
          <w:szCs w:val="22"/>
        </w:rPr>
        <w:t xml:space="preserve">were similarly low, indicating these sites </w:t>
      </w:r>
      <w:r w:rsidRPr="00370E70">
        <w:rPr>
          <w:color w:val="000000"/>
          <w:szCs w:val="22"/>
        </w:rPr>
        <w:t>were N-limited and ha</w:t>
      </w:r>
      <w:r w:rsidR="00ED4E20" w:rsidRPr="00370E70">
        <w:rPr>
          <w:color w:val="000000"/>
          <w:szCs w:val="22"/>
        </w:rPr>
        <w:t>d a large P pool (</w:t>
      </w:r>
      <w:r w:rsidRPr="00370E70">
        <w:rPr>
          <w:color w:val="000000"/>
          <w:szCs w:val="22"/>
        </w:rPr>
        <w:fldChar w:fldCharType="begin"/>
      </w:r>
      <w:r w:rsidRPr="00370E70">
        <w:rPr>
          <w:color w:val="000000"/>
          <w:szCs w:val="22"/>
        </w:rPr>
        <w:instrText xml:space="preserve"> REF _Ref353372247 \h </w:instrText>
      </w:r>
      <w:r w:rsidRPr="00370E70">
        <w:rPr>
          <w:color w:val="000000"/>
          <w:szCs w:val="22"/>
        </w:rPr>
      </w:r>
      <w:r w:rsidRPr="00370E70">
        <w:rPr>
          <w:color w:val="000000"/>
          <w:szCs w:val="22"/>
        </w:rPr>
        <w:fldChar w:fldCharType="separate"/>
      </w:r>
      <w:r w:rsidR="005B5FD6" w:rsidRPr="00370E70">
        <w:rPr>
          <w:color w:val="000000"/>
          <w:szCs w:val="22"/>
        </w:rPr>
        <w:t xml:space="preserve">Table </w:t>
      </w:r>
      <w:r w:rsidR="005B5FD6">
        <w:rPr>
          <w:noProof/>
          <w:color w:val="000000"/>
          <w:szCs w:val="22"/>
        </w:rPr>
        <w:t>21</w:t>
      </w:r>
      <w:r w:rsidRPr="00370E70">
        <w:rPr>
          <w:color w:val="000000"/>
          <w:szCs w:val="22"/>
        </w:rPr>
        <w:fldChar w:fldCharType="end"/>
      </w:r>
      <w:r w:rsidR="00ED4E20" w:rsidRPr="00370E70">
        <w:rPr>
          <w:color w:val="000000"/>
          <w:szCs w:val="22"/>
        </w:rPr>
        <w:t>).</w:t>
      </w:r>
    </w:p>
    <w:p w:rsidR="0034367D" w:rsidRPr="00370E70" w:rsidRDefault="0034367D" w:rsidP="00ED4E20">
      <w:pPr>
        <w:rPr>
          <w:color w:val="000000"/>
          <w:szCs w:val="22"/>
        </w:rPr>
      </w:pPr>
    </w:p>
    <w:p w:rsidR="0034367D" w:rsidRPr="00370E70" w:rsidRDefault="0034367D" w:rsidP="00ED4E20">
      <w:pPr>
        <w:rPr>
          <w:color w:val="000000"/>
          <w:szCs w:val="22"/>
        </w:rPr>
      </w:pPr>
    </w:p>
    <w:p w:rsidR="005132EF" w:rsidRPr="00370E70" w:rsidRDefault="005132EF" w:rsidP="00D010DC">
      <w:pPr>
        <w:jc w:val="center"/>
        <w:rPr>
          <w:i/>
          <w:color w:val="000000"/>
          <w:szCs w:val="22"/>
        </w:rPr>
      </w:pPr>
      <w:bookmarkStart w:id="358" w:name="_Ref353372247"/>
      <w:bookmarkStart w:id="359" w:name="_Toc384196557"/>
      <w:r w:rsidRPr="00370E70">
        <w:rPr>
          <w:color w:val="000000"/>
          <w:szCs w:val="22"/>
        </w:rPr>
        <w:lastRenderedPageBreak/>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21</w:t>
      </w:r>
      <w:r w:rsidRPr="00370E70">
        <w:rPr>
          <w:color w:val="000000"/>
          <w:szCs w:val="22"/>
        </w:rPr>
        <w:fldChar w:fldCharType="end"/>
      </w:r>
      <w:bookmarkEnd w:id="358"/>
      <w:r w:rsidRPr="00370E70">
        <w:rPr>
          <w:color w:val="000000"/>
          <w:szCs w:val="22"/>
        </w:rPr>
        <w:t xml:space="preserve">. </w:t>
      </w:r>
      <w:r w:rsidRPr="00370E70">
        <w:rPr>
          <w:i/>
          <w:color w:val="000000"/>
          <w:szCs w:val="22"/>
        </w:rPr>
        <w:t xml:space="preserve">Tissue nutrient ratios for all foundation species pooled for subtidal sites in the Wet Tropics. NB there was insufficient seagrass at the </w:t>
      </w:r>
      <w:smartTag w:uri="urn:schemas-microsoft-com:office:smarttags" w:element="place">
        <w:smartTag w:uri="urn:schemas-microsoft-com:office:smarttags" w:element="PlaceName">
          <w:r w:rsidRPr="00370E70">
            <w:rPr>
              <w:i/>
              <w:color w:val="000000"/>
              <w:szCs w:val="22"/>
            </w:rPr>
            <w:t>Dunk</w:t>
          </w:r>
        </w:smartTag>
        <w:r w:rsidRPr="00370E70">
          <w:rPr>
            <w:i/>
            <w:color w:val="000000"/>
            <w:szCs w:val="22"/>
          </w:rPr>
          <w:t xml:space="preserve"> </w:t>
        </w:r>
        <w:smartTag w:uri="urn:schemas-microsoft-com:office:smarttags" w:element="PlaceType">
          <w:r w:rsidRPr="00370E70">
            <w:rPr>
              <w:i/>
              <w:color w:val="000000"/>
              <w:szCs w:val="22"/>
            </w:rPr>
            <w:t>Island</w:t>
          </w:r>
        </w:smartTag>
      </w:smartTag>
      <w:r w:rsidRPr="00370E70">
        <w:rPr>
          <w:i/>
          <w:color w:val="000000"/>
          <w:szCs w:val="22"/>
        </w:rPr>
        <w:t xml:space="preserve"> and Low Isles subtidal sites for analysis.</w:t>
      </w:r>
      <w:bookmarkEnd w:id="359"/>
      <w:r w:rsidRPr="00370E70">
        <w:rPr>
          <w:i/>
          <w:color w:val="000000"/>
          <w:szCs w:val="22"/>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4"/>
        <w:gridCol w:w="1153"/>
        <w:gridCol w:w="1178"/>
        <w:gridCol w:w="1066"/>
        <w:gridCol w:w="1289"/>
      </w:tblGrid>
      <w:tr w:rsidR="005132EF" w:rsidRPr="00370E70" w:rsidTr="00D010DC">
        <w:trPr>
          <w:jc w:val="center"/>
        </w:trPr>
        <w:tc>
          <w:tcPr>
            <w:tcW w:w="1454" w:type="dxa"/>
          </w:tcPr>
          <w:p w:rsidR="005132EF" w:rsidRPr="00370E70" w:rsidRDefault="005132EF" w:rsidP="00D010DC">
            <w:pPr>
              <w:spacing w:before="0" w:after="0"/>
              <w:rPr>
                <w:b/>
              </w:rPr>
            </w:pPr>
            <w:r w:rsidRPr="00370E70">
              <w:rPr>
                <w:b/>
                <w:szCs w:val="22"/>
              </w:rPr>
              <w:t>Location</w:t>
            </w:r>
          </w:p>
        </w:tc>
        <w:tc>
          <w:tcPr>
            <w:tcW w:w="1153" w:type="dxa"/>
          </w:tcPr>
          <w:p w:rsidR="005132EF" w:rsidRPr="00370E70" w:rsidRDefault="005132EF" w:rsidP="00D010DC">
            <w:pPr>
              <w:spacing w:before="0" w:after="0"/>
              <w:rPr>
                <w:b/>
              </w:rPr>
            </w:pPr>
          </w:p>
        </w:tc>
        <w:tc>
          <w:tcPr>
            <w:tcW w:w="1178" w:type="dxa"/>
          </w:tcPr>
          <w:p w:rsidR="005132EF" w:rsidRPr="00370E70" w:rsidRDefault="005132EF" w:rsidP="00D010DC">
            <w:pPr>
              <w:spacing w:before="0" w:after="0"/>
              <w:rPr>
                <w:b/>
              </w:rPr>
            </w:pPr>
            <w:r w:rsidRPr="00370E70">
              <w:rPr>
                <w:b/>
                <w:szCs w:val="22"/>
              </w:rPr>
              <w:t>C:N</w:t>
            </w:r>
          </w:p>
        </w:tc>
        <w:tc>
          <w:tcPr>
            <w:tcW w:w="1066" w:type="dxa"/>
          </w:tcPr>
          <w:p w:rsidR="005132EF" w:rsidRPr="00370E70" w:rsidRDefault="005132EF" w:rsidP="00D010DC">
            <w:pPr>
              <w:spacing w:before="0" w:after="0"/>
              <w:rPr>
                <w:b/>
              </w:rPr>
            </w:pPr>
            <w:r w:rsidRPr="00370E70">
              <w:rPr>
                <w:b/>
                <w:szCs w:val="22"/>
              </w:rPr>
              <w:t>N:P</w:t>
            </w:r>
          </w:p>
        </w:tc>
        <w:tc>
          <w:tcPr>
            <w:tcW w:w="1289" w:type="dxa"/>
          </w:tcPr>
          <w:p w:rsidR="005132EF" w:rsidRPr="00370E70" w:rsidRDefault="005132EF" w:rsidP="00D010DC">
            <w:pPr>
              <w:spacing w:before="0" w:after="0"/>
              <w:rPr>
                <w:b/>
              </w:rPr>
            </w:pPr>
            <w:r w:rsidRPr="00370E70">
              <w:rPr>
                <w:b/>
                <w:szCs w:val="22"/>
              </w:rPr>
              <w:t>C:P</w:t>
            </w:r>
          </w:p>
        </w:tc>
      </w:tr>
      <w:tr w:rsidR="005132EF" w:rsidRPr="00370E70" w:rsidTr="00D010DC">
        <w:trPr>
          <w:jc w:val="center"/>
        </w:trPr>
        <w:tc>
          <w:tcPr>
            <w:tcW w:w="1454" w:type="dxa"/>
          </w:tcPr>
          <w:p w:rsidR="005132EF" w:rsidRPr="00370E70" w:rsidRDefault="005132EF" w:rsidP="00D010DC">
            <w:pPr>
              <w:spacing w:before="0" w:after="0"/>
            </w:pPr>
            <w:r w:rsidRPr="00370E70">
              <w:rPr>
                <w:szCs w:val="22"/>
              </w:rPr>
              <w:t>Low Isles</w:t>
            </w:r>
          </w:p>
        </w:tc>
        <w:tc>
          <w:tcPr>
            <w:tcW w:w="1153" w:type="dxa"/>
          </w:tcPr>
          <w:p w:rsidR="005132EF" w:rsidRPr="00370E70" w:rsidRDefault="005132EF" w:rsidP="00D010DC">
            <w:pPr>
              <w:spacing w:before="0" w:after="0"/>
            </w:pPr>
            <w:r w:rsidRPr="00370E70">
              <w:rPr>
                <w:szCs w:val="22"/>
              </w:rPr>
              <w:t>Intertidal</w:t>
            </w:r>
          </w:p>
        </w:tc>
        <w:tc>
          <w:tcPr>
            <w:tcW w:w="1178" w:type="dxa"/>
          </w:tcPr>
          <w:p w:rsidR="005132EF" w:rsidRPr="00370E70" w:rsidRDefault="005132EF" w:rsidP="00D010DC">
            <w:pPr>
              <w:spacing w:before="0" w:after="0"/>
            </w:pPr>
            <w:r w:rsidRPr="00370E70">
              <w:rPr>
                <w:szCs w:val="22"/>
              </w:rPr>
              <w:t>17.2 ±0.6</w:t>
            </w:r>
          </w:p>
        </w:tc>
        <w:tc>
          <w:tcPr>
            <w:tcW w:w="1066" w:type="dxa"/>
          </w:tcPr>
          <w:p w:rsidR="005132EF" w:rsidRPr="00370E70" w:rsidRDefault="005132EF" w:rsidP="00D010DC">
            <w:pPr>
              <w:spacing w:before="0" w:after="0"/>
            </w:pPr>
            <w:r w:rsidRPr="00370E70">
              <w:rPr>
                <w:szCs w:val="22"/>
              </w:rPr>
              <w:t>9.7 ± 0.1</w:t>
            </w:r>
          </w:p>
        </w:tc>
        <w:tc>
          <w:tcPr>
            <w:tcW w:w="1289" w:type="dxa"/>
          </w:tcPr>
          <w:p w:rsidR="005132EF" w:rsidRPr="00370E70" w:rsidRDefault="005132EF" w:rsidP="00D010DC">
            <w:pPr>
              <w:spacing w:before="0" w:after="0"/>
            </w:pPr>
            <w:r w:rsidRPr="00370E70">
              <w:rPr>
                <w:szCs w:val="22"/>
              </w:rPr>
              <w:t>166.6 ±7.3</w:t>
            </w:r>
          </w:p>
        </w:tc>
      </w:tr>
      <w:tr w:rsidR="005132EF" w:rsidRPr="00370E70" w:rsidTr="00D010DC">
        <w:trPr>
          <w:jc w:val="center"/>
        </w:trPr>
        <w:tc>
          <w:tcPr>
            <w:tcW w:w="1454" w:type="dxa"/>
          </w:tcPr>
          <w:p w:rsidR="005132EF" w:rsidRPr="00370E70" w:rsidRDefault="005132EF" w:rsidP="00D010DC">
            <w:pPr>
              <w:spacing w:before="0" w:after="0"/>
            </w:pPr>
            <w:smartTag w:uri="urn:schemas-microsoft-com:office:smarttags" w:element="place">
              <w:smartTag w:uri="urn:schemas-microsoft-com:office:smarttags" w:element="PlaceName">
                <w:r w:rsidRPr="00370E70">
                  <w:rPr>
                    <w:szCs w:val="22"/>
                  </w:rPr>
                  <w:t>Green</w:t>
                </w:r>
              </w:smartTag>
              <w:r w:rsidRPr="00370E70">
                <w:rPr>
                  <w:szCs w:val="22"/>
                </w:rPr>
                <w:t xml:space="preserve"> </w:t>
              </w:r>
              <w:smartTag w:uri="urn:schemas-microsoft-com:office:smarttags" w:element="PlaceType">
                <w:r w:rsidRPr="00370E70">
                  <w:rPr>
                    <w:szCs w:val="22"/>
                  </w:rPr>
                  <w:t>Island</w:t>
                </w:r>
              </w:smartTag>
            </w:smartTag>
          </w:p>
        </w:tc>
        <w:tc>
          <w:tcPr>
            <w:tcW w:w="1153" w:type="dxa"/>
          </w:tcPr>
          <w:p w:rsidR="005132EF" w:rsidRPr="00370E70" w:rsidRDefault="005132EF" w:rsidP="00D010DC">
            <w:pPr>
              <w:spacing w:before="0" w:after="0"/>
            </w:pPr>
            <w:r w:rsidRPr="00370E70">
              <w:rPr>
                <w:szCs w:val="22"/>
              </w:rPr>
              <w:t>Subtidal</w:t>
            </w:r>
          </w:p>
        </w:tc>
        <w:tc>
          <w:tcPr>
            <w:tcW w:w="1178" w:type="dxa"/>
          </w:tcPr>
          <w:p w:rsidR="005132EF" w:rsidRPr="00370E70" w:rsidRDefault="005132EF" w:rsidP="00D010DC">
            <w:pPr>
              <w:spacing w:before="0" w:after="0"/>
            </w:pPr>
            <w:r w:rsidRPr="00370E70">
              <w:rPr>
                <w:szCs w:val="22"/>
              </w:rPr>
              <w:t>18.5 ± 0.6</w:t>
            </w:r>
          </w:p>
        </w:tc>
        <w:tc>
          <w:tcPr>
            <w:tcW w:w="1066" w:type="dxa"/>
          </w:tcPr>
          <w:p w:rsidR="005132EF" w:rsidRPr="00370E70" w:rsidRDefault="005132EF" w:rsidP="00D010DC">
            <w:pPr>
              <w:spacing w:before="0" w:after="0"/>
            </w:pPr>
            <w:r w:rsidRPr="00370E70">
              <w:rPr>
                <w:szCs w:val="22"/>
              </w:rPr>
              <w:t>8.9 ± 0.2</w:t>
            </w:r>
          </w:p>
        </w:tc>
        <w:tc>
          <w:tcPr>
            <w:tcW w:w="1289" w:type="dxa"/>
          </w:tcPr>
          <w:p w:rsidR="005132EF" w:rsidRPr="00370E70" w:rsidRDefault="005132EF" w:rsidP="00D010DC">
            <w:pPr>
              <w:spacing w:before="0" w:after="0"/>
            </w:pPr>
            <w:r w:rsidRPr="00370E70">
              <w:rPr>
                <w:szCs w:val="22"/>
              </w:rPr>
              <w:t>165.4 ±6.7</w:t>
            </w:r>
          </w:p>
        </w:tc>
      </w:tr>
    </w:tbl>
    <w:p w:rsidR="00951A81" w:rsidRPr="00370E70" w:rsidRDefault="00951A81" w:rsidP="00951A81">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C values for foundation species at Yule Point and Green Island during the late dry (growing) season were all above the global average and within global ranges (</w:t>
      </w:r>
      <w:r w:rsidRPr="00370E70">
        <w:rPr>
          <w:color w:val="000000"/>
          <w:szCs w:val="22"/>
        </w:rPr>
        <w:fldChar w:fldCharType="begin"/>
      </w:r>
      <w:r w:rsidRPr="00370E70">
        <w:rPr>
          <w:color w:val="000000"/>
          <w:szCs w:val="22"/>
        </w:rPr>
        <w:instrText xml:space="preserve"> REF _Ref353372394 \h  \* MERGEFORMAT </w:instrText>
      </w:r>
      <w:r w:rsidRPr="00370E70">
        <w:rPr>
          <w:color w:val="000000"/>
          <w:szCs w:val="22"/>
        </w:rPr>
      </w:r>
      <w:r w:rsidRPr="00370E70">
        <w:rPr>
          <w:color w:val="000000"/>
          <w:szCs w:val="22"/>
        </w:rPr>
        <w:fldChar w:fldCharType="separate"/>
      </w:r>
      <w:r w:rsidR="005B5FD6" w:rsidRPr="005B5FD6">
        <w:rPr>
          <w:szCs w:val="22"/>
        </w:rPr>
        <w:t xml:space="preserve">Table </w:t>
      </w:r>
      <w:r w:rsidR="005B5FD6" w:rsidRPr="005B5FD6">
        <w:rPr>
          <w:noProof/>
          <w:color w:val="000000"/>
          <w:szCs w:val="22"/>
        </w:rPr>
        <w:t>22</w:t>
      </w:r>
      <w:r w:rsidRPr="00370E70">
        <w:rPr>
          <w:color w:val="000000"/>
          <w:szCs w:val="22"/>
        </w:rPr>
        <w:fldChar w:fldCharType="end"/>
      </w:r>
      <w:r w:rsidRPr="00370E70">
        <w:rPr>
          <w:color w:val="000000"/>
          <w:szCs w:val="22"/>
        </w:rPr>
        <w:t xml:space="preserve">), suggesting sufficient carbon </w:t>
      </w:r>
      <w:r w:rsidR="002C6536" w:rsidRPr="00370E70">
        <w:rPr>
          <w:color w:val="000000"/>
          <w:szCs w:val="22"/>
        </w:rPr>
        <w:t>available</w:t>
      </w:r>
      <w:r w:rsidRPr="00370E70">
        <w:rPr>
          <w:color w:val="000000"/>
          <w:szCs w:val="22"/>
        </w:rPr>
        <w:t xml:space="preserve"> for growth. Similarly, as %C in the leaves was also above the literature median values, suggests adequate light available for growth. The low C</w:t>
      </w:r>
      <w:proofErr w:type="gramStart"/>
      <w:r w:rsidRPr="00370E70">
        <w:rPr>
          <w:color w:val="000000"/>
          <w:szCs w:val="22"/>
        </w:rPr>
        <w:t>:N</w:t>
      </w:r>
      <w:proofErr w:type="gramEnd"/>
      <w:r w:rsidRPr="00370E70">
        <w:rPr>
          <w:color w:val="000000"/>
          <w:szCs w:val="22"/>
        </w:rPr>
        <w:t xml:space="preserve"> ratio is likely a consequence of the elevated N, where the low </w:t>
      </w:r>
      <w:r w:rsidRPr="00370E70">
        <w:rPr>
          <w:color w:val="000000"/>
          <w:sz w:val="18"/>
          <w:szCs w:val="18"/>
        </w:rPr>
        <w:t>δ</w:t>
      </w:r>
      <w:r w:rsidRPr="00370E70">
        <w:rPr>
          <w:color w:val="000000"/>
          <w:sz w:val="18"/>
          <w:szCs w:val="18"/>
          <w:vertAlign w:val="superscript"/>
        </w:rPr>
        <w:t>15</w:t>
      </w:r>
      <w:r w:rsidRPr="00370E70">
        <w:rPr>
          <w:color w:val="000000"/>
          <w:sz w:val="18"/>
          <w:szCs w:val="18"/>
        </w:rPr>
        <w:t>N</w:t>
      </w:r>
      <w:r w:rsidRPr="00370E70">
        <w:rPr>
          <w:color w:val="000000"/>
          <w:szCs w:val="22"/>
        </w:rPr>
        <w:t xml:space="preserve"> value in the leaf tissue (</w:t>
      </w:r>
      <w:r w:rsidRPr="00370E70">
        <w:rPr>
          <w:color w:val="000000"/>
          <w:szCs w:val="22"/>
        </w:rPr>
        <w:fldChar w:fldCharType="begin"/>
      </w:r>
      <w:r w:rsidRPr="00370E70">
        <w:rPr>
          <w:color w:val="000000"/>
          <w:szCs w:val="22"/>
        </w:rPr>
        <w:instrText xml:space="preserve"> REF _Ref353372394 \h  \* MERGEFORMAT </w:instrText>
      </w:r>
      <w:r w:rsidRPr="00370E70">
        <w:rPr>
          <w:color w:val="000000"/>
          <w:szCs w:val="22"/>
        </w:rPr>
      </w:r>
      <w:r w:rsidRPr="00370E70">
        <w:rPr>
          <w:color w:val="000000"/>
          <w:szCs w:val="22"/>
        </w:rPr>
        <w:fldChar w:fldCharType="separate"/>
      </w:r>
      <w:r w:rsidR="005B5FD6" w:rsidRPr="005B5FD6">
        <w:rPr>
          <w:szCs w:val="22"/>
        </w:rPr>
        <w:t xml:space="preserve">Table </w:t>
      </w:r>
      <w:r w:rsidR="005B5FD6" w:rsidRPr="005B5FD6">
        <w:rPr>
          <w:noProof/>
          <w:color w:val="000000"/>
          <w:szCs w:val="22"/>
        </w:rPr>
        <w:t>22</w:t>
      </w:r>
      <w:r w:rsidRPr="00370E70">
        <w:rPr>
          <w:color w:val="000000"/>
          <w:szCs w:val="22"/>
        </w:rPr>
        <w:fldChar w:fldCharType="end"/>
      </w:r>
      <w:r w:rsidRPr="00370E70">
        <w:rPr>
          <w:color w:val="000000"/>
          <w:szCs w:val="22"/>
        </w:rPr>
        <w:t>) suggests that their primary source of N was either from N</w:t>
      </w:r>
      <w:r w:rsidRPr="00370E70">
        <w:rPr>
          <w:color w:val="000000"/>
          <w:szCs w:val="22"/>
          <w:vertAlign w:val="subscript"/>
        </w:rPr>
        <w:t>2</w:t>
      </w:r>
      <w:r w:rsidRPr="00370E70">
        <w:rPr>
          <w:color w:val="000000"/>
          <w:szCs w:val="22"/>
        </w:rPr>
        <w:t xml:space="preserve"> fixation or fertiliser.</w:t>
      </w:r>
    </w:p>
    <w:p w:rsidR="00563F19" w:rsidRPr="00563F19" w:rsidRDefault="005132EF" w:rsidP="00563F19">
      <w:pPr>
        <w:pStyle w:val="Caption"/>
        <w:jc w:val="center"/>
        <w:rPr>
          <w:i/>
          <w:vanish/>
          <w:lang w:val="en-AU"/>
          <w:specVanish/>
        </w:rPr>
      </w:pPr>
      <w:bookmarkStart w:id="360" w:name="_Ref353372394"/>
      <w:bookmarkStart w:id="361" w:name="_Toc384196558"/>
      <w:r w:rsidRPr="00370E70">
        <w:rPr>
          <w:rStyle w:val="StyleCaptionCaptionCharCharLatinCalibri11ptBlackChar"/>
          <w:lang w:val="en-AU"/>
        </w:rPr>
        <w:t xml:space="preserve">Table </w:t>
      </w:r>
      <w:r w:rsidRPr="00370E70">
        <w:fldChar w:fldCharType="begin"/>
      </w:r>
      <w:r w:rsidRPr="00370E70">
        <w:instrText xml:space="preserve"> SEQ Table \* ARABIC </w:instrText>
      </w:r>
      <w:r w:rsidRPr="00370E70">
        <w:fldChar w:fldCharType="separate"/>
      </w:r>
      <w:r w:rsidR="005B5FD6">
        <w:rPr>
          <w:noProof/>
        </w:rPr>
        <w:t>22</w:t>
      </w:r>
      <w:r w:rsidRPr="00370E70">
        <w:fldChar w:fldCharType="end"/>
      </w:r>
      <w:bookmarkEnd w:id="360"/>
      <w:r w:rsidRPr="00370E70">
        <w:rPr>
          <w:rStyle w:val="StyleCaptionCaptionCharCharLatinCalibri11ptBlackChar"/>
          <w:lang w:val="en-AU"/>
        </w:rPr>
        <w:t xml:space="preserve">. </w:t>
      </w:r>
      <w:r w:rsidRPr="00563F19">
        <w:rPr>
          <w:i/>
        </w:rPr>
        <w:t>Seagrass leaf tissue nutrient, δ</w:t>
      </w:r>
      <w:r w:rsidRPr="00563F19">
        <w:rPr>
          <w:i/>
          <w:vertAlign w:val="superscript"/>
        </w:rPr>
        <w:t>13</w:t>
      </w:r>
      <w:r w:rsidRPr="00563F19">
        <w:rPr>
          <w:i/>
        </w:rPr>
        <w:t>C and δ</w:t>
      </w:r>
      <w:r w:rsidRPr="00563F19">
        <w:rPr>
          <w:i/>
          <w:vertAlign w:val="superscript"/>
        </w:rPr>
        <w:t>15</w:t>
      </w:r>
      <w:r w:rsidRPr="00563F19">
        <w:rPr>
          <w:i/>
        </w:rPr>
        <w:t>N concentrations from Wet Tropics locations in the late dry 2011.</w:t>
      </w:r>
      <w:bookmarkEnd w:id="361"/>
      <w:r w:rsidR="00AA19A4" w:rsidRPr="00563F19">
        <w:rPr>
          <w:i/>
          <w:vanish/>
          <w:color w:val="000000"/>
          <w:szCs w:val="22"/>
          <w:specVanish/>
        </w:rPr>
        <w:t xml:space="preserve"> </w:t>
      </w:r>
      <w:r w:rsidRPr="00563F19">
        <w:rPr>
          <w:i/>
        </w:rPr>
        <w:t xml:space="preserve"> </w:t>
      </w:r>
    </w:p>
    <w:p w:rsidR="00563F19" w:rsidRPr="00563F19" w:rsidRDefault="00ED4E20" w:rsidP="00563F19">
      <w:pPr>
        <w:pStyle w:val="Caption"/>
        <w:jc w:val="center"/>
      </w:pPr>
      <w:r w:rsidRPr="00563F19">
        <w:rPr>
          <w:i/>
        </w:rPr>
        <w:t xml:space="preserve">Leaf tissues with low %C (see </w:t>
      </w:r>
      <w:r w:rsidRPr="00563F19">
        <w:rPr>
          <w:i/>
        </w:rPr>
        <w:fldChar w:fldCharType="begin"/>
      </w:r>
      <w:r w:rsidRPr="00563F19">
        <w:rPr>
          <w:i/>
        </w:rPr>
        <w:instrText xml:space="preserve"> REF _Ref353029075 \h  \* MERGEFORMAT </w:instrText>
      </w:r>
      <w:r w:rsidRPr="00563F19">
        <w:rPr>
          <w:i/>
        </w:rPr>
      </w:r>
      <w:r w:rsidRPr="00563F19">
        <w:rPr>
          <w:i/>
        </w:rPr>
        <w:fldChar w:fldCharType="separate"/>
      </w:r>
      <w:r w:rsidR="005B5FD6" w:rsidRPr="005B5FD6">
        <w:rPr>
          <w:i/>
        </w:rPr>
        <w:t xml:space="preserve">Table </w:t>
      </w:r>
      <w:r w:rsidR="005B5FD6" w:rsidRPr="005B5FD6">
        <w:rPr>
          <w:i/>
          <w:noProof/>
        </w:rPr>
        <w:t>37</w:t>
      </w:r>
      <w:r w:rsidRPr="00563F19">
        <w:rPr>
          <w:i/>
        </w:rPr>
        <w:fldChar w:fldCharType="end"/>
      </w:r>
      <w:r w:rsidRPr="00563F19">
        <w:rPr>
          <w:i/>
        </w:rPr>
        <w:t>), low C</w:t>
      </w:r>
      <w:proofErr w:type="gramStart"/>
      <w:r w:rsidRPr="00563F19">
        <w:rPr>
          <w:i/>
        </w:rPr>
        <w:t>:N</w:t>
      </w:r>
      <w:proofErr w:type="gramEnd"/>
      <w:r w:rsidRPr="00563F19">
        <w:rPr>
          <w:i/>
        </w:rPr>
        <w:t xml:space="preserve"> (&lt;20:1), and isotopically depleted δ</w:t>
      </w:r>
      <w:r w:rsidRPr="00563F19">
        <w:rPr>
          <w:i/>
          <w:vertAlign w:val="superscript"/>
        </w:rPr>
        <w:t>13</w:t>
      </w:r>
      <w:r w:rsidRPr="00563F19">
        <w:rPr>
          <w:i/>
        </w:rPr>
        <w:t>C may indicate that growth is light limited (Grice et al. 1996; Fourqurean et al. 2005). Shading indicates values lower than literature. CR=Cymodocea rotundata, HU=Halodule uninervis, TH=Thalassia hemprichii.</w:t>
      </w:r>
      <w:r w:rsidR="00AA19A4" w:rsidRPr="00370E70">
        <w:t xml:space="preserve"> </w:t>
      </w:r>
    </w:p>
    <w:tbl>
      <w:tblPr>
        <w:tblW w:w="8839" w:type="dxa"/>
        <w:tblInd w:w="108" w:type="dxa"/>
        <w:tblLook w:val="0000" w:firstRow="0" w:lastRow="0" w:firstColumn="0" w:lastColumn="0" w:noHBand="0" w:noVBand="0"/>
      </w:tblPr>
      <w:tblGrid>
        <w:gridCol w:w="1454"/>
        <w:gridCol w:w="850"/>
        <w:gridCol w:w="778"/>
        <w:gridCol w:w="689"/>
        <w:gridCol w:w="954"/>
        <w:gridCol w:w="1062"/>
        <w:gridCol w:w="1328"/>
        <w:gridCol w:w="1724"/>
      </w:tblGrid>
      <w:tr w:rsidR="00ED4E20" w:rsidRPr="00370E70" w:rsidTr="00951A81">
        <w:trPr>
          <w:trHeight w:val="288"/>
        </w:trPr>
        <w:tc>
          <w:tcPr>
            <w:tcW w:w="1454" w:type="dxa"/>
            <w:tcBorders>
              <w:top w:val="single" w:sz="4" w:space="0" w:color="auto"/>
              <w:bottom w:val="single" w:sz="4" w:space="0" w:color="auto"/>
            </w:tcBorders>
            <w:noWrap/>
            <w:vAlign w:val="center"/>
          </w:tcPr>
          <w:p w:rsidR="00ED4E20" w:rsidRPr="00370E70" w:rsidRDefault="00ED4E20" w:rsidP="00D626D3">
            <w:pPr>
              <w:spacing w:before="0" w:after="0"/>
              <w:rPr>
                <w:b/>
                <w:color w:val="000000"/>
                <w:sz w:val="18"/>
                <w:szCs w:val="18"/>
              </w:rPr>
            </w:pPr>
            <w:r w:rsidRPr="00370E70">
              <w:rPr>
                <w:b/>
                <w:color w:val="000000"/>
                <w:sz w:val="18"/>
                <w:szCs w:val="18"/>
              </w:rPr>
              <w:t>Location</w:t>
            </w:r>
          </w:p>
        </w:tc>
        <w:tc>
          <w:tcPr>
            <w:tcW w:w="850" w:type="dxa"/>
            <w:tcBorders>
              <w:top w:val="single" w:sz="4" w:space="0" w:color="auto"/>
              <w:bottom w:val="single" w:sz="4" w:space="0" w:color="auto"/>
            </w:tcBorders>
            <w:noWrap/>
            <w:vAlign w:val="center"/>
          </w:tcPr>
          <w:p w:rsidR="00ED4E20" w:rsidRPr="00370E70" w:rsidRDefault="00ED4E20" w:rsidP="00D626D3">
            <w:pPr>
              <w:spacing w:before="0" w:after="0"/>
              <w:jc w:val="center"/>
              <w:rPr>
                <w:b/>
                <w:color w:val="000000"/>
                <w:sz w:val="18"/>
                <w:szCs w:val="18"/>
              </w:rPr>
            </w:pPr>
            <w:r w:rsidRPr="00370E70">
              <w:rPr>
                <w:b/>
                <w:color w:val="000000"/>
                <w:sz w:val="18"/>
                <w:szCs w:val="18"/>
              </w:rPr>
              <w:t>Species</w:t>
            </w:r>
          </w:p>
        </w:tc>
        <w:tc>
          <w:tcPr>
            <w:tcW w:w="778" w:type="dxa"/>
            <w:tcBorders>
              <w:top w:val="single" w:sz="4" w:space="0" w:color="auto"/>
              <w:bottom w:val="single" w:sz="4" w:space="0" w:color="auto"/>
            </w:tcBorders>
            <w:vAlign w:val="center"/>
          </w:tcPr>
          <w:p w:rsidR="00ED4E20" w:rsidRPr="00370E70" w:rsidRDefault="00ED4E20" w:rsidP="00D626D3">
            <w:pPr>
              <w:spacing w:before="0" w:after="0"/>
              <w:jc w:val="center"/>
              <w:rPr>
                <w:b/>
                <w:color w:val="000000"/>
                <w:sz w:val="18"/>
                <w:szCs w:val="18"/>
              </w:rPr>
            </w:pPr>
            <w:r w:rsidRPr="00370E70">
              <w:rPr>
                <w:b/>
                <w:color w:val="000000"/>
                <w:sz w:val="18"/>
                <w:szCs w:val="18"/>
              </w:rPr>
              <w:t>%C</w:t>
            </w:r>
          </w:p>
        </w:tc>
        <w:tc>
          <w:tcPr>
            <w:tcW w:w="689" w:type="dxa"/>
            <w:tcBorders>
              <w:top w:val="single" w:sz="4" w:space="0" w:color="auto"/>
              <w:bottom w:val="single" w:sz="4" w:space="0" w:color="auto"/>
            </w:tcBorders>
            <w:vAlign w:val="center"/>
          </w:tcPr>
          <w:p w:rsidR="00ED4E20" w:rsidRPr="00370E70" w:rsidRDefault="00ED4E20" w:rsidP="00D626D3">
            <w:pPr>
              <w:spacing w:before="0" w:after="0"/>
              <w:jc w:val="center"/>
              <w:rPr>
                <w:b/>
                <w:color w:val="000000"/>
                <w:sz w:val="18"/>
                <w:szCs w:val="18"/>
              </w:rPr>
            </w:pPr>
            <w:r w:rsidRPr="00370E70">
              <w:rPr>
                <w:b/>
                <w:color w:val="000000"/>
                <w:sz w:val="18"/>
                <w:szCs w:val="18"/>
              </w:rPr>
              <w:t>C:N</w:t>
            </w:r>
          </w:p>
        </w:tc>
        <w:tc>
          <w:tcPr>
            <w:tcW w:w="954" w:type="dxa"/>
            <w:tcBorders>
              <w:top w:val="single" w:sz="4" w:space="0" w:color="auto"/>
              <w:bottom w:val="single" w:sz="4" w:space="0" w:color="auto"/>
            </w:tcBorders>
            <w:noWrap/>
            <w:vAlign w:val="center"/>
          </w:tcPr>
          <w:p w:rsidR="00ED4E20" w:rsidRPr="00370E70" w:rsidRDefault="00ED4E20" w:rsidP="00D626D3">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c>
          <w:tcPr>
            <w:tcW w:w="1062" w:type="dxa"/>
            <w:tcBorders>
              <w:top w:val="single" w:sz="4" w:space="0" w:color="auto"/>
              <w:bottom w:val="single" w:sz="4" w:space="0" w:color="auto"/>
            </w:tcBorders>
            <w:vAlign w:val="center"/>
          </w:tcPr>
          <w:p w:rsidR="00ED4E20" w:rsidRPr="00370E70" w:rsidRDefault="00ED4E20" w:rsidP="00DC1772">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15</w:t>
            </w:r>
            <w:r w:rsidRPr="00370E70">
              <w:rPr>
                <w:b/>
                <w:color w:val="000000"/>
                <w:sz w:val="18"/>
                <w:szCs w:val="18"/>
              </w:rPr>
              <w:t>N</w:t>
            </w:r>
          </w:p>
        </w:tc>
        <w:tc>
          <w:tcPr>
            <w:tcW w:w="1328" w:type="dxa"/>
            <w:tcBorders>
              <w:top w:val="single" w:sz="4" w:space="0" w:color="auto"/>
              <w:bottom w:val="single" w:sz="4" w:space="0" w:color="auto"/>
            </w:tcBorders>
            <w:vAlign w:val="center"/>
          </w:tcPr>
          <w:p w:rsidR="00ED4E20" w:rsidRPr="00370E70" w:rsidRDefault="00ED4E20" w:rsidP="00DC1772">
            <w:pPr>
              <w:spacing w:before="0" w:after="0"/>
              <w:jc w:val="center"/>
              <w:rPr>
                <w:b/>
                <w:color w:val="000000"/>
                <w:sz w:val="18"/>
                <w:szCs w:val="18"/>
              </w:rPr>
            </w:pPr>
            <w:r w:rsidRPr="00370E70">
              <w:rPr>
                <w:b/>
                <w:color w:val="000000"/>
                <w:sz w:val="18"/>
                <w:szCs w:val="18"/>
              </w:rPr>
              <w:t>%C lit median</w:t>
            </w:r>
          </w:p>
        </w:tc>
        <w:tc>
          <w:tcPr>
            <w:tcW w:w="1724" w:type="dxa"/>
            <w:tcBorders>
              <w:top w:val="single" w:sz="4" w:space="0" w:color="auto"/>
              <w:bottom w:val="single" w:sz="4" w:space="0" w:color="auto"/>
            </w:tcBorders>
            <w:noWrap/>
            <w:vAlign w:val="center"/>
          </w:tcPr>
          <w:p w:rsidR="00ED4E20" w:rsidRPr="00370E70" w:rsidRDefault="00ED4E20" w:rsidP="00D626D3">
            <w:pPr>
              <w:spacing w:before="0" w:after="0"/>
              <w:jc w:val="center"/>
              <w:rPr>
                <w:b/>
                <w:color w:val="000000"/>
                <w:sz w:val="18"/>
                <w:szCs w:val="18"/>
              </w:rPr>
            </w:pPr>
            <w:r w:rsidRPr="00370E70">
              <w:rPr>
                <w:b/>
                <w:color w:val="000000"/>
                <w:sz w:val="18"/>
                <w:szCs w:val="18"/>
              </w:rPr>
              <w:t xml:space="preserve">Global </w:t>
            </w: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r>
      <w:tr w:rsidR="00ED4E20" w:rsidRPr="00370E70" w:rsidTr="00951A81">
        <w:trPr>
          <w:trHeight w:val="276"/>
        </w:trPr>
        <w:tc>
          <w:tcPr>
            <w:tcW w:w="1454" w:type="dxa"/>
            <w:tcBorders>
              <w:top w:val="single" w:sz="4" w:space="0" w:color="auto"/>
              <w:bottom w:val="single" w:sz="4" w:space="0" w:color="auto"/>
            </w:tcBorders>
            <w:noWrap/>
            <w:vAlign w:val="center"/>
          </w:tcPr>
          <w:p w:rsidR="00ED4E20" w:rsidRPr="00370E70" w:rsidRDefault="00ED4E20" w:rsidP="00D626D3">
            <w:pPr>
              <w:spacing w:before="0" w:after="0"/>
              <w:rPr>
                <w:color w:val="000000"/>
                <w:sz w:val="18"/>
                <w:szCs w:val="18"/>
              </w:rPr>
            </w:pPr>
            <w:r w:rsidRPr="00370E70">
              <w:rPr>
                <w:color w:val="000000"/>
                <w:sz w:val="18"/>
                <w:szCs w:val="18"/>
              </w:rPr>
              <w:t>Yule Point</w:t>
            </w:r>
          </w:p>
        </w:tc>
        <w:tc>
          <w:tcPr>
            <w:tcW w:w="850" w:type="dxa"/>
            <w:tcBorders>
              <w:top w:val="single" w:sz="4" w:space="0" w:color="auto"/>
              <w:bottom w:val="single" w:sz="4" w:space="0" w:color="auto"/>
            </w:tcBorders>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HU</w:t>
            </w:r>
          </w:p>
        </w:tc>
        <w:tc>
          <w:tcPr>
            <w:tcW w:w="778" w:type="dxa"/>
            <w:tcBorders>
              <w:top w:val="single" w:sz="4" w:space="0" w:color="auto"/>
              <w:bottom w:val="single" w:sz="4" w:space="0" w:color="auto"/>
            </w:tcBorders>
            <w:vAlign w:val="center"/>
          </w:tcPr>
          <w:p w:rsidR="00ED4E20" w:rsidRPr="00370E70" w:rsidRDefault="00ED4E20" w:rsidP="00D626D3">
            <w:pPr>
              <w:spacing w:before="0" w:after="0"/>
              <w:jc w:val="center"/>
              <w:rPr>
                <w:color w:val="000000"/>
                <w:sz w:val="18"/>
                <w:szCs w:val="18"/>
              </w:rPr>
            </w:pPr>
            <w:r w:rsidRPr="00370E70">
              <w:rPr>
                <w:color w:val="000000"/>
                <w:sz w:val="18"/>
                <w:szCs w:val="18"/>
              </w:rPr>
              <w:t>44.9</w:t>
            </w:r>
          </w:p>
        </w:tc>
        <w:tc>
          <w:tcPr>
            <w:tcW w:w="689" w:type="dxa"/>
            <w:tcBorders>
              <w:top w:val="single" w:sz="4" w:space="0" w:color="auto"/>
              <w:bottom w:val="single" w:sz="4" w:space="0" w:color="auto"/>
            </w:tcBorders>
            <w:shd w:val="clear" w:color="auto" w:fill="E6E6E6"/>
            <w:vAlign w:val="center"/>
          </w:tcPr>
          <w:p w:rsidR="00ED4E20" w:rsidRPr="00370E70" w:rsidRDefault="00ED4E20" w:rsidP="00D626D3">
            <w:pPr>
              <w:spacing w:before="0" w:after="0"/>
              <w:jc w:val="center"/>
              <w:rPr>
                <w:color w:val="000000"/>
                <w:sz w:val="18"/>
                <w:szCs w:val="18"/>
              </w:rPr>
            </w:pPr>
            <w:r w:rsidRPr="00370E70">
              <w:rPr>
                <w:color w:val="000000"/>
                <w:sz w:val="18"/>
                <w:szCs w:val="18"/>
              </w:rPr>
              <w:t>10.65</w:t>
            </w:r>
          </w:p>
        </w:tc>
        <w:tc>
          <w:tcPr>
            <w:tcW w:w="954" w:type="dxa"/>
            <w:tcBorders>
              <w:top w:val="single" w:sz="4" w:space="0" w:color="auto"/>
              <w:bottom w:val="single" w:sz="4" w:space="0" w:color="auto"/>
            </w:tcBorders>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-10.4</w:t>
            </w:r>
          </w:p>
        </w:tc>
        <w:tc>
          <w:tcPr>
            <w:tcW w:w="1062" w:type="dxa"/>
            <w:tcBorders>
              <w:top w:val="single" w:sz="4" w:space="0" w:color="auto"/>
              <w:bottom w:val="single" w:sz="4" w:space="0" w:color="auto"/>
            </w:tcBorders>
            <w:vAlign w:val="center"/>
          </w:tcPr>
          <w:p w:rsidR="00ED4E20" w:rsidRPr="00370E70" w:rsidRDefault="00ED4E20" w:rsidP="00DC1772">
            <w:pPr>
              <w:spacing w:before="0" w:after="0"/>
              <w:jc w:val="center"/>
              <w:rPr>
                <w:color w:val="000000"/>
                <w:sz w:val="18"/>
                <w:szCs w:val="18"/>
              </w:rPr>
            </w:pPr>
            <w:r w:rsidRPr="00370E70">
              <w:rPr>
                <w:color w:val="000000"/>
                <w:sz w:val="18"/>
                <w:szCs w:val="18"/>
              </w:rPr>
              <w:t>0.64</w:t>
            </w:r>
          </w:p>
        </w:tc>
        <w:tc>
          <w:tcPr>
            <w:tcW w:w="1328" w:type="dxa"/>
            <w:tcBorders>
              <w:top w:val="single" w:sz="4" w:space="0" w:color="auto"/>
              <w:bottom w:val="single" w:sz="4" w:space="0" w:color="auto"/>
            </w:tcBorders>
            <w:vAlign w:val="center"/>
          </w:tcPr>
          <w:p w:rsidR="00ED4E20" w:rsidRPr="00370E70" w:rsidRDefault="00ED4E20" w:rsidP="00DC1772">
            <w:pPr>
              <w:spacing w:before="0" w:after="0"/>
              <w:jc w:val="center"/>
              <w:rPr>
                <w:i/>
                <w:color w:val="000000"/>
                <w:sz w:val="18"/>
                <w:szCs w:val="18"/>
              </w:rPr>
            </w:pPr>
            <w:r w:rsidRPr="00370E70">
              <w:rPr>
                <w:i/>
                <w:color w:val="000000"/>
                <w:sz w:val="18"/>
                <w:szCs w:val="18"/>
              </w:rPr>
              <w:t>38.5</w:t>
            </w:r>
          </w:p>
        </w:tc>
        <w:tc>
          <w:tcPr>
            <w:tcW w:w="1724" w:type="dxa"/>
            <w:tcBorders>
              <w:top w:val="single" w:sz="4" w:space="0" w:color="auto"/>
              <w:bottom w:val="single" w:sz="4" w:space="0" w:color="auto"/>
            </w:tcBorders>
            <w:noWrap/>
            <w:vAlign w:val="center"/>
          </w:tcPr>
          <w:p w:rsidR="00ED4E20" w:rsidRPr="00370E70" w:rsidRDefault="00ED4E20" w:rsidP="00D626D3">
            <w:pPr>
              <w:spacing w:before="0" w:after="0"/>
              <w:jc w:val="center"/>
              <w:rPr>
                <w:i/>
                <w:color w:val="000000"/>
                <w:sz w:val="18"/>
                <w:szCs w:val="18"/>
              </w:rPr>
            </w:pPr>
            <w:r w:rsidRPr="00370E70">
              <w:rPr>
                <w:i/>
                <w:color w:val="000000"/>
                <w:sz w:val="18"/>
                <w:szCs w:val="18"/>
              </w:rPr>
              <w:t>-11.2 (-13.0 to -7.8)</w:t>
            </w:r>
          </w:p>
        </w:tc>
      </w:tr>
      <w:tr w:rsidR="00ED4E20" w:rsidRPr="00370E70" w:rsidTr="00951A81">
        <w:trPr>
          <w:trHeight w:val="276"/>
        </w:trPr>
        <w:tc>
          <w:tcPr>
            <w:tcW w:w="1454" w:type="dxa"/>
            <w:tcBorders>
              <w:top w:val="single" w:sz="4" w:space="0" w:color="auto"/>
            </w:tcBorders>
            <w:noWrap/>
            <w:vAlign w:val="center"/>
          </w:tcPr>
          <w:p w:rsidR="00ED4E20" w:rsidRPr="00370E70" w:rsidRDefault="00ED4E20" w:rsidP="00D626D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Green</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50" w:type="dxa"/>
            <w:tcBorders>
              <w:top w:val="single" w:sz="4" w:space="0" w:color="auto"/>
            </w:tcBorders>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CR</w:t>
            </w:r>
          </w:p>
        </w:tc>
        <w:tc>
          <w:tcPr>
            <w:tcW w:w="778" w:type="dxa"/>
            <w:tcBorders>
              <w:top w:val="single" w:sz="4" w:space="0" w:color="auto"/>
            </w:tcBorders>
            <w:vAlign w:val="center"/>
          </w:tcPr>
          <w:p w:rsidR="00ED4E20" w:rsidRPr="00370E70" w:rsidRDefault="00ED4E20" w:rsidP="00D626D3">
            <w:pPr>
              <w:spacing w:before="0" w:after="0"/>
              <w:jc w:val="center"/>
              <w:rPr>
                <w:color w:val="000000"/>
                <w:sz w:val="18"/>
                <w:szCs w:val="18"/>
              </w:rPr>
            </w:pPr>
            <w:r w:rsidRPr="00370E70">
              <w:rPr>
                <w:color w:val="000000"/>
                <w:sz w:val="18"/>
                <w:szCs w:val="18"/>
              </w:rPr>
              <w:t>42.475</w:t>
            </w:r>
          </w:p>
        </w:tc>
        <w:tc>
          <w:tcPr>
            <w:tcW w:w="689" w:type="dxa"/>
            <w:tcBorders>
              <w:top w:val="single" w:sz="4" w:space="0" w:color="auto"/>
            </w:tcBorders>
            <w:shd w:val="clear" w:color="auto" w:fill="E6E6E6"/>
            <w:vAlign w:val="center"/>
          </w:tcPr>
          <w:p w:rsidR="00ED4E20" w:rsidRPr="00370E70" w:rsidRDefault="00ED4E20" w:rsidP="00D626D3">
            <w:pPr>
              <w:spacing w:before="0" w:after="0"/>
              <w:jc w:val="center"/>
              <w:rPr>
                <w:color w:val="000000"/>
                <w:sz w:val="18"/>
                <w:szCs w:val="18"/>
              </w:rPr>
            </w:pPr>
            <w:r w:rsidRPr="00370E70">
              <w:rPr>
                <w:color w:val="000000"/>
                <w:sz w:val="18"/>
                <w:szCs w:val="18"/>
              </w:rPr>
              <w:t>18.10</w:t>
            </w:r>
          </w:p>
        </w:tc>
        <w:tc>
          <w:tcPr>
            <w:tcW w:w="954" w:type="dxa"/>
            <w:tcBorders>
              <w:top w:val="single" w:sz="4" w:space="0" w:color="auto"/>
            </w:tcBorders>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-7.8±0.2</w:t>
            </w:r>
          </w:p>
        </w:tc>
        <w:tc>
          <w:tcPr>
            <w:tcW w:w="1062" w:type="dxa"/>
            <w:tcBorders>
              <w:top w:val="single" w:sz="4" w:space="0" w:color="auto"/>
            </w:tcBorders>
            <w:vAlign w:val="center"/>
          </w:tcPr>
          <w:p w:rsidR="00ED4E20" w:rsidRPr="00370E70" w:rsidRDefault="00ED4E20" w:rsidP="00DC1772">
            <w:pPr>
              <w:spacing w:before="0" w:after="0"/>
              <w:jc w:val="center"/>
              <w:rPr>
                <w:color w:val="000000"/>
                <w:sz w:val="18"/>
                <w:szCs w:val="18"/>
              </w:rPr>
            </w:pPr>
            <w:r w:rsidRPr="00370E70">
              <w:rPr>
                <w:color w:val="000000"/>
                <w:sz w:val="18"/>
                <w:szCs w:val="18"/>
              </w:rPr>
              <w:t>-0.22±0.54</w:t>
            </w:r>
          </w:p>
        </w:tc>
        <w:tc>
          <w:tcPr>
            <w:tcW w:w="1328" w:type="dxa"/>
            <w:tcBorders>
              <w:top w:val="single" w:sz="4" w:space="0" w:color="auto"/>
            </w:tcBorders>
            <w:vAlign w:val="center"/>
          </w:tcPr>
          <w:p w:rsidR="00ED4E20" w:rsidRPr="00370E70" w:rsidRDefault="00ED4E20" w:rsidP="00DC1772">
            <w:pPr>
              <w:spacing w:before="0" w:after="0"/>
              <w:jc w:val="center"/>
              <w:rPr>
                <w:i/>
                <w:color w:val="000000"/>
                <w:sz w:val="18"/>
                <w:szCs w:val="18"/>
              </w:rPr>
            </w:pPr>
            <w:r w:rsidRPr="00370E70">
              <w:rPr>
                <w:i/>
                <w:color w:val="000000"/>
                <w:sz w:val="18"/>
                <w:szCs w:val="18"/>
              </w:rPr>
              <w:t>39</w:t>
            </w:r>
          </w:p>
        </w:tc>
        <w:tc>
          <w:tcPr>
            <w:tcW w:w="1724" w:type="dxa"/>
            <w:tcBorders>
              <w:top w:val="single" w:sz="4" w:space="0" w:color="auto"/>
            </w:tcBorders>
            <w:noWrap/>
            <w:vAlign w:val="center"/>
          </w:tcPr>
          <w:p w:rsidR="00ED4E20" w:rsidRPr="00370E70" w:rsidRDefault="00ED4E20" w:rsidP="00D626D3">
            <w:pPr>
              <w:spacing w:before="0" w:after="0"/>
              <w:jc w:val="center"/>
              <w:rPr>
                <w:i/>
                <w:color w:val="000000"/>
                <w:sz w:val="18"/>
                <w:szCs w:val="18"/>
              </w:rPr>
            </w:pPr>
            <w:r w:rsidRPr="00370E70">
              <w:rPr>
                <w:i/>
                <w:color w:val="000000"/>
                <w:sz w:val="18"/>
                <w:szCs w:val="18"/>
              </w:rPr>
              <w:t>-8.1 (-8.9 to -7.4)</w:t>
            </w:r>
          </w:p>
        </w:tc>
      </w:tr>
      <w:tr w:rsidR="00ED4E20" w:rsidRPr="00370E70" w:rsidTr="00951A81">
        <w:trPr>
          <w:trHeight w:val="276"/>
        </w:trPr>
        <w:tc>
          <w:tcPr>
            <w:tcW w:w="1454" w:type="dxa"/>
            <w:noWrap/>
            <w:vAlign w:val="center"/>
          </w:tcPr>
          <w:p w:rsidR="00ED4E20" w:rsidRPr="00370E70" w:rsidRDefault="00ED4E20" w:rsidP="00D626D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Green</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50" w:type="dxa"/>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HU</w:t>
            </w:r>
          </w:p>
        </w:tc>
        <w:tc>
          <w:tcPr>
            <w:tcW w:w="778" w:type="dxa"/>
            <w:vAlign w:val="center"/>
          </w:tcPr>
          <w:p w:rsidR="00ED4E20" w:rsidRPr="00370E70" w:rsidRDefault="00ED4E20" w:rsidP="00D626D3">
            <w:pPr>
              <w:spacing w:before="0" w:after="0"/>
              <w:jc w:val="center"/>
              <w:rPr>
                <w:color w:val="000000"/>
                <w:sz w:val="18"/>
                <w:szCs w:val="18"/>
              </w:rPr>
            </w:pPr>
            <w:r w:rsidRPr="00370E70">
              <w:rPr>
                <w:color w:val="000000"/>
                <w:sz w:val="18"/>
                <w:szCs w:val="18"/>
              </w:rPr>
              <w:t>41.6</w:t>
            </w:r>
          </w:p>
        </w:tc>
        <w:tc>
          <w:tcPr>
            <w:tcW w:w="689" w:type="dxa"/>
            <w:vAlign w:val="center"/>
          </w:tcPr>
          <w:p w:rsidR="00ED4E20" w:rsidRPr="00370E70" w:rsidRDefault="00ED4E20" w:rsidP="00D626D3">
            <w:pPr>
              <w:spacing w:before="0" w:after="0"/>
              <w:jc w:val="center"/>
              <w:rPr>
                <w:color w:val="000000"/>
                <w:sz w:val="18"/>
                <w:szCs w:val="18"/>
              </w:rPr>
            </w:pPr>
            <w:r w:rsidRPr="00370E70">
              <w:rPr>
                <w:color w:val="000000"/>
                <w:sz w:val="18"/>
                <w:szCs w:val="18"/>
              </w:rPr>
              <w:t>20.14</w:t>
            </w:r>
          </w:p>
        </w:tc>
        <w:tc>
          <w:tcPr>
            <w:tcW w:w="954" w:type="dxa"/>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-7.5</w:t>
            </w:r>
          </w:p>
        </w:tc>
        <w:tc>
          <w:tcPr>
            <w:tcW w:w="1062" w:type="dxa"/>
            <w:vAlign w:val="center"/>
          </w:tcPr>
          <w:p w:rsidR="00ED4E20" w:rsidRPr="00370E70" w:rsidRDefault="00ED4E20" w:rsidP="00DC1772">
            <w:pPr>
              <w:spacing w:before="0" w:after="0"/>
              <w:jc w:val="center"/>
              <w:rPr>
                <w:color w:val="000000"/>
                <w:sz w:val="18"/>
                <w:szCs w:val="18"/>
              </w:rPr>
            </w:pPr>
            <w:r w:rsidRPr="00370E70">
              <w:rPr>
                <w:color w:val="000000"/>
                <w:sz w:val="18"/>
                <w:szCs w:val="18"/>
              </w:rPr>
              <w:t>1.45</w:t>
            </w:r>
          </w:p>
        </w:tc>
        <w:tc>
          <w:tcPr>
            <w:tcW w:w="1328" w:type="dxa"/>
            <w:vAlign w:val="center"/>
          </w:tcPr>
          <w:p w:rsidR="00ED4E20" w:rsidRPr="00370E70" w:rsidRDefault="00ED4E20" w:rsidP="00DC1772">
            <w:pPr>
              <w:spacing w:before="0" w:after="0"/>
              <w:jc w:val="center"/>
              <w:rPr>
                <w:i/>
                <w:color w:val="000000"/>
                <w:sz w:val="18"/>
                <w:szCs w:val="18"/>
              </w:rPr>
            </w:pPr>
            <w:r w:rsidRPr="00370E70">
              <w:rPr>
                <w:i/>
                <w:color w:val="000000"/>
                <w:sz w:val="18"/>
                <w:szCs w:val="18"/>
              </w:rPr>
              <w:t>38.5</w:t>
            </w:r>
          </w:p>
        </w:tc>
        <w:tc>
          <w:tcPr>
            <w:tcW w:w="1724" w:type="dxa"/>
            <w:noWrap/>
            <w:vAlign w:val="center"/>
          </w:tcPr>
          <w:p w:rsidR="00ED4E20" w:rsidRPr="00370E70" w:rsidRDefault="00ED4E20" w:rsidP="00D626D3">
            <w:pPr>
              <w:spacing w:before="0" w:after="0"/>
              <w:jc w:val="center"/>
              <w:rPr>
                <w:i/>
                <w:color w:val="000000"/>
                <w:sz w:val="18"/>
                <w:szCs w:val="18"/>
              </w:rPr>
            </w:pPr>
            <w:r w:rsidRPr="00370E70">
              <w:rPr>
                <w:i/>
                <w:color w:val="000000"/>
                <w:sz w:val="18"/>
                <w:szCs w:val="18"/>
              </w:rPr>
              <w:t>-11.2 (-13.0 to -7.8)</w:t>
            </w:r>
          </w:p>
        </w:tc>
      </w:tr>
      <w:tr w:rsidR="00ED4E20" w:rsidRPr="00370E70" w:rsidTr="00951A81">
        <w:trPr>
          <w:trHeight w:val="276"/>
        </w:trPr>
        <w:tc>
          <w:tcPr>
            <w:tcW w:w="1454" w:type="dxa"/>
            <w:tcBorders>
              <w:bottom w:val="single" w:sz="4" w:space="0" w:color="auto"/>
            </w:tcBorders>
            <w:noWrap/>
            <w:vAlign w:val="center"/>
          </w:tcPr>
          <w:p w:rsidR="00ED4E20" w:rsidRPr="00370E70" w:rsidRDefault="00ED4E20" w:rsidP="00D626D3">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Green</w:t>
                </w:r>
              </w:smartTag>
              <w:r w:rsidRPr="00370E70">
                <w:rPr>
                  <w:color w:val="000000"/>
                  <w:sz w:val="18"/>
                  <w:szCs w:val="18"/>
                </w:rPr>
                <w:t xml:space="preserve"> </w:t>
              </w:r>
              <w:smartTag w:uri="urn:schemas-microsoft-com:office:smarttags" w:element="PlaceType">
                <w:r w:rsidRPr="00370E70">
                  <w:rPr>
                    <w:color w:val="000000"/>
                    <w:sz w:val="18"/>
                    <w:szCs w:val="18"/>
                  </w:rPr>
                  <w:t>Island</w:t>
                </w:r>
              </w:smartTag>
            </w:smartTag>
          </w:p>
        </w:tc>
        <w:tc>
          <w:tcPr>
            <w:tcW w:w="850" w:type="dxa"/>
            <w:tcBorders>
              <w:bottom w:val="single" w:sz="4" w:space="0" w:color="auto"/>
            </w:tcBorders>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TH</w:t>
            </w:r>
          </w:p>
        </w:tc>
        <w:tc>
          <w:tcPr>
            <w:tcW w:w="778" w:type="dxa"/>
            <w:tcBorders>
              <w:bottom w:val="single" w:sz="4" w:space="0" w:color="auto"/>
            </w:tcBorders>
            <w:vAlign w:val="center"/>
          </w:tcPr>
          <w:p w:rsidR="00ED4E20" w:rsidRPr="00370E70" w:rsidRDefault="00ED4E20" w:rsidP="00D626D3">
            <w:pPr>
              <w:spacing w:before="0" w:after="0"/>
              <w:jc w:val="center"/>
              <w:rPr>
                <w:color w:val="000000"/>
                <w:sz w:val="18"/>
                <w:szCs w:val="18"/>
              </w:rPr>
            </w:pPr>
            <w:r w:rsidRPr="00370E70">
              <w:rPr>
                <w:color w:val="000000"/>
                <w:sz w:val="18"/>
                <w:szCs w:val="18"/>
              </w:rPr>
              <w:t>40.36</w:t>
            </w:r>
          </w:p>
        </w:tc>
        <w:tc>
          <w:tcPr>
            <w:tcW w:w="689" w:type="dxa"/>
            <w:tcBorders>
              <w:bottom w:val="single" w:sz="4" w:space="0" w:color="auto"/>
            </w:tcBorders>
            <w:shd w:val="clear" w:color="auto" w:fill="E6E6E6"/>
            <w:vAlign w:val="center"/>
          </w:tcPr>
          <w:p w:rsidR="00ED4E20" w:rsidRPr="00370E70" w:rsidRDefault="00ED4E20" w:rsidP="00D626D3">
            <w:pPr>
              <w:spacing w:before="0" w:after="0"/>
              <w:jc w:val="center"/>
              <w:rPr>
                <w:color w:val="000000"/>
                <w:sz w:val="18"/>
                <w:szCs w:val="18"/>
              </w:rPr>
            </w:pPr>
            <w:r w:rsidRPr="00370E70">
              <w:rPr>
                <w:color w:val="000000"/>
                <w:sz w:val="18"/>
                <w:szCs w:val="18"/>
              </w:rPr>
              <w:t>17.31</w:t>
            </w:r>
          </w:p>
        </w:tc>
        <w:tc>
          <w:tcPr>
            <w:tcW w:w="954" w:type="dxa"/>
            <w:tcBorders>
              <w:bottom w:val="single" w:sz="4" w:space="0" w:color="auto"/>
            </w:tcBorders>
            <w:shd w:val="clear" w:color="auto" w:fill="auto"/>
            <w:noWrap/>
            <w:vAlign w:val="center"/>
          </w:tcPr>
          <w:p w:rsidR="00ED4E20" w:rsidRPr="00370E70" w:rsidRDefault="00ED4E20" w:rsidP="00D626D3">
            <w:pPr>
              <w:spacing w:before="0" w:after="0"/>
              <w:jc w:val="center"/>
              <w:rPr>
                <w:color w:val="000000"/>
                <w:sz w:val="18"/>
                <w:szCs w:val="18"/>
              </w:rPr>
            </w:pPr>
            <w:r w:rsidRPr="00370E70">
              <w:rPr>
                <w:color w:val="000000"/>
                <w:sz w:val="18"/>
                <w:szCs w:val="18"/>
              </w:rPr>
              <w:t>-7.0±0.1</w:t>
            </w:r>
          </w:p>
        </w:tc>
        <w:tc>
          <w:tcPr>
            <w:tcW w:w="1062" w:type="dxa"/>
            <w:tcBorders>
              <w:bottom w:val="single" w:sz="4" w:space="0" w:color="auto"/>
            </w:tcBorders>
            <w:vAlign w:val="center"/>
          </w:tcPr>
          <w:p w:rsidR="00ED4E20" w:rsidRPr="00370E70" w:rsidRDefault="00ED4E20" w:rsidP="00DC1772">
            <w:pPr>
              <w:spacing w:before="0" w:after="0"/>
              <w:jc w:val="center"/>
              <w:rPr>
                <w:color w:val="000000"/>
                <w:sz w:val="18"/>
                <w:szCs w:val="18"/>
              </w:rPr>
            </w:pPr>
            <w:r w:rsidRPr="00370E70">
              <w:rPr>
                <w:color w:val="000000"/>
                <w:sz w:val="18"/>
                <w:szCs w:val="18"/>
              </w:rPr>
              <w:t>1.72±0.26</w:t>
            </w:r>
          </w:p>
        </w:tc>
        <w:tc>
          <w:tcPr>
            <w:tcW w:w="1328" w:type="dxa"/>
            <w:tcBorders>
              <w:bottom w:val="single" w:sz="4" w:space="0" w:color="auto"/>
            </w:tcBorders>
            <w:vAlign w:val="center"/>
          </w:tcPr>
          <w:p w:rsidR="00ED4E20" w:rsidRPr="00370E70" w:rsidRDefault="00ED4E20" w:rsidP="00DC1772">
            <w:pPr>
              <w:spacing w:before="0" w:after="0"/>
              <w:jc w:val="center"/>
              <w:rPr>
                <w:i/>
                <w:color w:val="000000"/>
                <w:sz w:val="18"/>
                <w:szCs w:val="18"/>
              </w:rPr>
            </w:pPr>
            <w:r w:rsidRPr="00370E70">
              <w:rPr>
                <w:i/>
                <w:color w:val="000000"/>
                <w:sz w:val="18"/>
                <w:szCs w:val="18"/>
              </w:rPr>
              <w:t>35.6</w:t>
            </w:r>
          </w:p>
        </w:tc>
        <w:tc>
          <w:tcPr>
            <w:tcW w:w="1724" w:type="dxa"/>
            <w:tcBorders>
              <w:bottom w:val="single" w:sz="4" w:space="0" w:color="auto"/>
            </w:tcBorders>
            <w:noWrap/>
            <w:vAlign w:val="center"/>
          </w:tcPr>
          <w:p w:rsidR="00ED4E20" w:rsidRPr="00370E70" w:rsidRDefault="00ED4E20" w:rsidP="00D626D3">
            <w:pPr>
              <w:spacing w:before="0" w:after="0"/>
              <w:jc w:val="center"/>
              <w:rPr>
                <w:i/>
                <w:color w:val="000000"/>
                <w:sz w:val="18"/>
                <w:szCs w:val="18"/>
              </w:rPr>
            </w:pPr>
            <w:r w:rsidRPr="00370E70">
              <w:rPr>
                <w:i/>
                <w:color w:val="000000"/>
                <w:sz w:val="18"/>
                <w:szCs w:val="18"/>
              </w:rPr>
              <w:t>-6.9 (-8.1 to -5.2)</w:t>
            </w:r>
          </w:p>
        </w:tc>
      </w:tr>
    </w:tbl>
    <w:p w:rsidR="005132EF" w:rsidRPr="00370E70" w:rsidRDefault="005132EF" w:rsidP="00034AD4">
      <w:pPr>
        <w:pStyle w:val="Heading4"/>
        <w:rPr>
          <w:b/>
          <w:iCs/>
          <w:color w:val="000000"/>
        </w:rPr>
      </w:pPr>
      <w:r w:rsidRPr="00370E70">
        <w:rPr>
          <w:b/>
          <w:iCs/>
          <w:color w:val="000000"/>
        </w:rPr>
        <w:t>Epiphytes and macro-algae</w:t>
      </w:r>
      <w:bookmarkEnd w:id="356"/>
      <w:bookmarkEnd w:id="357"/>
    </w:p>
    <w:p w:rsidR="005132EF" w:rsidRPr="00370E70" w:rsidRDefault="005132EF" w:rsidP="00034AD4">
      <w:pPr>
        <w:rPr>
          <w:color w:val="000000"/>
          <w:szCs w:val="22"/>
        </w:rPr>
      </w:pPr>
      <w:r w:rsidRPr="00370E70">
        <w:rPr>
          <w:color w:val="000000"/>
          <w:szCs w:val="22"/>
        </w:rPr>
        <w:t>Epiphyte cover on seagrass leaf blades at coastal sites was variable (</w:t>
      </w:r>
      <w:r w:rsidRPr="00370E70">
        <w:fldChar w:fldCharType="begin"/>
      </w:r>
      <w:r w:rsidRPr="00370E70">
        <w:instrText xml:space="preserve"> REF _Ref211846231 \h  \* MERGEFORMAT </w:instrText>
      </w:r>
      <w:r w:rsidRPr="00370E70">
        <w:fldChar w:fldCharType="separate"/>
      </w:r>
      <w:r w:rsidR="005B5FD6" w:rsidRPr="005B5FD6">
        <w:rPr>
          <w:szCs w:val="22"/>
        </w:rPr>
        <w:t xml:space="preserve">Figure </w:t>
      </w:r>
      <w:r w:rsidR="005B5FD6" w:rsidRPr="005B5FD6">
        <w:rPr>
          <w:noProof/>
          <w:color w:val="000000"/>
          <w:szCs w:val="22"/>
        </w:rPr>
        <w:t>62</w:t>
      </w:r>
      <w:r w:rsidRPr="00370E70">
        <w:fldChar w:fldCharType="end"/>
      </w:r>
      <w:r w:rsidRPr="00370E70">
        <w:rPr>
          <w:color w:val="000000"/>
          <w:szCs w:val="22"/>
        </w:rPr>
        <w:t>) and appears to fluctuate seasonally with higher values generally in the monsoon and late monsoon. Epiphyte cover has continued to remain high and predominately above the GBR long-term average at Yule Point over the last 4-5 years (</w:t>
      </w:r>
      <w:r w:rsidRPr="00370E70">
        <w:fldChar w:fldCharType="begin"/>
      </w:r>
      <w:r w:rsidRPr="00370E70">
        <w:instrText xml:space="preserve"> REF _Ref211846231 \h  \* MERGEFORMAT </w:instrText>
      </w:r>
      <w:r w:rsidRPr="00370E70">
        <w:fldChar w:fldCharType="separate"/>
      </w:r>
      <w:r w:rsidR="005B5FD6" w:rsidRPr="005B5FD6">
        <w:rPr>
          <w:szCs w:val="22"/>
        </w:rPr>
        <w:t xml:space="preserve">Figure </w:t>
      </w:r>
      <w:r w:rsidR="005B5FD6" w:rsidRPr="005B5FD6">
        <w:rPr>
          <w:noProof/>
          <w:color w:val="000000"/>
          <w:szCs w:val="22"/>
        </w:rPr>
        <w:t>62</w:t>
      </w:r>
      <w:r w:rsidRPr="00370E70">
        <w:fldChar w:fldCharType="end"/>
      </w:r>
      <w:r w:rsidRPr="00370E70">
        <w:rPr>
          <w:color w:val="000000"/>
          <w:szCs w:val="22"/>
        </w:rPr>
        <w:t xml:space="preserve">). At </w:t>
      </w:r>
      <w:smartTag w:uri="urn:schemas-microsoft-com:office:smarttags" w:element="place">
        <w:smartTag w:uri="urn:schemas-microsoft-com:office:smarttags" w:element="PlaceName">
          <w:r w:rsidRPr="00370E70">
            <w:rPr>
              <w:color w:val="000000"/>
              <w:szCs w:val="22"/>
            </w:rPr>
            <w:t>Lugger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however, the highly variable epiphyte cover remained below the GBR long-term average, until all seagrass was lost as a consequence of the extreme weather events of 2011 (</w:t>
      </w:r>
      <w:r w:rsidRPr="00370E70">
        <w:fldChar w:fldCharType="begin"/>
      </w:r>
      <w:r w:rsidRPr="00370E70">
        <w:instrText xml:space="preserve"> REF _Ref211846231 \h  \* MERGEFORMAT </w:instrText>
      </w:r>
      <w:r w:rsidRPr="00370E70">
        <w:fldChar w:fldCharType="separate"/>
      </w:r>
      <w:r w:rsidR="005B5FD6" w:rsidRPr="005B5FD6">
        <w:rPr>
          <w:szCs w:val="22"/>
        </w:rPr>
        <w:t xml:space="preserve">Figure </w:t>
      </w:r>
      <w:r w:rsidR="005B5FD6" w:rsidRPr="005B5FD6">
        <w:rPr>
          <w:noProof/>
          <w:color w:val="000000"/>
          <w:szCs w:val="22"/>
        </w:rPr>
        <w:t>62</w:t>
      </w:r>
      <w:r w:rsidRPr="00370E70">
        <w:fldChar w:fldCharType="end"/>
      </w:r>
      <w:r w:rsidRPr="00370E70">
        <w:rPr>
          <w:color w:val="000000"/>
          <w:szCs w:val="22"/>
        </w:rPr>
        <w:t>). Percentage cover of macro-algae at coastal sites was consistently lower than the GBR long-term average (</w:t>
      </w:r>
      <w:r w:rsidRPr="00370E70">
        <w:fldChar w:fldCharType="begin"/>
      </w:r>
      <w:r w:rsidRPr="00370E70">
        <w:instrText xml:space="preserve"> REF _Ref211846231 \h  \* MERGEFORMAT </w:instrText>
      </w:r>
      <w:r w:rsidRPr="00370E70">
        <w:fldChar w:fldCharType="separate"/>
      </w:r>
      <w:r w:rsidR="005B5FD6" w:rsidRPr="005B5FD6">
        <w:rPr>
          <w:szCs w:val="22"/>
        </w:rPr>
        <w:t xml:space="preserve">Figure </w:t>
      </w:r>
      <w:r w:rsidR="005B5FD6" w:rsidRPr="005B5FD6">
        <w:rPr>
          <w:noProof/>
          <w:color w:val="000000"/>
          <w:szCs w:val="22"/>
        </w:rPr>
        <w:t>62</w:t>
      </w:r>
      <w:r w:rsidRPr="00370E70">
        <w:fldChar w:fldCharType="end"/>
      </w:r>
      <w:r w:rsidRPr="00370E70">
        <w:rPr>
          <w:color w:val="000000"/>
          <w:szCs w:val="22"/>
        </w:rPr>
        <w:t>).</w:t>
      </w:r>
    </w:p>
    <w:p w:rsidR="005132EF" w:rsidRPr="00370E70" w:rsidRDefault="007B15AB" w:rsidP="00563F19">
      <w:pPr>
        <w:keepNext/>
        <w:spacing w:before="0" w:after="0"/>
        <w:jc w:val="center"/>
        <w:rPr>
          <w:szCs w:val="22"/>
        </w:rPr>
      </w:pPr>
      <w:r>
        <w:rPr>
          <w:noProof/>
          <w:lang w:eastAsia="en-AU"/>
        </w:rPr>
        <w:lastRenderedPageBreak/>
        <w:drawing>
          <wp:inline distT="0" distB="0" distL="0" distR="0">
            <wp:extent cx="4314190" cy="2833370"/>
            <wp:effectExtent l="0" t="0" r="0" b="5080"/>
            <wp:docPr id="82" name="Picture 91" descr="Figure showing the mean abundance (% cover) of epiphytes and macro-algae at coastal intertidal seagrass monitoring locations (sites poole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Figure showing the mean abundance (% cover) of epiphytes and macro-algae at coastal intertidal seagrass monitoring locations (sites pooled) in the Wet Tropics region."/>
                    <pic:cNvPicPr>
                      <a:picLocks noChangeAspect="1" noChangeArrowheads="1"/>
                    </pic:cNvPicPr>
                  </pic:nvPicPr>
                  <pic:blipFill>
                    <a:blip r:embed="rId108" cstate="print">
                      <a:extLst>
                        <a:ext uri="{28A0092B-C50C-407E-A947-70E740481C1C}">
                          <a14:useLocalDpi xmlns:a14="http://schemas.microsoft.com/office/drawing/2010/main" val="0"/>
                        </a:ext>
                      </a:extLst>
                    </a:blip>
                    <a:srcRect b="3358"/>
                    <a:stretch>
                      <a:fillRect/>
                    </a:stretch>
                  </pic:blipFill>
                  <pic:spPr bwMode="auto">
                    <a:xfrm>
                      <a:off x="0" y="0"/>
                      <a:ext cx="4314190" cy="2833370"/>
                    </a:xfrm>
                    <a:prstGeom prst="rect">
                      <a:avLst/>
                    </a:prstGeom>
                    <a:noFill/>
                    <a:ln>
                      <a:noFill/>
                    </a:ln>
                  </pic:spPr>
                </pic:pic>
              </a:graphicData>
            </a:graphic>
          </wp:inline>
        </w:drawing>
      </w:r>
    </w:p>
    <w:p w:rsidR="00AA19A4" w:rsidRPr="00370E70" w:rsidRDefault="005132EF" w:rsidP="00AA19A4">
      <w:pPr>
        <w:pStyle w:val="Caption"/>
        <w:rPr>
          <w:i/>
          <w:vanish/>
          <w:color w:val="000000"/>
          <w:szCs w:val="22"/>
          <w:lang w:val="en-AU"/>
          <w:specVanish/>
        </w:rPr>
      </w:pPr>
      <w:bookmarkStart w:id="362" w:name="_Ref211846231"/>
      <w:bookmarkStart w:id="363" w:name="_Toc384196409"/>
      <w:bookmarkStart w:id="364" w:name="_Toc23284597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62</w:t>
      </w:r>
      <w:r w:rsidRPr="00370E70">
        <w:rPr>
          <w:lang w:val="en-AU"/>
        </w:rPr>
        <w:fldChar w:fldCharType="end"/>
      </w:r>
      <w:bookmarkEnd w:id="362"/>
      <w:r w:rsidRPr="00370E70">
        <w:rPr>
          <w:rStyle w:val="StyleCaptionCaptionCharCharLatinCalibri11ptBlackChar"/>
          <w:lang w:val="en-AU"/>
        </w:rPr>
        <w:t xml:space="preserve">. </w:t>
      </w:r>
      <w:bookmarkStart w:id="365" w:name="OLE_LINK10"/>
      <w:bookmarkStart w:id="366" w:name="OLE_LINK13"/>
      <w:r w:rsidRPr="00370E70">
        <w:rPr>
          <w:i/>
          <w:lang w:val="en-AU"/>
        </w:rPr>
        <w:t xml:space="preserve">Mean abundance (% cover) (± Standard Error) of epiphytes and macro-algae at </w:t>
      </w:r>
      <w:r w:rsidR="00563F19">
        <w:rPr>
          <w:i/>
          <w:lang w:val="en-AU"/>
        </w:rPr>
        <w:t xml:space="preserve">inshore intertidal </w:t>
      </w:r>
      <w:r w:rsidRPr="00370E70">
        <w:rPr>
          <w:i/>
          <w:lang w:val="en-AU"/>
        </w:rPr>
        <w:t xml:space="preserve">coastal </w:t>
      </w:r>
      <w:r w:rsidR="00563F19">
        <w:rPr>
          <w:i/>
          <w:lang w:val="en-AU"/>
        </w:rPr>
        <w:t xml:space="preserve">habitats </w:t>
      </w:r>
      <w:r w:rsidRPr="00370E70">
        <w:rPr>
          <w:i/>
          <w:lang w:val="en-AU"/>
        </w:rPr>
        <w:t>(sites pooled) in the Wet Tropics region</w:t>
      </w:r>
      <w:bookmarkEnd w:id="363"/>
    </w:p>
    <w:p w:rsidR="00AA19A4" w:rsidRPr="00370E70" w:rsidRDefault="005132EF" w:rsidP="00AA19A4">
      <w:pPr>
        <w:pStyle w:val="Caption"/>
        <w:rPr>
          <w:lang w:val="en-AU"/>
        </w:rPr>
      </w:pPr>
      <w:r w:rsidRPr="00370E70">
        <w:rPr>
          <w:i/>
          <w:lang w:val="en-AU"/>
        </w:rPr>
        <w:t xml:space="preserve">. </w:t>
      </w:r>
      <w:bookmarkEnd w:id="364"/>
      <w:bookmarkEnd w:id="365"/>
      <w:bookmarkEnd w:id="366"/>
      <w:r w:rsidRPr="00370E70">
        <w:rPr>
          <w:i/>
          <w:lang w:val="en-AU"/>
        </w:rPr>
        <w:t>Red line = GBR long-term average; epiphytes=17%, macro-algae=4.7%.</w:t>
      </w:r>
      <w:r w:rsidR="00AA19A4" w:rsidRPr="00370E70">
        <w:rPr>
          <w:i/>
          <w:lang w:val="en-AU"/>
        </w:rPr>
        <w:t xml:space="preserve"> </w:t>
      </w:r>
    </w:p>
    <w:p w:rsidR="005132EF" w:rsidRPr="00370E70" w:rsidRDefault="005132EF" w:rsidP="00034AD4">
      <w:pPr>
        <w:rPr>
          <w:color w:val="000000"/>
          <w:szCs w:val="22"/>
        </w:rPr>
      </w:pPr>
      <w:r w:rsidRPr="00370E70">
        <w:rPr>
          <w:color w:val="000000"/>
          <w:szCs w:val="22"/>
        </w:rPr>
        <w:t xml:space="preserve">Epiphyte cover at reef sites was variable and although not significant, it appears to be increasing </w:t>
      </w:r>
      <w:bookmarkStart w:id="367" w:name="OLE_LINK7"/>
      <w:r w:rsidRPr="00370E70">
        <w:rPr>
          <w:color w:val="000000"/>
          <w:szCs w:val="22"/>
        </w:rPr>
        <w:t xml:space="preserve">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over the last 4-5 years (</w:t>
      </w:r>
      <w:r w:rsidRPr="00370E70">
        <w:fldChar w:fldCharType="begin"/>
      </w:r>
      <w:r w:rsidRPr="00370E70">
        <w:instrText xml:space="preserve"> REF _Ref211846521 \h  \* MERGEFORMAT </w:instrText>
      </w:r>
      <w:r w:rsidRPr="00370E70">
        <w:fldChar w:fldCharType="separate"/>
      </w:r>
      <w:r w:rsidR="005B5FD6" w:rsidRPr="005B5FD6">
        <w:rPr>
          <w:szCs w:val="22"/>
        </w:rPr>
        <w:t xml:space="preserve">Figure </w:t>
      </w:r>
      <w:r w:rsidR="005B5FD6" w:rsidRPr="005B5FD6">
        <w:rPr>
          <w:noProof/>
          <w:color w:val="000000"/>
          <w:szCs w:val="22"/>
        </w:rPr>
        <w:t>63</w:t>
      </w:r>
      <w:r w:rsidRPr="00370E70">
        <w:fldChar w:fldCharType="end"/>
      </w:r>
      <w:r w:rsidRPr="00370E70">
        <w:rPr>
          <w:color w:val="000000"/>
          <w:szCs w:val="22"/>
        </w:rPr>
        <w:t>).</w:t>
      </w:r>
      <w:bookmarkEnd w:id="367"/>
      <w:r w:rsidRPr="00370E70">
        <w:rPr>
          <w:color w:val="000000"/>
          <w:szCs w:val="22"/>
        </w:rPr>
        <w:t xml:space="preserve"> Abundances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were below the GBR long-term average for reef habitats during the 2011/12 monitoring period.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epiphytes remained below the GBR long-term average for the duration of the monitoring period as seagrass abundance was also very low (</w:t>
      </w:r>
      <w:r w:rsidRPr="00370E70">
        <w:fldChar w:fldCharType="begin"/>
      </w:r>
      <w:r w:rsidRPr="00370E70">
        <w:instrText xml:space="preserve"> REF _Ref211846521 \h  \* MERGEFORMAT </w:instrText>
      </w:r>
      <w:r w:rsidRPr="00370E70">
        <w:fldChar w:fldCharType="separate"/>
      </w:r>
      <w:r w:rsidR="005B5FD6" w:rsidRPr="005B5FD6">
        <w:rPr>
          <w:szCs w:val="22"/>
        </w:rPr>
        <w:t xml:space="preserve">Figure </w:t>
      </w:r>
      <w:r w:rsidR="005B5FD6" w:rsidRPr="005B5FD6">
        <w:rPr>
          <w:noProof/>
          <w:color w:val="000000"/>
          <w:szCs w:val="22"/>
        </w:rPr>
        <w:t>63</w:t>
      </w:r>
      <w:r w:rsidRPr="00370E70">
        <w:fldChar w:fldCharType="end"/>
      </w:r>
      <w:r w:rsidRPr="00370E70">
        <w:rPr>
          <w:color w:val="000000"/>
          <w:szCs w:val="22"/>
        </w:rPr>
        <w:t xml:space="preserve">). Macro-algae abundance remained relatively stable at </w:t>
      </w:r>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with mean covers less than 10% (</w:t>
      </w:r>
      <w:r w:rsidRPr="00370E70">
        <w:fldChar w:fldCharType="begin"/>
      </w:r>
      <w:r w:rsidRPr="00370E70">
        <w:instrText xml:space="preserve"> REF _Ref211846521 \h  \* MERGEFORMAT </w:instrText>
      </w:r>
      <w:r w:rsidRPr="00370E70">
        <w:fldChar w:fldCharType="separate"/>
      </w:r>
      <w:r w:rsidR="005B5FD6" w:rsidRPr="005B5FD6">
        <w:rPr>
          <w:szCs w:val="22"/>
        </w:rPr>
        <w:t xml:space="preserve">Figure </w:t>
      </w:r>
      <w:r w:rsidR="005B5FD6" w:rsidRPr="005B5FD6">
        <w:rPr>
          <w:noProof/>
          <w:color w:val="000000"/>
          <w:szCs w:val="22"/>
        </w:rPr>
        <w:t>63</w:t>
      </w:r>
      <w:r w:rsidRPr="00370E70">
        <w:fldChar w:fldCharType="end"/>
      </w:r>
      <w:r w:rsidRPr="00370E70">
        <w:rPr>
          <w:color w:val="000000"/>
          <w:szCs w:val="22"/>
        </w:rPr>
        <w:t xml:space="preserve">), however at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was near absent possibly as a </w:t>
      </w:r>
      <w:r w:rsidR="002C6536" w:rsidRPr="00370E70">
        <w:rPr>
          <w:color w:val="000000"/>
          <w:szCs w:val="22"/>
        </w:rPr>
        <w:t>consequence</w:t>
      </w:r>
      <w:r w:rsidRPr="00370E70">
        <w:rPr>
          <w:color w:val="000000"/>
          <w:szCs w:val="22"/>
        </w:rPr>
        <w:t xml:space="preserve"> of the extreme weather of 2011 eroding much of the substrate.</w:t>
      </w:r>
    </w:p>
    <w:p w:rsidR="005132EF" w:rsidRPr="00370E70" w:rsidRDefault="007B15AB" w:rsidP="00536F8F">
      <w:pPr>
        <w:keepNext/>
        <w:jc w:val="center"/>
        <w:rPr>
          <w:szCs w:val="22"/>
        </w:rPr>
      </w:pPr>
      <w:r>
        <w:rPr>
          <w:noProof/>
          <w:lang w:eastAsia="en-AU"/>
        </w:rPr>
        <w:drawing>
          <wp:inline distT="0" distB="0" distL="0" distR="0">
            <wp:extent cx="4327525" cy="2923540"/>
            <wp:effectExtent l="0" t="0" r="0" b="0"/>
            <wp:docPr id="83" name="Picture 92" descr="Figure showing the mean abundance (% cover) of epiphytes and macro-algae at reef intertidal seagrass monitoring locations (sites poole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Figure showing the mean abundance (% cover) of epiphytes and macro-algae at reef intertidal seagrass monitoring locations (sites pooled) in the Wet Tropics region."/>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327525" cy="2923540"/>
                    </a:xfrm>
                    <a:prstGeom prst="rect">
                      <a:avLst/>
                    </a:prstGeom>
                    <a:noFill/>
                    <a:ln>
                      <a:noFill/>
                    </a:ln>
                  </pic:spPr>
                </pic:pic>
              </a:graphicData>
            </a:graphic>
          </wp:inline>
        </w:drawing>
      </w:r>
    </w:p>
    <w:p w:rsidR="003C2335" w:rsidRPr="00370E70" w:rsidRDefault="005132EF" w:rsidP="003C2335">
      <w:pPr>
        <w:pStyle w:val="Caption"/>
        <w:rPr>
          <w:i/>
          <w:vanish/>
          <w:lang w:val="en-AU"/>
          <w:specVanish/>
        </w:rPr>
      </w:pPr>
      <w:bookmarkStart w:id="368" w:name="_Ref211846521"/>
      <w:bookmarkStart w:id="369" w:name="_Toc384196410"/>
      <w:bookmarkStart w:id="370" w:name="_Toc23284597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63</w:t>
      </w:r>
      <w:r w:rsidRPr="00370E70">
        <w:rPr>
          <w:lang w:val="en-AU"/>
        </w:rPr>
        <w:fldChar w:fldCharType="end"/>
      </w:r>
      <w:bookmarkEnd w:id="368"/>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563F19">
        <w:rPr>
          <w:i/>
          <w:lang w:val="en-AU"/>
        </w:rPr>
        <w:t>inshore intertidal reef</w:t>
      </w:r>
      <w:r w:rsidRPr="00370E70">
        <w:rPr>
          <w:i/>
          <w:lang w:val="en-AU"/>
        </w:rPr>
        <w:t xml:space="preserve"> </w:t>
      </w:r>
      <w:r w:rsidR="00563F19">
        <w:rPr>
          <w:i/>
          <w:lang w:val="en-AU"/>
        </w:rPr>
        <w:t>habitats</w:t>
      </w:r>
      <w:r w:rsidRPr="00370E70">
        <w:rPr>
          <w:i/>
          <w:lang w:val="en-AU"/>
        </w:rPr>
        <w:t xml:space="preserve"> (sites pooled) in the Wet Tropics region.</w:t>
      </w:r>
      <w:bookmarkEnd w:id="369"/>
      <w:r w:rsidR="00AA19A4" w:rsidRPr="00370E70">
        <w:rPr>
          <w:i/>
          <w:vanish/>
          <w:color w:val="000000"/>
          <w:szCs w:val="22"/>
          <w:lang w:val="en-AU"/>
          <w:specVanish/>
        </w:rPr>
        <w:t xml:space="preserve"> </w:t>
      </w:r>
      <w:r w:rsidRPr="00370E70">
        <w:rPr>
          <w:i/>
          <w:lang w:val="en-AU"/>
        </w:rPr>
        <w:t xml:space="preserve"> </w:t>
      </w:r>
      <w:bookmarkEnd w:id="370"/>
    </w:p>
    <w:p w:rsidR="003C2335" w:rsidRPr="00370E70" w:rsidRDefault="005132EF" w:rsidP="003C2335">
      <w:pPr>
        <w:pStyle w:val="Caption"/>
        <w:rPr>
          <w:lang w:val="en-AU"/>
        </w:rPr>
      </w:pPr>
      <w:r w:rsidRPr="00370E70">
        <w:rPr>
          <w:i/>
          <w:lang w:val="en-AU"/>
        </w:rPr>
        <w:t>Red line = GBR long-term average; epiphytes=28%, macro-algae=6.2%.</w:t>
      </w:r>
      <w:r w:rsidR="00AA19A4" w:rsidRPr="00370E70">
        <w:rPr>
          <w:i/>
          <w:lang w:val="en-AU"/>
        </w:rPr>
        <w:t xml:space="preserve"> </w:t>
      </w:r>
      <w:r w:rsidR="003C2335" w:rsidRPr="00370E70">
        <w:rPr>
          <w:lang w:val="en-AU"/>
        </w:rPr>
        <w:t xml:space="preserve"> </w:t>
      </w:r>
    </w:p>
    <w:p w:rsidR="005132EF" w:rsidRPr="00370E70" w:rsidRDefault="005132EF" w:rsidP="00FA38E8">
      <w:pPr>
        <w:keepNext/>
        <w:rPr>
          <w:szCs w:val="22"/>
        </w:rPr>
      </w:pPr>
      <w:r w:rsidRPr="00370E70">
        <w:rPr>
          <w:szCs w:val="22"/>
        </w:rPr>
        <w:t xml:space="preserve">At the </w:t>
      </w:r>
      <w:smartTag w:uri="urn:schemas-microsoft-com:office:smarttags" w:element="place">
        <w:smartTag w:uri="urn:schemas-microsoft-com:office:smarttags" w:element="PlaceName">
          <w:r w:rsidRPr="00370E70">
            <w:rPr>
              <w:szCs w:val="22"/>
            </w:rPr>
            <w:t>Green</w:t>
          </w:r>
        </w:smartTag>
        <w:r w:rsidRPr="00370E70">
          <w:rPr>
            <w:szCs w:val="22"/>
          </w:rPr>
          <w:t xml:space="preserve"> </w:t>
        </w:r>
        <w:smartTag w:uri="urn:schemas-microsoft-com:office:smarttags" w:element="PlaceType">
          <w:r w:rsidRPr="00370E70">
            <w:rPr>
              <w:szCs w:val="22"/>
            </w:rPr>
            <w:t>Island</w:t>
          </w:r>
        </w:smartTag>
      </w:smartTag>
      <w:r w:rsidRPr="00370E70">
        <w:rPr>
          <w:szCs w:val="22"/>
        </w:rPr>
        <w:t xml:space="preserve"> subtidal site, epiphyte cover is relatively low and fluctuates only slightly, compared to epiphytes at the inter</w:t>
      </w:r>
      <w:r w:rsidR="002C6536" w:rsidRPr="00370E70">
        <w:rPr>
          <w:szCs w:val="22"/>
        </w:rPr>
        <w:t>tidal site. In contrast macroal</w:t>
      </w:r>
      <w:r w:rsidRPr="00370E70">
        <w:rPr>
          <w:szCs w:val="22"/>
        </w:rPr>
        <w:t xml:space="preserve">gal cover is high and fluctuates more dramatically than the intertidal site due largely to seasonally varying filamentous algae. At the </w:t>
      </w:r>
      <w:smartTag w:uri="urn:schemas-microsoft-com:office:smarttags" w:element="place">
        <w:smartTag w:uri="urn:schemas-microsoft-com:office:smarttags" w:element="PlaceName">
          <w:r w:rsidRPr="00370E70">
            <w:rPr>
              <w:szCs w:val="22"/>
            </w:rPr>
            <w:t>Dunk</w:t>
          </w:r>
        </w:smartTag>
        <w:r w:rsidRPr="00370E70">
          <w:rPr>
            <w:szCs w:val="22"/>
          </w:rPr>
          <w:t xml:space="preserve"> </w:t>
        </w:r>
        <w:smartTag w:uri="urn:schemas-microsoft-com:office:smarttags" w:element="PlaceType">
          <w:r w:rsidRPr="00370E70">
            <w:rPr>
              <w:szCs w:val="22"/>
            </w:rPr>
            <w:lastRenderedPageBreak/>
            <w:t>Island</w:t>
          </w:r>
        </w:smartTag>
      </w:smartTag>
      <w:r w:rsidRPr="00370E70">
        <w:rPr>
          <w:szCs w:val="22"/>
        </w:rPr>
        <w:t xml:space="preserve"> subtidal site, epiphyte cover and macroalgae abundance were elevated in 2009 and 2010 compared to the previous year, and compared to the intertidal </w:t>
      </w:r>
      <w:r w:rsidR="002C6536" w:rsidRPr="00370E70">
        <w:rPr>
          <w:szCs w:val="22"/>
        </w:rPr>
        <w:t>s</w:t>
      </w:r>
      <w:r w:rsidRPr="00370E70">
        <w:rPr>
          <w:szCs w:val="22"/>
        </w:rPr>
        <w:t xml:space="preserve">ite. However, during TC Yasi in early 2011 macroalgae abundance declined drastically, and due to complete seagrass loss, there are no epiphytes. </w:t>
      </w:r>
    </w:p>
    <w:p w:rsidR="005132EF" w:rsidRPr="00370E70" w:rsidRDefault="007B15AB" w:rsidP="00D010DC">
      <w:pPr>
        <w:keepNext/>
        <w:jc w:val="center"/>
      </w:pPr>
      <w:r>
        <w:rPr>
          <w:noProof/>
          <w:lang w:eastAsia="en-AU"/>
        </w:rPr>
        <w:drawing>
          <wp:inline distT="0" distB="0" distL="0" distR="0">
            <wp:extent cx="2343785" cy="1854835"/>
            <wp:effectExtent l="0" t="0" r="0" b="0"/>
            <wp:docPr id="84" name="Picture 12" descr="Figure showing the mean abundance (% cover) of epiphytes at Green Island subtidal monitoring sites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gure showing the mean abundance (% cover) of epiphytes at Green Island subtidal monitoring sites in the Wet Tropics."/>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r>
        <w:rPr>
          <w:noProof/>
          <w:lang w:eastAsia="en-AU"/>
        </w:rPr>
        <w:drawing>
          <wp:inline distT="0" distB="0" distL="0" distR="0">
            <wp:extent cx="2343785" cy="1854835"/>
            <wp:effectExtent l="0" t="0" r="0" b="0"/>
            <wp:docPr id="85" name="Picture 85" descr="Figure showing the mean abundance (% cover) of macro-algae at Green Island subtidal monitoring sites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Figure showing the mean abundance (% cover) of macro-algae at Green Island subtidal monitoring sites in the Wet Tropics."/>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p>
    <w:p w:rsidR="00AA19A4" w:rsidRPr="00370E70" w:rsidRDefault="005132EF" w:rsidP="00AA19A4">
      <w:pPr>
        <w:pStyle w:val="Caption"/>
        <w:rPr>
          <w:i/>
          <w:vanish/>
          <w:color w:val="000000"/>
          <w:szCs w:val="22"/>
          <w:lang w:val="en-AU"/>
          <w:specVanish/>
        </w:rPr>
      </w:pPr>
      <w:bookmarkStart w:id="371" w:name="_Toc38419641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64</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563F19">
        <w:rPr>
          <w:i/>
          <w:lang w:val="en-AU"/>
        </w:rPr>
        <w:t xml:space="preserve">inshore </w:t>
      </w:r>
      <w:r w:rsidRPr="00370E70">
        <w:rPr>
          <w:i/>
          <w:lang w:val="en-AU"/>
        </w:rPr>
        <w:t xml:space="preserve">subtidal </w:t>
      </w:r>
      <w:r w:rsidR="00563F19">
        <w:rPr>
          <w:i/>
          <w:lang w:val="en-AU"/>
        </w:rPr>
        <w:t>reef habitat (</w:t>
      </w:r>
      <w:smartTag w:uri="urn:schemas-microsoft-com:office:smarttags" w:element="place">
        <w:smartTag w:uri="urn:schemas-microsoft-com:office:smarttags" w:element="PlaceName">
          <w:r w:rsidR="00563F19" w:rsidRPr="00370E70">
            <w:rPr>
              <w:i/>
              <w:lang w:val="en-AU"/>
            </w:rPr>
            <w:t>Green</w:t>
          </w:r>
        </w:smartTag>
        <w:r w:rsidR="00563F19" w:rsidRPr="00370E70">
          <w:rPr>
            <w:i/>
            <w:lang w:val="en-AU"/>
          </w:rPr>
          <w:t xml:space="preserve"> </w:t>
        </w:r>
        <w:smartTag w:uri="urn:schemas-microsoft-com:office:smarttags" w:element="PlaceType">
          <w:r w:rsidR="00563F19" w:rsidRPr="00370E70">
            <w:rPr>
              <w:i/>
              <w:lang w:val="en-AU"/>
            </w:rPr>
            <w:t>Island</w:t>
          </w:r>
        </w:smartTag>
      </w:smartTag>
      <w:r w:rsidR="00563F19">
        <w:rPr>
          <w:i/>
          <w:lang w:val="en-AU"/>
        </w:rPr>
        <w:t>)</w:t>
      </w:r>
      <w:r w:rsidRPr="00370E70">
        <w:rPr>
          <w:i/>
          <w:lang w:val="en-AU"/>
        </w:rPr>
        <w:t xml:space="preserve"> in the </w:t>
      </w:r>
      <w:r w:rsidR="00563F19">
        <w:rPr>
          <w:i/>
          <w:lang w:val="en-AU"/>
        </w:rPr>
        <w:t xml:space="preserve">central </w:t>
      </w:r>
      <w:r w:rsidRPr="00370E70">
        <w:rPr>
          <w:i/>
          <w:lang w:val="en-AU"/>
        </w:rPr>
        <w:t>Wet Tropics</w:t>
      </w:r>
      <w:r w:rsidR="00563F19">
        <w:rPr>
          <w:i/>
          <w:lang w:val="en-AU"/>
        </w:rPr>
        <w:t xml:space="preserve"> region</w:t>
      </w:r>
      <w:r w:rsidRPr="00370E70">
        <w:rPr>
          <w:i/>
          <w:lang w:val="en-AU"/>
        </w:rPr>
        <w:t>.</w:t>
      </w:r>
      <w:bookmarkEnd w:id="371"/>
      <w:r w:rsidRPr="00370E70">
        <w:rPr>
          <w:i/>
          <w:lang w:val="en-AU"/>
        </w:rPr>
        <w:t xml:space="preserve"> </w:t>
      </w:r>
    </w:p>
    <w:p w:rsidR="00AA19A4" w:rsidRPr="00370E70" w:rsidRDefault="005132EF" w:rsidP="00AA19A4">
      <w:pPr>
        <w:pStyle w:val="Caption"/>
        <w:rPr>
          <w:lang w:val="en-AU"/>
        </w:rPr>
      </w:pPr>
      <w:r w:rsidRPr="00370E70">
        <w:rPr>
          <w:i/>
          <w:lang w:val="en-AU"/>
        </w:rPr>
        <w:t>Red line = GBR long-term average for subtidal sites; epiphytes=17%, macro-algae=4.7%.</w:t>
      </w:r>
      <w:r w:rsidR="00AA19A4" w:rsidRPr="00370E70">
        <w:rPr>
          <w:i/>
          <w:lang w:val="en-AU"/>
        </w:rPr>
        <w:t xml:space="preserve"> </w:t>
      </w:r>
    </w:p>
    <w:p w:rsidR="005132EF" w:rsidRPr="00370E70" w:rsidRDefault="007B15AB" w:rsidP="00D010DC">
      <w:pPr>
        <w:keepNext/>
        <w:jc w:val="center"/>
      </w:pPr>
      <w:r>
        <w:rPr>
          <w:noProof/>
          <w:lang w:eastAsia="en-AU"/>
        </w:rPr>
        <w:drawing>
          <wp:inline distT="0" distB="0" distL="0" distR="0">
            <wp:extent cx="2343785" cy="1854835"/>
            <wp:effectExtent l="0" t="0" r="0" b="0"/>
            <wp:docPr id="86" name="Picture 10" descr="Graph of Mean abundance (% cover) (± Standard Error) of epiphytes and macro-algae at inshore subtidal reef habitat (Dunk Island) in the sou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r>
        <w:rPr>
          <w:noProof/>
          <w:lang w:eastAsia="en-AU"/>
        </w:rPr>
        <w:drawing>
          <wp:inline distT="0" distB="0" distL="0" distR="0">
            <wp:extent cx="2343785" cy="1854835"/>
            <wp:effectExtent l="0" t="0" r="0" b="0"/>
            <wp:docPr id="87" name="Picture 11" descr="Graph of Mean abundance (% cover) (± Standard Error) of epiphytes and macro-algae at inshore subtidal reef habitat (Dunk Island) in the sou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p>
    <w:p w:rsidR="00AA19A4" w:rsidRPr="00370E70" w:rsidRDefault="005132EF" w:rsidP="00AA19A4">
      <w:pPr>
        <w:rPr>
          <w:i/>
          <w:vanish/>
          <w:color w:val="000000"/>
          <w:szCs w:val="22"/>
          <w:specVanish/>
        </w:rPr>
      </w:pPr>
      <w:bookmarkStart w:id="372" w:name="_Toc384196412"/>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65</w:t>
      </w:r>
      <w:r w:rsidRPr="00370E70">
        <w:rPr>
          <w:color w:val="000000"/>
          <w:szCs w:val="22"/>
        </w:rPr>
        <w:fldChar w:fldCharType="end"/>
      </w:r>
      <w:r w:rsidRPr="00370E70">
        <w:rPr>
          <w:color w:val="000000"/>
          <w:szCs w:val="22"/>
        </w:rPr>
        <w:t xml:space="preserve">. </w:t>
      </w:r>
      <w:r w:rsidRPr="00370E70">
        <w:rPr>
          <w:i/>
          <w:color w:val="000000"/>
          <w:szCs w:val="22"/>
        </w:rPr>
        <w:t xml:space="preserve">Mean abundance (% cover) (± Standard Error) of epiphytes and macro-algae at </w:t>
      </w:r>
      <w:r w:rsidR="00563F19">
        <w:rPr>
          <w:i/>
          <w:color w:val="000000"/>
          <w:szCs w:val="22"/>
        </w:rPr>
        <w:t xml:space="preserve">inshore </w:t>
      </w:r>
      <w:r w:rsidRPr="00370E70">
        <w:rPr>
          <w:i/>
          <w:color w:val="000000"/>
          <w:szCs w:val="22"/>
        </w:rPr>
        <w:t>subtidal</w:t>
      </w:r>
      <w:r w:rsidR="00563F19">
        <w:rPr>
          <w:i/>
          <w:color w:val="000000"/>
          <w:szCs w:val="22"/>
        </w:rPr>
        <w:t xml:space="preserve"> reef habitat (</w:t>
      </w:r>
      <w:smartTag w:uri="urn:schemas-microsoft-com:office:smarttags" w:element="place">
        <w:smartTag w:uri="urn:schemas-microsoft-com:office:smarttags" w:element="PlaceName">
          <w:r w:rsidR="00563F19" w:rsidRPr="00370E70">
            <w:rPr>
              <w:i/>
              <w:color w:val="000000"/>
              <w:szCs w:val="22"/>
            </w:rPr>
            <w:t>Dunk</w:t>
          </w:r>
        </w:smartTag>
        <w:r w:rsidR="00563F19" w:rsidRPr="00370E70">
          <w:rPr>
            <w:i/>
            <w:color w:val="000000"/>
            <w:szCs w:val="22"/>
          </w:rPr>
          <w:t xml:space="preserve"> </w:t>
        </w:r>
        <w:smartTag w:uri="urn:schemas-microsoft-com:office:smarttags" w:element="PlaceType">
          <w:r w:rsidR="00563F19" w:rsidRPr="00370E70">
            <w:rPr>
              <w:i/>
              <w:color w:val="000000"/>
              <w:szCs w:val="22"/>
            </w:rPr>
            <w:t>Island</w:t>
          </w:r>
        </w:smartTag>
      </w:smartTag>
      <w:r w:rsidR="00563F19">
        <w:rPr>
          <w:i/>
          <w:color w:val="000000"/>
          <w:szCs w:val="22"/>
        </w:rPr>
        <w:t>)</w:t>
      </w:r>
      <w:r w:rsidR="00563F19" w:rsidRPr="00370E70">
        <w:rPr>
          <w:i/>
          <w:color w:val="000000"/>
          <w:szCs w:val="22"/>
        </w:rPr>
        <w:t xml:space="preserve"> </w:t>
      </w:r>
      <w:r w:rsidRPr="00370E70">
        <w:rPr>
          <w:i/>
          <w:color w:val="000000"/>
          <w:szCs w:val="22"/>
        </w:rPr>
        <w:t xml:space="preserve">in the </w:t>
      </w:r>
      <w:r w:rsidR="00563F19">
        <w:rPr>
          <w:i/>
          <w:color w:val="000000"/>
          <w:szCs w:val="22"/>
        </w:rPr>
        <w:t xml:space="preserve">southern </w:t>
      </w:r>
      <w:r w:rsidRPr="00370E70">
        <w:rPr>
          <w:i/>
          <w:color w:val="000000"/>
          <w:szCs w:val="22"/>
        </w:rPr>
        <w:t>Wet Tropics</w:t>
      </w:r>
      <w:r w:rsidR="00563F19">
        <w:rPr>
          <w:i/>
          <w:color w:val="000000"/>
          <w:szCs w:val="22"/>
        </w:rPr>
        <w:t xml:space="preserve"> region</w:t>
      </w:r>
      <w:r w:rsidRPr="00370E70">
        <w:rPr>
          <w:i/>
          <w:color w:val="000000"/>
          <w:szCs w:val="22"/>
        </w:rPr>
        <w:t>.</w:t>
      </w:r>
      <w:bookmarkEnd w:id="372"/>
      <w:r w:rsidRPr="00370E70">
        <w:rPr>
          <w:i/>
          <w:color w:val="000000"/>
          <w:szCs w:val="22"/>
        </w:rPr>
        <w:t xml:space="preserve"> </w:t>
      </w:r>
    </w:p>
    <w:p w:rsidR="00AA19A4" w:rsidRPr="00370E70" w:rsidRDefault="005132EF" w:rsidP="00D010DC">
      <w:pPr>
        <w:rPr>
          <w:i/>
          <w:color w:val="000000"/>
          <w:szCs w:val="22"/>
        </w:rPr>
      </w:pPr>
      <w:r w:rsidRPr="00370E70">
        <w:rPr>
          <w:i/>
          <w:color w:val="000000"/>
          <w:szCs w:val="22"/>
        </w:rPr>
        <w:t>Red line = GBR long-term average for subtidal sites; epiphytes=17%, macro-algae=4.7%.</w:t>
      </w:r>
      <w:r w:rsidR="00AA19A4" w:rsidRPr="00370E70">
        <w:rPr>
          <w:i/>
          <w:color w:val="000000"/>
          <w:szCs w:val="22"/>
        </w:rPr>
        <w:t xml:space="preserve"> </w:t>
      </w:r>
    </w:p>
    <w:p w:rsidR="005132EF" w:rsidRPr="00370E70" w:rsidRDefault="005132EF" w:rsidP="00D010DC">
      <w:r w:rsidRPr="00370E70">
        <w:rPr>
          <w:color w:val="000000"/>
          <w:szCs w:val="22"/>
        </w:rPr>
        <w:t xml:space="preserve">At the Low Isles intertidal site, epiphyte cover is generally lower than the long-term average, while macro-algae abundance is generally high. At the subtidal site, occasional peaks in epiphyte abundance occur, but generally epiphytes and macroalgae cover remain low. </w:t>
      </w:r>
    </w:p>
    <w:p w:rsidR="005132EF" w:rsidRPr="00370E70" w:rsidRDefault="007B15AB" w:rsidP="00D010DC">
      <w:pPr>
        <w:keepNext/>
        <w:jc w:val="center"/>
      </w:pPr>
      <w:r>
        <w:rPr>
          <w:noProof/>
          <w:lang w:eastAsia="en-AU"/>
        </w:rPr>
        <w:drawing>
          <wp:inline distT="0" distB="0" distL="0" distR="0">
            <wp:extent cx="2343785" cy="1854835"/>
            <wp:effectExtent l="0" t="0" r="0" b="0"/>
            <wp:docPr id="88" name="Picture 88" descr="Graph of Mean abundance (% cover) (± Standard Error) of epiphytes and macro-algae at inshore intertidal habitat (Low Isles) in the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r>
        <w:rPr>
          <w:noProof/>
          <w:lang w:eastAsia="en-AU"/>
        </w:rPr>
        <w:drawing>
          <wp:inline distT="0" distB="0" distL="0" distR="0">
            <wp:extent cx="2343785" cy="1854835"/>
            <wp:effectExtent l="0" t="0" r="0" b="0"/>
            <wp:docPr id="89" name="Picture 24" descr="Graph of Mean abundance (% cover) (± Standard Error) of epiphytes and macro-algae at inshore intertidal habitat (Low Isles) in the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p>
    <w:p w:rsidR="00AA19A4" w:rsidRPr="00370E70" w:rsidRDefault="005132EF" w:rsidP="00AA19A4">
      <w:pPr>
        <w:rPr>
          <w:i/>
          <w:vanish/>
          <w:color w:val="000000"/>
          <w:szCs w:val="22"/>
          <w:specVanish/>
        </w:rPr>
      </w:pPr>
      <w:bookmarkStart w:id="373" w:name="_Toc384196413"/>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66</w:t>
      </w:r>
      <w:r w:rsidRPr="00370E70">
        <w:rPr>
          <w:color w:val="000000"/>
          <w:szCs w:val="22"/>
        </w:rPr>
        <w:fldChar w:fldCharType="end"/>
      </w:r>
      <w:r w:rsidRPr="00370E70">
        <w:rPr>
          <w:color w:val="000000"/>
          <w:szCs w:val="22"/>
        </w:rPr>
        <w:t xml:space="preserve">. </w:t>
      </w:r>
      <w:r w:rsidRPr="00370E70">
        <w:rPr>
          <w:i/>
          <w:color w:val="000000"/>
          <w:szCs w:val="22"/>
        </w:rPr>
        <w:t xml:space="preserve">Mean abundance (% cover) (± Standard Error) of epiphytes and macro-algae at </w:t>
      </w:r>
      <w:r w:rsidR="00563F19">
        <w:rPr>
          <w:i/>
          <w:color w:val="000000"/>
          <w:szCs w:val="22"/>
        </w:rPr>
        <w:t xml:space="preserve">inshore </w:t>
      </w:r>
      <w:r w:rsidRPr="00370E70">
        <w:rPr>
          <w:i/>
          <w:color w:val="000000"/>
          <w:szCs w:val="22"/>
        </w:rPr>
        <w:t>intertidal</w:t>
      </w:r>
      <w:r w:rsidR="00563F19">
        <w:rPr>
          <w:i/>
          <w:color w:val="000000"/>
          <w:szCs w:val="22"/>
        </w:rPr>
        <w:t xml:space="preserve"> habitat</w:t>
      </w:r>
      <w:r w:rsidRPr="00370E70">
        <w:rPr>
          <w:i/>
          <w:color w:val="000000"/>
          <w:szCs w:val="22"/>
        </w:rPr>
        <w:t xml:space="preserve"> </w:t>
      </w:r>
      <w:r w:rsidR="00563F19">
        <w:rPr>
          <w:i/>
          <w:color w:val="000000"/>
          <w:szCs w:val="22"/>
        </w:rPr>
        <w:t>(</w:t>
      </w:r>
      <w:r w:rsidR="00563F19" w:rsidRPr="00370E70">
        <w:rPr>
          <w:i/>
          <w:color w:val="000000"/>
          <w:szCs w:val="22"/>
        </w:rPr>
        <w:t>Low Isles</w:t>
      </w:r>
      <w:r w:rsidR="00563F19">
        <w:rPr>
          <w:i/>
          <w:color w:val="000000"/>
          <w:szCs w:val="22"/>
        </w:rPr>
        <w:t>) in the northern</w:t>
      </w:r>
      <w:r w:rsidRPr="00370E70">
        <w:rPr>
          <w:i/>
          <w:color w:val="000000"/>
          <w:szCs w:val="22"/>
        </w:rPr>
        <w:t xml:space="preserve"> Wet Tropics</w:t>
      </w:r>
      <w:r w:rsidR="00563F19">
        <w:rPr>
          <w:i/>
          <w:color w:val="000000"/>
          <w:szCs w:val="22"/>
        </w:rPr>
        <w:t xml:space="preserve"> region</w:t>
      </w:r>
      <w:r w:rsidRPr="00370E70">
        <w:rPr>
          <w:i/>
          <w:color w:val="000000"/>
          <w:szCs w:val="22"/>
        </w:rPr>
        <w:t>.</w:t>
      </w:r>
      <w:bookmarkEnd w:id="373"/>
      <w:r w:rsidRPr="00370E70">
        <w:rPr>
          <w:i/>
          <w:color w:val="000000"/>
          <w:szCs w:val="22"/>
        </w:rPr>
        <w:t xml:space="preserve"> </w:t>
      </w:r>
    </w:p>
    <w:p w:rsidR="00AA19A4" w:rsidRPr="00370E70" w:rsidRDefault="005132EF" w:rsidP="00D010DC">
      <w:r w:rsidRPr="00370E70">
        <w:rPr>
          <w:i/>
          <w:color w:val="000000"/>
          <w:szCs w:val="22"/>
        </w:rPr>
        <w:t>Red line = GBR long-term average; epiphytes=17%, macro-algae=4.7%.</w:t>
      </w:r>
      <w:r w:rsidR="00AA19A4" w:rsidRPr="00370E70">
        <w:t xml:space="preserve"> </w:t>
      </w:r>
    </w:p>
    <w:p w:rsidR="005132EF" w:rsidRPr="00370E70" w:rsidRDefault="007B15AB" w:rsidP="00D010DC">
      <w:pPr>
        <w:keepNext/>
        <w:jc w:val="center"/>
      </w:pPr>
      <w:r>
        <w:rPr>
          <w:noProof/>
          <w:lang w:eastAsia="en-AU"/>
        </w:rPr>
        <w:lastRenderedPageBreak/>
        <w:drawing>
          <wp:inline distT="0" distB="0" distL="0" distR="0">
            <wp:extent cx="2343785" cy="1854835"/>
            <wp:effectExtent l="0" t="0" r="0" b="0"/>
            <wp:docPr id="90" name="Picture 90" descr="Graph of Mean abundance (% cover) (± Standard Error) of epiphytes and macro-algae at inshore subtidal reef habitat (Low Isles) in the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r>
        <w:rPr>
          <w:noProof/>
          <w:lang w:eastAsia="en-AU"/>
        </w:rPr>
        <w:drawing>
          <wp:inline distT="0" distB="0" distL="0" distR="0">
            <wp:extent cx="2343785" cy="1854835"/>
            <wp:effectExtent l="0" t="0" r="0" b="0"/>
            <wp:docPr id="91" name="Picture 91" descr="Graph of Mean abundance (% cover) (± Standard Error) of epiphytes and macro-algae at inshore subtidal reef habitat (Low Isles) in the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343785" cy="1854835"/>
                    </a:xfrm>
                    <a:prstGeom prst="rect">
                      <a:avLst/>
                    </a:prstGeom>
                    <a:noFill/>
                    <a:ln>
                      <a:noFill/>
                    </a:ln>
                  </pic:spPr>
                </pic:pic>
              </a:graphicData>
            </a:graphic>
          </wp:inline>
        </w:drawing>
      </w:r>
    </w:p>
    <w:p w:rsidR="00AA19A4" w:rsidRPr="00370E70" w:rsidRDefault="005132EF" w:rsidP="00AA19A4">
      <w:pPr>
        <w:rPr>
          <w:i/>
          <w:vanish/>
          <w:color w:val="000000"/>
          <w:szCs w:val="22"/>
          <w:specVanish/>
        </w:rPr>
      </w:pPr>
      <w:bookmarkStart w:id="374" w:name="_Toc384196414"/>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67</w:t>
      </w:r>
      <w:r w:rsidRPr="00370E70">
        <w:rPr>
          <w:color w:val="000000"/>
          <w:szCs w:val="22"/>
        </w:rPr>
        <w:fldChar w:fldCharType="end"/>
      </w:r>
      <w:r w:rsidRPr="00370E70">
        <w:rPr>
          <w:color w:val="000000"/>
          <w:szCs w:val="22"/>
        </w:rPr>
        <w:t xml:space="preserve">. </w:t>
      </w:r>
      <w:r w:rsidRPr="00370E70">
        <w:rPr>
          <w:i/>
          <w:color w:val="000000"/>
          <w:szCs w:val="22"/>
        </w:rPr>
        <w:t xml:space="preserve">Mean abundance (% cover) (± Standard Error) of epiphytes and macro-algae at </w:t>
      </w:r>
      <w:r w:rsidR="00563F19">
        <w:rPr>
          <w:i/>
          <w:color w:val="000000"/>
          <w:szCs w:val="22"/>
        </w:rPr>
        <w:t xml:space="preserve">inshore </w:t>
      </w:r>
      <w:r w:rsidRPr="00370E70">
        <w:rPr>
          <w:i/>
          <w:color w:val="000000"/>
          <w:szCs w:val="22"/>
        </w:rPr>
        <w:t xml:space="preserve">subtidal </w:t>
      </w:r>
      <w:r w:rsidR="00563F19">
        <w:rPr>
          <w:i/>
          <w:color w:val="000000"/>
          <w:szCs w:val="22"/>
        </w:rPr>
        <w:t>reef habitat (</w:t>
      </w:r>
      <w:r w:rsidR="00563F19" w:rsidRPr="00370E70">
        <w:rPr>
          <w:i/>
          <w:color w:val="000000"/>
          <w:szCs w:val="22"/>
        </w:rPr>
        <w:t>Low Isles</w:t>
      </w:r>
      <w:r w:rsidR="00563F19">
        <w:rPr>
          <w:i/>
          <w:color w:val="000000"/>
          <w:szCs w:val="22"/>
        </w:rPr>
        <w:t>)</w:t>
      </w:r>
      <w:r w:rsidR="00563F19" w:rsidRPr="00370E70">
        <w:rPr>
          <w:i/>
          <w:color w:val="000000"/>
          <w:szCs w:val="22"/>
        </w:rPr>
        <w:t xml:space="preserve"> </w:t>
      </w:r>
      <w:r w:rsidRPr="00370E70">
        <w:rPr>
          <w:i/>
          <w:color w:val="000000"/>
          <w:szCs w:val="22"/>
        </w:rPr>
        <w:t xml:space="preserve">in the </w:t>
      </w:r>
      <w:r w:rsidR="00563F19">
        <w:rPr>
          <w:i/>
          <w:color w:val="000000"/>
          <w:szCs w:val="22"/>
        </w:rPr>
        <w:t xml:space="preserve">northern </w:t>
      </w:r>
      <w:r w:rsidRPr="00370E70">
        <w:rPr>
          <w:i/>
          <w:color w:val="000000"/>
          <w:szCs w:val="22"/>
        </w:rPr>
        <w:t>Wet Tropics</w:t>
      </w:r>
      <w:r w:rsidR="00563F19">
        <w:rPr>
          <w:i/>
          <w:color w:val="000000"/>
          <w:szCs w:val="22"/>
        </w:rPr>
        <w:t xml:space="preserve"> region</w:t>
      </w:r>
      <w:r w:rsidRPr="00370E70">
        <w:rPr>
          <w:i/>
          <w:color w:val="000000"/>
          <w:szCs w:val="22"/>
        </w:rPr>
        <w:t>.</w:t>
      </w:r>
      <w:bookmarkEnd w:id="374"/>
      <w:r w:rsidRPr="00370E70">
        <w:rPr>
          <w:i/>
          <w:color w:val="000000"/>
          <w:szCs w:val="22"/>
        </w:rPr>
        <w:t xml:space="preserve"> </w:t>
      </w:r>
    </w:p>
    <w:p w:rsidR="00AA19A4" w:rsidRPr="00370E70" w:rsidRDefault="005132EF" w:rsidP="00D010DC">
      <w:r w:rsidRPr="00370E70">
        <w:rPr>
          <w:i/>
          <w:color w:val="000000"/>
          <w:szCs w:val="22"/>
        </w:rPr>
        <w:t>Red line = GBR long-term average; epiphytes=17%, macro-algae=4.7%.</w:t>
      </w:r>
      <w:r w:rsidR="00AA19A4" w:rsidRPr="00370E70">
        <w:t xml:space="preserve"> </w:t>
      </w:r>
    </w:p>
    <w:p w:rsidR="005132EF" w:rsidRPr="00370E70" w:rsidRDefault="005132EF" w:rsidP="00D010DC"/>
    <w:p w:rsidR="005132EF" w:rsidRPr="00370E70" w:rsidRDefault="005132EF" w:rsidP="00034AD4">
      <w:pPr>
        <w:pStyle w:val="Heading4"/>
        <w:rPr>
          <w:b/>
          <w:iCs/>
          <w:color w:val="000000"/>
        </w:rPr>
      </w:pPr>
      <w:bookmarkStart w:id="375" w:name="_Toc175991072"/>
      <w:bookmarkStart w:id="376" w:name="_Toc232845915"/>
      <w:bookmarkStart w:id="377" w:name="_Toc184101991"/>
      <w:r w:rsidRPr="00370E70">
        <w:rPr>
          <w:b/>
          <w:iCs/>
          <w:color w:val="000000"/>
        </w:rPr>
        <w:t>Within meadow canopy temperature</w:t>
      </w:r>
      <w:bookmarkEnd w:id="375"/>
      <w:bookmarkEnd w:id="376"/>
      <w:bookmarkEnd w:id="377"/>
    </w:p>
    <w:p w:rsidR="005132EF" w:rsidRPr="00370E70" w:rsidRDefault="005132EF" w:rsidP="008D19EF">
      <w:pPr>
        <w:spacing w:before="240"/>
        <w:rPr>
          <w:color w:val="000000"/>
          <w:szCs w:val="22"/>
        </w:rPr>
      </w:pPr>
      <w:r w:rsidRPr="00370E70">
        <w:rPr>
          <w:color w:val="000000"/>
          <w:szCs w:val="22"/>
        </w:rPr>
        <w:t>Temperature loggers were deployed within the seagrass canopy throughout the monitoring period at all intertidal and subtidal locations monitored in the region (</w:t>
      </w:r>
      <w:r w:rsidRPr="00370E70">
        <w:rPr>
          <w:color w:val="000000"/>
          <w:szCs w:val="22"/>
        </w:rPr>
        <w:fldChar w:fldCharType="begin"/>
      </w:r>
      <w:r w:rsidRPr="00370E70">
        <w:rPr>
          <w:color w:val="000000"/>
          <w:szCs w:val="22"/>
        </w:rPr>
        <w:instrText xml:space="preserve"> REF _Ref211847168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68</w:t>
      </w:r>
      <w:r w:rsidRPr="00370E70">
        <w:rPr>
          <w:color w:val="000000"/>
          <w:szCs w:val="22"/>
        </w:rPr>
        <w:fldChar w:fldCharType="end"/>
      </w:r>
      <w:r w:rsidRPr="00370E70">
        <w:rPr>
          <w:color w:val="000000"/>
          <w:szCs w:val="22"/>
        </w:rPr>
        <w:t>). Higher temperatures were typically experienced from December 2011 to March 2012 across the region. No extreme temperatures (&gt;39</w:t>
      </w:r>
      <w:r w:rsidRPr="00370E70">
        <w:rPr>
          <w:color w:val="000000"/>
          <w:szCs w:val="22"/>
        </w:rPr>
        <w:sym w:font="Symbol" w:char="F0B0"/>
      </w:r>
      <w:r w:rsidRPr="00370E70">
        <w:rPr>
          <w:color w:val="000000"/>
          <w:szCs w:val="22"/>
        </w:rPr>
        <w:t>C) were recorded at any of the locations, however higher maximums were recorded at coastal sites. For example, but highest maximum measured across the region over the monitoring period (37.7</w:t>
      </w:r>
      <w:r w:rsidRPr="00370E70">
        <w:rPr>
          <w:color w:val="000000"/>
          <w:szCs w:val="22"/>
        </w:rPr>
        <w:sym w:font="Symbol" w:char="F0B0"/>
      </w:r>
      <w:r w:rsidRPr="00370E70">
        <w:rPr>
          <w:color w:val="000000"/>
          <w:szCs w:val="22"/>
        </w:rPr>
        <w:t>C) occurred in October 2011 at Yule Pt between 1:30-3:00pm on the 9th and 10th October 2011 (</w:t>
      </w:r>
      <w:r w:rsidRPr="00370E70">
        <w:rPr>
          <w:color w:val="000000"/>
          <w:szCs w:val="22"/>
        </w:rPr>
        <w:fldChar w:fldCharType="begin"/>
      </w:r>
      <w:r w:rsidRPr="00370E70">
        <w:rPr>
          <w:color w:val="000000"/>
          <w:szCs w:val="22"/>
        </w:rPr>
        <w:instrText xml:space="preserve"> REF _Ref211847168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68</w:t>
      </w:r>
      <w:r w:rsidRPr="00370E70">
        <w:rPr>
          <w:color w:val="000000"/>
          <w:szCs w:val="22"/>
        </w:rPr>
        <w:fldChar w:fldCharType="end"/>
      </w:r>
      <w:r w:rsidRPr="00370E70">
        <w:rPr>
          <w:color w:val="000000"/>
          <w:szCs w:val="22"/>
        </w:rPr>
        <w:t>). Although within canopy temperatures at coastal sites in 2011/12 were on average 0.2 - 0.5 deg lower than the previous 3 years, it wasn't significantly cooler (ANOVA, d.f</w:t>
      </w:r>
      <w:proofErr w:type="gramStart"/>
      <w:r w:rsidRPr="00370E70">
        <w:rPr>
          <w:color w:val="000000"/>
          <w:szCs w:val="22"/>
        </w:rPr>
        <w:t>.=</w:t>
      </w:r>
      <w:proofErr w:type="gramEnd"/>
      <w:r w:rsidRPr="00370E70">
        <w:rPr>
          <w:color w:val="000000"/>
          <w:szCs w:val="22"/>
        </w:rPr>
        <w:t xml:space="preserve">3,44 F=0.33 </w:t>
      </w:r>
      <w:r w:rsidRPr="00370E70">
        <w:rPr>
          <w:i/>
          <w:color w:val="000000"/>
          <w:szCs w:val="22"/>
        </w:rPr>
        <w:t>p</w:t>
      </w:r>
      <w:r w:rsidRPr="00370E70">
        <w:rPr>
          <w:color w:val="000000"/>
          <w:szCs w:val="22"/>
        </w:rPr>
        <w:t>=0.81) (</w:t>
      </w:r>
      <w:r w:rsidRPr="00370E70">
        <w:rPr>
          <w:color w:val="000000"/>
          <w:szCs w:val="22"/>
        </w:rPr>
        <w:fldChar w:fldCharType="begin"/>
      </w:r>
      <w:r w:rsidRPr="00370E70">
        <w:rPr>
          <w:color w:val="000000"/>
          <w:szCs w:val="22"/>
        </w:rPr>
        <w:instrText xml:space="preserve"> REF _Ref211911715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69</w:t>
      </w:r>
      <w:r w:rsidRPr="00370E70">
        <w:rPr>
          <w:color w:val="000000"/>
          <w:szCs w:val="22"/>
        </w:rPr>
        <w:fldChar w:fldCharType="end"/>
      </w:r>
      <w:r w:rsidRPr="00370E70">
        <w:rPr>
          <w:color w:val="000000"/>
          <w:szCs w:val="22"/>
        </w:rPr>
        <w:t>).</w:t>
      </w:r>
    </w:p>
    <w:p w:rsidR="005132EF" w:rsidRPr="00370E70" w:rsidRDefault="005132EF" w:rsidP="008D19EF">
      <w:pPr>
        <w:rPr>
          <w:color w:val="000000"/>
          <w:szCs w:val="22"/>
        </w:rPr>
      </w:pPr>
      <w:r w:rsidRPr="00370E70">
        <w:rPr>
          <w:color w:val="000000"/>
          <w:szCs w:val="22"/>
        </w:rPr>
        <w:t>At reef habitats, temperatures in 2011/12 were 0.1 - 0.3</w:t>
      </w:r>
      <w:r w:rsidRPr="00370E70">
        <w:rPr>
          <w:color w:val="000000"/>
          <w:szCs w:val="22"/>
        </w:rPr>
        <w:sym w:font="Symbol" w:char="F0B0"/>
      </w:r>
      <w:r w:rsidRPr="00370E70">
        <w:rPr>
          <w:color w:val="000000"/>
          <w:szCs w:val="22"/>
        </w:rPr>
        <w:t>C lower than the long-term average, however one of the highest temperatures ever recorded at Dunk Island (36.2</w:t>
      </w:r>
      <w:r w:rsidRPr="00370E70">
        <w:rPr>
          <w:color w:val="000000"/>
          <w:szCs w:val="22"/>
        </w:rPr>
        <w:sym w:font="Symbol" w:char="F0B0"/>
      </w:r>
      <w:r w:rsidRPr="00370E70">
        <w:rPr>
          <w:color w:val="000000"/>
          <w:szCs w:val="22"/>
        </w:rPr>
        <w:t>C) occurred for at least 30min on 4th April 2012 at 2:00pm (</w:t>
      </w:r>
      <w:r w:rsidRPr="00370E70">
        <w:rPr>
          <w:color w:val="000000"/>
          <w:szCs w:val="22"/>
        </w:rPr>
        <w:fldChar w:fldCharType="begin"/>
      </w:r>
      <w:r w:rsidRPr="00370E70">
        <w:rPr>
          <w:color w:val="000000"/>
          <w:szCs w:val="22"/>
        </w:rPr>
        <w:instrText xml:space="preserve"> REF _Ref211847168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68</w:t>
      </w:r>
      <w:r w:rsidRPr="00370E70">
        <w:rPr>
          <w:color w:val="000000"/>
          <w:szCs w:val="22"/>
        </w:rPr>
        <w:fldChar w:fldCharType="end"/>
      </w:r>
      <w:r w:rsidRPr="00370E70">
        <w:rPr>
          <w:color w:val="000000"/>
          <w:szCs w:val="22"/>
        </w:rPr>
        <w:t xml:space="preserve">). High temperatures were also experienced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when on the 5th March 2012, within canopy temperatures reached 36.9</w:t>
      </w:r>
      <w:r w:rsidRPr="00370E70">
        <w:rPr>
          <w:color w:val="000000"/>
          <w:szCs w:val="22"/>
        </w:rPr>
        <w:sym w:font="Symbol" w:char="F0B0"/>
      </w:r>
      <w:r w:rsidRPr="00370E70">
        <w:rPr>
          <w:color w:val="000000"/>
          <w:szCs w:val="22"/>
        </w:rPr>
        <w:t>C at 2:30pm and remained above 36</w:t>
      </w:r>
      <w:r w:rsidRPr="00370E70">
        <w:rPr>
          <w:color w:val="000000"/>
          <w:szCs w:val="22"/>
        </w:rPr>
        <w:sym w:font="Symbol" w:char="F0B0"/>
      </w:r>
      <w:r w:rsidRPr="00370E70">
        <w:rPr>
          <w:color w:val="000000"/>
          <w:szCs w:val="22"/>
        </w:rPr>
        <w:t>C until 5:30pm (</w:t>
      </w:r>
      <w:r w:rsidRPr="00370E70">
        <w:rPr>
          <w:color w:val="000000"/>
          <w:szCs w:val="22"/>
        </w:rPr>
        <w:fldChar w:fldCharType="begin"/>
      </w:r>
      <w:r w:rsidRPr="00370E70">
        <w:rPr>
          <w:color w:val="000000"/>
          <w:szCs w:val="22"/>
        </w:rPr>
        <w:instrText xml:space="preserve"> REF _Ref211847168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68</w:t>
      </w:r>
      <w:r w:rsidRPr="00370E70">
        <w:rPr>
          <w:color w:val="000000"/>
          <w:szCs w:val="22"/>
        </w:rPr>
        <w:fldChar w:fldCharType="end"/>
      </w:r>
      <w:r w:rsidRPr="00370E70">
        <w:rPr>
          <w:color w:val="000000"/>
          <w:szCs w:val="22"/>
        </w:rPr>
        <w:t>).</w:t>
      </w:r>
    </w:p>
    <w:p w:rsidR="00AA19A4" w:rsidRPr="00370E70" w:rsidRDefault="00AA19A4" w:rsidP="00AA19A4">
      <w:pPr>
        <w:keepNext/>
        <w:tabs>
          <w:tab w:val="left" w:pos="1701"/>
        </w:tabs>
        <w:spacing w:before="100" w:beforeAutospacing="1" w:after="0"/>
        <w:rPr>
          <w:rFonts w:ascii="Arial" w:hAnsi="Arial" w:cs="Arial"/>
          <w:b/>
          <w:noProof/>
          <w:sz w:val="14"/>
          <w:szCs w:val="14"/>
          <w:lang w:eastAsia="en-AU"/>
        </w:rPr>
      </w:pPr>
      <w:r w:rsidRPr="00370E70">
        <w:rPr>
          <w:rFonts w:ascii="Arial" w:hAnsi="Arial" w:cs="Arial"/>
          <w:b/>
          <w:noProof/>
          <w:sz w:val="14"/>
          <w:szCs w:val="14"/>
          <w:lang w:eastAsia="en-AU"/>
        </w:rPr>
        <w:lastRenderedPageBreak/>
        <w:tab/>
        <w:t>Low Isles</w:t>
      </w:r>
    </w:p>
    <w:p w:rsidR="005132EF" w:rsidRPr="00370E70" w:rsidRDefault="007B15AB" w:rsidP="00AA19A4">
      <w:pPr>
        <w:keepNext/>
        <w:spacing w:before="0"/>
        <w:jc w:val="center"/>
      </w:pPr>
      <w:r>
        <w:rPr>
          <w:noProof/>
          <w:lang w:eastAsia="en-AU"/>
        </w:rPr>
        <w:drawing>
          <wp:inline distT="0" distB="0" distL="0" distR="0">
            <wp:extent cx="4314190" cy="1120775"/>
            <wp:effectExtent l="0" t="0" r="0" b="3175"/>
            <wp:docPr id="92" name="Picture 101"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12"/>
                    <pic:cNvPicPr>
                      <a:picLocks noChangeAspect="1" noChangeArrowheads="1"/>
                    </pic:cNvPicPr>
                  </pic:nvPicPr>
                  <pic:blipFill>
                    <a:blip r:embed="rId118">
                      <a:extLst>
                        <a:ext uri="{28A0092B-C50C-407E-A947-70E740481C1C}">
                          <a14:useLocalDpi xmlns:a14="http://schemas.microsoft.com/office/drawing/2010/main" val="0"/>
                        </a:ext>
                      </a:extLst>
                    </a:blip>
                    <a:srcRect b="14076"/>
                    <a:stretch>
                      <a:fillRect/>
                    </a:stretch>
                  </pic:blipFill>
                  <pic:spPr bwMode="auto">
                    <a:xfrm>
                      <a:off x="0" y="0"/>
                      <a:ext cx="4314190" cy="1120775"/>
                    </a:xfrm>
                    <a:prstGeom prst="rect">
                      <a:avLst/>
                    </a:prstGeom>
                    <a:noFill/>
                    <a:ln>
                      <a:noFill/>
                    </a:ln>
                  </pic:spPr>
                </pic:pic>
              </a:graphicData>
            </a:graphic>
          </wp:inline>
        </w:drawing>
      </w:r>
    </w:p>
    <w:p w:rsidR="005132EF" w:rsidRPr="00370E70" w:rsidRDefault="007B15AB" w:rsidP="008D19EF">
      <w:pPr>
        <w:keepNext/>
        <w:jc w:val="center"/>
        <w:rPr>
          <w:color w:val="000000"/>
        </w:rPr>
      </w:pPr>
      <w:r>
        <w:rPr>
          <w:noProof/>
          <w:lang w:eastAsia="en-AU"/>
        </w:rPr>
        <w:drawing>
          <wp:inline distT="0" distB="0" distL="0" distR="0">
            <wp:extent cx="4327525" cy="5692775"/>
            <wp:effectExtent l="0" t="0" r="0" b="3175"/>
            <wp:docPr id="93" name="Picture 102" descr="Figure of the within seagrass canopy temperature (°C) at coastal (Yule Point and Lugger Bay) and reef (Low Isles, Green Island and Dunk Island) intertidal meadows within the Wet Tropics region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Figure of the within seagrass canopy temperature (°C) at coastal (Yule Point and Lugger Bay) and reef (Low Isles, Green Island and Dunk Island) intertidal meadows within the Wet Tropics region over the 2011/12 monitoring period."/>
                    <pic:cNvPicPr>
                      <a:picLocks noChangeAspect="1" noChangeArrowheads="1"/>
                    </pic:cNvPicPr>
                  </pic:nvPicPr>
                  <pic:blipFill>
                    <a:blip r:embed="rId119">
                      <a:extLst>
                        <a:ext uri="{28A0092B-C50C-407E-A947-70E740481C1C}">
                          <a14:useLocalDpi xmlns:a14="http://schemas.microsoft.com/office/drawing/2010/main" val="0"/>
                        </a:ext>
                      </a:extLst>
                    </a:blip>
                    <a:srcRect t="1003" r="3091" b="1456"/>
                    <a:stretch>
                      <a:fillRect/>
                    </a:stretch>
                  </pic:blipFill>
                  <pic:spPr bwMode="auto">
                    <a:xfrm>
                      <a:off x="0" y="0"/>
                      <a:ext cx="4327525" cy="569277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378" w:name="_Ref211847168"/>
      <w:bookmarkStart w:id="379" w:name="_Toc176158878"/>
      <w:bookmarkStart w:id="380" w:name="_Toc232845976"/>
      <w:bookmarkStart w:id="381" w:name="_Toc384196415"/>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68</w:t>
      </w:r>
      <w:r w:rsidRPr="00370E70">
        <w:rPr>
          <w:color w:val="000000"/>
          <w:szCs w:val="22"/>
          <w:lang w:val="en-AU"/>
        </w:rPr>
        <w:fldChar w:fldCharType="end"/>
      </w:r>
      <w:bookmarkEnd w:id="378"/>
      <w:r w:rsidRPr="00370E70">
        <w:rPr>
          <w:i/>
          <w:color w:val="000000"/>
          <w:szCs w:val="22"/>
          <w:lang w:val="en-AU"/>
        </w:rPr>
        <w:t xml:space="preserve">. Within seagrass canopy temperature (°C) at </w:t>
      </w:r>
      <w:r w:rsidR="00563F19">
        <w:rPr>
          <w:i/>
          <w:color w:val="000000"/>
          <w:szCs w:val="22"/>
          <w:lang w:val="en-AU"/>
        </w:rPr>
        <w:t xml:space="preserve">inshore </w:t>
      </w:r>
      <w:r w:rsidR="00563F19" w:rsidRPr="00370E70">
        <w:rPr>
          <w:i/>
          <w:color w:val="000000"/>
          <w:szCs w:val="22"/>
          <w:lang w:val="en-AU"/>
        </w:rPr>
        <w:t xml:space="preserve">intertidal </w:t>
      </w:r>
      <w:r w:rsidRPr="00370E70">
        <w:rPr>
          <w:i/>
          <w:color w:val="000000"/>
          <w:szCs w:val="22"/>
          <w:lang w:val="en-AU"/>
        </w:rPr>
        <w:t xml:space="preserve">coastal (Yule Point and </w:t>
      </w:r>
      <w:smartTag w:uri="urn:schemas-microsoft-com:office:smarttags" w:element="PlaceName">
        <w:r w:rsidRPr="00370E70">
          <w:rPr>
            <w:i/>
            <w:color w:val="000000"/>
            <w:szCs w:val="22"/>
            <w:lang w:val="en-AU"/>
          </w:rPr>
          <w:t>Lugger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and reef (Low Isles, </w:t>
      </w:r>
      <w:smartTag w:uri="urn:schemas-microsoft-com:office:smarttags" w:element="PlaceName">
        <w:r w:rsidRPr="00370E70">
          <w:rPr>
            <w:i/>
            <w:color w:val="000000"/>
            <w:szCs w:val="22"/>
            <w:lang w:val="en-AU"/>
          </w:rPr>
          <w:t>Green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xml:space="preserve"> and </w:t>
      </w:r>
      <w:smartTag w:uri="urn:schemas-microsoft-com:office:smarttags" w:element="place">
        <w:smartTag w:uri="urn:schemas-microsoft-com:office:smarttags" w:element="PlaceName">
          <w:r w:rsidRPr="00370E70">
            <w:rPr>
              <w:i/>
              <w:color w:val="000000"/>
              <w:szCs w:val="22"/>
              <w:lang w:val="en-AU"/>
            </w:rPr>
            <w:t>Dunk</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w:t>
      </w:r>
      <w:r w:rsidR="00563F19">
        <w:rPr>
          <w:i/>
          <w:color w:val="000000"/>
          <w:szCs w:val="22"/>
          <w:lang w:val="en-AU"/>
        </w:rPr>
        <w:t>habitats</w:t>
      </w:r>
      <w:r w:rsidRPr="00370E70">
        <w:rPr>
          <w:i/>
          <w:color w:val="000000"/>
          <w:szCs w:val="22"/>
          <w:lang w:val="en-AU"/>
        </w:rPr>
        <w:t xml:space="preserve"> within the Wet Tropics region over the 2011/12 monitoring period.</w:t>
      </w:r>
      <w:bookmarkEnd w:id="379"/>
      <w:bookmarkEnd w:id="380"/>
      <w:bookmarkEnd w:id="381"/>
    </w:p>
    <w:p w:rsidR="005132EF" w:rsidRPr="00370E70" w:rsidRDefault="007B15AB" w:rsidP="00601D2C">
      <w:pPr>
        <w:keepNext/>
        <w:jc w:val="center"/>
      </w:pPr>
      <w:r>
        <w:rPr>
          <w:noProof/>
          <w:lang w:eastAsia="en-AU"/>
        </w:rPr>
        <w:lastRenderedPageBreak/>
        <w:drawing>
          <wp:inline distT="0" distB="0" distL="0" distR="0">
            <wp:extent cx="4327525" cy="4674870"/>
            <wp:effectExtent l="0" t="0" r="0" b="0"/>
            <wp:docPr id="94" name="Picture 103" descr="Figure showing the long-term monthly mean and maximum within seagrass canopy temperatures (°C) at coastal (Yule Point and Lugger Bay) and reef (Green Island and Dunk Island) intertidal meadows with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Figure showing the long-term monthly mean and maximum within seagrass canopy temperatures (°C) at coastal (Yule Point and Lugger Bay) and reef (Green Island and Dunk Island) intertidal meadows within the Wet Tropics region."/>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4327525" cy="467487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382" w:name="_Ref211911715"/>
      <w:bookmarkStart w:id="383" w:name="_Toc176158879"/>
      <w:bookmarkStart w:id="384" w:name="_Toc232845977"/>
      <w:bookmarkStart w:id="385" w:name="_Toc384196416"/>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69</w:t>
      </w:r>
      <w:r w:rsidRPr="00370E70">
        <w:rPr>
          <w:color w:val="000000"/>
          <w:szCs w:val="22"/>
          <w:lang w:val="en-AU"/>
        </w:rPr>
        <w:fldChar w:fldCharType="end"/>
      </w:r>
      <w:bookmarkEnd w:id="382"/>
      <w:r w:rsidRPr="00370E70">
        <w:rPr>
          <w:i/>
          <w:color w:val="000000"/>
          <w:szCs w:val="22"/>
          <w:lang w:val="en-AU"/>
        </w:rPr>
        <w:t xml:space="preserve">. Long-term monthly mean and maximum within seagrass canopy temperatures (°C) at </w:t>
      </w:r>
      <w:r w:rsidR="00563F19">
        <w:rPr>
          <w:i/>
          <w:color w:val="000000"/>
          <w:szCs w:val="22"/>
          <w:lang w:val="en-AU"/>
        </w:rPr>
        <w:t xml:space="preserve">inshore intertidal </w:t>
      </w:r>
      <w:r w:rsidRPr="00370E70">
        <w:rPr>
          <w:i/>
          <w:color w:val="000000"/>
          <w:szCs w:val="22"/>
          <w:lang w:val="en-AU"/>
        </w:rPr>
        <w:t xml:space="preserve">coastal (Yule Point and </w:t>
      </w:r>
      <w:smartTag w:uri="urn:schemas-microsoft-com:office:smarttags" w:element="PlaceName">
        <w:r w:rsidRPr="00370E70">
          <w:rPr>
            <w:i/>
            <w:color w:val="000000"/>
            <w:szCs w:val="22"/>
            <w:lang w:val="en-AU"/>
          </w:rPr>
          <w:t>Lugger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and reef (</w:t>
      </w:r>
      <w:smartTag w:uri="urn:schemas-microsoft-com:office:smarttags" w:element="PlaceName">
        <w:r w:rsidRPr="00370E70">
          <w:rPr>
            <w:i/>
            <w:color w:val="000000"/>
            <w:szCs w:val="22"/>
            <w:lang w:val="en-AU"/>
          </w:rPr>
          <w:t>Green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xml:space="preserve"> and </w:t>
      </w:r>
      <w:smartTag w:uri="urn:schemas-microsoft-com:office:smarttags" w:element="place">
        <w:smartTag w:uri="urn:schemas-microsoft-com:office:smarttags" w:element="PlaceName">
          <w:r w:rsidRPr="00370E70">
            <w:rPr>
              <w:i/>
              <w:color w:val="000000"/>
              <w:szCs w:val="22"/>
              <w:lang w:val="en-AU"/>
            </w:rPr>
            <w:t>Dunk</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w:t>
      </w:r>
      <w:r w:rsidR="00563F19">
        <w:rPr>
          <w:i/>
          <w:color w:val="000000"/>
          <w:szCs w:val="22"/>
          <w:lang w:val="en-AU"/>
        </w:rPr>
        <w:t>habitats</w:t>
      </w:r>
      <w:r w:rsidRPr="00370E70">
        <w:rPr>
          <w:i/>
          <w:color w:val="000000"/>
          <w:szCs w:val="22"/>
          <w:lang w:val="en-AU"/>
        </w:rPr>
        <w:t xml:space="preserve"> within the Wet Tropics region.</w:t>
      </w:r>
      <w:bookmarkEnd w:id="383"/>
      <w:bookmarkEnd w:id="384"/>
      <w:bookmarkEnd w:id="385"/>
    </w:p>
    <w:p w:rsidR="005132EF" w:rsidRPr="00370E70" w:rsidRDefault="005132EF" w:rsidP="00034AD4">
      <w:pPr>
        <w:rPr>
          <w:color w:val="000000"/>
        </w:rPr>
      </w:pPr>
    </w:p>
    <w:p w:rsidR="00AC4C59" w:rsidRPr="00370E70" w:rsidRDefault="00AC4C59" w:rsidP="00AC4C59">
      <w:pPr>
        <w:rPr>
          <w:szCs w:val="22"/>
        </w:rPr>
      </w:pPr>
      <w:r w:rsidRPr="00370E70">
        <w:rPr>
          <w:szCs w:val="22"/>
        </w:rPr>
        <w:t>Water temperature at subtidal sites was less variable, with no extremes compared to intertidal sites as the deeper water column (2 - 4m) is well mixed and isn’t as readily affected by outside air temperature and heat transfer (</w:t>
      </w:r>
      <w:r w:rsidRPr="00370E70">
        <w:rPr>
          <w:szCs w:val="22"/>
        </w:rPr>
        <w:fldChar w:fldCharType="begin"/>
      </w:r>
      <w:r w:rsidRPr="00370E70">
        <w:rPr>
          <w:szCs w:val="22"/>
        </w:rPr>
        <w:instrText xml:space="preserve"> REF _Ref354641797 \h </w:instrText>
      </w:r>
      <w:r w:rsidRPr="00370E70">
        <w:rPr>
          <w:szCs w:val="22"/>
        </w:rPr>
      </w:r>
      <w:r w:rsidRPr="00370E70">
        <w:rPr>
          <w:szCs w:val="22"/>
        </w:rPr>
        <w:fldChar w:fldCharType="separate"/>
      </w:r>
      <w:r w:rsidR="005B5FD6" w:rsidRPr="00370E70">
        <w:rPr>
          <w:rStyle w:val="StyleCaptionCaptionCharCharLatinCalibri11ptBlackChar"/>
          <w:lang w:val="en-AU"/>
        </w:rPr>
        <w:t xml:space="preserve">Figure </w:t>
      </w:r>
      <w:r w:rsidR="005B5FD6">
        <w:rPr>
          <w:noProof/>
          <w:color w:val="000000"/>
          <w:szCs w:val="22"/>
        </w:rPr>
        <w:t>70</w:t>
      </w:r>
      <w:r w:rsidRPr="00370E70">
        <w:rPr>
          <w:szCs w:val="22"/>
        </w:rPr>
        <w:fldChar w:fldCharType="end"/>
      </w:r>
      <w:r w:rsidRPr="00370E70">
        <w:rPr>
          <w:szCs w:val="22"/>
        </w:rPr>
        <w:t>). Despite this, average water temperature is almost identical at intertidal and subtidal sites (</w:t>
      </w:r>
      <w:r w:rsidRPr="00370E70">
        <w:rPr>
          <w:szCs w:val="22"/>
        </w:rPr>
        <w:fldChar w:fldCharType="begin"/>
      </w:r>
      <w:r w:rsidRPr="00370E70">
        <w:rPr>
          <w:szCs w:val="22"/>
        </w:rPr>
        <w:instrText xml:space="preserve"> REF _Ref354641821 \h </w:instrText>
      </w:r>
      <w:r w:rsidRPr="00370E70">
        <w:rPr>
          <w:szCs w:val="22"/>
        </w:rPr>
      </w:r>
      <w:r w:rsidRPr="00370E70">
        <w:rPr>
          <w:szCs w:val="22"/>
        </w:rPr>
        <w:fldChar w:fldCharType="separate"/>
      </w:r>
      <w:r w:rsidR="005B5FD6" w:rsidRPr="00370E70">
        <w:rPr>
          <w:rStyle w:val="StyleCaptionCaptionCharCharLatinCalibri11ptBlackChar"/>
          <w:lang w:val="en-AU"/>
        </w:rPr>
        <w:t xml:space="preserve">Figure </w:t>
      </w:r>
      <w:r w:rsidR="005B5FD6">
        <w:rPr>
          <w:noProof/>
          <w:color w:val="000000"/>
          <w:szCs w:val="22"/>
        </w:rPr>
        <w:t>71</w:t>
      </w:r>
      <w:r w:rsidRPr="00370E70">
        <w:rPr>
          <w:szCs w:val="22"/>
        </w:rPr>
        <w:fldChar w:fldCharType="end"/>
      </w:r>
      <w:r w:rsidRPr="00370E70">
        <w:rPr>
          <w:szCs w:val="22"/>
        </w:rPr>
        <w:t>). As for intertidal sites, temperature at subtidal sites was slightly cooler (0.1-0.4°C) in 2011-2012 than the long-term average.</w:t>
      </w:r>
    </w:p>
    <w:p w:rsidR="00AC4C59" w:rsidRPr="00370E70" w:rsidRDefault="00AC4C59" w:rsidP="00AC4C59">
      <w:pPr>
        <w:rPr>
          <w:szCs w:val="22"/>
        </w:rPr>
      </w:pPr>
    </w:p>
    <w:p w:rsidR="005132EF" w:rsidRPr="00370E70" w:rsidRDefault="005132EF" w:rsidP="00A3605B">
      <w:pPr>
        <w:rPr>
          <w:color w:val="000000"/>
        </w:rPr>
      </w:pPr>
    </w:p>
    <w:p w:rsidR="005132EF" w:rsidRPr="00370E70" w:rsidRDefault="007B15AB" w:rsidP="00AA19A4">
      <w:pPr>
        <w:keepNext/>
        <w:spacing w:after="0"/>
        <w:jc w:val="center"/>
      </w:pPr>
      <w:r>
        <w:rPr>
          <w:noProof/>
          <w:lang w:eastAsia="en-AU"/>
        </w:rPr>
        <w:lastRenderedPageBreak/>
        <w:drawing>
          <wp:inline distT="0" distB="0" distL="0" distR="0">
            <wp:extent cx="4314190" cy="1172210"/>
            <wp:effectExtent l="0" t="0" r="0" b="8890"/>
            <wp:docPr id="95" name="Picture 95" descr="Figure og the within seagrass canopy temperature (°C) at subtidal reef (Low Isles) habitat within the Wet Tropics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Figure og the within seagrass canopy temperature (°C) at subtidal reef (Low Isles) habitat within the Wet Tropics over the 2011/12 monitoring period"/>
                    <pic:cNvPicPr>
                      <a:picLocks noChangeAspect="1" noChangeArrowheads="1"/>
                    </pic:cNvPicPr>
                  </pic:nvPicPr>
                  <pic:blipFill>
                    <a:blip r:embed="rId121">
                      <a:extLst>
                        <a:ext uri="{28A0092B-C50C-407E-A947-70E740481C1C}">
                          <a14:useLocalDpi xmlns:a14="http://schemas.microsoft.com/office/drawing/2010/main" val="0"/>
                        </a:ext>
                      </a:extLst>
                    </a:blip>
                    <a:srcRect b="13759"/>
                    <a:stretch>
                      <a:fillRect/>
                    </a:stretch>
                  </pic:blipFill>
                  <pic:spPr bwMode="auto">
                    <a:xfrm>
                      <a:off x="0" y="0"/>
                      <a:ext cx="4314190" cy="1172210"/>
                    </a:xfrm>
                    <a:prstGeom prst="rect">
                      <a:avLst/>
                    </a:prstGeom>
                    <a:noFill/>
                    <a:ln>
                      <a:noFill/>
                    </a:ln>
                  </pic:spPr>
                </pic:pic>
              </a:graphicData>
            </a:graphic>
          </wp:inline>
        </w:drawing>
      </w:r>
    </w:p>
    <w:p w:rsidR="005132EF" w:rsidRPr="00370E70" w:rsidRDefault="007B15AB" w:rsidP="00AA19A4">
      <w:pPr>
        <w:keepNext/>
        <w:spacing w:before="0" w:after="0"/>
        <w:jc w:val="center"/>
      </w:pPr>
      <w:r>
        <w:rPr>
          <w:noProof/>
          <w:lang w:eastAsia="en-AU"/>
        </w:rPr>
        <w:drawing>
          <wp:inline distT="0" distB="0" distL="0" distR="0">
            <wp:extent cx="4314190" cy="1158875"/>
            <wp:effectExtent l="0" t="0" r="0" b="3175"/>
            <wp:docPr id="96" name="Picture 96" descr="Figure og the within seagrass canopy temperature (°C) at subtidal reef (Green Island) habitat within the Wet Tropics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Figure og the within seagrass canopy temperature (°C) at subtidal reef (Green Island) habitat within the Wet Tropics over the 2011/12 monitoring period"/>
                    <pic:cNvPicPr>
                      <a:picLocks noChangeAspect="1" noChangeArrowheads="1"/>
                    </pic:cNvPicPr>
                  </pic:nvPicPr>
                  <pic:blipFill>
                    <a:blip r:embed="rId122">
                      <a:extLst>
                        <a:ext uri="{28A0092B-C50C-407E-A947-70E740481C1C}">
                          <a14:useLocalDpi xmlns:a14="http://schemas.microsoft.com/office/drawing/2010/main" val="0"/>
                        </a:ext>
                      </a:extLst>
                    </a:blip>
                    <a:srcRect b="13918"/>
                    <a:stretch>
                      <a:fillRect/>
                    </a:stretch>
                  </pic:blipFill>
                  <pic:spPr bwMode="auto">
                    <a:xfrm>
                      <a:off x="0" y="0"/>
                      <a:ext cx="4314190" cy="1158875"/>
                    </a:xfrm>
                    <a:prstGeom prst="rect">
                      <a:avLst/>
                    </a:prstGeom>
                    <a:noFill/>
                    <a:ln>
                      <a:noFill/>
                    </a:ln>
                  </pic:spPr>
                </pic:pic>
              </a:graphicData>
            </a:graphic>
          </wp:inline>
        </w:drawing>
      </w:r>
    </w:p>
    <w:p w:rsidR="005132EF" w:rsidRPr="00370E70" w:rsidRDefault="007B15AB" w:rsidP="00AA19A4">
      <w:pPr>
        <w:keepNext/>
        <w:jc w:val="center"/>
      </w:pPr>
      <w:r>
        <w:rPr>
          <w:noProof/>
          <w:lang w:eastAsia="en-AU"/>
        </w:rPr>
        <w:drawing>
          <wp:inline distT="0" distB="0" distL="0" distR="0">
            <wp:extent cx="4314190" cy="1365250"/>
            <wp:effectExtent l="0" t="0" r="0" b="0"/>
            <wp:docPr id="97" name="Picture 97" descr="Figure og the within seagrass canopy temperature (°C) at subtidal reef (Dunk Island) habitat within the Wet Tropics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Figure og the within seagrass canopy temperature (°C) at subtidal reef (Dunk Island) habitat within the Wet Tropics over the 2011/12 monitoring period"/>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314190" cy="1365250"/>
                    </a:xfrm>
                    <a:prstGeom prst="rect">
                      <a:avLst/>
                    </a:prstGeom>
                    <a:noFill/>
                    <a:ln>
                      <a:noFill/>
                    </a:ln>
                  </pic:spPr>
                </pic:pic>
              </a:graphicData>
            </a:graphic>
          </wp:inline>
        </w:drawing>
      </w:r>
    </w:p>
    <w:p w:rsidR="005132EF" w:rsidRPr="00370E70" w:rsidRDefault="005132EF" w:rsidP="008D19EF">
      <w:pPr>
        <w:pStyle w:val="Caption"/>
        <w:rPr>
          <w:i/>
          <w:color w:val="000000"/>
          <w:szCs w:val="22"/>
          <w:lang w:val="en-AU"/>
        </w:rPr>
      </w:pPr>
      <w:bookmarkStart w:id="386" w:name="_Ref354641797"/>
      <w:bookmarkStart w:id="387" w:name="_Toc384196417"/>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70</w:t>
      </w:r>
      <w:r w:rsidRPr="00370E70">
        <w:rPr>
          <w:color w:val="000000"/>
          <w:szCs w:val="22"/>
          <w:lang w:val="en-AU"/>
        </w:rPr>
        <w:fldChar w:fldCharType="end"/>
      </w:r>
      <w:bookmarkEnd w:id="386"/>
      <w:r w:rsidRPr="00370E70">
        <w:rPr>
          <w:rStyle w:val="StyleCaptionCaptionCharCharLatinCalibri11ptBlackChar"/>
          <w:lang w:val="en-AU"/>
        </w:rPr>
        <w:t xml:space="preserve">. </w:t>
      </w:r>
      <w:r w:rsidRPr="00370E70">
        <w:rPr>
          <w:i/>
          <w:color w:val="000000"/>
          <w:szCs w:val="22"/>
          <w:lang w:val="en-AU"/>
        </w:rPr>
        <w:t xml:space="preserve">Within seagrass canopy temperature (°C) at </w:t>
      </w:r>
      <w:r w:rsidR="00563F19">
        <w:rPr>
          <w:i/>
          <w:color w:val="000000"/>
          <w:szCs w:val="22"/>
          <w:lang w:val="en-AU"/>
        </w:rPr>
        <w:t xml:space="preserve">inshore </w:t>
      </w:r>
      <w:r w:rsidRPr="00370E70">
        <w:rPr>
          <w:i/>
          <w:color w:val="000000"/>
          <w:szCs w:val="22"/>
          <w:lang w:val="en-AU"/>
        </w:rPr>
        <w:t xml:space="preserve">subtidal reef (Low Isles, </w:t>
      </w:r>
      <w:smartTag w:uri="urn:schemas-microsoft-com:office:smarttags" w:element="PlaceName">
        <w:r w:rsidRPr="00370E70">
          <w:rPr>
            <w:i/>
            <w:color w:val="000000"/>
            <w:szCs w:val="22"/>
            <w:lang w:val="en-AU"/>
          </w:rPr>
          <w:t>Green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Dunk</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habitats within the Wet Tropics over the 2011/12 monitoring period.</w:t>
      </w:r>
      <w:bookmarkEnd w:id="387"/>
    </w:p>
    <w:p w:rsidR="005132EF" w:rsidRPr="00370E70" w:rsidRDefault="007B15AB" w:rsidP="003C2335">
      <w:pPr>
        <w:keepNext/>
        <w:spacing w:after="0"/>
        <w:jc w:val="center"/>
      </w:pPr>
      <w:r>
        <w:rPr>
          <w:noProof/>
          <w:lang w:eastAsia="en-AU"/>
        </w:rPr>
        <w:drawing>
          <wp:inline distT="0" distB="0" distL="0" distR="0">
            <wp:extent cx="4314190" cy="1120775"/>
            <wp:effectExtent l="0" t="0" r="0" b="3175"/>
            <wp:docPr id="98" name="Picture 98" descr="Figure showing long-term monthly mean, maximum and minimum temperature at the Low Isles subtidal meadow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Figure showing long-term monthly mean, maximum and minimum temperature at the Low Isles subtidal meadow in the Wet Tropics "/>
                    <pic:cNvPicPr>
                      <a:picLocks noChangeAspect="1" noChangeArrowheads="1"/>
                    </pic:cNvPicPr>
                  </pic:nvPicPr>
                  <pic:blipFill>
                    <a:blip r:embed="rId124">
                      <a:extLst>
                        <a:ext uri="{28A0092B-C50C-407E-A947-70E740481C1C}">
                          <a14:useLocalDpi xmlns:a14="http://schemas.microsoft.com/office/drawing/2010/main" val="0"/>
                        </a:ext>
                      </a:extLst>
                    </a:blip>
                    <a:srcRect b="14867"/>
                    <a:stretch>
                      <a:fillRect/>
                    </a:stretch>
                  </pic:blipFill>
                  <pic:spPr bwMode="auto">
                    <a:xfrm>
                      <a:off x="0" y="0"/>
                      <a:ext cx="4314190" cy="1120775"/>
                    </a:xfrm>
                    <a:prstGeom prst="rect">
                      <a:avLst/>
                    </a:prstGeom>
                    <a:noFill/>
                    <a:ln>
                      <a:noFill/>
                    </a:ln>
                  </pic:spPr>
                </pic:pic>
              </a:graphicData>
            </a:graphic>
          </wp:inline>
        </w:drawing>
      </w:r>
    </w:p>
    <w:p w:rsidR="005132EF" w:rsidRPr="00370E70" w:rsidRDefault="007B15AB" w:rsidP="00AA19A4">
      <w:pPr>
        <w:keepNext/>
        <w:spacing w:before="0" w:after="0"/>
        <w:jc w:val="center"/>
      </w:pPr>
      <w:r>
        <w:rPr>
          <w:noProof/>
          <w:lang w:eastAsia="en-AU"/>
        </w:rPr>
        <w:drawing>
          <wp:inline distT="0" distB="0" distL="0" distR="0">
            <wp:extent cx="4314190" cy="1082040"/>
            <wp:effectExtent l="0" t="0" r="0" b="3810"/>
            <wp:docPr id="99" name="Picture 44" descr="Figure showing long-term monthly mean, maximum and minimum temperature at the Green Island subtidal meadow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igure showing long-term monthly mean, maximum and minimum temperature at the Green Island subtidal meadow in the Wet Tropics "/>
                    <pic:cNvPicPr>
                      <a:picLocks noChangeAspect="1" noChangeArrowheads="1"/>
                    </pic:cNvPicPr>
                  </pic:nvPicPr>
                  <pic:blipFill>
                    <a:blip r:embed="rId125">
                      <a:extLst>
                        <a:ext uri="{28A0092B-C50C-407E-A947-70E740481C1C}">
                          <a14:useLocalDpi xmlns:a14="http://schemas.microsoft.com/office/drawing/2010/main" val="0"/>
                        </a:ext>
                      </a:extLst>
                    </a:blip>
                    <a:srcRect t="2689" b="14551"/>
                    <a:stretch>
                      <a:fillRect/>
                    </a:stretch>
                  </pic:blipFill>
                  <pic:spPr bwMode="auto">
                    <a:xfrm>
                      <a:off x="0" y="0"/>
                      <a:ext cx="4314190" cy="1082040"/>
                    </a:xfrm>
                    <a:prstGeom prst="rect">
                      <a:avLst/>
                    </a:prstGeom>
                    <a:noFill/>
                    <a:ln>
                      <a:noFill/>
                    </a:ln>
                  </pic:spPr>
                </pic:pic>
              </a:graphicData>
            </a:graphic>
          </wp:inline>
        </w:drawing>
      </w:r>
    </w:p>
    <w:p w:rsidR="005132EF" w:rsidRPr="00370E70" w:rsidRDefault="007B15AB" w:rsidP="00AA19A4">
      <w:pPr>
        <w:keepNext/>
        <w:spacing w:before="0"/>
        <w:jc w:val="center"/>
      </w:pPr>
      <w:r>
        <w:rPr>
          <w:noProof/>
          <w:lang w:eastAsia="en-AU"/>
        </w:rPr>
        <w:drawing>
          <wp:inline distT="0" distB="0" distL="0" distR="0">
            <wp:extent cx="4314190" cy="1210310"/>
            <wp:effectExtent l="0" t="0" r="0" b="8890"/>
            <wp:docPr id="100" name="Picture 100" descr="Figure showing long-term monthly mean, maximum and minimum temperature at the Dunk Island subtidal meadow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Figure showing long-term monthly mean, maximum and minimum temperature at the Dunk Island subtidal meadow in the Wet Tropics "/>
                    <pic:cNvPicPr>
                      <a:picLocks noChangeAspect="1" noChangeArrowheads="1"/>
                    </pic:cNvPicPr>
                  </pic:nvPicPr>
                  <pic:blipFill>
                    <a:blip r:embed="rId126">
                      <a:extLst>
                        <a:ext uri="{28A0092B-C50C-407E-A947-70E740481C1C}">
                          <a14:useLocalDpi xmlns:a14="http://schemas.microsoft.com/office/drawing/2010/main" val="0"/>
                        </a:ext>
                      </a:extLst>
                    </a:blip>
                    <a:srcRect t="2530" b="8224"/>
                    <a:stretch>
                      <a:fillRect/>
                    </a:stretch>
                  </pic:blipFill>
                  <pic:spPr bwMode="auto">
                    <a:xfrm>
                      <a:off x="0" y="0"/>
                      <a:ext cx="4314190" cy="1210310"/>
                    </a:xfrm>
                    <a:prstGeom prst="rect">
                      <a:avLst/>
                    </a:prstGeom>
                    <a:noFill/>
                    <a:ln>
                      <a:noFill/>
                    </a:ln>
                  </pic:spPr>
                </pic:pic>
              </a:graphicData>
            </a:graphic>
          </wp:inline>
        </w:drawing>
      </w:r>
    </w:p>
    <w:p w:rsidR="005132EF" w:rsidRPr="00370E70" w:rsidRDefault="005132EF" w:rsidP="00766B0C">
      <w:pPr>
        <w:pStyle w:val="Caption"/>
        <w:rPr>
          <w:i/>
          <w:color w:val="000000"/>
          <w:szCs w:val="22"/>
          <w:lang w:val="en-AU"/>
        </w:rPr>
      </w:pPr>
      <w:bookmarkStart w:id="388" w:name="_Ref354641821"/>
      <w:bookmarkStart w:id="389" w:name="_Toc384196418"/>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71</w:t>
      </w:r>
      <w:r w:rsidRPr="00370E70">
        <w:rPr>
          <w:color w:val="000000"/>
          <w:szCs w:val="22"/>
          <w:lang w:val="en-AU"/>
        </w:rPr>
        <w:fldChar w:fldCharType="end"/>
      </w:r>
      <w:bookmarkEnd w:id="388"/>
      <w:r w:rsidRPr="00370E70">
        <w:rPr>
          <w:rStyle w:val="StyleCaptionCaptionCharCharLatinCalibri11ptBlackChar"/>
          <w:lang w:val="en-AU"/>
        </w:rPr>
        <w:t xml:space="preserve">. </w:t>
      </w:r>
      <w:r w:rsidRPr="00370E70">
        <w:rPr>
          <w:i/>
          <w:color w:val="000000"/>
          <w:szCs w:val="22"/>
          <w:lang w:val="en-AU"/>
        </w:rPr>
        <w:t xml:space="preserve">Monthly mean, maximum and minimum temperature at the </w:t>
      </w:r>
      <w:r w:rsidR="00635010">
        <w:rPr>
          <w:i/>
          <w:color w:val="000000"/>
          <w:szCs w:val="22"/>
          <w:lang w:val="en-AU"/>
        </w:rPr>
        <w:t xml:space="preserve">inshore subtidal </w:t>
      </w:r>
      <w:r w:rsidRPr="00370E70">
        <w:rPr>
          <w:i/>
          <w:color w:val="000000"/>
          <w:szCs w:val="22"/>
          <w:lang w:val="en-AU"/>
        </w:rPr>
        <w:t xml:space="preserve">reef (Low Isles, </w:t>
      </w:r>
      <w:smartTag w:uri="urn:schemas-microsoft-com:office:smarttags" w:element="PlaceName">
        <w:r w:rsidRPr="00370E70">
          <w:rPr>
            <w:i/>
            <w:color w:val="000000"/>
            <w:szCs w:val="22"/>
            <w:lang w:val="en-AU"/>
          </w:rPr>
          <w:t>Green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xml:space="preserve"> and </w:t>
      </w:r>
      <w:smartTag w:uri="urn:schemas-microsoft-com:office:smarttags" w:element="place">
        <w:smartTag w:uri="urn:schemas-microsoft-com:office:smarttags" w:element="PlaceName">
          <w:r w:rsidRPr="00370E70">
            <w:rPr>
              <w:i/>
              <w:color w:val="000000"/>
              <w:szCs w:val="22"/>
              <w:lang w:val="en-AU"/>
            </w:rPr>
            <w:t>Dunk</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w:t>
      </w:r>
      <w:r w:rsidR="00635010">
        <w:rPr>
          <w:i/>
          <w:color w:val="000000"/>
          <w:szCs w:val="22"/>
          <w:lang w:val="en-AU"/>
        </w:rPr>
        <w:t>habitats</w:t>
      </w:r>
      <w:r w:rsidRPr="00370E70">
        <w:rPr>
          <w:i/>
          <w:color w:val="000000"/>
          <w:szCs w:val="22"/>
          <w:lang w:val="en-AU"/>
        </w:rPr>
        <w:t xml:space="preserve"> in the Wet Tropics</w:t>
      </w:r>
      <w:bookmarkEnd w:id="389"/>
      <w:r w:rsidRPr="00370E70">
        <w:rPr>
          <w:i/>
          <w:color w:val="000000"/>
          <w:szCs w:val="22"/>
          <w:lang w:val="en-AU"/>
        </w:rPr>
        <w:t xml:space="preserve"> </w:t>
      </w:r>
    </w:p>
    <w:p w:rsidR="005132EF" w:rsidRPr="00370E70" w:rsidRDefault="007B15AB" w:rsidP="00AA19A4">
      <w:pPr>
        <w:keepNext/>
        <w:jc w:val="center"/>
      </w:pPr>
      <w:r>
        <w:rPr>
          <w:noProof/>
          <w:lang w:eastAsia="en-AU"/>
        </w:rPr>
        <w:lastRenderedPageBreak/>
        <w:drawing>
          <wp:inline distT="0" distB="0" distL="0" distR="0">
            <wp:extent cx="4314190" cy="1365250"/>
            <wp:effectExtent l="0" t="0" r="0" b="0"/>
            <wp:docPr id="101" name="Picture 101" descr="Figure showing long-term monthly mean, maximum and minimum temperature at the Low Isles intertidal meadow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Figure showing long-term monthly mean, maximum and minimum temperature at the Low Isles intertidal meadow in the Wet Tropics "/>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314190" cy="1365250"/>
                    </a:xfrm>
                    <a:prstGeom prst="rect">
                      <a:avLst/>
                    </a:prstGeom>
                    <a:noFill/>
                    <a:ln>
                      <a:noFill/>
                    </a:ln>
                  </pic:spPr>
                </pic:pic>
              </a:graphicData>
            </a:graphic>
          </wp:inline>
        </w:drawing>
      </w:r>
    </w:p>
    <w:p w:rsidR="005132EF" w:rsidRPr="00370E70" w:rsidRDefault="005132EF" w:rsidP="00766B0C">
      <w:pPr>
        <w:pStyle w:val="Caption"/>
        <w:rPr>
          <w:i/>
          <w:color w:val="000000"/>
          <w:szCs w:val="22"/>
          <w:lang w:val="en-AU"/>
        </w:rPr>
      </w:pPr>
      <w:bookmarkStart w:id="390" w:name="_Toc38419641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72</w:t>
      </w:r>
      <w:r w:rsidRPr="00370E70">
        <w:rPr>
          <w:color w:val="000000"/>
          <w:szCs w:val="22"/>
          <w:lang w:val="en-AU"/>
        </w:rPr>
        <w:fldChar w:fldCharType="end"/>
      </w:r>
      <w:r w:rsidRPr="00370E70">
        <w:rPr>
          <w:rStyle w:val="StyleCaptionCaptionCharCharLatinCalibri11ptBlackChar"/>
          <w:lang w:val="en-AU"/>
        </w:rPr>
        <w:t xml:space="preserve">. </w:t>
      </w:r>
      <w:r w:rsidRPr="00370E70">
        <w:rPr>
          <w:i/>
          <w:color w:val="000000"/>
          <w:szCs w:val="22"/>
          <w:lang w:val="en-AU"/>
        </w:rPr>
        <w:t xml:space="preserve">Monthly mean, maximum and minimum temperature at the </w:t>
      </w:r>
      <w:r w:rsidR="00635010">
        <w:rPr>
          <w:i/>
          <w:color w:val="000000"/>
          <w:szCs w:val="22"/>
          <w:lang w:val="en-AU"/>
        </w:rPr>
        <w:t xml:space="preserve">inshore intertidal </w:t>
      </w:r>
      <w:r w:rsidRPr="00370E70">
        <w:rPr>
          <w:i/>
          <w:color w:val="000000"/>
          <w:szCs w:val="22"/>
          <w:lang w:val="en-AU"/>
        </w:rPr>
        <w:t xml:space="preserve">reef (Low Isles) </w:t>
      </w:r>
      <w:r w:rsidR="00635010">
        <w:rPr>
          <w:i/>
          <w:color w:val="000000"/>
          <w:szCs w:val="22"/>
          <w:lang w:val="en-AU"/>
        </w:rPr>
        <w:t>habitat</w:t>
      </w:r>
      <w:r w:rsidRPr="00370E70">
        <w:rPr>
          <w:i/>
          <w:color w:val="000000"/>
          <w:szCs w:val="22"/>
          <w:lang w:val="en-AU"/>
        </w:rPr>
        <w:t xml:space="preserve"> in the </w:t>
      </w:r>
      <w:r w:rsidR="00635010">
        <w:rPr>
          <w:i/>
          <w:color w:val="000000"/>
          <w:szCs w:val="22"/>
          <w:lang w:val="en-AU"/>
        </w:rPr>
        <w:t xml:space="preserve">northern </w:t>
      </w:r>
      <w:r w:rsidRPr="00370E70">
        <w:rPr>
          <w:i/>
          <w:color w:val="000000"/>
          <w:szCs w:val="22"/>
          <w:lang w:val="en-AU"/>
        </w:rPr>
        <w:t>Wet Tropics</w:t>
      </w:r>
      <w:r w:rsidR="00635010">
        <w:rPr>
          <w:i/>
          <w:color w:val="000000"/>
          <w:szCs w:val="22"/>
          <w:lang w:val="en-AU"/>
        </w:rPr>
        <w:t xml:space="preserve"> region</w:t>
      </w:r>
      <w:r w:rsidR="00A37000" w:rsidRPr="00370E70">
        <w:rPr>
          <w:i/>
          <w:color w:val="000000"/>
          <w:szCs w:val="22"/>
          <w:lang w:val="en-AU"/>
        </w:rPr>
        <w:t>.</w:t>
      </w:r>
      <w:bookmarkEnd w:id="390"/>
    </w:p>
    <w:p w:rsidR="005132EF" w:rsidRPr="00370E70" w:rsidRDefault="005132EF" w:rsidP="00034AD4">
      <w:pPr>
        <w:pStyle w:val="Heading4"/>
        <w:rPr>
          <w:b/>
          <w:iCs/>
          <w:color w:val="000000"/>
        </w:rPr>
      </w:pPr>
      <w:bookmarkStart w:id="391" w:name="_Toc184101992"/>
      <w:r w:rsidRPr="00370E70">
        <w:rPr>
          <w:b/>
          <w:iCs/>
          <w:color w:val="000000"/>
        </w:rPr>
        <w:t>Canopy incident light</w:t>
      </w:r>
      <w:bookmarkEnd w:id="391"/>
    </w:p>
    <w:p w:rsidR="005132EF" w:rsidRPr="00370E70" w:rsidRDefault="005132EF" w:rsidP="00034AD4">
      <w:pPr>
        <w:rPr>
          <w:color w:val="000000"/>
          <w:szCs w:val="22"/>
        </w:rPr>
      </w:pPr>
      <w:r w:rsidRPr="00370E70">
        <w:rPr>
          <w:color w:val="000000"/>
          <w:szCs w:val="22"/>
        </w:rPr>
        <w:t>At the Low Isles subtidal site, for much of the time since 2008, I</w:t>
      </w:r>
      <w:r w:rsidRPr="00370E70">
        <w:rPr>
          <w:color w:val="000000"/>
          <w:szCs w:val="22"/>
          <w:vertAlign w:val="subscript"/>
        </w:rPr>
        <w:t>d</w:t>
      </w:r>
      <w:r w:rsidRPr="00370E70">
        <w:rPr>
          <w:color w:val="000000"/>
          <w:szCs w:val="22"/>
        </w:rPr>
        <w:t xml:space="preserve"> has been around or below the MLR for seagrasses with a long-term average I</w:t>
      </w:r>
      <w:r w:rsidRPr="00370E70">
        <w:rPr>
          <w:color w:val="000000"/>
          <w:szCs w:val="22"/>
          <w:vertAlign w:val="subscript"/>
        </w:rPr>
        <w:t>d</w:t>
      </w:r>
      <w:r w:rsidRPr="00370E70">
        <w:rPr>
          <w:color w:val="000000"/>
          <w:szCs w:val="22"/>
        </w:rPr>
        <w:t xml:space="preserve"> of </w:t>
      </w:r>
      <w:proofErr w:type="gramStart"/>
      <w:r w:rsidRPr="00370E70">
        <w:rPr>
          <w:color w:val="000000"/>
          <w:szCs w:val="22"/>
        </w:rPr>
        <w:t>6.7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t>
      </w:r>
      <w:r w:rsidR="00AC4C59" w:rsidRPr="00370E70">
        <w:rPr>
          <w:color w:val="000000"/>
          <w:szCs w:val="22"/>
        </w:rPr>
        <w:fldChar w:fldCharType="begin"/>
      </w:r>
      <w:r w:rsidR="00AC4C59" w:rsidRPr="00370E70">
        <w:rPr>
          <w:color w:val="000000"/>
          <w:szCs w:val="22"/>
        </w:rPr>
        <w:instrText xml:space="preserve"> REF _Ref354641848 \h </w:instrText>
      </w:r>
      <w:r w:rsidR="00AC4C59" w:rsidRPr="00370E70">
        <w:rPr>
          <w:color w:val="000000"/>
          <w:szCs w:val="22"/>
        </w:rPr>
      </w:r>
      <w:r w:rsidR="00AC4C59"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73</w:t>
      </w:r>
      <w:r w:rsidR="00AC4C59" w:rsidRPr="00370E70">
        <w:rPr>
          <w:color w:val="000000"/>
          <w:szCs w:val="22"/>
        </w:rPr>
        <w:fldChar w:fldCharType="end"/>
      </w:r>
      <w:r w:rsidRPr="00370E70">
        <w:rPr>
          <w:color w:val="000000"/>
          <w:szCs w:val="22"/>
        </w:rPr>
        <w:t>)</w:t>
      </w:r>
      <w:proofErr w:type="gramEnd"/>
      <w:r w:rsidRPr="00370E70">
        <w:rPr>
          <w:color w:val="000000"/>
          <w:szCs w:val="22"/>
        </w:rPr>
        <w:t xml:space="preserve"> but it was higher in 2011/12 at 9.1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In late 2011 (Nov-Dec), I</w:t>
      </w:r>
      <w:r w:rsidRPr="00370E70">
        <w:rPr>
          <w:color w:val="000000"/>
          <w:szCs w:val="22"/>
          <w:vertAlign w:val="subscript"/>
        </w:rPr>
        <w:t>d</w:t>
      </w:r>
      <w:r w:rsidRPr="00370E70" w:rsidDel="000242FC">
        <w:rPr>
          <w:color w:val="000000"/>
          <w:szCs w:val="22"/>
        </w:rPr>
        <w:t xml:space="preserve"> </w:t>
      </w:r>
      <w:r w:rsidRPr="00370E70">
        <w:rPr>
          <w:color w:val="000000"/>
          <w:szCs w:val="22"/>
        </w:rPr>
        <w:t xml:space="preserve">was higher than any previous records, a result consistent amongst wet tropics sites. At this time some increase in seagrass cover occurred through 2011, but then declined to 0% at the end of the monitoring period (April 2012). </w:t>
      </w:r>
      <w:r w:rsidRPr="00370E70">
        <w:rPr>
          <w:i/>
          <w:color w:val="000000"/>
          <w:szCs w:val="22"/>
        </w:rPr>
        <w:t>Halophila ovalis</w:t>
      </w:r>
      <w:r w:rsidRPr="00370E70">
        <w:rPr>
          <w:color w:val="000000"/>
          <w:szCs w:val="22"/>
        </w:rPr>
        <w:t xml:space="preserve"> was the dominant species at this site when monitoring began in 2008, and although it has a lower MLR than most other tropical species (1.5 to 2.9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short periods below MLR (around 14 days) lead to die-off in this species as it has little capacity to buffer from reduced photosynthetic C uptake given its small carbohydrate stores </w:t>
      </w:r>
      <w:r w:rsidR="00AA19A4" w:rsidRPr="00370E70">
        <w:rPr>
          <w:color w:val="000000"/>
          <w:szCs w:val="22"/>
        </w:rPr>
        <w:t>(</w:t>
      </w:r>
      <w:hyperlink w:anchor="_ENREF_124" w:tooltip="Longstaff, 1999 #24" w:history="1">
        <w:r w:rsidR="00964A70" w:rsidRPr="00370E70">
          <w:rPr>
            <w:color w:val="000000"/>
            <w:szCs w:val="22"/>
          </w:rPr>
          <w:fldChar w:fldCharType="begin"/>
        </w:r>
        <w:r w:rsidR="00964A70" w:rsidRPr="00370E70">
          <w:rPr>
            <w:color w:val="000000"/>
            <w:szCs w:val="22"/>
          </w:rPr>
          <w:instrText xml:space="preserve"> ADDIN EN.CITE &lt;EndNote&gt;&lt;Cite&gt;&lt;Author&gt;Longstaff&lt;/Author&gt;&lt;Year&gt;1999&lt;/Year&gt;&lt;RecNum&gt;24&lt;/RecNum&gt;&lt;DisplayText&gt;Longstaff&lt;style face="italic"&gt; et al.&lt;/style&gt; 1999&lt;/DisplayText&gt;&lt;record&gt;&lt;rec-number&gt;24&lt;/rec-number&gt;&lt;foreign-keys&gt;&lt;key app="EN" db-id="xp95r2wt4pwtpyeavf5vadf4pa05f0ae5f0d"&gt;24&lt;/key&gt;&lt;/foreign-keys&gt;&lt;ref-type name="Journal Article"&gt;17&lt;/ref-type&gt;&lt;contributors&gt;&lt;authors&gt;&lt;author&gt;Longstaff, B.J.&lt;/author&gt;&lt;author&gt;Loneragan, N.R.&lt;/author&gt;&lt;author&gt;O&amp;apos;Donohue, M.J.&lt;/author&gt;&lt;author&gt;Dennison, W.C.&lt;/author&gt;&lt;/authors&gt;&lt;/contributors&gt;&lt;titles&gt;&lt;title&gt;&lt;style face="normal" font="default" size="100%"&gt;Effects of light deprivation on the survival and recovery of the seagrass &lt;/style&gt;&lt;style face="italic" font="default" size="100%"&gt;Halophila ovalis&lt;/style&gt;&lt;style face="normal" font="default" size="100%"&gt; (R.Br.) Hook&lt;/style&gt;&lt;/title&gt;&lt;secondary-title&gt;Journal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Ecology&lt;/abbr-3&gt;&lt;/periodical&gt;&lt;pages&gt;1-27&lt;/pages&gt;&lt;volume&gt;234&lt;/volume&gt;&lt;dates&gt;&lt;year&gt;1999&lt;/year&gt;&lt;/dates&gt;&lt;urls&gt;&lt;/urls&gt;&lt;/record&gt;&lt;/Cite&gt;&lt;/EndNote&gt;</w:instrText>
        </w:r>
        <w:r w:rsidR="00964A70" w:rsidRPr="00370E70">
          <w:rPr>
            <w:color w:val="000000"/>
            <w:szCs w:val="22"/>
          </w:rPr>
          <w:fldChar w:fldCharType="separate"/>
        </w:r>
        <w:r w:rsidR="00964A70" w:rsidRPr="00370E70">
          <w:rPr>
            <w:noProof/>
            <w:color w:val="000000"/>
            <w:szCs w:val="22"/>
          </w:rPr>
          <w:t>Longstaff</w:t>
        </w:r>
        <w:r w:rsidR="00964A70" w:rsidRPr="00370E70">
          <w:rPr>
            <w:i/>
            <w:noProof/>
            <w:color w:val="000000"/>
            <w:szCs w:val="22"/>
          </w:rPr>
          <w:t xml:space="preserve"> et al.</w:t>
        </w:r>
        <w:r w:rsidR="00964A70" w:rsidRPr="00370E70">
          <w:rPr>
            <w:noProof/>
            <w:color w:val="000000"/>
            <w:szCs w:val="22"/>
          </w:rPr>
          <w:t xml:space="preserve"> 1999</w:t>
        </w:r>
        <w:r w:rsidR="00964A70" w:rsidRPr="00370E70">
          <w:rPr>
            <w:color w:val="000000"/>
            <w:szCs w:val="22"/>
          </w:rPr>
          <w:fldChar w:fldCharType="end"/>
        </w:r>
      </w:hyperlink>
      <w:r w:rsidR="00AA19A4" w:rsidRPr="00370E70">
        <w:rPr>
          <w:color w:val="000000"/>
          <w:szCs w:val="22"/>
        </w:rPr>
        <w:t>)</w:t>
      </w:r>
      <w:r w:rsidRPr="00370E70">
        <w:rPr>
          <w:color w:val="000000"/>
          <w:szCs w:val="22"/>
        </w:rPr>
        <w:t>. The complete loss of seagrass in April 2012, could indicate that I</w:t>
      </w:r>
      <w:r w:rsidRPr="00370E70">
        <w:rPr>
          <w:color w:val="000000"/>
          <w:szCs w:val="22"/>
          <w:vertAlign w:val="subscript"/>
        </w:rPr>
        <w:t>d</w:t>
      </w:r>
      <w:r w:rsidRPr="00370E70">
        <w:rPr>
          <w:color w:val="000000"/>
          <w:szCs w:val="22"/>
        </w:rPr>
        <w:t xml:space="preserve"> fell below MLR for some time during Feb-Mar when loggers failed, but since I</w:t>
      </w:r>
      <w:r w:rsidRPr="00370E70">
        <w:rPr>
          <w:color w:val="000000"/>
          <w:szCs w:val="22"/>
          <w:vertAlign w:val="subscript"/>
        </w:rPr>
        <w:t>d</w:t>
      </w:r>
      <w:r w:rsidRPr="00370E70">
        <w:rPr>
          <w:color w:val="000000"/>
          <w:szCs w:val="22"/>
        </w:rPr>
        <w:t xml:space="preserve"> at other sites was not particularly low during this period (compared to other years), some other explanation is likely. </w:t>
      </w:r>
    </w:p>
    <w:p w:rsidR="005132EF" w:rsidRPr="00370E70" w:rsidRDefault="005132EF" w:rsidP="00034AD4">
      <w:pPr>
        <w:rPr>
          <w:color w:val="000000"/>
          <w:szCs w:val="22"/>
        </w:rPr>
      </w:pPr>
      <w:r w:rsidRPr="00370E70">
        <w:rPr>
          <w:color w:val="000000"/>
          <w:szCs w:val="22"/>
        </w:rPr>
        <w:t>Daily irradiance (I</w:t>
      </w:r>
      <w:r w:rsidRPr="00370E70">
        <w:rPr>
          <w:color w:val="000000"/>
          <w:szCs w:val="22"/>
          <w:vertAlign w:val="subscript"/>
        </w:rPr>
        <w:t>d</w:t>
      </w:r>
      <w:r w:rsidRPr="00370E70">
        <w:rPr>
          <w:color w:val="000000"/>
          <w:szCs w:val="22"/>
        </w:rPr>
        <w:t>) at the Low Isles intertidal site has been generally well above minimum light requirements and above light thresholds (MLR, ~4.7-7.9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with an average I</w:t>
      </w:r>
      <w:r w:rsidRPr="00370E70">
        <w:rPr>
          <w:color w:val="000000"/>
          <w:szCs w:val="22"/>
          <w:vertAlign w:val="subscript"/>
        </w:rPr>
        <w:t>d</w:t>
      </w:r>
      <w:r w:rsidRPr="00370E70">
        <w:rPr>
          <w:color w:val="000000"/>
          <w:szCs w:val="22"/>
        </w:rPr>
        <w:t xml:space="preserve"> of 15.9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t>
      </w:r>
      <w:r w:rsidR="00AC4C59" w:rsidRPr="00370E70">
        <w:rPr>
          <w:color w:val="000000"/>
          <w:szCs w:val="22"/>
        </w:rPr>
        <w:fldChar w:fldCharType="begin"/>
      </w:r>
      <w:r w:rsidR="00AC4C59" w:rsidRPr="00370E70">
        <w:rPr>
          <w:color w:val="000000"/>
          <w:szCs w:val="22"/>
        </w:rPr>
        <w:instrText xml:space="preserve"> REF _Ref354641848 \h </w:instrText>
      </w:r>
      <w:r w:rsidR="00AC4C59" w:rsidRPr="00370E70">
        <w:rPr>
          <w:color w:val="000000"/>
          <w:szCs w:val="22"/>
        </w:rPr>
      </w:r>
      <w:r w:rsidR="00AC4C59"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73</w:t>
      </w:r>
      <w:r w:rsidR="00AC4C59" w:rsidRPr="00370E70">
        <w:rPr>
          <w:color w:val="000000"/>
          <w:szCs w:val="22"/>
        </w:rPr>
        <w:fldChar w:fldCharType="end"/>
      </w:r>
      <w:r w:rsidRPr="00370E70">
        <w:rPr>
          <w:color w:val="000000"/>
          <w:szCs w:val="22"/>
        </w:rPr>
        <w:t>). In 2011-2012, I</w:t>
      </w:r>
      <w:r w:rsidRPr="00370E70">
        <w:rPr>
          <w:color w:val="000000"/>
          <w:szCs w:val="22"/>
          <w:vertAlign w:val="subscript"/>
        </w:rPr>
        <w:t>d</w:t>
      </w:r>
      <w:r w:rsidRPr="00370E70">
        <w:rPr>
          <w:color w:val="000000"/>
          <w:szCs w:val="22"/>
        </w:rPr>
        <w:t xml:space="preserve"> was 24.9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which is well above the long-term average. This high I</w:t>
      </w:r>
      <w:r w:rsidRPr="00370E70">
        <w:rPr>
          <w:color w:val="000000"/>
          <w:szCs w:val="22"/>
          <w:vertAlign w:val="subscript"/>
        </w:rPr>
        <w:t>d</w:t>
      </w:r>
      <w:r w:rsidRPr="00370E70">
        <w:rPr>
          <w:color w:val="000000"/>
          <w:szCs w:val="22"/>
        </w:rPr>
        <w:t xml:space="preserve"> also occurred at other wet tropics intertidal sites, possibly reflecting not just improved water quality conditions, but reduced cloudiness in the dry season (Oct-Nov) when record high light levels occurred.  However, there is no data available for Feb-Mar 2012 due to logger failure, and this can be a time of lower I</w:t>
      </w:r>
      <w:r w:rsidRPr="00370E70">
        <w:rPr>
          <w:color w:val="000000"/>
          <w:szCs w:val="22"/>
          <w:vertAlign w:val="subscript"/>
        </w:rPr>
        <w:t>d</w:t>
      </w:r>
      <w:r w:rsidRPr="00370E70">
        <w:rPr>
          <w:color w:val="000000"/>
          <w:szCs w:val="22"/>
        </w:rPr>
        <w:t>. Coincident with elevated I</w:t>
      </w:r>
      <w:r w:rsidRPr="00370E70">
        <w:rPr>
          <w:color w:val="000000"/>
          <w:szCs w:val="22"/>
          <w:vertAlign w:val="subscript"/>
        </w:rPr>
        <w:t>d</w:t>
      </w:r>
      <w:r w:rsidRPr="00370E70">
        <w:rPr>
          <w:color w:val="000000"/>
          <w:szCs w:val="22"/>
        </w:rPr>
        <w:t xml:space="preserve"> through 2011/12 was a small increase in seagrass cover (predominantly </w:t>
      </w:r>
      <w:r w:rsidRPr="00370E70">
        <w:rPr>
          <w:i/>
          <w:color w:val="000000"/>
          <w:szCs w:val="22"/>
        </w:rPr>
        <w:t>H. ovalis</w:t>
      </w:r>
      <w:r w:rsidRPr="00370E70">
        <w:rPr>
          <w:color w:val="000000"/>
          <w:szCs w:val="22"/>
        </w:rPr>
        <w:t xml:space="preserve">) through 2011, followed by a small decline in the post wet 2012, with cover remaining slightly higher at the end of the current reporting period (4.3%), than in 2010/11 (2.7%). </w:t>
      </w:r>
    </w:p>
    <w:p w:rsidR="005132EF" w:rsidRPr="00370E70" w:rsidRDefault="005132EF" w:rsidP="00034AD4">
      <w:pPr>
        <w:rPr>
          <w:color w:val="000000"/>
          <w:szCs w:val="22"/>
        </w:rPr>
      </w:pPr>
      <w:r w:rsidRPr="00370E70">
        <w:rPr>
          <w:color w:val="000000"/>
          <w:szCs w:val="22"/>
        </w:rPr>
        <w:t>I</w:t>
      </w:r>
      <w:r w:rsidRPr="00370E70">
        <w:rPr>
          <w:color w:val="000000"/>
          <w:szCs w:val="22"/>
          <w:vertAlign w:val="subscript"/>
        </w:rPr>
        <w:t>d</w:t>
      </w:r>
      <w:r w:rsidRPr="00370E70">
        <w:rPr>
          <w:color w:val="000000"/>
          <w:szCs w:val="22"/>
        </w:rPr>
        <w:t xml:space="preserve"> at the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subtidal site is consistently high (long-term </w:t>
      </w:r>
      <w:r w:rsidR="002C6536" w:rsidRPr="00370E70">
        <w:rPr>
          <w:color w:val="000000"/>
          <w:szCs w:val="22"/>
        </w:rPr>
        <w:t>average</w:t>
      </w:r>
      <w:r w:rsidRPr="00370E70">
        <w:rPr>
          <w:color w:val="000000"/>
          <w:szCs w:val="22"/>
        </w:rPr>
        <w:t xml:space="preserve"> is 11.8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and higher than MLR, and the light threshold (5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In 2011/12, I</w:t>
      </w:r>
      <w:r w:rsidRPr="00370E70">
        <w:rPr>
          <w:color w:val="000000"/>
          <w:szCs w:val="22"/>
          <w:vertAlign w:val="subscript"/>
        </w:rPr>
        <w:t xml:space="preserve">d </w:t>
      </w:r>
      <w:r w:rsidRPr="00370E70">
        <w:rPr>
          <w:color w:val="000000"/>
          <w:szCs w:val="22"/>
        </w:rPr>
        <w:t>was higher than the long-term average at 12.9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w:t>
      </w:r>
      <w:r w:rsidRPr="00370E70">
        <w:rPr>
          <w:color w:val="000000"/>
          <w:szCs w:val="22"/>
        </w:rPr>
        <w:t>1. There is considerable intra-annual variability with peak I</w:t>
      </w:r>
      <w:r w:rsidRPr="00370E70">
        <w:rPr>
          <w:color w:val="000000"/>
          <w:szCs w:val="22"/>
          <w:vertAlign w:val="subscript"/>
        </w:rPr>
        <w:t>d</w:t>
      </w:r>
      <w:r w:rsidRPr="00370E70">
        <w:rPr>
          <w:color w:val="000000"/>
          <w:szCs w:val="22"/>
        </w:rPr>
        <w:t xml:space="preserve"> in summer months and lowest I</w:t>
      </w:r>
      <w:r w:rsidRPr="00370E70">
        <w:rPr>
          <w:color w:val="000000"/>
          <w:szCs w:val="22"/>
          <w:vertAlign w:val="subscript"/>
        </w:rPr>
        <w:t>d</w:t>
      </w:r>
      <w:r w:rsidRPr="00370E70">
        <w:rPr>
          <w:color w:val="000000"/>
          <w:szCs w:val="22"/>
        </w:rPr>
        <w:t xml:space="preserve"> in winter months. In contrast, I</w:t>
      </w:r>
      <w:r w:rsidRPr="00370E70">
        <w:rPr>
          <w:color w:val="000000"/>
          <w:szCs w:val="22"/>
          <w:vertAlign w:val="subscript"/>
        </w:rPr>
        <w:t>d</w:t>
      </w:r>
      <w:r w:rsidRPr="00370E70">
        <w:rPr>
          <w:color w:val="000000"/>
          <w:szCs w:val="22"/>
        </w:rPr>
        <w:t xml:space="preserve"> at the intertidal site is highly variable, but this does not follow such distinct seasonal trends since exposure during low tide has a strong influence on I</w:t>
      </w:r>
      <w:r w:rsidRPr="00370E70">
        <w:rPr>
          <w:color w:val="000000"/>
          <w:szCs w:val="22"/>
          <w:vertAlign w:val="subscript"/>
        </w:rPr>
        <w:t>d</w:t>
      </w:r>
      <w:r w:rsidRPr="00370E70">
        <w:rPr>
          <w:color w:val="000000"/>
          <w:szCs w:val="22"/>
        </w:rPr>
        <w:t>. I</w:t>
      </w:r>
      <w:r w:rsidRPr="00370E70">
        <w:rPr>
          <w:color w:val="000000"/>
          <w:szCs w:val="22"/>
          <w:vertAlign w:val="subscript"/>
        </w:rPr>
        <w:t>d</w:t>
      </w:r>
      <w:r w:rsidRPr="00370E70">
        <w:rPr>
          <w:color w:val="000000"/>
          <w:szCs w:val="22"/>
        </w:rPr>
        <w:t xml:space="preserve"> at the Green Island intertidal site is consistently high, but was increased in 2011/12 (19.7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w:t>
      </w:r>
      <w:r w:rsidRPr="00370E70">
        <w:rPr>
          <w:color w:val="000000"/>
          <w:szCs w:val="22"/>
          <w:vertAlign w:val="superscript"/>
        </w:rPr>
        <w:t xml:space="preserve"> </w:t>
      </w:r>
      <w:r w:rsidRPr="00370E70">
        <w:rPr>
          <w:color w:val="000000"/>
          <w:szCs w:val="22"/>
        </w:rPr>
        <w:t>compared to the long-term average (17.6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however, this is biased slightly by a patchy dataset in 2011/12 due to ongoing logger failure.</w:t>
      </w:r>
    </w:p>
    <w:p w:rsidR="005132EF" w:rsidRPr="00370E70" w:rsidRDefault="005132EF" w:rsidP="00034AD4">
      <w:pPr>
        <w:rPr>
          <w:color w:val="000000"/>
          <w:szCs w:val="22"/>
        </w:rPr>
      </w:pPr>
      <w:r w:rsidRPr="00370E70">
        <w:rPr>
          <w:color w:val="000000"/>
          <w:szCs w:val="22"/>
        </w:rPr>
        <w:t>I</w:t>
      </w:r>
      <w:r w:rsidRPr="00370E70">
        <w:rPr>
          <w:color w:val="000000"/>
          <w:szCs w:val="22"/>
          <w:vertAlign w:val="subscript"/>
        </w:rPr>
        <w:t>d</w:t>
      </w:r>
      <w:r w:rsidRPr="00370E70">
        <w:rPr>
          <w:color w:val="000000"/>
          <w:szCs w:val="22"/>
        </w:rPr>
        <w:t xml:space="preserve"> at the Dunk Island subtidal site has hovered around or just above Minimum light requirements (MLR, ~4.7-7.9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and the event-based light thresholds (5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since monitoring began and is likely to have contributed to low and declining abundance at this site. I</w:t>
      </w:r>
      <w:r w:rsidRPr="00370E70">
        <w:rPr>
          <w:color w:val="000000"/>
          <w:szCs w:val="22"/>
          <w:vertAlign w:val="subscript"/>
        </w:rPr>
        <w:t>d</w:t>
      </w:r>
      <w:r w:rsidRPr="00370E70">
        <w:rPr>
          <w:color w:val="000000"/>
          <w:szCs w:val="22"/>
        </w:rPr>
        <w:t xml:space="preserve"> was elevated in 2011/12 (9.1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compared to the long-term average (7.7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except in May 2012, when I</w:t>
      </w:r>
      <w:r w:rsidRPr="00370E70">
        <w:rPr>
          <w:color w:val="000000"/>
          <w:szCs w:val="22"/>
          <w:vertAlign w:val="subscript"/>
        </w:rPr>
        <w:t>d</w:t>
      </w:r>
      <w:r w:rsidRPr="00370E70">
        <w:rPr>
          <w:color w:val="000000"/>
          <w:szCs w:val="22"/>
        </w:rPr>
        <w:t xml:space="preserve"> dipped below thresholds. Seagrass remains at zero abundance </w:t>
      </w:r>
      <w:r w:rsidR="002C6536" w:rsidRPr="00370E70">
        <w:rPr>
          <w:color w:val="000000"/>
          <w:szCs w:val="22"/>
        </w:rPr>
        <w:t>within</w:t>
      </w:r>
      <w:r w:rsidRPr="00370E70">
        <w:rPr>
          <w:color w:val="000000"/>
          <w:szCs w:val="22"/>
        </w:rPr>
        <w:t xml:space="preserve"> the monitoring site. At the </w:t>
      </w:r>
      <w:r w:rsidR="002C6536" w:rsidRPr="00370E70">
        <w:rPr>
          <w:color w:val="000000"/>
          <w:szCs w:val="22"/>
        </w:rPr>
        <w:t>intertidal</w:t>
      </w:r>
      <w:r w:rsidRPr="00370E70">
        <w:rPr>
          <w:color w:val="000000"/>
          <w:szCs w:val="22"/>
        </w:rPr>
        <w:t xml:space="preserve"> site, I</w:t>
      </w:r>
      <w:r w:rsidRPr="00370E70">
        <w:rPr>
          <w:color w:val="000000"/>
          <w:szCs w:val="22"/>
          <w:vertAlign w:val="subscript"/>
        </w:rPr>
        <w:t>d</w:t>
      </w:r>
      <w:r w:rsidRPr="00370E70">
        <w:rPr>
          <w:color w:val="000000"/>
          <w:szCs w:val="22"/>
        </w:rPr>
        <w:t xml:space="preserve"> has been consistently high (long-term average 18.6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and remained high in 2011/12 at 18.3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t>
      </w:r>
    </w:p>
    <w:p w:rsidR="005132EF" w:rsidRPr="00370E70" w:rsidRDefault="007B15AB" w:rsidP="00A37000">
      <w:pPr>
        <w:keepNext/>
        <w:spacing w:after="0"/>
        <w:jc w:val="center"/>
        <w:rPr>
          <w:color w:val="000000"/>
          <w:szCs w:val="22"/>
        </w:rPr>
      </w:pPr>
      <w:r>
        <w:rPr>
          <w:noProof/>
          <w:color w:val="000000"/>
          <w:lang w:eastAsia="en-AU"/>
        </w:rPr>
        <w:lastRenderedPageBreak/>
        <w:drawing>
          <wp:inline distT="0" distB="0" distL="0" distR="0">
            <wp:extent cx="4314190" cy="1570990"/>
            <wp:effectExtent l="0" t="0" r="0" b="0"/>
            <wp:docPr id="102" name="Picture 102" descr="Figure showing the daily light (28 day rolling average) at Low Isles intertid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Figure showing the daily light (28 day rolling average) at Low Isles intertidal site"/>
                    <pic:cNvPicPr>
                      <a:picLocks noChangeAspect="1" noChangeArrowheads="1"/>
                    </pic:cNvPicPr>
                  </pic:nvPicPr>
                  <pic:blipFill>
                    <a:blip r:embed="rId128">
                      <a:extLst>
                        <a:ext uri="{28A0092B-C50C-407E-A947-70E740481C1C}">
                          <a14:useLocalDpi xmlns:a14="http://schemas.microsoft.com/office/drawing/2010/main" val="0"/>
                        </a:ext>
                      </a:extLst>
                    </a:blip>
                    <a:srcRect b="10931"/>
                    <a:stretch>
                      <a:fillRect/>
                    </a:stretch>
                  </pic:blipFill>
                  <pic:spPr bwMode="auto">
                    <a:xfrm>
                      <a:off x="0" y="0"/>
                      <a:ext cx="4314190" cy="1570990"/>
                    </a:xfrm>
                    <a:prstGeom prst="rect">
                      <a:avLst/>
                    </a:prstGeom>
                    <a:noFill/>
                    <a:ln>
                      <a:noFill/>
                    </a:ln>
                  </pic:spPr>
                </pic:pic>
              </a:graphicData>
            </a:graphic>
          </wp:inline>
        </w:drawing>
      </w:r>
    </w:p>
    <w:p w:rsidR="005132EF" w:rsidRPr="00370E70" w:rsidRDefault="007B15AB" w:rsidP="00A37000">
      <w:pPr>
        <w:pStyle w:val="Heading4"/>
        <w:spacing w:before="0"/>
        <w:jc w:val="center"/>
        <w:rPr>
          <w:color w:val="000000"/>
          <w:lang w:eastAsia="ja-JP"/>
        </w:rPr>
      </w:pPr>
      <w:r>
        <w:rPr>
          <w:noProof/>
          <w:color w:val="000000"/>
        </w:rPr>
        <w:drawing>
          <wp:inline distT="0" distB="0" distL="0" distR="0">
            <wp:extent cx="4314190" cy="1854835"/>
            <wp:effectExtent l="0" t="0" r="0" b="0"/>
            <wp:docPr id="103" name="Picture 103" descr="Figure showing the daily light (28 day rolling average) at Low Isles subtid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Figure showing the daily light (28 day rolling average) at Low Isles subtidal site"/>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314190" cy="1854835"/>
                    </a:xfrm>
                    <a:prstGeom prst="rect">
                      <a:avLst/>
                    </a:prstGeom>
                    <a:noFill/>
                    <a:ln>
                      <a:noFill/>
                    </a:ln>
                  </pic:spPr>
                </pic:pic>
              </a:graphicData>
            </a:graphic>
          </wp:inline>
        </w:drawing>
      </w:r>
    </w:p>
    <w:p w:rsidR="00A37000" w:rsidRPr="00370E70" w:rsidRDefault="005132EF" w:rsidP="00A37000">
      <w:pPr>
        <w:pStyle w:val="Caption"/>
        <w:rPr>
          <w:i/>
          <w:vanish/>
          <w:color w:val="000000"/>
          <w:szCs w:val="22"/>
          <w:lang w:val="en-AU"/>
          <w:specVanish/>
        </w:rPr>
      </w:pPr>
      <w:bookmarkStart w:id="392" w:name="_Ref354641848"/>
      <w:bookmarkStart w:id="393" w:name="_Toc38419642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73</w:t>
      </w:r>
      <w:r w:rsidRPr="00370E70">
        <w:rPr>
          <w:lang w:val="en-AU"/>
        </w:rPr>
        <w:fldChar w:fldCharType="end"/>
      </w:r>
      <w:bookmarkEnd w:id="392"/>
      <w:r w:rsidRPr="00370E70">
        <w:rPr>
          <w:rStyle w:val="StyleCaptionCaptionCharCharLatinCalibri11ptBlackChar"/>
          <w:lang w:val="en-AU"/>
        </w:rPr>
        <w:t xml:space="preserve">. </w:t>
      </w:r>
      <w:r w:rsidRPr="00370E70">
        <w:rPr>
          <w:i/>
          <w:lang w:val="en-AU"/>
        </w:rPr>
        <w:t>Daily light (28</w:t>
      </w:r>
      <w:r w:rsidR="00A37000" w:rsidRPr="00370E70">
        <w:rPr>
          <w:i/>
          <w:lang w:val="en-AU"/>
        </w:rPr>
        <w:t xml:space="preserve"> </w:t>
      </w:r>
      <w:r w:rsidRPr="00370E70">
        <w:rPr>
          <w:i/>
          <w:lang w:val="en-AU"/>
        </w:rPr>
        <w:t xml:space="preserve">day rolling average) at </w:t>
      </w:r>
      <w:r w:rsidR="00635010">
        <w:rPr>
          <w:i/>
          <w:lang w:val="en-AU"/>
        </w:rPr>
        <w:t xml:space="preserve">inshore </w:t>
      </w:r>
      <w:r w:rsidR="002C6536" w:rsidRPr="00370E70">
        <w:rPr>
          <w:i/>
          <w:lang w:val="en-AU"/>
        </w:rPr>
        <w:t>intertidal</w:t>
      </w:r>
      <w:r w:rsidRPr="00370E70">
        <w:rPr>
          <w:i/>
          <w:lang w:val="en-AU"/>
        </w:rPr>
        <w:t xml:space="preserve"> (top) and subtidal (bottom) </w:t>
      </w:r>
      <w:r w:rsidR="00635010">
        <w:rPr>
          <w:i/>
          <w:lang w:val="en-AU"/>
        </w:rPr>
        <w:t>reef habitats (Low Isles)</w:t>
      </w:r>
      <w:bookmarkEnd w:id="393"/>
    </w:p>
    <w:p w:rsidR="00A37000" w:rsidRPr="00370E70" w:rsidRDefault="005132EF" w:rsidP="00A37000">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w:t>
      </w:r>
      <w:r w:rsidR="00A37000"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A37000" w:rsidRPr="00370E70">
        <w:rPr>
          <w:i/>
          <w:lang w:val="en-AU"/>
        </w:rPr>
        <w:t xml:space="preserve">). NB threshold is based on 90 </w:t>
      </w:r>
      <w:r w:rsidRPr="00370E70">
        <w:rPr>
          <w:i/>
          <w:lang w:val="en-AU"/>
        </w:rPr>
        <w:t>day average.</w:t>
      </w:r>
      <w:r w:rsidR="00A37000" w:rsidRPr="00370E70">
        <w:rPr>
          <w:i/>
          <w:lang w:val="en-AU"/>
        </w:rPr>
        <w:t xml:space="preserve"> </w:t>
      </w:r>
    </w:p>
    <w:p w:rsidR="005132EF" w:rsidRPr="00370E70" w:rsidRDefault="007B15AB" w:rsidP="00A37000">
      <w:pPr>
        <w:keepNext/>
        <w:spacing w:after="0"/>
        <w:jc w:val="center"/>
        <w:rPr>
          <w:color w:val="000000"/>
        </w:rPr>
      </w:pPr>
      <w:r>
        <w:rPr>
          <w:noProof/>
          <w:color w:val="000000"/>
          <w:lang w:eastAsia="en-AU"/>
        </w:rPr>
        <w:drawing>
          <wp:inline distT="0" distB="0" distL="0" distR="0">
            <wp:extent cx="3966845" cy="1468120"/>
            <wp:effectExtent l="0" t="0" r="0" b="0"/>
            <wp:docPr id="104" name="Picture 4" descr="Figure showing the daily light (28 day rolling average) at Green Island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showing the daily light (28 day rolling average) at Green Island intertidal sites"/>
                    <pic:cNvPicPr>
                      <a:picLocks noChangeAspect="1" noChangeArrowheads="1"/>
                    </pic:cNvPicPr>
                  </pic:nvPicPr>
                  <pic:blipFill>
                    <a:blip r:embed="rId130">
                      <a:extLst>
                        <a:ext uri="{28A0092B-C50C-407E-A947-70E740481C1C}">
                          <a14:useLocalDpi xmlns:a14="http://schemas.microsoft.com/office/drawing/2010/main" val="0"/>
                        </a:ext>
                      </a:extLst>
                    </a:blip>
                    <a:srcRect t="2502" b="11194"/>
                    <a:stretch>
                      <a:fillRect/>
                    </a:stretch>
                  </pic:blipFill>
                  <pic:spPr bwMode="auto">
                    <a:xfrm>
                      <a:off x="0" y="0"/>
                      <a:ext cx="3966845" cy="1468120"/>
                    </a:xfrm>
                    <a:prstGeom prst="rect">
                      <a:avLst/>
                    </a:prstGeom>
                    <a:noFill/>
                    <a:ln>
                      <a:noFill/>
                    </a:ln>
                  </pic:spPr>
                </pic:pic>
              </a:graphicData>
            </a:graphic>
          </wp:inline>
        </w:drawing>
      </w:r>
    </w:p>
    <w:p w:rsidR="005132EF" w:rsidRPr="00370E70" w:rsidRDefault="007B15AB" w:rsidP="00A37000">
      <w:pPr>
        <w:keepNext/>
        <w:spacing w:before="0"/>
        <w:jc w:val="center"/>
        <w:rPr>
          <w:color w:val="000000"/>
        </w:rPr>
      </w:pPr>
      <w:r>
        <w:rPr>
          <w:noProof/>
          <w:color w:val="000000"/>
          <w:lang w:eastAsia="en-AU"/>
        </w:rPr>
        <w:drawing>
          <wp:inline distT="0" distB="0" distL="0" distR="0">
            <wp:extent cx="3966845" cy="1699895"/>
            <wp:effectExtent l="0" t="0" r="0" b="0"/>
            <wp:docPr id="105" name="Picture 105" descr="Figure showing the daily light (28 day rolling average) at Green Island subtid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Figure showing the daily light (28 day rolling average) at Green Island subtidal site"/>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966845" cy="1699895"/>
                    </a:xfrm>
                    <a:prstGeom prst="rect">
                      <a:avLst/>
                    </a:prstGeom>
                    <a:noFill/>
                    <a:ln>
                      <a:noFill/>
                    </a:ln>
                  </pic:spPr>
                </pic:pic>
              </a:graphicData>
            </a:graphic>
          </wp:inline>
        </w:drawing>
      </w:r>
    </w:p>
    <w:p w:rsidR="00A37000" w:rsidRPr="00370E70" w:rsidRDefault="005132EF" w:rsidP="00A37000">
      <w:pPr>
        <w:pStyle w:val="Caption"/>
        <w:rPr>
          <w:i/>
          <w:vanish/>
          <w:color w:val="000000"/>
          <w:szCs w:val="22"/>
          <w:lang w:val="en-AU"/>
          <w:specVanish/>
        </w:rPr>
      </w:pPr>
      <w:bookmarkStart w:id="394" w:name="_Toc38419642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74</w:t>
      </w:r>
      <w:r w:rsidRPr="00370E70">
        <w:rPr>
          <w:lang w:val="en-AU"/>
        </w:rPr>
        <w:fldChar w:fldCharType="end"/>
      </w:r>
      <w:r w:rsidRPr="00370E70">
        <w:rPr>
          <w:rStyle w:val="StyleCaptionCaptionCharCharLatinCalibri11ptBlackChar"/>
          <w:lang w:val="en-AU"/>
        </w:rPr>
        <w:t>.</w:t>
      </w:r>
      <w:r w:rsidRPr="00370E70">
        <w:rPr>
          <w:lang w:val="en-AU"/>
        </w:rPr>
        <w:t xml:space="preserve"> </w:t>
      </w:r>
      <w:r w:rsidRPr="00370E70">
        <w:rPr>
          <w:i/>
          <w:lang w:val="en-AU"/>
        </w:rPr>
        <w:t>Daily light (28</w:t>
      </w:r>
      <w:r w:rsidR="00A37000" w:rsidRPr="00370E70">
        <w:rPr>
          <w:i/>
          <w:lang w:val="en-AU"/>
        </w:rPr>
        <w:t xml:space="preserve"> </w:t>
      </w:r>
      <w:r w:rsidRPr="00370E70">
        <w:rPr>
          <w:i/>
          <w:lang w:val="en-AU"/>
        </w:rPr>
        <w:t xml:space="preserve">day rolling average) at </w:t>
      </w:r>
      <w:r w:rsidR="00635010">
        <w:rPr>
          <w:i/>
          <w:lang w:val="en-AU"/>
        </w:rPr>
        <w:t>inshore intertidal (top) and</w:t>
      </w:r>
      <w:r w:rsidRPr="00370E70">
        <w:rPr>
          <w:i/>
          <w:lang w:val="en-AU"/>
        </w:rPr>
        <w:t xml:space="preserve"> subtidal (bottom) </w:t>
      </w:r>
      <w:r w:rsidR="00635010">
        <w:rPr>
          <w:i/>
          <w:lang w:val="en-AU"/>
        </w:rPr>
        <w:t>reef habitats (</w:t>
      </w:r>
      <w:smartTag w:uri="urn:schemas-microsoft-com:office:smarttags" w:element="place">
        <w:smartTag w:uri="urn:schemas-microsoft-com:office:smarttags" w:element="PlaceName">
          <w:r w:rsidR="00635010" w:rsidRPr="00370E70">
            <w:rPr>
              <w:i/>
              <w:lang w:val="en-AU"/>
            </w:rPr>
            <w:t>Green</w:t>
          </w:r>
        </w:smartTag>
        <w:r w:rsidR="00635010" w:rsidRPr="00370E70">
          <w:rPr>
            <w:i/>
            <w:lang w:val="en-AU"/>
          </w:rPr>
          <w:t xml:space="preserve"> </w:t>
        </w:r>
        <w:smartTag w:uri="urn:schemas-microsoft-com:office:smarttags" w:element="PlaceType">
          <w:r w:rsidR="00635010" w:rsidRPr="00370E70">
            <w:rPr>
              <w:i/>
              <w:lang w:val="en-AU"/>
            </w:rPr>
            <w:t>Island</w:t>
          </w:r>
        </w:smartTag>
      </w:smartTag>
      <w:r w:rsidR="00635010">
        <w:rPr>
          <w:i/>
          <w:lang w:val="en-AU"/>
        </w:rPr>
        <w:t>)</w:t>
      </w:r>
      <w:bookmarkEnd w:id="394"/>
    </w:p>
    <w:p w:rsidR="00A37000" w:rsidRPr="00370E70" w:rsidRDefault="005132EF" w:rsidP="00A37000">
      <w:pPr>
        <w:pStyle w:val="Caption"/>
        <w:rPr>
          <w:lang w:val="en-AU"/>
        </w:rPr>
      </w:pPr>
      <w:r w:rsidRPr="00370E70">
        <w:rPr>
          <w:i/>
          <w:lang w:val="en-AU"/>
        </w:rPr>
        <w:t xml:space="preserve">, also showing approximate light threshold required for positive growth in Halodule uninervis dominated communities in the northern GBR </w:t>
      </w:r>
      <w:r w:rsidR="00A37000" w:rsidRPr="00370E70">
        <w:rPr>
          <w:i/>
          <w:lang w:val="en-AU"/>
        </w:rPr>
        <w:t xml:space="preserve"> </w:t>
      </w:r>
      <w:r w:rsidRPr="00370E70">
        <w:rPr>
          <w:i/>
          <w:lang w:val="en-AU"/>
        </w:rPr>
        <w:t>(5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w:t>
      </w:r>
      <w:r w:rsidR="00A37000"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A37000" w:rsidRPr="00370E70">
        <w:rPr>
          <w:i/>
          <w:lang w:val="en-AU"/>
        </w:rPr>
        <w:t>)</w:t>
      </w:r>
      <w:r w:rsidRPr="00370E70">
        <w:rPr>
          <w:i/>
          <w:lang w:val="en-AU"/>
        </w:rPr>
        <w:t>. NB</w:t>
      </w:r>
      <w:r w:rsidR="00A37000" w:rsidRPr="00370E70">
        <w:rPr>
          <w:i/>
          <w:lang w:val="en-AU"/>
        </w:rPr>
        <w:t>:</w:t>
      </w:r>
      <w:r w:rsidRPr="00370E70">
        <w:rPr>
          <w:i/>
          <w:lang w:val="en-AU"/>
        </w:rPr>
        <w:t xml:space="preserve">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threshold was developed for ~90</w:t>
      </w:r>
      <w:r w:rsidR="00A37000" w:rsidRPr="00370E70">
        <w:rPr>
          <w:i/>
          <w:lang w:val="en-AU"/>
        </w:rPr>
        <w:t xml:space="preserve"> </w:t>
      </w:r>
      <w:r w:rsidRPr="00370E70">
        <w:rPr>
          <w:i/>
          <w:lang w:val="en-AU"/>
        </w:rPr>
        <w:t>day average, while 28</w:t>
      </w:r>
      <w:r w:rsidR="00A37000" w:rsidRPr="00370E70">
        <w:rPr>
          <w:i/>
          <w:lang w:val="en-AU"/>
        </w:rPr>
        <w:t xml:space="preserve"> </w:t>
      </w:r>
      <w:r w:rsidRPr="00370E70">
        <w:rPr>
          <w:i/>
          <w:lang w:val="en-AU"/>
        </w:rPr>
        <w:t>d</w:t>
      </w:r>
      <w:r w:rsidR="00A37000" w:rsidRPr="00370E70">
        <w:rPr>
          <w:i/>
          <w:lang w:val="en-AU"/>
        </w:rPr>
        <w:t xml:space="preserve">ay </w:t>
      </w:r>
      <w:r w:rsidRPr="00370E70">
        <w:rPr>
          <w:i/>
          <w:lang w:val="en-AU"/>
        </w:rPr>
        <w:t>average is presented here.</w:t>
      </w:r>
      <w:r w:rsidR="00A37000" w:rsidRPr="00370E70">
        <w:rPr>
          <w:lang w:val="en-AU"/>
        </w:rPr>
        <w:t xml:space="preserve"> </w:t>
      </w:r>
    </w:p>
    <w:p w:rsidR="005132EF" w:rsidRPr="00370E70" w:rsidRDefault="007B15AB" w:rsidP="00A37000">
      <w:pPr>
        <w:keepNext/>
        <w:spacing w:after="0"/>
        <w:jc w:val="center"/>
        <w:rPr>
          <w:color w:val="000000"/>
        </w:rPr>
      </w:pPr>
      <w:r>
        <w:rPr>
          <w:noProof/>
          <w:color w:val="000000"/>
          <w:lang w:eastAsia="en-AU"/>
        </w:rPr>
        <w:lastRenderedPageBreak/>
        <w:drawing>
          <wp:inline distT="0" distB="0" distL="0" distR="0">
            <wp:extent cx="3966845" cy="1687195"/>
            <wp:effectExtent l="0" t="0" r="0" b="0"/>
            <wp:docPr id="106" name="Picture 115" descr="Figure showing the daily light (28 day rolling average) at Dunk Island intertid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Figure showing the daily light (28 day rolling average) at Dunk Island intertidal site"/>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966845" cy="1687195"/>
                    </a:xfrm>
                    <a:prstGeom prst="rect">
                      <a:avLst/>
                    </a:prstGeom>
                    <a:noFill/>
                    <a:ln>
                      <a:noFill/>
                    </a:ln>
                  </pic:spPr>
                </pic:pic>
              </a:graphicData>
            </a:graphic>
          </wp:inline>
        </w:drawing>
      </w:r>
    </w:p>
    <w:p w:rsidR="005132EF" w:rsidRPr="00370E70" w:rsidRDefault="007B15AB" w:rsidP="00A37000">
      <w:pPr>
        <w:keepNext/>
        <w:spacing w:before="0"/>
        <w:jc w:val="center"/>
        <w:rPr>
          <w:color w:val="000000"/>
        </w:rPr>
      </w:pPr>
      <w:r>
        <w:rPr>
          <w:noProof/>
          <w:color w:val="000000"/>
          <w:lang w:eastAsia="en-AU"/>
        </w:rPr>
        <w:drawing>
          <wp:inline distT="0" distB="0" distL="0" distR="0">
            <wp:extent cx="3966845" cy="1687195"/>
            <wp:effectExtent l="0" t="0" r="0" b="0"/>
            <wp:docPr id="107" name="Picture 116" descr="Figure showing the daily light (28 day rolling average) at Dunk Island subtid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Figure showing the daily light (28 day rolling average) at Dunk Island subtidal site"/>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966845" cy="1687195"/>
                    </a:xfrm>
                    <a:prstGeom prst="rect">
                      <a:avLst/>
                    </a:prstGeom>
                    <a:noFill/>
                    <a:ln>
                      <a:noFill/>
                    </a:ln>
                  </pic:spPr>
                </pic:pic>
              </a:graphicData>
            </a:graphic>
          </wp:inline>
        </w:drawing>
      </w:r>
    </w:p>
    <w:p w:rsidR="00A37000" w:rsidRPr="00370E70" w:rsidRDefault="005132EF" w:rsidP="00A37000">
      <w:pPr>
        <w:pStyle w:val="Caption"/>
        <w:rPr>
          <w:i/>
          <w:vanish/>
          <w:color w:val="000000"/>
          <w:szCs w:val="22"/>
          <w:lang w:val="en-AU"/>
          <w:specVanish/>
        </w:rPr>
      </w:pPr>
      <w:bookmarkStart w:id="395" w:name="_Toc38419642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75</w:t>
      </w:r>
      <w:r w:rsidRPr="00370E70">
        <w:rPr>
          <w:lang w:val="en-AU"/>
        </w:rPr>
        <w:fldChar w:fldCharType="end"/>
      </w:r>
      <w:r w:rsidRPr="00370E70">
        <w:rPr>
          <w:rStyle w:val="StyleCaptionCaptionCharCharLatinCalibri11ptBlackChar"/>
          <w:lang w:val="en-AU"/>
        </w:rPr>
        <w:t xml:space="preserve">. </w:t>
      </w:r>
      <w:r w:rsidRPr="00370E70">
        <w:rPr>
          <w:i/>
          <w:lang w:val="en-AU"/>
        </w:rPr>
        <w:t>Daily light (28</w:t>
      </w:r>
      <w:r w:rsidR="00A37000" w:rsidRPr="00370E70">
        <w:rPr>
          <w:i/>
          <w:lang w:val="en-AU"/>
        </w:rPr>
        <w:t xml:space="preserve"> </w:t>
      </w:r>
      <w:r w:rsidRPr="00370E70">
        <w:rPr>
          <w:i/>
          <w:lang w:val="en-AU"/>
        </w:rPr>
        <w:t xml:space="preserve">day rolling average) at </w:t>
      </w:r>
      <w:r w:rsidR="00635010">
        <w:rPr>
          <w:i/>
          <w:lang w:val="en-AU"/>
        </w:rPr>
        <w:t xml:space="preserve">inshore </w:t>
      </w:r>
      <w:r w:rsidRPr="00370E70">
        <w:rPr>
          <w:i/>
          <w:lang w:val="en-AU"/>
        </w:rPr>
        <w:t xml:space="preserve">intertidal (top) and subtidal (bottom) </w:t>
      </w:r>
      <w:r w:rsidR="00635010" w:rsidRPr="00370E70">
        <w:rPr>
          <w:i/>
          <w:lang w:val="en-AU"/>
        </w:rPr>
        <w:t xml:space="preserve">reef </w:t>
      </w:r>
      <w:r w:rsidR="00635010">
        <w:rPr>
          <w:i/>
          <w:lang w:val="en-AU"/>
        </w:rPr>
        <w:t>habitats (</w:t>
      </w:r>
      <w:smartTag w:uri="urn:schemas-microsoft-com:office:smarttags" w:element="place">
        <w:smartTag w:uri="urn:schemas-microsoft-com:office:smarttags" w:element="PlaceName">
          <w:r w:rsidR="00635010" w:rsidRPr="00370E70">
            <w:rPr>
              <w:i/>
              <w:lang w:val="en-AU"/>
            </w:rPr>
            <w:t>Dunk</w:t>
          </w:r>
        </w:smartTag>
        <w:r w:rsidR="00635010" w:rsidRPr="00370E70">
          <w:rPr>
            <w:i/>
            <w:lang w:val="en-AU"/>
          </w:rPr>
          <w:t xml:space="preserve"> </w:t>
        </w:r>
        <w:smartTag w:uri="urn:schemas-microsoft-com:office:smarttags" w:element="PlaceType">
          <w:r w:rsidR="00635010" w:rsidRPr="00370E70">
            <w:rPr>
              <w:i/>
              <w:lang w:val="en-AU"/>
            </w:rPr>
            <w:t>Island</w:t>
          </w:r>
        </w:smartTag>
      </w:smartTag>
      <w:r w:rsidR="00635010">
        <w:rPr>
          <w:i/>
          <w:lang w:val="en-AU"/>
        </w:rPr>
        <w:t>)</w:t>
      </w:r>
      <w:bookmarkEnd w:id="395"/>
    </w:p>
    <w:p w:rsidR="00A37000" w:rsidRPr="00370E70" w:rsidRDefault="005132EF" w:rsidP="00A37000">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w:t>
      </w:r>
      <w:r w:rsidR="00A37000"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A37000" w:rsidRPr="00370E70">
        <w:rPr>
          <w:i/>
          <w:lang w:val="en-AU"/>
        </w:rPr>
        <w:t>)</w:t>
      </w:r>
      <w:r w:rsidRPr="00370E70">
        <w:rPr>
          <w:i/>
          <w:lang w:val="en-AU"/>
        </w:rPr>
        <w:t>. NB</w:t>
      </w:r>
      <w:r w:rsidR="00A37000" w:rsidRPr="00370E70">
        <w:rPr>
          <w:i/>
          <w:lang w:val="en-AU"/>
        </w:rPr>
        <w:t>:</w:t>
      </w:r>
      <w:r w:rsidRPr="00370E70">
        <w:rPr>
          <w:i/>
          <w:lang w:val="en-AU"/>
        </w:rPr>
        <w:t xml:space="preserve">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threshold was developed for ~90</w:t>
      </w:r>
      <w:r w:rsidR="00A37000" w:rsidRPr="00370E70">
        <w:rPr>
          <w:i/>
          <w:lang w:val="en-AU"/>
        </w:rPr>
        <w:t xml:space="preserve"> </w:t>
      </w:r>
      <w:r w:rsidRPr="00370E70">
        <w:rPr>
          <w:i/>
          <w:lang w:val="en-AU"/>
        </w:rPr>
        <w:t>day average, while 28</w:t>
      </w:r>
      <w:r w:rsidR="00A37000" w:rsidRPr="00370E70">
        <w:rPr>
          <w:i/>
          <w:lang w:val="en-AU"/>
        </w:rPr>
        <w:t xml:space="preserve"> </w:t>
      </w:r>
      <w:r w:rsidRPr="00370E70">
        <w:rPr>
          <w:i/>
          <w:lang w:val="en-AU"/>
        </w:rPr>
        <w:t>d</w:t>
      </w:r>
      <w:r w:rsidR="00A37000" w:rsidRPr="00370E70">
        <w:rPr>
          <w:i/>
          <w:lang w:val="en-AU"/>
        </w:rPr>
        <w:t xml:space="preserve">ay </w:t>
      </w:r>
      <w:r w:rsidRPr="00370E70">
        <w:rPr>
          <w:i/>
          <w:lang w:val="en-AU"/>
        </w:rPr>
        <w:t>average is presented here.</w:t>
      </w:r>
      <w:r w:rsidRPr="00370E70">
        <w:rPr>
          <w:lang w:val="en-AU"/>
        </w:rPr>
        <w:t xml:space="preserve"> </w:t>
      </w:r>
    </w:p>
    <w:p w:rsidR="005132EF" w:rsidRPr="00370E70" w:rsidRDefault="005132EF" w:rsidP="00F72AB5">
      <w:pPr>
        <w:pStyle w:val="StyleCaptionCaptionCharCharLatinCalibri11ptBlack"/>
        <w:rPr>
          <w:lang w:val="en-AU"/>
        </w:rPr>
      </w:pPr>
    </w:p>
    <w:p w:rsidR="005132EF" w:rsidRPr="00370E70" w:rsidRDefault="005132EF" w:rsidP="00C7725F">
      <w:pPr>
        <w:rPr>
          <w:color w:val="000000"/>
          <w:szCs w:val="22"/>
        </w:rPr>
      </w:pPr>
      <w:r w:rsidRPr="00370E70">
        <w:rPr>
          <w:color w:val="000000"/>
          <w:szCs w:val="22"/>
        </w:rPr>
        <w:t>The available data set from Yule Point is relatively short and patchy. The long-term average I</w:t>
      </w:r>
      <w:r w:rsidRPr="00370E70">
        <w:rPr>
          <w:color w:val="000000"/>
          <w:szCs w:val="22"/>
          <w:vertAlign w:val="subscript"/>
        </w:rPr>
        <w:t>d</w:t>
      </w:r>
      <w:r w:rsidRPr="00370E70">
        <w:rPr>
          <w:color w:val="000000"/>
          <w:szCs w:val="22"/>
        </w:rPr>
        <w:t xml:space="preserve"> (13.4 mol m</w:t>
      </w:r>
      <w:r w:rsidRPr="00370E70">
        <w:rPr>
          <w:color w:val="000000"/>
          <w:szCs w:val="22"/>
          <w:vertAlign w:val="superscript"/>
        </w:rPr>
        <w:t>-2</w:t>
      </w:r>
      <w:r w:rsidRPr="00370E70">
        <w:rPr>
          <w:color w:val="000000"/>
          <w:szCs w:val="22"/>
        </w:rPr>
        <w:t xml:space="preserve"> d-1) is on par with the GBR average for intertidal sites (14.5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but it was higher in 2011/12 (18.0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However, integrated physiological data (tissue nutrients) indicates that this site is nutrient rich (relative to growth requirements) and possibly light limited. </w:t>
      </w:r>
    </w:p>
    <w:p w:rsidR="005132EF" w:rsidRPr="00370E70" w:rsidRDefault="007B15AB" w:rsidP="00A37000">
      <w:pPr>
        <w:keepNext/>
        <w:jc w:val="center"/>
        <w:rPr>
          <w:color w:val="000000"/>
          <w:szCs w:val="22"/>
        </w:rPr>
      </w:pPr>
      <w:r>
        <w:rPr>
          <w:noProof/>
          <w:color w:val="000000"/>
          <w:szCs w:val="22"/>
          <w:lang w:eastAsia="en-AU"/>
        </w:rPr>
        <w:drawing>
          <wp:inline distT="0" distB="0" distL="0" distR="0">
            <wp:extent cx="4314190" cy="1854835"/>
            <wp:effectExtent l="0" t="0" r="0" b="0"/>
            <wp:docPr id="108" name="Picture 7" descr="Figure showing the daily light (28 day rolling average) at Yule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ure showing the daily light (28 day rolling average) at Yule Point"/>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314190" cy="1854835"/>
                    </a:xfrm>
                    <a:prstGeom prst="rect">
                      <a:avLst/>
                    </a:prstGeom>
                    <a:noFill/>
                    <a:ln>
                      <a:noFill/>
                    </a:ln>
                  </pic:spPr>
                </pic:pic>
              </a:graphicData>
            </a:graphic>
          </wp:inline>
        </w:drawing>
      </w:r>
    </w:p>
    <w:p w:rsidR="00A37000" w:rsidRPr="00370E70" w:rsidRDefault="005132EF" w:rsidP="00A37000">
      <w:pPr>
        <w:pStyle w:val="Caption"/>
        <w:rPr>
          <w:i/>
          <w:vanish/>
          <w:color w:val="000000"/>
          <w:szCs w:val="22"/>
          <w:lang w:val="en-AU"/>
          <w:specVanish/>
        </w:rPr>
      </w:pPr>
      <w:bookmarkStart w:id="396" w:name="_Toc38419642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76</w:t>
      </w:r>
      <w:r w:rsidRPr="00370E70">
        <w:rPr>
          <w:lang w:val="en-AU"/>
        </w:rPr>
        <w:fldChar w:fldCharType="end"/>
      </w:r>
      <w:r w:rsidRPr="00370E70">
        <w:rPr>
          <w:rStyle w:val="StyleCaptionCaptionCharCharLatinCalibri11ptBlackChar"/>
          <w:lang w:val="en-AU"/>
        </w:rPr>
        <w:t xml:space="preserve">. </w:t>
      </w:r>
      <w:r w:rsidRPr="00370E70">
        <w:rPr>
          <w:i/>
          <w:lang w:val="en-AU"/>
        </w:rPr>
        <w:t>Daily light (28</w:t>
      </w:r>
      <w:r w:rsidR="00A37000" w:rsidRPr="00370E70">
        <w:rPr>
          <w:i/>
          <w:lang w:val="en-AU"/>
        </w:rPr>
        <w:t xml:space="preserve"> </w:t>
      </w:r>
      <w:r w:rsidRPr="00370E70">
        <w:rPr>
          <w:i/>
          <w:lang w:val="en-AU"/>
        </w:rPr>
        <w:t xml:space="preserve">day rolling average) at </w:t>
      </w:r>
      <w:r w:rsidR="00635010">
        <w:rPr>
          <w:i/>
          <w:lang w:val="en-AU"/>
        </w:rPr>
        <w:t xml:space="preserve">inshore </w:t>
      </w:r>
      <w:r w:rsidR="00635010" w:rsidRPr="00370E70">
        <w:rPr>
          <w:i/>
          <w:lang w:val="en-AU"/>
        </w:rPr>
        <w:t xml:space="preserve">intertidal </w:t>
      </w:r>
      <w:r w:rsidRPr="00370E70">
        <w:rPr>
          <w:i/>
          <w:lang w:val="en-AU"/>
        </w:rPr>
        <w:t xml:space="preserve">coastal (Yule Point) </w:t>
      </w:r>
      <w:r w:rsidR="00635010">
        <w:rPr>
          <w:i/>
          <w:lang w:val="en-AU"/>
        </w:rPr>
        <w:t xml:space="preserve">habitat </w:t>
      </w:r>
      <w:r w:rsidRPr="00370E70">
        <w:rPr>
          <w:i/>
          <w:lang w:val="en-AU"/>
        </w:rPr>
        <w:t>in the Wet Tropics NRM</w:t>
      </w:r>
      <w:bookmarkEnd w:id="396"/>
    </w:p>
    <w:p w:rsidR="00A37000" w:rsidRPr="00370E70" w:rsidRDefault="005132EF" w:rsidP="00A37000">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w:t>
      </w:r>
      <w:r w:rsidR="00A37000"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A37000" w:rsidRPr="00370E70">
        <w:rPr>
          <w:i/>
          <w:lang w:val="en-AU"/>
        </w:rPr>
        <w:t>)</w:t>
      </w:r>
      <w:r w:rsidRPr="00370E70">
        <w:rPr>
          <w:i/>
          <w:lang w:val="en-AU"/>
        </w:rPr>
        <w:t>. NB</w:t>
      </w:r>
      <w:r w:rsidR="00A37000" w:rsidRPr="00370E70">
        <w:rPr>
          <w:i/>
          <w:lang w:val="en-AU"/>
        </w:rPr>
        <w:t>:</w:t>
      </w:r>
      <w:r w:rsidRPr="00370E70">
        <w:rPr>
          <w:i/>
          <w:lang w:val="en-AU"/>
        </w:rPr>
        <w:t xml:space="preserve">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 xml:space="preserve"> threshold was developed for ~90</w:t>
      </w:r>
      <w:r w:rsidR="00A37000" w:rsidRPr="00370E70">
        <w:rPr>
          <w:i/>
          <w:lang w:val="en-AU"/>
        </w:rPr>
        <w:t xml:space="preserve"> </w:t>
      </w:r>
      <w:r w:rsidRPr="00370E70">
        <w:rPr>
          <w:i/>
          <w:lang w:val="en-AU"/>
        </w:rPr>
        <w:t>day average, while 28</w:t>
      </w:r>
      <w:r w:rsidR="00A37000" w:rsidRPr="00370E70">
        <w:rPr>
          <w:i/>
          <w:lang w:val="en-AU"/>
        </w:rPr>
        <w:t xml:space="preserve"> </w:t>
      </w:r>
      <w:r w:rsidRPr="00370E70">
        <w:rPr>
          <w:i/>
          <w:lang w:val="en-AU"/>
        </w:rPr>
        <w:t>d</w:t>
      </w:r>
      <w:r w:rsidR="00A37000" w:rsidRPr="00370E70">
        <w:rPr>
          <w:i/>
          <w:lang w:val="en-AU"/>
        </w:rPr>
        <w:t xml:space="preserve">ay </w:t>
      </w:r>
      <w:r w:rsidRPr="00370E70">
        <w:rPr>
          <w:i/>
          <w:lang w:val="en-AU"/>
        </w:rPr>
        <w:t>average is presented here.</w:t>
      </w:r>
      <w:r w:rsidR="00A37000" w:rsidRPr="00370E70">
        <w:rPr>
          <w:lang w:val="en-AU"/>
        </w:rPr>
        <w:t xml:space="preserve"> </w:t>
      </w:r>
    </w:p>
    <w:p w:rsidR="00A37000" w:rsidRPr="00370E70" w:rsidRDefault="00A37000" w:rsidP="00A37000">
      <w:pPr>
        <w:rPr>
          <w:color w:val="000000"/>
          <w:szCs w:val="22"/>
        </w:rPr>
      </w:pPr>
      <w:r w:rsidRPr="00370E70">
        <w:rPr>
          <w:color w:val="000000"/>
          <w:szCs w:val="22"/>
        </w:rPr>
        <w:t xml:space="preserve">Turbidity and chlorophyll at seagrass monitoring sites has not been reported in previous years. Loggers were installed in October 2009 and just over two years of data are available.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turbidity and chlorophyll concentrations are generally below water quality guideline values, with </w:t>
      </w:r>
      <w:r w:rsidRPr="00370E70">
        <w:rPr>
          <w:color w:val="000000"/>
          <w:szCs w:val="22"/>
        </w:rPr>
        <w:lastRenderedPageBreak/>
        <w:t xml:space="preserve">exceedances being limited to very brief spikes. Only one year of data is available for </w:t>
      </w:r>
      <w:smartTag w:uri="urn:schemas-microsoft-com:office:smarttags" w:element="place">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as the logger went missing during TC Yasi (Feb 2011) and although the logger was temporarily replaced (Feb-Apr 2011), a long-term replacement could not be found. Turbidity at </w:t>
      </w:r>
      <w:smartTag w:uri="urn:schemas-microsoft-com:office:smarttags" w:element="PlaceName">
        <w:r w:rsidRPr="00370E70">
          <w:rPr>
            <w:color w:val="000000"/>
            <w:szCs w:val="22"/>
          </w:rPr>
          <w:t>Dunk</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was generally higher than at </w:t>
      </w:r>
      <w:smartTag w:uri="urn:schemas-microsoft-com:office:smarttags" w:element="place">
        <w:smartTag w:uri="urn:schemas-microsoft-com:office:smarttags" w:element="PlaceName">
          <w:r w:rsidRPr="00370E70">
            <w:rPr>
              <w:color w:val="000000"/>
              <w:szCs w:val="22"/>
            </w:rPr>
            <w:t>Green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in 2012, with larger spikes being more frequent. These spikes occur year round and are likely affected by runoff as well as resuspension (</w:t>
      </w:r>
      <w:hyperlink w:anchor="_ENREF_75" w:tooltip="Fabricius, 2012 #1027" w:history="1">
        <w:r w:rsidR="00964A70" w:rsidRPr="00370E70">
          <w:rPr>
            <w:color w:val="000000"/>
            <w:szCs w:val="22"/>
          </w:rPr>
          <w:fldChar w:fldCharType="begin"/>
        </w:r>
        <w:r w:rsidR="00964A70" w:rsidRPr="00370E70">
          <w:rPr>
            <w:color w:val="000000"/>
            <w:szCs w:val="22"/>
          </w:rPr>
          <w:instrText xml:space="preserve"> ADDIN EN.CITE &lt;EndNote&gt;&lt;Cite&gt;&lt;Author&gt;Fabricius&lt;/Author&gt;&lt;Year&gt;2012&lt;/Year&gt;&lt;RecNum&gt;1027&lt;/RecNum&gt;&lt;DisplayText&gt;Fabricius&lt;style face="italic"&gt;, et al.&lt;/style&gt; 2012b&lt;/DisplayText&gt;&lt;record&gt;&lt;rec-number&gt;1027&lt;/rec-number&gt;&lt;foreign-keys&gt;&lt;key app="EN" db-id="xp95r2wt4pwtpyeavf5vadf4pa05f0ae5f0d"&gt;1027&lt;/key&gt;&lt;/foreign-keys&gt;&lt;ref-type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Science&lt;/full-title&gt;&lt;/periodical&gt;&lt;pages&gt;458-470&lt;/pages&gt;&lt;volume&gt;3&lt;/volume&gt;&lt;number&gt;1&lt;/number&gt;&lt;dates&gt;&lt;year&gt;2012&lt;/year&gt;&lt;/dates&gt;&lt;urls&gt;&lt;/urls&gt;&lt;/record&gt;&lt;/Cite&gt;&lt;/EndNote&gt;</w:instrText>
        </w:r>
        <w:r w:rsidR="00964A70" w:rsidRPr="00370E70">
          <w:rPr>
            <w:color w:val="000000"/>
            <w:szCs w:val="22"/>
          </w:rPr>
          <w:fldChar w:fldCharType="separate"/>
        </w:r>
        <w:r w:rsidR="00964A70" w:rsidRPr="00370E70">
          <w:rPr>
            <w:noProof/>
            <w:color w:val="000000"/>
            <w:szCs w:val="22"/>
          </w:rPr>
          <w:t>Fabricius</w:t>
        </w:r>
        <w:r w:rsidR="00964A70" w:rsidRPr="00370E70">
          <w:rPr>
            <w:i/>
            <w:noProof/>
            <w:color w:val="000000"/>
            <w:szCs w:val="22"/>
          </w:rPr>
          <w:t>, et al.</w:t>
        </w:r>
        <w:r w:rsidR="00964A70" w:rsidRPr="00370E70">
          <w:rPr>
            <w:noProof/>
            <w:color w:val="000000"/>
            <w:szCs w:val="22"/>
          </w:rPr>
          <w:t xml:space="preserve"> 2012b</w:t>
        </w:r>
        <w:r w:rsidR="00964A70" w:rsidRPr="00370E70">
          <w:rPr>
            <w:color w:val="000000"/>
            <w:szCs w:val="22"/>
          </w:rPr>
          <w:fldChar w:fldCharType="end"/>
        </w:r>
      </w:hyperlink>
      <w:r w:rsidRPr="00370E70">
        <w:rPr>
          <w:color w:val="000000"/>
          <w:szCs w:val="22"/>
        </w:rPr>
        <w:t>). Turbidity does not correlate well with light availability to seagrass meadows (</w:t>
      </w:r>
      <w:r w:rsidRPr="00370E70">
        <w:rPr>
          <w:color w:val="000000"/>
          <w:szCs w:val="22"/>
        </w:rPr>
        <w:fldChar w:fldCharType="begin"/>
      </w:r>
      <w:r w:rsidRPr="00370E70">
        <w:rPr>
          <w:color w:val="000000"/>
          <w:szCs w:val="22"/>
        </w:rPr>
        <w:instrText xml:space="preserve"> REF _Ref382503008 \h </w:instrText>
      </w:r>
      <w:r w:rsidRPr="00370E70">
        <w:rPr>
          <w:color w:val="000000"/>
          <w:szCs w:val="22"/>
        </w:rPr>
      </w:r>
      <w:r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77</w:t>
      </w:r>
      <w:r w:rsidRPr="00370E70">
        <w:rPr>
          <w:color w:val="000000"/>
          <w:szCs w:val="22"/>
        </w:rPr>
        <w:fldChar w:fldCharType="end"/>
      </w:r>
      <w:r w:rsidRPr="00370E70">
        <w:rPr>
          <w:color w:val="000000"/>
          <w:szCs w:val="22"/>
        </w:rPr>
        <w:t>) because water depth (tidal variation) and cloudiness can also strongly affect light to seagrass meadows (</w:t>
      </w:r>
      <w:hyperlink w:anchor="_ENREF_5" w:tooltip="Anthony, 2004 #960" w:history="1">
        <w:r w:rsidR="00964A70" w:rsidRPr="00370E70">
          <w:rPr>
            <w:color w:val="000000"/>
            <w:szCs w:val="22"/>
          </w:rPr>
          <w:fldChar w:fldCharType="begin"/>
        </w:r>
        <w:r w:rsidR="00964A70" w:rsidRPr="00370E70">
          <w:rPr>
            <w:color w:val="000000"/>
            <w:szCs w:val="22"/>
          </w:rPr>
          <w:instrText xml:space="preserve"> ADDIN EN.CITE &lt;EndNote&gt;&lt;Cite&gt;&lt;Author&gt;Anthony&lt;/Author&gt;&lt;Year&gt;2004&lt;/Year&gt;&lt;RecNum&gt;960&lt;/RecNum&gt;&lt;DisplayText&gt;Anthony&lt;style face="italic"&gt;, et al.&lt;/style&gt; 2004&lt;/DisplayText&gt;&lt;record&gt;&lt;rec-number&gt;960&lt;/rec-number&gt;&lt;foreign-keys&gt;&lt;key app="EN" db-id="xp95r2wt4pwtpyeavf5vadf4pa05f0ae5f0d"&gt;960&lt;/key&gt;&lt;/foreign-keys&gt;&lt;ref-type name="Journal Article"&gt;17&lt;/ref-type&gt;&lt;contributors&gt;&lt;authors&gt;&lt;author&gt;Anthony, K. R. N.&lt;/author&gt;&lt;author&gt;Ridd, P.V.&lt;/author&gt;&lt;author&gt;Orpin, A.R.&lt;/author&gt;&lt;author&gt;Larcombe, P.&lt;/author&gt;&lt;author&gt;Lough, J.&lt;/author&gt;&lt;/authors&gt;&lt;/contributors&gt;&lt;titles&gt;&lt;title&gt;Temporal variation of light availability in coastal benthic habitats: effects of clouds, turbidity, and tides&lt;/title&gt;&lt;secondary-title&gt;Limnology and Oceanography&lt;/secondary-title&gt;&lt;/titles&gt;&lt;periodical&gt;&lt;full-title&gt;Limnology and Oceanography&lt;/full-title&gt;&lt;abbr-1&gt;Limnol. Oceanogr.&lt;/abbr-1&gt;&lt;abbr-2&gt;Limnol Oceanogr&lt;/abbr-2&gt;&lt;abbr-3&gt;Limnology &amp;amp; Oceanography&lt;/abbr-3&gt;&lt;/periodical&gt;&lt;pages&gt;2201-2211&lt;/pages&gt;&lt;volume&gt;49&lt;/volume&gt;&lt;number&gt;6&lt;/number&gt;&lt;dates&gt;&lt;year&gt;2004&lt;/year&gt;&lt;/dates&gt;&lt;urls&gt;&lt;/urls&gt;&lt;/record&gt;&lt;/Cite&gt;&lt;/EndNote&gt;</w:instrText>
        </w:r>
        <w:r w:rsidR="00964A70" w:rsidRPr="00370E70">
          <w:rPr>
            <w:color w:val="000000"/>
            <w:szCs w:val="22"/>
          </w:rPr>
          <w:fldChar w:fldCharType="separate"/>
        </w:r>
        <w:r w:rsidR="00964A70" w:rsidRPr="00370E70">
          <w:rPr>
            <w:noProof/>
            <w:color w:val="000000"/>
            <w:szCs w:val="22"/>
          </w:rPr>
          <w:t>Anthony</w:t>
        </w:r>
        <w:r w:rsidR="00964A70" w:rsidRPr="00370E70">
          <w:rPr>
            <w:i/>
            <w:noProof/>
            <w:color w:val="000000"/>
            <w:szCs w:val="22"/>
          </w:rPr>
          <w:t>, et al.</w:t>
        </w:r>
        <w:r w:rsidR="00964A70" w:rsidRPr="00370E70">
          <w:rPr>
            <w:noProof/>
            <w:color w:val="000000"/>
            <w:szCs w:val="22"/>
          </w:rPr>
          <w:t xml:space="preserve"> 2004</w:t>
        </w:r>
        <w:r w:rsidR="00964A70" w:rsidRPr="00370E70">
          <w:rPr>
            <w:color w:val="000000"/>
            <w:szCs w:val="22"/>
          </w:rPr>
          <w:fldChar w:fldCharType="end"/>
        </w:r>
      </w:hyperlink>
      <w:r w:rsidRPr="00370E70">
        <w:rPr>
          <w:color w:val="000000"/>
          <w:szCs w:val="22"/>
        </w:rPr>
        <w:t xml:space="preserve">), particularly in these shallow habitats. </w:t>
      </w:r>
    </w:p>
    <w:p w:rsidR="005132EF" w:rsidRPr="00370E70" w:rsidRDefault="007B15AB" w:rsidP="00B03E05">
      <w:pPr>
        <w:keepNext/>
        <w:jc w:val="center"/>
        <w:rPr>
          <w:color w:val="000000"/>
        </w:rPr>
      </w:pPr>
      <w:r>
        <w:rPr>
          <w:noProof/>
          <w:color w:val="000000"/>
          <w:lang w:eastAsia="en-AU"/>
        </w:rPr>
        <w:drawing>
          <wp:inline distT="0" distB="0" distL="0" distR="0">
            <wp:extent cx="3258185" cy="2433955"/>
            <wp:effectExtent l="0" t="0" r="0" b="0"/>
            <wp:docPr id="109" name="Picture 109" descr="Figure showing the relationship between turbidity and daily light Green Island subtidal site since turbidity loggers have been deployed on site (October 2009 on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Figure showing the relationship between turbidity and daily light Green Island subtidal site since turbidity loggers have been deployed on site (October 2009 onwards)"/>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258185" cy="2433955"/>
                    </a:xfrm>
                    <a:prstGeom prst="rect">
                      <a:avLst/>
                    </a:prstGeom>
                    <a:noFill/>
                    <a:ln>
                      <a:noFill/>
                    </a:ln>
                  </pic:spPr>
                </pic:pic>
              </a:graphicData>
            </a:graphic>
          </wp:inline>
        </w:drawing>
      </w:r>
    </w:p>
    <w:p w:rsidR="005132EF" w:rsidRPr="00370E70" w:rsidRDefault="005132EF" w:rsidP="00C7725F">
      <w:pPr>
        <w:pStyle w:val="Caption"/>
        <w:rPr>
          <w:i/>
          <w:color w:val="000000"/>
          <w:szCs w:val="22"/>
          <w:lang w:val="en-AU"/>
        </w:rPr>
      </w:pPr>
      <w:bookmarkStart w:id="397" w:name="_Ref382503008"/>
      <w:bookmarkStart w:id="398" w:name="_Toc384196424"/>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77</w:t>
      </w:r>
      <w:r w:rsidRPr="00370E70">
        <w:rPr>
          <w:color w:val="000000"/>
          <w:szCs w:val="22"/>
          <w:lang w:val="en-AU"/>
        </w:rPr>
        <w:fldChar w:fldCharType="end"/>
      </w:r>
      <w:bookmarkEnd w:id="397"/>
      <w:r w:rsidRPr="00370E70">
        <w:rPr>
          <w:rStyle w:val="StyleCaptionCaptionCharCharLatinCalibri11ptBlackChar"/>
          <w:lang w:val="en-AU"/>
        </w:rPr>
        <w:t xml:space="preserve">. </w:t>
      </w:r>
      <w:r w:rsidRPr="00370E70">
        <w:rPr>
          <w:i/>
          <w:color w:val="000000"/>
          <w:szCs w:val="22"/>
          <w:lang w:val="en-AU"/>
        </w:rPr>
        <w:t>Turbidity (NTU, daily av) and light (daily sum, mol m</w:t>
      </w:r>
      <w:r w:rsidRPr="00370E70">
        <w:rPr>
          <w:i/>
          <w:color w:val="000000"/>
          <w:szCs w:val="22"/>
          <w:vertAlign w:val="superscript"/>
          <w:lang w:val="en-AU"/>
        </w:rPr>
        <w:t>-2</w:t>
      </w:r>
      <w:r w:rsidRPr="00370E70">
        <w:rPr>
          <w:i/>
          <w:color w:val="000000"/>
          <w:szCs w:val="22"/>
          <w:lang w:val="en-AU"/>
        </w:rPr>
        <w:t xml:space="preserve"> d</w:t>
      </w:r>
      <w:r w:rsidRPr="00370E70">
        <w:rPr>
          <w:i/>
          <w:color w:val="000000"/>
          <w:szCs w:val="22"/>
          <w:vertAlign w:val="superscript"/>
          <w:lang w:val="en-AU"/>
        </w:rPr>
        <w:t>-1</w:t>
      </w:r>
      <w:r w:rsidRPr="00370E70">
        <w:rPr>
          <w:i/>
          <w:color w:val="000000"/>
          <w:szCs w:val="22"/>
          <w:lang w:val="en-AU"/>
        </w:rPr>
        <w:t xml:space="preserve">) at </w:t>
      </w:r>
      <w:r w:rsidR="00635010">
        <w:rPr>
          <w:i/>
          <w:color w:val="000000"/>
          <w:szCs w:val="22"/>
          <w:lang w:val="en-AU"/>
        </w:rPr>
        <w:t xml:space="preserve">inshore </w:t>
      </w:r>
      <w:r w:rsidRPr="00370E70">
        <w:rPr>
          <w:i/>
          <w:color w:val="000000"/>
          <w:szCs w:val="22"/>
          <w:lang w:val="en-AU"/>
        </w:rPr>
        <w:t xml:space="preserve">subtidal </w:t>
      </w:r>
      <w:r w:rsidR="00635010">
        <w:rPr>
          <w:i/>
          <w:color w:val="000000"/>
          <w:szCs w:val="22"/>
          <w:lang w:val="en-AU"/>
        </w:rPr>
        <w:t>reef habitat (</w:t>
      </w:r>
      <w:smartTag w:uri="urn:schemas-microsoft-com:office:smarttags" w:element="place">
        <w:smartTag w:uri="urn:schemas-microsoft-com:office:smarttags" w:element="PlaceName">
          <w:r w:rsidR="00635010" w:rsidRPr="00370E70">
            <w:rPr>
              <w:i/>
              <w:color w:val="000000"/>
              <w:szCs w:val="22"/>
              <w:lang w:val="en-AU"/>
            </w:rPr>
            <w:t>Green</w:t>
          </w:r>
        </w:smartTag>
        <w:r w:rsidR="00635010" w:rsidRPr="00370E70">
          <w:rPr>
            <w:i/>
            <w:color w:val="000000"/>
            <w:szCs w:val="22"/>
            <w:lang w:val="en-AU"/>
          </w:rPr>
          <w:t xml:space="preserve"> </w:t>
        </w:r>
        <w:smartTag w:uri="urn:schemas-microsoft-com:office:smarttags" w:element="PlaceType">
          <w:r w:rsidR="00635010" w:rsidRPr="00370E70">
            <w:rPr>
              <w:i/>
              <w:color w:val="000000"/>
              <w:szCs w:val="22"/>
              <w:lang w:val="en-AU"/>
            </w:rPr>
            <w:t>Island</w:t>
          </w:r>
        </w:smartTag>
      </w:smartTag>
      <w:r w:rsidR="00635010">
        <w:rPr>
          <w:i/>
          <w:color w:val="000000"/>
          <w:szCs w:val="22"/>
          <w:lang w:val="en-AU"/>
        </w:rPr>
        <w:t>)</w:t>
      </w:r>
      <w:r w:rsidRPr="00370E70">
        <w:rPr>
          <w:i/>
          <w:color w:val="000000"/>
          <w:szCs w:val="22"/>
          <w:lang w:val="en-AU"/>
        </w:rPr>
        <w:t xml:space="preserve"> since turbidity loggers have been deployed on site (October 2009 onwards)</w:t>
      </w:r>
      <w:bookmarkEnd w:id="398"/>
    </w:p>
    <w:p w:rsidR="005132EF" w:rsidRPr="00370E70" w:rsidRDefault="007B15AB" w:rsidP="00B03E05">
      <w:pPr>
        <w:keepNext/>
        <w:jc w:val="center"/>
        <w:rPr>
          <w:color w:val="000000"/>
        </w:rPr>
      </w:pPr>
      <w:bookmarkStart w:id="399" w:name="_Toc232845916"/>
      <w:r>
        <w:rPr>
          <w:noProof/>
          <w:color w:val="000000"/>
          <w:lang w:eastAsia="en-AU"/>
        </w:rPr>
        <w:drawing>
          <wp:inline distT="0" distB="0" distL="0" distR="0">
            <wp:extent cx="4043680" cy="3296920"/>
            <wp:effectExtent l="0" t="0" r="0" b="0"/>
            <wp:docPr id="110" name="Picture 110" descr="Figure showing daily mean chlorophyll concentration and turbidity at Green Island in the Wet Tropics NRM Region. Additional panels are daily discharge (Russell Mulgrave) and daily wind sp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Figure showing daily mean chlorophyll concentration and turbidity at Green Island in the Wet Tropics NRM Region. Additional panels are daily discharge (Russell Mulgrave) and daily wind speed."/>
                    <pic:cNvPicPr>
                      <a:picLocks noChangeAspect="1" noChangeArrowheads="1"/>
                    </pic:cNvPicPr>
                  </pic:nvPicPr>
                  <pic:blipFill>
                    <a:blip r:embed="rId136">
                      <a:extLst>
                        <a:ext uri="{28A0092B-C50C-407E-A947-70E740481C1C}">
                          <a14:useLocalDpi xmlns:a14="http://schemas.microsoft.com/office/drawing/2010/main" val="0"/>
                        </a:ext>
                      </a:extLst>
                    </a:blip>
                    <a:srcRect b="4076"/>
                    <a:stretch>
                      <a:fillRect/>
                    </a:stretch>
                  </pic:blipFill>
                  <pic:spPr bwMode="auto">
                    <a:xfrm>
                      <a:off x="0" y="0"/>
                      <a:ext cx="4043680" cy="3296920"/>
                    </a:xfrm>
                    <a:prstGeom prst="rect">
                      <a:avLst/>
                    </a:prstGeom>
                    <a:noFill/>
                    <a:ln>
                      <a:noFill/>
                    </a:ln>
                  </pic:spPr>
                </pic:pic>
              </a:graphicData>
            </a:graphic>
          </wp:inline>
        </w:drawing>
      </w:r>
    </w:p>
    <w:p w:rsidR="00A37000" w:rsidRPr="00370E70" w:rsidRDefault="005132EF" w:rsidP="00A37000">
      <w:pPr>
        <w:pStyle w:val="Caption"/>
        <w:rPr>
          <w:i/>
          <w:vanish/>
          <w:color w:val="000000"/>
          <w:szCs w:val="22"/>
          <w:lang w:val="en-AU"/>
          <w:specVanish/>
        </w:rPr>
      </w:pPr>
      <w:bookmarkStart w:id="400" w:name="_Toc38419642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78</w:t>
      </w:r>
      <w:r w:rsidRPr="00370E70">
        <w:rPr>
          <w:lang w:val="en-AU"/>
        </w:rPr>
        <w:fldChar w:fldCharType="end"/>
      </w:r>
      <w:r w:rsidRPr="00370E70">
        <w:rPr>
          <w:rStyle w:val="StyleCaptionCaptionCharCharLatinCalibri11ptBlackChar"/>
          <w:lang w:val="en-AU"/>
        </w:rPr>
        <w:t xml:space="preserve">. </w:t>
      </w:r>
      <w:r w:rsidRPr="00370E70">
        <w:rPr>
          <w:i/>
          <w:lang w:val="en-AU"/>
        </w:rPr>
        <w:t>Daily mean chlorophyll concentration (green line, ug L</w:t>
      </w:r>
      <w:r w:rsidRPr="00370E70">
        <w:rPr>
          <w:i/>
          <w:vertAlign w:val="superscript"/>
          <w:lang w:val="en-AU"/>
        </w:rPr>
        <w:t>-1</w:t>
      </w:r>
      <w:r w:rsidRPr="00370E70">
        <w:rPr>
          <w:i/>
          <w:lang w:val="en-AU"/>
        </w:rPr>
        <w:t xml:space="preserve">), turbidity (brown line, NTU) at </w:t>
      </w:r>
      <w:r w:rsidR="00635010">
        <w:rPr>
          <w:i/>
          <w:color w:val="000000"/>
          <w:szCs w:val="22"/>
          <w:lang w:val="en-AU"/>
        </w:rPr>
        <w:t xml:space="preserve">inshore </w:t>
      </w:r>
      <w:r w:rsidR="00635010" w:rsidRPr="00370E70">
        <w:rPr>
          <w:i/>
          <w:color w:val="000000"/>
          <w:szCs w:val="22"/>
          <w:lang w:val="en-AU"/>
        </w:rPr>
        <w:t xml:space="preserve">subtidal </w:t>
      </w:r>
      <w:r w:rsidR="00635010">
        <w:rPr>
          <w:i/>
          <w:color w:val="000000"/>
          <w:szCs w:val="22"/>
          <w:lang w:val="en-AU"/>
        </w:rPr>
        <w:t>reef habitat (</w:t>
      </w:r>
      <w:smartTag w:uri="urn:schemas-microsoft-com:office:smarttags" w:element="place">
        <w:smartTag w:uri="urn:schemas-microsoft-com:office:smarttags" w:element="PlaceName">
          <w:r w:rsidR="00635010" w:rsidRPr="00370E70">
            <w:rPr>
              <w:i/>
              <w:color w:val="000000"/>
              <w:szCs w:val="22"/>
              <w:lang w:val="en-AU"/>
            </w:rPr>
            <w:t>Green</w:t>
          </w:r>
        </w:smartTag>
        <w:r w:rsidR="00635010" w:rsidRPr="00370E70">
          <w:rPr>
            <w:i/>
            <w:color w:val="000000"/>
            <w:szCs w:val="22"/>
            <w:lang w:val="en-AU"/>
          </w:rPr>
          <w:t xml:space="preserve"> </w:t>
        </w:r>
        <w:smartTag w:uri="urn:schemas-microsoft-com:office:smarttags" w:element="PlaceType">
          <w:r w:rsidR="00635010" w:rsidRPr="00370E70">
            <w:rPr>
              <w:i/>
              <w:color w:val="000000"/>
              <w:szCs w:val="22"/>
              <w:lang w:val="en-AU"/>
            </w:rPr>
            <w:t>Island</w:t>
          </w:r>
        </w:smartTag>
      </w:smartTag>
      <w:r w:rsidR="00635010">
        <w:rPr>
          <w:i/>
          <w:color w:val="000000"/>
          <w:szCs w:val="22"/>
          <w:lang w:val="en-AU"/>
        </w:rPr>
        <w:t>)</w:t>
      </w:r>
      <w:r w:rsidR="00635010" w:rsidRPr="00370E70">
        <w:rPr>
          <w:i/>
          <w:color w:val="000000"/>
          <w:szCs w:val="22"/>
          <w:lang w:val="en-AU"/>
        </w:rPr>
        <w:t xml:space="preserve"> </w:t>
      </w:r>
      <w:r w:rsidRPr="00370E70">
        <w:rPr>
          <w:i/>
          <w:lang w:val="en-AU"/>
        </w:rPr>
        <w:t>in the Wet Tropics Region.</w:t>
      </w:r>
      <w:bookmarkEnd w:id="400"/>
      <w:r w:rsidRPr="00370E70">
        <w:rPr>
          <w:i/>
          <w:lang w:val="en-AU"/>
        </w:rPr>
        <w:t xml:space="preserve"> </w:t>
      </w:r>
    </w:p>
    <w:p w:rsidR="00A37000" w:rsidRPr="00370E70" w:rsidRDefault="005132EF" w:rsidP="00A37000">
      <w:pPr>
        <w:pStyle w:val="Caption"/>
        <w:rPr>
          <w:lang w:val="en-AU"/>
        </w:rPr>
      </w:pPr>
      <w:r w:rsidRPr="00370E70">
        <w:rPr>
          <w:i/>
          <w:lang w:val="en-AU"/>
        </w:rPr>
        <w:t>Additional panels are daily discharge (Russel</w:t>
      </w:r>
      <w:r w:rsidR="00A37000" w:rsidRPr="00370E70">
        <w:rPr>
          <w:i/>
          <w:lang w:val="en-AU"/>
        </w:rPr>
        <w:t>l M</w:t>
      </w:r>
      <w:r w:rsidRPr="00370E70">
        <w:rPr>
          <w:i/>
          <w:lang w:val="en-AU"/>
        </w:rPr>
        <w:t>ulgrave, ML d</w:t>
      </w:r>
      <w:r w:rsidRPr="00370E70">
        <w:rPr>
          <w:i/>
          <w:vertAlign w:val="superscript"/>
          <w:lang w:val="en-AU"/>
        </w:rPr>
        <w:t>-1</w:t>
      </w:r>
      <w:r w:rsidRPr="00370E70">
        <w:rPr>
          <w:i/>
          <w:lang w:val="en-AU"/>
        </w:rPr>
        <w:t xml:space="preserve"> x10</w:t>
      </w:r>
      <w:r w:rsidRPr="00370E70">
        <w:rPr>
          <w:i/>
          <w:vertAlign w:val="superscript"/>
          <w:lang w:val="en-AU"/>
        </w:rPr>
        <w:t>-5</w:t>
      </w:r>
      <w:r w:rsidRPr="00370E70">
        <w:rPr>
          <w:i/>
          <w:lang w:val="en-AU"/>
        </w:rPr>
        <w:t>) and daily wind speed. Horizontal green and red lines are the GBR Water Quality Guidelines values (</w:t>
      </w:r>
      <w:hyperlink w:anchor="_ENREF_89" w:tooltip="Great Barrier Reef Marine Park Authority, 2009 #9789" w:history="1">
        <w:r w:rsidR="00964A70" w:rsidRPr="00370E70">
          <w:rPr>
            <w:i/>
            <w:lang w:val="en-AU"/>
          </w:rPr>
          <w:fldChar w:fldCharType="begin"/>
        </w:r>
        <w:r w:rsidR="00964A70" w:rsidRPr="00370E70">
          <w:rPr>
            <w:i/>
            <w:lang w:val="en-AU"/>
          </w:rPr>
          <w:instrText xml:space="preserve"> ADDIN EN.CITE &lt;EndNote&gt;&lt;Cite&gt;&lt;Author&gt;Great Barrier Reef Marine Park Authority&lt;/Author&gt;&lt;Year&gt;2009&lt;/Year&gt;&lt;RecNum&gt;9789&lt;/RecNum&gt;&lt;DisplayText&gt;Great Barrier Reef Marine Park Authority 2009&lt;/DisplayText&gt;&lt;record&gt;&lt;rec-number&gt;9789&lt;/rec-number&gt;&lt;foreign-keys&gt;&lt;key app="EN" db-id="0eve55x9y5vfd6e9dacxtew4eatve2dzds9a"&gt;9789&lt;/key&gt;&lt;/foreign-keys&gt;&lt;ref-type name="Book"&gt;6&lt;/ref-type&gt;&lt;contributors&gt;&lt;authors&gt;&lt;author&gt;Great Barrier Reef Marine Park Authority,&lt;/author&gt;&lt;/authors&gt;&lt;/contributors&gt;&lt;titles&gt;&lt;title&gt;Water quality guidelines for the Great Barrier Reef Marine Park. Revised edition 2010&lt;/title&gt;&lt;/titles&gt;&lt;section&gt;100&lt;/section&gt;&lt;dates&gt;&lt;year&gt;2009&lt;/year&gt;&lt;/dates&gt;&lt;pub-location&gt;Townsville &lt;/pub-location&gt;&lt;publisher&gt;Great Barrier Reef Marine Park Authority&lt;/publisher&gt;&lt;urls&gt;&lt;/urls&gt;&lt;/record&gt;&lt;/Cite&gt;&lt;/EndNote&gt;</w:instrText>
        </w:r>
        <w:r w:rsidR="00964A70" w:rsidRPr="00370E70">
          <w:rPr>
            <w:i/>
            <w:lang w:val="en-AU"/>
          </w:rPr>
          <w:fldChar w:fldCharType="separate"/>
        </w:r>
        <w:r w:rsidR="00964A70" w:rsidRPr="00370E70">
          <w:rPr>
            <w:i/>
            <w:noProof/>
            <w:lang w:val="en-AU"/>
          </w:rPr>
          <w:t>Great Barrier Reef Marine Park Authority 2009</w:t>
        </w:r>
        <w:r w:rsidR="00964A70" w:rsidRPr="00370E70">
          <w:rPr>
            <w:i/>
            <w:lang w:val="en-AU"/>
          </w:rPr>
          <w:fldChar w:fldCharType="end"/>
        </w:r>
      </w:hyperlink>
      <w:r w:rsidRPr="00370E70">
        <w:rPr>
          <w:i/>
          <w:lang w:val="en-AU"/>
        </w:rPr>
        <w:t xml:space="preserve">). Turbidity trigger value (red line) was derived by transforming the suspended solids trigger value (see </w:t>
      </w:r>
      <w:hyperlink w:anchor="_ENREF_170" w:tooltip="Schaffelke, 2009 #9788" w:history="1">
        <w:r w:rsidR="00964A70" w:rsidRPr="00370E70">
          <w:rPr>
            <w:i/>
            <w:lang w:val="en-AU"/>
          </w:rPr>
          <w:fldChar w:fldCharType="begin"/>
        </w:r>
        <w:r w:rsidR="00964A70" w:rsidRPr="00370E70">
          <w:rPr>
            <w:i/>
            <w:lang w:val="en-AU"/>
          </w:rPr>
          <w:instrText xml:space="preserve"> ADDIN EN.CITE &lt;EndNote&gt;&lt;Cite&gt;&lt;Author&gt;Schaffelke&lt;/Author&gt;&lt;Year&gt;2009&lt;/Year&gt;&lt;RecNum&gt;9788&lt;/RecNum&gt;&lt;DisplayText&gt;Schaffelke&lt;style face="italic"&gt;, et al.&lt;/style&gt; 2009&lt;/DisplayText&gt;&lt;record&gt;&lt;rec-number&gt;9788&lt;/rec-number&gt;&lt;foreign-keys&gt;&lt;key app="EN" db-id="0eve55x9y5vfd6e9dacxtew4eatve2dzds9a"&gt;9788&lt;/key&gt;&lt;/foreign-keys&gt;&lt;ref-type name="Book"&gt;6&lt;/ref-type&gt;&lt;contributors&gt;&lt;authors&gt;&lt;author&gt;Schaffelke, Britta&lt;/author&gt;&lt;author&gt;Thompson, Angus&lt;/author&gt;&lt;author&gt;Carleton, J&lt;/author&gt;&lt;author&gt;Davidson,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2008/09. Report for Reef and Rainforest Research Centre. &lt;/title&gt;&lt;/titles&gt;&lt;section&gt;146&lt;/section&gt;&lt;dates&gt;&lt;year&gt;2009&lt;/year&gt;&lt;/dates&gt;&lt;pub-location&gt;Townsville&lt;/pub-location&gt;&lt;publisher&gt;Australian Institute of Marine Science&lt;/publisher&gt;&lt;urls&gt;&lt;/urls&gt;&lt;/record&gt;&lt;/Cite&gt;&lt;/EndNote&gt;</w:instrText>
        </w:r>
        <w:r w:rsidR="00964A70" w:rsidRPr="00370E70">
          <w:rPr>
            <w:i/>
            <w:lang w:val="en-AU"/>
          </w:rPr>
          <w:fldChar w:fldCharType="separate"/>
        </w:r>
        <w:r w:rsidR="00964A70" w:rsidRPr="00370E70">
          <w:rPr>
            <w:i/>
            <w:noProof/>
            <w:lang w:val="en-AU"/>
          </w:rPr>
          <w:t>Schaffelke, et al. 2009</w:t>
        </w:r>
        <w:r w:rsidR="00964A70" w:rsidRPr="00370E70">
          <w:rPr>
            <w:i/>
            <w:lang w:val="en-AU"/>
          </w:rPr>
          <w:fldChar w:fldCharType="end"/>
        </w:r>
      </w:hyperlink>
      <w:r w:rsidR="00A37000" w:rsidRPr="00370E70">
        <w:rPr>
          <w:i/>
          <w:lang w:val="en-AU"/>
        </w:rPr>
        <w:t>).</w:t>
      </w:r>
      <w:r w:rsidR="00A37000" w:rsidRPr="00370E70">
        <w:rPr>
          <w:lang w:val="en-AU"/>
        </w:rPr>
        <w:t xml:space="preserve"> </w:t>
      </w:r>
    </w:p>
    <w:p w:rsidR="005132EF" w:rsidRPr="00370E70" w:rsidRDefault="007B15AB" w:rsidP="00B03E05">
      <w:pPr>
        <w:keepNext/>
        <w:jc w:val="center"/>
        <w:rPr>
          <w:color w:val="000000"/>
        </w:rPr>
      </w:pPr>
      <w:r>
        <w:rPr>
          <w:noProof/>
          <w:color w:val="000000"/>
          <w:lang w:eastAsia="en-AU"/>
        </w:rPr>
        <w:lastRenderedPageBreak/>
        <w:drawing>
          <wp:inline distT="0" distB="0" distL="0" distR="0">
            <wp:extent cx="4314190" cy="3631565"/>
            <wp:effectExtent l="0" t="0" r="0" b="6985"/>
            <wp:docPr id="111" name="Picture 111" descr="Graph of daily mean chlorophyll concentration and turbidity at Dunk Island in the Wet Tropics NRM Region. Additional panels are daily discharge (Tully River) and daily wind spe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Graph of daily mean chlorophyll concentration and turbidity at Dunk Island in the Wet Tropics NRM Region. Additional panels are daily discharge (Tully River) and daily wind speed. "/>
                    <pic:cNvPicPr>
                      <a:picLocks noChangeAspect="1" noChangeArrowheads="1"/>
                    </pic:cNvPicPr>
                  </pic:nvPicPr>
                  <pic:blipFill>
                    <a:blip r:embed="rId137">
                      <a:extLst>
                        <a:ext uri="{28A0092B-C50C-407E-A947-70E740481C1C}">
                          <a14:useLocalDpi xmlns:a14="http://schemas.microsoft.com/office/drawing/2010/main" val="0"/>
                        </a:ext>
                      </a:extLst>
                    </a:blip>
                    <a:srcRect b="2756"/>
                    <a:stretch>
                      <a:fillRect/>
                    </a:stretch>
                  </pic:blipFill>
                  <pic:spPr bwMode="auto">
                    <a:xfrm>
                      <a:off x="0" y="0"/>
                      <a:ext cx="4314190" cy="3631565"/>
                    </a:xfrm>
                    <a:prstGeom prst="rect">
                      <a:avLst/>
                    </a:prstGeom>
                    <a:noFill/>
                    <a:ln>
                      <a:noFill/>
                    </a:ln>
                  </pic:spPr>
                </pic:pic>
              </a:graphicData>
            </a:graphic>
          </wp:inline>
        </w:drawing>
      </w:r>
    </w:p>
    <w:p w:rsidR="00430E15" w:rsidRPr="00370E70" w:rsidRDefault="005132EF" w:rsidP="00430E15">
      <w:pPr>
        <w:pStyle w:val="Caption"/>
        <w:rPr>
          <w:i/>
          <w:vanish/>
          <w:color w:val="000000"/>
          <w:szCs w:val="22"/>
          <w:lang w:val="en-AU"/>
          <w:specVanish/>
        </w:rPr>
      </w:pPr>
      <w:bookmarkStart w:id="401" w:name="_Toc38419642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79</w:t>
      </w:r>
      <w:r w:rsidRPr="00370E70">
        <w:rPr>
          <w:lang w:val="en-AU"/>
        </w:rPr>
        <w:fldChar w:fldCharType="end"/>
      </w:r>
      <w:r w:rsidRPr="00370E70">
        <w:rPr>
          <w:rStyle w:val="StyleCaptionCaptionCharCharLatinCalibri11ptBlackChar"/>
          <w:lang w:val="en-AU"/>
        </w:rPr>
        <w:t xml:space="preserve">. </w:t>
      </w:r>
      <w:r w:rsidRPr="00370E70">
        <w:rPr>
          <w:i/>
          <w:lang w:val="en-AU"/>
        </w:rPr>
        <w:t>Daily mean chlorophyll concentration (green line, ug L</w:t>
      </w:r>
      <w:r w:rsidRPr="00370E70">
        <w:rPr>
          <w:i/>
          <w:vertAlign w:val="superscript"/>
          <w:lang w:val="en-AU"/>
        </w:rPr>
        <w:t>-1</w:t>
      </w:r>
      <w:r w:rsidRPr="00370E70">
        <w:rPr>
          <w:i/>
          <w:lang w:val="en-AU"/>
        </w:rPr>
        <w:t xml:space="preserve">), turbidity (brown line, NTU) at </w:t>
      </w:r>
      <w:r w:rsidR="00635010">
        <w:rPr>
          <w:i/>
          <w:color w:val="000000"/>
          <w:szCs w:val="22"/>
          <w:lang w:val="en-AU"/>
        </w:rPr>
        <w:t xml:space="preserve">inshore </w:t>
      </w:r>
      <w:r w:rsidR="00635010" w:rsidRPr="00370E70">
        <w:rPr>
          <w:i/>
          <w:color w:val="000000"/>
          <w:szCs w:val="22"/>
          <w:lang w:val="en-AU"/>
        </w:rPr>
        <w:t xml:space="preserve">subtidal </w:t>
      </w:r>
      <w:r w:rsidR="00635010">
        <w:rPr>
          <w:i/>
          <w:color w:val="000000"/>
          <w:szCs w:val="22"/>
          <w:lang w:val="en-AU"/>
        </w:rPr>
        <w:t>reef habitat (</w:t>
      </w:r>
      <w:smartTag w:uri="urn:schemas-microsoft-com:office:smarttags" w:element="place">
        <w:smartTag w:uri="urn:schemas-microsoft-com:office:smarttags" w:element="PlaceName">
          <w:r w:rsidR="00635010">
            <w:rPr>
              <w:i/>
              <w:color w:val="000000"/>
              <w:szCs w:val="22"/>
              <w:lang w:val="en-AU"/>
            </w:rPr>
            <w:t>Dunk</w:t>
          </w:r>
        </w:smartTag>
        <w:r w:rsidR="00635010" w:rsidRPr="00370E70">
          <w:rPr>
            <w:i/>
            <w:color w:val="000000"/>
            <w:szCs w:val="22"/>
            <w:lang w:val="en-AU"/>
          </w:rPr>
          <w:t xml:space="preserve"> </w:t>
        </w:r>
        <w:smartTag w:uri="urn:schemas-microsoft-com:office:smarttags" w:element="PlaceType">
          <w:r w:rsidR="00635010" w:rsidRPr="00370E70">
            <w:rPr>
              <w:i/>
              <w:color w:val="000000"/>
              <w:szCs w:val="22"/>
              <w:lang w:val="en-AU"/>
            </w:rPr>
            <w:t>Island</w:t>
          </w:r>
        </w:smartTag>
      </w:smartTag>
      <w:r w:rsidR="00635010">
        <w:rPr>
          <w:i/>
          <w:color w:val="000000"/>
          <w:szCs w:val="22"/>
          <w:lang w:val="en-AU"/>
        </w:rPr>
        <w:t>)</w:t>
      </w:r>
      <w:r w:rsidR="00635010" w:rsidRPr="00370E70">
        <w:rPr>
          <w:i/>
          <w:color w:val="000000"/>
          <w:szCs w:val="22"/>
          <w:lang w:val="en-AU"/>
        </w:rPr>
        <w:t xml:space="preserve"> </w:t>
      </w:r>
      <w:r w:rsidRPr="00370E70">
        <w:rPr>
          <w:i/>
          <w:lang w:val="en-AU"/>
        </w:rPr>
        <w:t>in the Wet Tropics Region.</w:t>
      </w:r>
      <w:bookmarkEnd w:id="401"/>
      <w:r w:rsidRPr="00370E70">
        <w:rPr>
          <w:i/>
          <w:lang w:val="en-AU"/>
        </w:rPr>
        <w:t xml:space="preserve"> </w:t>
      </w:r>
    </w:p>
    <w:p w:rsidR="00430E15" w:rsidRPr="00370E70" w:rsidRDefault="005132EF" w:rsidP="00430E15">
      <w:pPr>
        <w:pStyle w:val="Caption"/>
        <w:rPr>
          <w:lang w:val="en-AU"/>
        </w:rPr>
      </w:pPr>
      <w:r w:rsidRPr="00370E70">
        <w:rPr>
          <w:i/>
          <w:lang w:val="en-AU"/>
        </w:rPr>
        <w:t>Additional panels are daily discharge (</w:t>
      </w:r>
      <w:smartTag w:uri="urn:schemas-microsoft-com:office:smarttags" w:element="place">
        <w:smartTag w:uri="urn:schemas-microsoft-com:office:smarttags" w:element="PlaceName">
          <w:r w:rsidRPr="00370E70">
            <w:rPr>
              <w:i/>
              <w:lang w:val="en-AU"/>
            </w:rPr>
            <w:t>Tully</w:t>
          </w:r>
        </w:smartTag>
        <w:r w:rsidRPr="00370E70">
          <w:rPr>
            <w:i/>
            <w:lang w:val="en-AU"/>
          </w:rPr>
          <w:t xml:space="preserve"> </w:t>
        </w:r>
        <w:smartTag w:uri="urn:schemas-microsoft-com:office:smarttags" w:element="PlaceType">
          <w:r w:rsidRPr="00370E70">
            <w:rPr>
              <w:i/>
              <w:lang w:val="en-AU"/>
            </w:rPr>
            <w:t>River</w:t>
          </w:r>
        </w:smartTag>
      </w:smartTag>
      <w:r w:rsidRPr="00370E70">
        <w:rPr>
          <w:i/>
          <w:lang w:val="en-AU"/>
        </w:rPr>
        <w:t>, ML d</w:t>
      </w:r>
      <w:r w:rsidRPr="00370E70">
        <w:rPr>
          <w:i/>
          <w:vertAlign w:val="superscript"/>
          <w:lang w:val="en-AU"/>
        </w:rPr>
        <w:t>-1</w:t>
      </w:r>
      <w:r w:rsidRPr="00370E70">
        <w:rPr>
          <w:i/>
          <w:lang w:val="en-AU"/>
        </w:rPr>
        <w:t xml:space="preserve"> x10</w:t>
      </w:r>
      <w:r w:rsidRPr="00370E70">
        <w:rPr>
          <w:i/>
          <w:vertAlign w:val="superscript"/>
          <w:lang w:val="en-AU"/>
        </w:rPr>
        <w:t>-5</w:t>
      </w:r>
      <w:r w:rsidRPr="00370E70">
        <w:rPr>
          <w:i/>
          <w:lang w:val="en-AU"/>
        </w:rPr>
        <w:t>) and daily wind speed. Horizontal green and red lines are the GBR Water Quality Guidelines values (</w:t>
      </w:r>
      <w:hyperlink w:anchor="_ENREF_89" w:tooltip="Great Barrier Reef Marine Park Authority, 2009 #9789" w:history="1">
        <w:r w:rsidR="00964A70" w:rsidRPr="00370E70">
          <w:rPr>
            <w:i/>
            <w:lang w:val="en-AU"/>
          </w:rPr>
          <w:fldChar w:fldCharType="begin"/>
        </w:r>
        <w:r w:rsidR="00964A70" w:rsidRPr="00370E70">
          <w:rPr>
            <w:i/>
            <w:lang w:val="en-AU"/>
          </w:rPr>
          <w:instrText xml:space="preserve"> ADDIN EN.CITE &lt;EndNote&gt;&lt;Cite&gt;&lt;Author&gt;Great Barrier Reef Marine Park Authority&lt;/Author&gt;&lt;Year&gt;2009&lt;/Year&gt;&lt;RecNum&gt;9789&lt;/RecNum&gt;&lt;DisplayText&gt;Great Barrier Reef Marine Park Authority 2009&lt;/DisplayText&gt;&lt;record&gt;&lt;rec-number&gt;9789&lt;/rec-number&gt;&lt;foreign-keys&gt;&lt;key app="EN" db-id="0eve55x9y5vfd6e9dacxtew4eatve2dzds9a"&gt;9789&lt;/key&gt;&lt;/foreign-keys&gt;&lt;ref-type name="Book"&gt;6&lt;/ref-type&gt;&lt;contributors&gt;&lt;authors&gt;&lt;author&gt;Great Barrier Reef Marine Park Authority,&lt;/author&gt;&lt;/authors&gt;&lt;/contributors&gt;&lt;titles&gt;&lt;title&gt;Water quality guidelines for the Great Barrier Reef Marine Park. Revised edition 2010&lt;/title&gt;&lt;/titles&gt;&lt;section&gt;100&lt;/section&gt;&lt;dates&gt;&lt;year&gt;2009&lt;/year&gt;&lt;/dates&gt;&lt;pub-location&gt;Townsville &lt;/pub-location&gt;&lt;publisher&gt;Great Barrier Reef Marine Park Authority&lt;/publisher&gt;&lt;urls&gt;&lt;/urls&gt;&lt;/record&gt;&lt;/Cite&gt;&lt;/EndNote&gt;</w:instrText>
        </w:r>
        <w:r w:rsidR="00964A70" w:rsidRPr="00370E70">
          <w:rPr>
            <w:i/>
            <w:lang w:val="en-AU"/>
          </w:rPr>
          <w:fldChar w:fldCharType="separate"/>
        </w:r>
        <w:r w:rsidR="00964A70" w:rsidRPr="00370E70">
          <w:rPr>
            <w:i/>
            <w:noProof/>
            <w:lang w:val="en-AU"/>
          </w:rPr>
          <w:t>Great Barrier Reef Marine Park Authority 2009</w:t>
        </w:r>
        <w:r w:rsidR="00964A70" w:rsidRPr="00370E70">
          <w:rPr>
            <w:i/>
            <w:lang w:val="en-AU"/>
          </w:rPr>
          <w:fldChar w:fldCharType="end"/>
        </w:r>
      </w:hyperlink>
      <w:r w:rsidRPr="00370E70">
        <w:rPr>
          <w:i/>
          <w:lang w:val="en-AU"/>
        </w:rPr>
        <w:t xml:space="preserve">). Turbidity trigger value (red line) was derived by transforming the suspended solids trigger value (see </w:t>
      </w:r>
      <w:hyperlink w:anchor="_ENREF_170" w:tooltip="Schaffelke, 2009 #9788" w:history="1">
        <w:r w:rsidR="00964A70" w:rsidRPr="00370E70">
          <w:rPr>
            <w:i/>
            <w:lang w:val="en-AU"/>
          </w:rPr>
          <w:fldChar w:fldCharType="begin"/>
        </w:r>
        <w:r w:rsidR="00964A70" w:rsidRPr="00370E70">
          <w:rPr>
            <w:i/>
            <w:lang w:val="en-AU"/>
          </w:rPr>
          <w:instrText xml:space="preserve"> ADDIN EN.CITE &lt;EndNote&gt;&lt;Cite&gt;&lt;Author&gt;Schaffelke&lt;/Author&gt;&lt;Year&gt;2009&lt;/Year&gt;&lt;RecNum&gt;9788&lt;/RecNum&gt;&lt;DisplayText&gt;Schaffelke&lt;style face="italic"&gt;, et al.&lt;/style&gt; 2009&lt;/DisplayText&gt;&lt;record&gt;&lt;rec-number&gt;9788&lt;/rec-number&gt;&lt;foreign-keys&gt;&lt;key app="EN" db-id="0eve55x9y5vfd6e9dacxtew4eatve2dzds9a"&gt;9788&lt;/key&gt;&lt;/foreign-keys&gt;&lt;ref-type name="Book"&gt;6&lt;/ref-type&gt;&lt;contributors&gt;&lt;authors&gt;&lt;author&gt;Schaffelke, Britta&lt;/author&gt;&lt;author&gt;Thompson, Angus&lt;/author&gt;&lt;author&gt;Carleton, J&lt;/author&gt;&lt;author&gt;Davidson,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2008/09. Report for Reef and Rainforest Research Centre. &lt;/title&gt;&lt;/titles&gt;&lt;section&gt;146&lt;/section&gt;&lt;dates&gt;&lt;year&gt;2009&lt;/year&gt;&lt;/dates&gt;&lt;pub-location&gt;Townsville&lt;/pub-location&gt;&lt;publisher&gt;Australian Institute of Marine Science&lt;/publisher&gt;&lt;urls&gt;&lt;/urls&gt;&lt;/record&gt;&lt;/Cite&gt;&lt;/EndNote&gt;</w:instrText>
        </w:r>
        <w:r w:rsidR="00964A70" w:rsidRPr="00370E70">
          <w:rPr>
            <w:i/>
            <w:lang w:val="en-AU"/>
          </w:rPr>
          <w:fldChar w:fldCharType="separate"/>
        </w:r>
        <w:r w:rsidR="00964A70" w:rsidRPr="00370E70">
          <w:rPr>
            <w:i/>
            <w:noProof/>
            <w:lang w:val="en-AU"/>
          </w:rPr>
          <w:t>Schaffelke, et al. 2009</w:t>
        </w:r>
        <w:r w:rsidR="00964A70" w:rsidRPr="00370E70">
          <w:rPr>
            <w:i/>
            <w:lang w:val="en-AU"/>
          </w:rPr>
          <w:fldChar w:fldCharType="end"/>
        </w:r>
      </w:hyperlink>
      <w:r w:rsidRPr="00370E70">
        <w:rPr>
          <w:i/>
          <w:lang w:val="en-AU"/>
        </w:rPr>
        <w:t>). The turbidity logger went missing during TC Yasi on 3rd February 2011 and was temporarily replaced until April 2011.</w:t>
      </w:r>
      <w:r w:rsidRPr="00370E70">
        <w:rPr>
          <w:lang w:val="en-AU"/>
        </w:rPr>
        <w:t xml:space="preserve"> </w:t>
      </w:r>
    </w:p>
    <w:p w:rsidR="005132EF" w:rsidRPr="00370E70" w:rsidRDefault="005132EF" w:rsidP="00034AD4">
      <w:pPr>
        <w:pStyle w:val="Heading4"/>
        <w:rPr>
          <w:b/>
          <w:iCs/>
          <w:color w:val="000000"/>
        </w:rPr>
      </w:pPr>
      <w:bookmarkStart w:id="402" w:name="_Toc184101993"/>
      <w:r w:rsidRPr="00370E70">
        <w:rPr>
          <w:b/>
          <w:iCs/>
          <w:color w:val="000000"/>
        </w:rPr>
        <w:t>Regional Climate</w:t>
      </w:r>
      <w:bookmarkEnd w:id="399"/>
      <w:bookmarkEnd w:id="402"/>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Climate across the region was on average cooler, wetter, cloudier and windier in 2011/12 than the previous decade. </w:t>
      </w:r>
    </w:p>
    <w:p w:rsidR="005132EF" w:rsidRPr="00370E70" w:rsidRDefault="005132EF" w:rsidP="00684FB1">
      <w:pPr>
        <w:pStyle w:val="Heading5"/>
        <w:rPr>
          <w:color w:val="000000"/>
        </w:rPr>
      </w:pPr>
      <w:r w:rsidRPr="00370E70">
        <w:rPr>
          <w:color w:val="000000"/>
        </w:rPr>
        <w:t>Northern section (Low Isles and Yule Point)</w:t>
      </w:r>
    </w:p>
    <w:p w:rsidR="005132EF" w:rsidRPr="00370E70" w:rsidRDefault="005132EF" w:rsidP="00796626">
      <w:pPr>
        <w:autoSpaceDE w:val="0"/>
        <w:autoSpaceDN w:val="0"/>
        <w:adjustRightInd w:val="0"/>
        <w:rPr>
          <w:rFonts w:cs="TimesNewRoman"/>
          <w:color w:val="000000"/>
          <w:szCs w:val="22"/>
        </w:rPr>
      </w:pPr>
      <w:r w:rsidRPr="00370E70">
        <w:rPr>
          <w:rFonts w:cs="TimesNewRoman"/>
          <w:color w:val="000000"/>
          <w:szCs w:val="22"/>
        </w:rPr>
        <w:t xml:space="preserve">The mean maximum daily air temperature recorded in Port </w:t>
      </w:r>
      <w:r w:rsidR="002C6536" w:rsidRPr="00370E70">
        <w:rPr>
          <w:rFonts w:cs="TimesNewRoman"/>
          <w:color w:val="000000"/>
          <w:szCs w:val="22"/>
        </w:rPr>
        <w:t>Douglas</w:t>
      </w:r>
      <w:r w:rsidRPr="00370E70">
        <w:rPr>
          <w:rFonts w:cs="TimesNewRoman"/>
          <w:color w:val="000000"/>
          <w:szCs w:val="22"/>
        </w:rPr>
        <w:t xml:space="preserve"> and </w:t>
      </w:r>
      <w:smartTag w:uri="urn:schemas-microsoft-com:office:smarttags" w:element="place">
        <w:smartTag w:uri="urn:schemas-microsoft-com:office:smarttags" w:element="PlaceName">
          <w:r w:rsidRPr="00370E70">
            <w:rPr>
              <w:rFonts w:cs="TimesNewRoman"/>
              <w:color w:val="000000"/>
              <w:szCs w:val="22"/>
            </w:rPr>
            <w:t>Low</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smartTag>
      <w:r w:rsidRPr="00370E70">
        <w:rPr>
          <w:rFonts w:cs="TimesNewRoman"/>
          <w:color w:val="000000"/>
          <w:szCs w:val="22"/>
        </w:rPr>
        <w:t xml:space="preserve"> during 2011/12 was 28.8°C; this was 0.6°C lower than the 45 year average and 0.3°C lower than the decadal average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xml:space="preserve">). The highest recorded daily maximum air temperature in 2011/12 was 35.1°C. </w:t>
      </w:r>
    </w:p>
    <w:p w:rsidR="005132EF" w:rsidRPr="00370E70" w:rsidRDefault="005132EF" w:rsidP="007E1A10">
      <w:pPr>
        <w:autoSpaceDE w:val="0"/>
        <w:autoSpaceDN w:val="0"/>
        <w:adjustRightInd w:val="0"/>
        <w:rPr>
          <w:rFonts w:cs="Arial"/>
          <w:color w:val="000000"/>
          <w:szCs w:val="22"/>
        </w:rPr>
      </w:pPr>
      <w:r w:rsidRPr="00370E70">
        <w:rPr>
          <w:rFonts w:cs="TimesNewRoman"/>
          <w:color w:val="000000"/>
          <w:szCs w:val="22"/>
        </w:rPr>
        <w:t xml:space="preserve">2011/12 was </w:t>
      </w:r>
      <w:proofErr w:type="gramStart"/>
      <w:r w:rsidRPr="00370E70">
        <w:rPr>
          <w:rFonts w:cs="TimesNewRoman"/>
          <w:color w:val="000000"/>
          <w:szCs w:val="22"/>
        </w:rPr>
        <w:t>a wet year relative to both the last decade and the long-term (2109mm, 45 year) average</w:t>
      </w:r>
      <w:proofErr w:type="gramEnd"/>
      <w:r w:rsidRPr="00370E70">
        <w:rPr>
          <w:rFonts w:cs="TimesNewRoman"/>
          <w:color w:val="000000"/>
          <w:szCs w:val="22"/>
        </w:rPr>
        <w:t xml:space="preserve"> with 20% and 15% more rain than the long-term and decadal averages, respectively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Associated with the higher rainfall was an increase in cloud cover in 2011/12 with approximately 6% and 11% more cloud than the decadal and long-term averages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Mean wind speed was similarly higher in 2011/12 (26.2 km.hr</w:t>
      </w:r>
      <w:r w:rsidRPr="00370E70">
        <w:rPr>
          <w:rFonts w:cs="TimesNewRoman"/>
          <w:color w:val="000000"/>
          <w:szCs w:val="22"/>
          <w:vertAlign w:val="superscript"/>
        </w:rPr>
        <w:t>-1</w:t>
      </w:r>
      <w:r w:rsidRPr="00370E70">
        <w:rPr>
          <w:rFonts w:cs="TimesNewRoman"/>
          <w:color w:val="000000"/>
          <w:szCs w:val="22"/>
        </w:rPr>
        <w:t>) than the decadal average (25.6 km.hr</w:t>
      </w:r>
      <w:r w:rsidRPr="00370E70">
        <w:rPr>
          <w:rFonts w:cs="TimesNewRoman"/>
          <w:color w:val="000000"/>
          <w:szCs w:val="22"/>
          <w:vertAlign w:val="superscript"/>
        </w:rPr>
        <w:t>-1</w:t>
      </w:r>
      <w:r w:rsidRPr="00370E70">
        <w:rPr>
          <w:rFonts w:cs="TimesNewRoman"/>
          <w:color w:val="000000"/>
          <w:szCs w:val="22"/>
        </w:rPr>
        <w:t>), and 6% 14% higher than the long-term (45 year) average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w:t>
      </w:r>
    </w:p>
    <w:p w:rsidR="005132EF" w:rsidRPr="00370E70" w:rsidRDefault="007B15AB" w:rsidP="005C43AE">
      <w:pPr>
        <w:keepNext/>
        <w:autoSpaceDE w:val="0"/>
        <w:autoSpaceDN w:val="0"/>
        <w:adjustRightInd w:val="0"/>
        <w:jc w:val="center"/>
      </w:pPr>
      <w:r>
        <w:rPr>
          <w:noProof/>
          <w:lang w:eastAsia="en-AU"/>
        </w:rPr>
        <w:lastRenderedPageBreak/>
        <w:drawing>
          <wp:inline distT="0" distB="0" distL="0" distR="0">
            <wp:extent cx="4276090" cy="3503295"/>
            <wp:effectExtent l="0" t="0" r="0" b="1905"/>
            <wp:docPr id="112" name="Picture 121" descr="Graphs of the total monthly rainfall, mean monthly daily maximum air temperature, mean monthly cloud cover, and mean monthly 3pm wind speed for Yule Point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raphs of the total monthly rainfall, mean monthly daily maximum air temperature, mean monthly cloud cover, and mean monthly 3pm wind speed for Yule Point monitoring sites. "/>
                    <pic:cNvPicPr>
                      <a:picLocks noChangeAspect="1" noChangeArrowheads="1"/>
                    </pic:cNvPicPr>
                  </pic:nvPicPr>
                  <pic:blipFill>
                    <a:blip r:embed="rId138" cstate="print">
                      <a:extLst>
                        <a:ext uri="{28A0092B-C50C-407E-A947-70E740481C1C}">
                          <a14:useLocalDpi xmlns:a14="http://schemas.microsoft.com/office/drawing/2010/main" val="0"/>
                        </a:ext>
                      </a:extLst>
                    </a:blip>
                    <a:srcRect t="7487" b="2072"/>
                    <a:stretch>
                      <a:fillRect/>
                    </a:stretch>
                  </pic:blipFill>
                  <pic:spPr bwMode="auto">
                    <a:xfrm>
                      <a:off x="0" y="0"/>
                      <a:ext cx="4276090" cy="3503295"/>
                    </a:xfrm>
                    <a:prstGeom prst="rect">
                      <a:avLst/>
                    </a:prstGeom>
                    <a:noFill/>
                    <a:ln>
                      <a:noFill/>
                    </a:ln>
                  </pic:spPr>
                </pic:pic>
              </a:graphicData>
            </a:graphic>
          </wp:inline>
        </w:drawing>
      </w:r>
    </w:p>
    <w:p w:rsidR="00A91077" w:rsidRPr="00370E70" w:rsidRDefault="005132EF" w:rsidP="00A91077">
      <w:pPr>
        <w:rPr>
          <w:rFonts w:cs="Arial"/>
          <w:vanish/>
          <w:szCs w:val="22"/>
          <w:specVanish/>
        </w:rPr>
      </w:pPr>
      <w:bookmarkStart w:id="403" w:name="_Toc384196427"/>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80</w:t>
      </w:r>
      <w:r w:rsidRPr="00370E70">
        <w:rPr>
          <w:color w:val="000000"/>
          <w:szCs w:val="22"/>
        </w:rPr>
        <w:fldChar w:fldCharType="end"/>
      </w:r>
      <w:r w:rsidRPr="00370E70">
        <w:rPr>
          <w:color w:val="000000"/>
          <w:szCs w:val="22"/>
        </w:rPr>
        <w:t xml:space="preserve">. </w:t>
      </w:r>
      <w:r w:rsidRPr="00370E70">
        <w:rPr>
          <w:i/>
          <w:color w:val="000000"/>
          <w:szCs w:val="22"/>
        </w:rPr>
        <w:t>Total monthly rainfall (bar graph) recorded at</w:t>
      </w:r>
      <w:r w:rsidR="00430E15" w:rsidRPr="00370E70">
        <w:rPr>
          <w:i/>
          <w:color w:val="000000"/>
          <w:szCs w:val="22"/>
        </w:rPr>
        <w:t xml:space="preserve"> </w:t>
      </w:r>
      <w:r w:rsidR="00430E15" w:rsidRPr="00370E70">
        <w:rPr>
          <w:rFonts w:cs="Arial"/>
          <w:i/>
          <w:color w:val="000000"/>
          <w:szCs w:val="22"/>
        </w:rPr>
        <w:t xml:space="preserve">Port Douglas - </w:t>
      </w:r>
      <w:smartTag w:uri="urn:schemas-microsoft-com:office:smarttags" w:element="Street">
        <w:smartTag w:uri="urn:schemas-microsoft-com:office:smarttags" w:element="address">
          <w:r w:rsidR="00430E15" w:rsidRPr="00370E70">
            <w:rPr>
              <w:rFonts w:cs="Arial"/>
              <w:i/>
              <w:color w:val="000000"/>
              <w:szCs w:val="22"/>
            </w:rPr>
            <w:t>Warner St</w:t>
          </w:r>
        </w:smartTag>
      </w:smartTag>
      <w:r w:rsidRPr="00370E70">
        <w:rPr>
          <w:i/>
          <w:color w:val="000000"/>
          <w:szCs w:val="22"/>
        </w:rPr>
        <w:t>, located approximately 11km from Yule Point monitoring sites.</w:t>
      </w:r>
      <w:bookmarkEnd w:id="403"/>
      <w:r w:rsidRPr="00370E70">
        <w:rPr>
          <w:i/>
          <w:color w:val="000000"/>
          <w:szCs w:val="22"/>
        </w:rPr>
        <w:t xml:space="preserve"> </w:t>
      </w:r>
    </w:p>
    <w:p w:rsidR="00430E15" w:rsidRPr="00370E70" w:rsidRDefault="005132EF" w:rsidP="00034AD4">
      <w:pPr>
        <w:rPr>
          <w:rFonts w:cs="Arial"/>
          <w:szCs w:val="22"/>
        </w:rPr>
      </w:pPr>
      <w:r w:rsidRPr="00370E70">
        <w:rPr>
          <w:i/>
          <w:color w:val="000000"/>
          <w:szCs w:val="22"/>
        </w:rPr>
        <w:t>Mean monthly daily maximum air temperature (black line), mean monthly cloud cover (black line), an</w:t>
      </w:r>
      <w:r w:rsidR="006C7525">
        <w:rPr>
          <w:i/>
          <w:color w:val="000000"/>
          <w:szCs w:val="22"/>
        </w:rPr>
        <w:t>d mean monthly 3pm wind speed (</w:t>
      </w:r>
      <w:r w:rsidRPr="00370E70">
        <w:rPr>
          <w:i/>
          <w:color w:val="000000"/>
          <w:szCs w:val="22"/>
        </w:rPr>
        <w:t>grey line) from Low Isles, located approximately 21km from Yule Point monitoring sites.</w:t>
      </w:r>
      <w:r w:rsidR="00430E15" w:rsidRPr="00370E70">
        <w:rPr>
          <w:i/>
          <w:color w:val="000000"/>
          <w:szCs w:val="22"/>
        </w:rPr>
        <w:t xml:space="preserve"> Source: </w:t>
      </w:r>
      <w:r w:rsidR="00430E15" w:rsidRPr="00370E70">
        <w:rPr>
          <w:rFonts w:cs="Arial"/>
          <w:i/>
          <w:color w:val="000000"/>
          <w:szCs w:val="22"/>
        </w:rPr>
        <w:t xml:space="preserve">Port Douglas - </w:t>
      </w:r>
      <w:smartTag w:uri="urn:schemas-microsoft-com:office:smarttags" w:element="Street">
        <w:smartTag w:uri="urn:schemas-microsoft-com:office:smarttags" w:element="address">
          <w:r w:rsidR="00430E15" w:rsidRPr="00370E70">
            <w:rPr>
              <w:rFonts w:cs="Arial"/>
              <w:i/>
              <w:color w:val="000000"/>
              <w:szCs w:val="22"/>
            </w:rPr>
            <w:t>Warner St</w:t>
          </w:r>
        </w:smartTag>
      </w:smartTag>
      <w:r w:rsidR="00430E15" w:rsidRPr="00370E70">
        <w:rPr>
          <w:i/>
          <w:color w:val="000000"/>
          <w:szCs w:val="22"/>
        </w:rPr>
        <w:t xml:space="preserve"> (BOM station </w:t>
      </w:r>
      <w:r w:rsidR="00430E15" w:rsidRPr="00370E70">
        <w:rPr>
          <w:rFonts w:cs="Arial"/>
          <w:i/>
          <w:color w:val="000000"/>
          <w:szCs w:val="22"/>
        </w:rPr>
        <w:t>31052</w:t>
      </w:r>
      <w:r w:rsidR="00430E15" w:rsidRPr="00370E70">
        <w:rPr>
          <w:i/>
          <w:color w:val="000000"/>
          <w:szCs w:val="22"/>
        </w:rPr>
        <w:t>), Low Isles (BOM station 31037) courtesy www.bom.gov.au.</w:t>
      </w:r>
      <w:r w:rsidR="00117451" w:rsidRPr="00370E70">
        <w:rPr>
          <w:rFonts w:cs="Arial"/>
          <w:szCs w:val="22"/>
        </w:rPr>
        <w:t xml:space="preserve"> </w:t>
      </w:r>
    </w:p>
    <w:p w:rsidR="00430E15" w:rsidRPr="00370E70" w:rsidRDefault="00430E15" w:rsidP="00034AD4">
      <w:pPr>
        <w:rPr>
          <w:rFonts w:cs="Arial"/>
          <w:szCs w:val="22"/>
        </w:rPr>
      </w:pPr>
    </w:p>
    <w:p w:rsidR="005132EF" w:rsidRPr="00370E70" w:rsidRDefault="005132EF" w:rsidP="00034AD4">
      <w:pPr>
        <w:pStyle w:val="Heading5"/>
        <w:rPr>
          <w:color w:val="000000"/>
        </w:rPr>
      </w:pPr>
      <w:r w:rsidRPr="00370E70">
        <w:rPr>
          <w:color w:val="000000"/>
        </w:rPr>
        <w:t>Central section (</w:t>
      </w:r>
      <w:smartTag w:uri="urn:schemas-microsoft-com:office:smarttags" w:element="place">
        <w:smartTag w:uri="urn:schemas-microsoft-com:office:smarttags" w:element="PlaceName">
          <w:r w:rsidRPr="00370E70">
            <w:rPr>
              <w:color w:val="000000"/>
            </w:rPr>
            <w:t>Green</w:t>
          </w:r>
        </w:smartTag>
        <w:r w:rsidRPr="00370E70">
          <w:rPr>
            <w:color w:val="000000"/>
          </w:rPr>
          <w:t xml:space="preserve"> </w:t>
        </w:r>
        <w:smartTag w:uri="urn:schemas-microsoft-com:office:smarttags" w:element="PlaceType">
          <w:r w:rsidRPr="00370E70">
            <w:rPr>
              <w:color w:val="000000"/>
            </w:rPr>
            <w:t>Island</w:t>
          </w:r>
        </w:smartTag>
      </w:smartTag>
      <w:r w:rsidRPr="00370E70">
        <w:rPr>
          <w:color w:val="000000"/>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mean maximum daily air temperature recorded in </w:t>
      </w:r>
      <w:smartTag w:uri="urn:schemas-microsoft-com:office:smarttags" w:element="place">
        <w:smartTag w:uri="urn:schemas-microsoft-com:office:smarttags" w:element="City">
          <w:r w:rsidRPr="00370E70">
            <w:rPr>
              <w:rFonts w:cs="TimesNewRoman"/>
              <w:color w:val="000000"/>
              <w:szCs w:val="22"/>
            </w:rPr>
            <w:t>Cairns</w:t>
          </w:r>
        </w:smartTag>
      </w:smartTag>
      <w:r w:rsidRPr="00370E70">
        <w:rPr>
          <w:rFonts w:cs="TimesNewRoman"/>
          <w:color w:val="000000"/>
          <w:szCs w:val="22"/>
        </w:rPr>
        <w:t xml:space="preserve"> during 2011/12 was 29.2°C; this was 0.2°C higher than the 70 year average and similar to the previous decadal average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xml:space="preserve">). The highest recorded daily maximum air temperature in 2011/12 was 35.8°C.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2011/12 was a wet year relative to both the last decade and the long-term (71 year) average with 26% and 24% more rain than the decadal and long-term averages, respectively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Cloud cover in 2011/12 with similar to both the long-term and decadal averages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 Mean wind speed however was lower in 2011/12 (28.2 km.hr</w:t>
      </w:r>
      <w:r w:rsidRPr="00370E70">
        <w:rPr>
          <w:rFonts w:cs="TimesNewRoman"/>
          <w:color w:val="000000"/>
          <w:szCs w:val="22"/>
          <w:vertAlign w:val="superscript"/>
        </w:rPr>
        <w:t>-1</w:t>
      </w:r>
      <w:r w:rsidRPr="00370E70">
        <w:rPr>
          <w:rFonts w:cs="TimesNewRoman"/>
          <w:color w:val="000000"/>
          <w:szCs w:val="22"/>
        </w:rPr>
        <w:t xml:space="preserve">) than the </w:t>
      </w:r>
      <w:smartTag w:uri="urn:schemas-microsoft-com:office:smarttags" w:element="PlaceName">
        <w:r w:rsidRPr="00370E70">
          <w:rPr>
            <w:rFonts w:cs="TimesNewRoman"/>
            <w:color w:val="000000"/>
            <w:szCs w:val="22"/>
          </w:rPr>
          <w:t>Green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r w:rsidRPr="00370E70">
        <w:rPr>
          <w:rFonts w:cs="TimesNewRoman"/>
          <w:color w:val="000000"/>
          <w:szCs w:val="22"/>
        </w:rPr>
        <w:t xml:space="preserve"> decadal average (31.5 km.hr</w:t>
      </w:r>
      <w:r w:rsidRPr="00370E70">
        <w:rPr>
          <w:rFonts w:cs="TimesNewRoman"/>
          <w:color w:val="000000"/>
          <w:szCs w:val="22"/>
          <w:vertAlign w:val="superscript"/>
        </w:rPr>
        <w:t>-1</w:t>
      </w:r>
      <w:r w:rsidRPr="00370E70">
        <w:rPr>
          <w:rFonts w:cs="TimesNewRoman"/>
          <w:color w:val="000000"/>
          <w:szCs w:val="22"/>
        </w:rPr>
        <w:t xml:space="preserve">), but in </w:t>
      </w:r>
      <w:smartTag w:uri="urn:schemas-microsoft-com:office:smarttags" w:element="place">
        <w:smartTag w:uri="urn:schemas-microsoft-com:office:smarttags" w:element="City">
          <w:r w:rsidRPr="00370E70">
            <w:rPr>
              <w:rFonts w:cs="TimesNewRoman"/>
              <w:color w:val="000000"/>
              <w:szCs w:val="22"/>
            </w:rPr>
            <w:t>Cairns</w:t>
          </w:r>
        </w:smartTag>
      </w:smartTag>
      <w:r w:rsidRPr="00370E70">
        <w:rPr>
          <w:rFonts w:cs="TimesNewRoman"/>
          <w:color w:val="000000"/>
          <w:szCs w:val="22"/>
        </w:rPr>
        <w:t xml:space="preserve"> was 21% higher than the long-term (69 year) average (</w:t>
      </w:r>
      <w:r w:rsidRPr="00370E70">
        <w:fldChar w:fldCharType="begin"/>
      </w:r>
      <w:r w:rsidRPr="00370E70">
        <w:instrText xml:space="preserve"> REF _Ref276117355 \h  \* MERGEFORMAT </w:instrText>
      </w:r>
      <w:r w:rsidRPr="00370E70">
        <w:fldChar w:fldCharType="separate"/>
      </w:r>
      <w:r w:rsidR="005B5FD6" w:rsidRPr="00370E70">
        <w:rPr>
          <w:color w:val="000000"/>
          <w:szCs w:val="22"/>
        </w:rPr>
        <w:t xml:space="preserve">Figure </w:t>
      </w:r>
      <w:r w:rsidR="005B5FD6">
        <w:rPr>
          <w:noProof/>
          <w:color w:val="000000"/>
          <w:szCs w:val="22"/>
        </w:rPr>
        <w:t>81</w:t>
      </w:r>
      <w:r w:rsidRPr="00370E70">
        <w:fldChar w:fldCharType="end"/>
      </w:r>
      <w:r w:rsidRPr="00370E70">
        <w:rPr>
          <w:rFonts w:cs="TimesNewRoman"/>
          <w:color w:val="000000"/>
          <w:szCs w:val="22"/>
        </w:rPr>
        <w:t>).</w:t>
      </w:r>
    </w:p>
    <w:p w:rsidR="005132EF" w:rsidRPr="00370E70" w:rsidRDefault="007B15AB" w:rsidP="00684FB1">
      <w:pPr>
        <w:keepNext/>
        <w:autoSpaceDE w:val="0"/>
        <w:autoSpaceDN w:val="0"/>
        <w:adjustRightInd w:val="0"/>
        <w:jc w:val="center"/>
        <w:rPr>
          <w:color w:val="000000"/>
        </w:rPr>
      </w:pPr>
      <w:r>
        <w:rPr>
          <w:noProof/>
          <w:lang w:eastAsia="en-AU"/>
        </w:rPr>
        <w:lastRenderedPageBreak/>
        <w:drawing>
          <wp:inline distT="0" distB="0" distL="0" distR="0">
            <wp:extent cx="4276090" cy="3503295"/>
            <wp:effectExtent l="0" t="0" r="0" b="1905"/>
            <wp:docPr id="113" name="Picture 122" descr="Graph of mean monthly daily maximum air temperature, total monthly rainfall, mean monthly cloud cover, and mean monthly 3pm wind speed for Green Island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Graph of mean monthly daily maximum air temperature, total monthly rainfall, mean monthly cloud cover, and mean monthly 3pm wind speed for Green Island monitoring sites. "/>
                    <pic:cNvPicPr>
                      <a:picLocks noChangeAspect="1" noChangeArrowheads="1"/>
                    </pic:cNvPicPr>
                  </pic:nvPicPr>
                  <pic:blipFill>
                    <a:blip r:embed="rId139" cstate="print">
                      <a:extLst>
                        <a:ext uri="{28A0092B-C50C-407E-A947-70E740481C1C}">
                          <a14:useLocalDpi xmlns:a14="http://schemas.microsoft.com/office/drawing/2010/main" val="0"/>
                        </a:ext>
                      </a:extLst>
                    </a:blip>
                    <a:srcRect t="7487" b="2072"/>
                    <a:stretch>
                      <a:fillRect/>
                    </a:stretch>
                  </pic:blipFill>
                  <pic:spPr bwMode="auto">
                    <a:xfrm>
                      <a:off x="0" y="0"/>
                      <a:ext cx="4276090" cy="3503295"/>
                    </a:xfrm>
                    <a:prstGeom prst="rect">
                      <a:avLst/>
                    </a:prstGeom>
                    <a:noFill/>
                    <a:ln>
                      <a:noFill/>
                    </a:ln>
                  </pic:spPr>
                </pic:pic>
              </a:graphicData>
            </a:graphic>
          </wp:inline>
        </w:drawing>
      </w:r>
    </w:p>
    <w:p w:rsidR="00A91077" w:rsidRPr="00370E70" w:rsidRDefault="005132EF" w:rsidP="00A91077">
      <w:pPr>
        <w:rPr>
          <w:i/>
          <w:vanish/>
          <w:color w:val="000000"/>
          <w:szCs w:val="22"/>
          <w:specVanish/>
        </w:rPr>
      </w:pPr>
      <w:bookmarkStart w:id="404" w:name="_Ref276117355"/>
      <w:bookmarkStart w:id="405" w:name="_Toc384196428"/>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81</w:t>
      </w:r>
      <w:r w:rsidRPr="00370E70">
        <w:rPr>
          <w:color w:val="000000"/>
          <w:szCs w:val="22"/>
        </w:rPr>
        <w:fldChar w:fldCharType="end"/>
      </w:r>
      <w:bookmarkEnd w:id="404"/>
      <w:r w:rsidRPr="00370E70">
        <w:rPr>
          <w:color w:val="000000"/>
          <w:szCs w:val="22"/>
        </w:rPr>
        <w:t xml:space="preserve">. </w:t>
      </w:r>
      <w:r w:rsidR="00A91077" w:rsidRPr="00370E70">
        <w:rPr>
          <w:i/>
          <w:color w:val="000000"/>
          <w:szCs w:val="22"/>
        </w:rPr>
        <w:t xml:space="preserve">Mean monthly daily maximum air temperature (black line), total monthly rainfall (grey bars), mean monthly cloud cover (black line), and mean monthly 3pm wind speed (grey line), for </w:t>
      </w:r>
      <w:smartTag w:uri="urn:schemas-microsoft-com:office:smarttags" w:element="place">
        <w:smartTag w:uri="urn:schemas-microsoft-com:office:smarttags" w:element="PlaceName">
          <w:r w:rsidR="00A91077" w:rsidRPr="00370E70">
            <w:rPr>
              <w:i/>
              <w:color w:val="000000"/>
              <w:szCs w:val="22"/>
            </w:rPr>
            <w:t>Green</w:t>
          </w:r>
        </w:smartTag>
        <w:r w:rsidR="00A91077" w:rsidRPr="00370E70">
          <w:rPr>
            <w:i/>
            <w:color w:val="000000"/>
            <w:szCs w:val="22"/>
          </w:rPr>
          <w:t xml:space="preserve"> </w:t>
        </w:r>
        <w:smartTag w:uri="urn:schemas-microsoft-com:office:smarttags" w:element="PlaceType">
          <w:r w:rsidR="00A91077" w:rsidRPr="00370E70">
            <w:rPr>
              <w:i/>
              <w:color w:val="000000"/>
              <w:szCs w:val="22"/>
            </w:rPr>
            <w:t>Island</w:t>
          </w:r>
        </w:smartTag>
      </w:smartTag>
      <w:r w:rsidR="00A91077" w:rsidRPr="00370E70">
        <w:rPr>
          <w:i/>
          <w:color w:val="000000"/>
          <w:szCs w:val="22"/>
        </w:rPr>
        <w:t xml:space="preserve"> monitoring sites.</w:t>
      </w:r>
      <w:bookmarkEnd w:id="405"/>
      <w:r w:rsidR="00A91077" w:rsidRPr="00370E70">
        <w:rPr>
          <w:i/>
          <w:color w:val="000000"/>
          <w:szCs w:val="22"/>
        </w:rPr>
        <w:t xml:space="preserve"> </w:t>
      </w:r>
    </w:p>
    <w:p w:rsidR="00117451" w:rsidRPr="00370E70" w:rsidRDefault="00A91077" w:rsidP="00684FB1">
      <w:pPr>
        <w:rPr>
          <w:i/>
          <w:color w:val="000000"/>
          <w:szCs w:val="22"/>
        </w:rPr>
      </w:pPr>
      <w:r w:rsidRPr="00370E70">
        <w:rPr>
          <w:i/>
          <w:color w:val="000000"/>
          <w:szCs w:val="22"/>
        </w:rPr>
        <w:t>T</w:t>
      </w:r>
      <w:r w:rsidR="005132EF" w:rsidRPr="00370E70">
        <w:rPr>
          <w:i/>
          <w:color w:val="000000"/>
          <w:szCs w:val="22"/>
        </w:rPr>
        <w:t xml:space="preserve">emperature pre-July 2010 and wind speed from </w:t>
      </w:r>
      <w:smartTag w:uri="urn:schemas-microsoft-com:office:smarttags" w:element="place">
        <w:smartTag w:uri="urn:schemas-microsoft-com:office:smarttags" w:element="PlaceName">
          <w:r w:rsidR="005132EF" w:rsidRPr="00370E70">
            <w:rPr>
              <w:i/>
              <w:color w:val="000000"/>
              <w:szCs w:val="22"/>
            </w:rPr>
            <w:t>Green</w:t>
          </w:r>
        </w:smartTag>
        <w:r w:rsidR="005132EF" w:rsidRPr="00370E70">
          <w:rPr>
            <w:i/>
            <w:color w:val="000000"/>
            <w:szCs w:val="22"/>
          </w:rPr>
          <w:t xml:space="preserve"> </w:t>
        </w:r>
        <w:smartTag w:uri="urn:schemas-microsoft-com:office:smarttags" w:element="PlaceType">
          <w:r w:rsidR="005132EF" w:rsidRPr="00370E70">
            <w:rPr>
              <w:i/>
              <w:color w:val="000000"/>
              <w:szCs w:val="22"/>
            </w:rPr>
            <w:t>Island</w:t>
          </w:r>
        </w:smartTag>
      </w:smartTag>
      <w:r w:rsidRPr="00370E70">
        <w:rPr>
          <w:i/>
          <w:color w:val="000000"/>
          <w:szCs w:val="22"/>
        </w:rPr>
        <w:t xml:space="preserve"> (BOM station 31192)</w:t>
      </w:r>
      <w:r w:rsidR="005132EF" w:rsidRPr="00370E70">
        <w:rPr>
          <w:i/>
          <w:color w:val="000000"/>
          <w:szCs w:val="22"/>
        </w:rPr>
        <w:t xml:space="preserve">. </w:t>
      </w:r>
      <w:r w:rsidRPr="00370E70">
        <w:rPr>
          <w:i/>
          <w:color w:val="000000"/>
          <w:szCs w:val="22"/>
        </w:rPr>
        <w:t>T</w:t>
      </w:r>
      <w:r w:rsidR="005132EF" w:rsidRPr="00370E70">
        <w:rPr>
          <w:i/>
          <w:color w:val="000000"/>
          <w:szCs w:val="22"/>
        </w:rPr>
        <w:t>emperature</w:t>
      </w:r>
      <w:r w:rsidRPr="00370E70">
        <w:rPr>
          <w:i/>
          <w:color w:val="000000"/>
          <w:szCs w:val="22"/>
        </w:rPr>
        <w:t xml:space="preserve"> post-Jun 2010</w:t>
      </w:r>
      <w:r w:rsidR="005132EF" w:rsidRPr="00370E70">
        <w:rPr>
          <w:i/>
          <w:color w:val="000000"/>
          <w:szCs w:val="22"/>
        </w:rPr>
        <w:t xml:space="preserve">, rainfall post-Jun 2010, </w:t>
      </w:r>
      <w:r w:rsidRPr="00370E70">
        <w:rPr>
          <w:i/>
          <w:color w:val="000000"/>
          <w:szCs w:val="22"/>
        </w:rPr>
        <w:t xml:space="preserve">and </w:t>
      </w:r>
      <w:r w:rsidR="005132EF" w:rsidRPr="00370E70">
        <w:rPr>
          <w:i/>
          <w:color w:val="000000"/>
          <w:szCs w:val="22"/>
        </w:rPr>
        <w:t xml:space="preserve">cloud cover recorded at </w:t>
      </w:r>
      <w:smartTag w:uri="urn:schemas-microsoft-com:office:smarttags" w:element="City">
        <w:r w:rsidR="005132EF" w:rsidRPr="00370E70">
          <w:rPr>
            <w:i/>
            <w:color w:val="000000"/>
            <w:szCs w:val="22"/>
          </w:rPr>
          <w:t>Cairns</w:t>
        </w:r>
      </w:smartTag>
      <w:r w:rsidR="005132EF" w:rsidRPr="00370E70">
        <w:rPr>
          <w:i/>
          <w:color w:val="000000"/>
          <w:szCs w:val="22"/>
        </w:rPr>
        <w:t xml:space="preserve"> airport</w:t>
      </w:r>
      <w:r w:rsidRPr="00370E70">
        <w:rPr>
          <w:i/>
          <w:color w:val="000000"/>
          <w:szCs w:val="22"/>
        </w:rPr>
        <w:t xml:space="preserve"> (BOM station 031011)</w:t>
      </w:r>
      <w:r w:rsidR="005132EF" w:rsidRPr="00370E70">
        <w:rPr>
          <w:i/>
          <w:color w:val="000000"/>
          <w:szCs w:val="22"/>
        </w:rPr>
        <w:t xml:space="preserve">, located approximately 26km from </w:t>
      </w:r>
      <w:smartTag w:uri="urn:schemas-microsoft-com:office:smarttags" w:element="place">
        <w:smartTag w:uri="urn:schemas-microsoft-com:office:smarttags" w:element="PlaceName">
          <w:r w:rsidR="005132EF" w:rsidRPr="00370E70">
            <w:rPr>
              <w:i/>
              <w:color w:val="000000"/>
              <w:szCs w:val="22"/>
            </w:rPr>
            <w:t>Green</w:t>
          </w:r>
        </w:smartTag>
        <w:r w:rsidR="005132EF" w:rsidRPr="00370E70">
          <w:rPr>
            <w:i/>
            <w:color w:val="000000"/>
            <w:szCs w:val="22"/>
          </w:rPr>
          <w:t xml:space="preserve"> </w:t>
        </w:r>
        <w:smartTag w:uri="urn:schemas-microsoft-com:office:smarttags" w:element="PlaceType">
          <w:r w:rsidR="005132EF" w:rsidRPr="00370E70">
            <w:rPr>
              <w:i/>
              <w:color w:val="000000"/>
              <w:szCs w:val="22"/>
            </w:rPr>
            <w:t>Island</w:t>
          </w:r>
        </w:smartTag>
      </w:smartTag>
      <w:r w:rsidR="005132EF" w:rsidRPr="00370E70">
        <w:rPr>
          <w:i/>
          <w:color w:val="000000"/>
          <w:szCs w:val="22"/>
        </w:rPr>
        <w:t xml:space="preserve"> monitoring sites. </w:t>
      </w:r>
      <w:r w:rsidR="00117451" w:rsidRPr="00370E70">
        <w:rPr>
          <w:i/>
          <w:color w:val="000000"/>
          <w:szCs w:val="22"/>
        </w:rPr>
        <w:t xml:space="preserve">Source www.bom.gov.au. </w:t>
      </w:r>
    </w:p>
    <w:p w:rsidR="005132EF" w:rsidRPr="00370E70" w:rsidRDefault="005132EF" w:rsidP="00034AD4">
      <w:pPr>
        <w:pStyle w:val="Heading5"/>
        <w:rPr>
          <w:color w:val="000000"/>
        </w:rPr>
      </w:pPr>
      <w:r w:rsidRPr="00370E70">
        <w:rPr>
          <w:color w:val="000000"/>
        </w:rPr>
        <w:t>Southern section (</w:t>
      </w:r>
      <w:smartTag w:uri="urn:schemas-microsoft-com:office:smarttags" w:element="PlaceName">
        <w:r w:rsidRPr="00370E70">
          <w:rPr>
            <w:color w:val="000000"/>
          </w:rPr>
          <w:t>Lugger</w:t>
        </w:r>
      </w:smartTag>
      <w:r w:rsidRPr="00370E70">
        <w:rPr>
          <w:color w:val="000000"/>
        </w:rPr>
        <w:t xml:space="preserve"> </w:t>
      </w:r>
      <w:smartTag w:uri="urn:schemas-microsoft-com:office:smarttags" w:element="PlaceType">
        <w:r w:rsidRPr="00370E70">
          <w:rPr>
            <w:color w:val="000000"/>
          </w:rPr>
          <w:t>Bay</w:t>
        </w:r>
      </w:smartTag>
      <w:r w:rsidRPr="00370E70">
        <w:rPr>
          <w:color w:val="000000"/>
        </w:rPr>
        <w:t xml:space="preserve"> and </w:t>
      </w:r>
      <w:smartTag w:uri="urn:schemas-microsoft-com:office:smarttags" w:element="place">
        <w:smartTag w:uri="urn:schemas-microsoft-com:office:smarttags" w:element="PlaceName">
          <w:r w:rsidRPr="00370E70">
            <w:rPr>
              <w:color w:val="000000"/>
            </w:rPr>
            <w:t>Dunk</w:t>
          </w:r>
        </w:smartTag>
        <w:r w:rsidRPr="00370E70">
          <w:rPr>
            <w:color w:val="000000"/>
          </w:rPr>
          <w:t xml:space="preserve"> </w:t>
        </w:r>
        <w:smartTag w:uri="urn:schemas-microsoft-com:office:smarttags" w:element="PlaceType">
          <w:r w:rsidRPr="00370E70">
            <w:rPr>
              <w:color w:val="000000"/>
            </w:rPr>
            <w:t>Island</w:t>
          </w:r>
        </w:smartTag>
      </w:smartTag>
      <w:r w:rsidRPr="00370E70">
        <w:rPr>
          <w:color w:val="000000"/>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The mean maximum daily air temperature recorded in Innisfail during 2011/12 was 27.9°C; although the same as the long-term (104 year) average, it was but 0.5°C cooler than the decadal average (</w:t>
      </w:r>
      <w:r w:rsidRPr="00370E70">
        <w:fldChar w:fldCharType="begin"/>
      </w:r>
      <w:r w:rsidRPr="00370E70">
        <w:instrText xml:space="preserve"> REF _Ref276117396 \h  \* MERGEFORMAT </w:instrText>
      </w:r>
      <w:r w:rsidRPr="00370E70">
        <w:fldChar w:fldCharType="separate"/>
      </w:r>
      <w:r w:rsidR="005B5FD6" w:rsidRPr="005B5FD6">
        <w:rPr>
          <w:szCs w:val="22"/>
        </w:rPr>
        <w:t xml:space="preserve">Figure </w:t>
      </w:r>
      <w:r w:rsidR="005B5FD6" w:rsidRPr="005B5FD6">
        <w:rPr>
          <w:noProof/>
          <w:color w:val="000000"/>
          <w:szCs w:val="22"/>
        </w:rPr>
        <w:t>82</w:t>
      </w:r>
      <w:r w:rsidRPr="00370E70">
        <w:fldChar w:fldCharType="end"/>
      </w:r>
      <w:r w:rsidRPr="00370E70">
        <w:rPr>
          <w:rFonts w:cs="TimesNewRoman"/>
          <w:color w:val="000000"/>
          <w:szCs w:val="22"/>
        </w:rPr>
        <w:t xml:space="preserve">). The highest recorded daily maximum air temperature in 2011/12 was 36.5°C.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2011/12 was a wet year relative to both the last decade and the long-term (2507mm, 40 year) records with approximately 29% and 23% more rain than the decadal and long-term medians (</w:t>
      </w:r>
      <w:r w:rsidRPr="00370E70">
        <w:fldChar w:fldCharType="begin"/>
      </w:r>
      <w:r w:rsidRPr="00370E70">
        <w:instrText xml:space="preserve"> REF _Ref276117396 \h  \* MERGEFORMAT </w:instrText>
      </w:r>
      <w:r w:rsidRPr="00370E70">
        <w:fldChar w:fldCharType="separate"/>
      </w:r>
      <w:r w:rsidR="005B5FD6" w:rsidRPr="005B5FD6">
        <w:rPr>
          <w:szCs w:val="22"/>
        </w:rPr>
        <w:t xml:space="preserve">Figure </w:t>
      </w:r>
      <w:r w:rsidR="005B5FD6" w:rsidRPr="005B5FD6">
        <w:rPr>
          <w:noProof/>
          <w:color w:val="000000"/>
          <w:szCs w:val="22"/>
        </w:rPr>
        <w:t>82</w:t>
      </w:r>
      <w:r w:rsidRPr="00370E70">
        <w:fldChar w:fldCharType="end"/>
      </w:r>
      <w:r w:rsidRPr="00370E70">
        <w:rPr>
          <w:rFonts w:cs="TimesNewRoman"/>
          <w:color w:val="000000"/>
          <w:szCs w:val="22"/>
        </w:rPr>
        <w:t xml:space="preserve">). No comparison is possible with the </w:t>
      </w:r>
      <w:r w:rsidR="002C6536" w:rsidRPr="00370E70">
        <w:rPr>
          <w:rFonts w:cs="TimesNewRoman"/>
          <w:color w:val="000000"/>
          <w:szCs w:val="22"/>
        </w:rPr>
        <w:t>previous</w:t>
      </w:r>
      <w:r w:rsidRPr="00370E70">
        <w:rPr>
          <w:rFonts w:cs="TimesNewRoman"/>
          <w:color w:val="000000"/>
          <w:szCs w:val="22"/>
        </w:rPr>
        <w:t xml:space="preserve"> year as no rainfall records were collected from February - March 2012 due to TC Yasi.</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Associated with the higher rainfall was an increase in cloud cover in 2011/12 with 4% and 19% more cloud than the decadal and long-term averages, respectively (</w:t>
      </w:r>
      <w:r w:rsidRPr="00370E70">
        <w:fldChar w:fldCharType="begin"/>
      </w:r>
      <w:r w:rsidRPr="00370E70">
        <w:instrText xml:space="preserve"> REF _Ref276117396 \h  \* MERGEFORMAT </w:instrText>
      </w:r>
      <w:r w:rsidRPr="00370E70">
        <w:fldChar w:fldCharType="separate"/>
      </w:r>
      <w:r w:rsidR="005B5FD6" w:rsidRPr="005B5FD6">
        <w:rPr>
          <w:szCs w:val="22"/>
        </w:rPr>
        <w:t xml:space="preserve">Figure </w:t>
      </w:r>
      <w:r w:rsidR="005B5FD6" w:rsidRPr="005B5FD6">
        <w:rPr>
          <w:noProof/>
          <w:color w:val="000000"/>
          <w:szCs w:val="22"/>
        </w:rPr>
        <w:t>82</w:t>
      </w:r>
      <w:r w:rsidRPr="00370E70">
        <w:fldChar w:fldCharType="end"/>
      </w:r>
      <w:r w:rsidRPr="00370E70">
        <w:rPr>
          <w:rFonts w:cs="TimesNewRoman"/>
          <w:color w:val="000000"/>
          <w:szCs w:val="22"/>
        </w:rPr>
        <w:t>). However, mean annual wind speed in 2011/12 (9.3 km.hr</w:t>
      </w:r>
      <w:r w:rsidRPr="00370E70">
        <w:rPr>
          <w:rFonts w:cs="TimesNewRoman"/>
          <w:color w:val="000000"/>
          <w:szCs w:val="22"/>
          <w:vertAlign w:val="superscript"/>
        </w:rPr>
        <w:t>-1</w:t>
      </w:r>
      <w:r w:rsidRPr="00370E70">
        <w:rPr>
          <w:rFonts w:cs="TimesNewRoman"/>
          <w:color w:val="000000"/>
          <w:szCs w:val="22"/>
        </w:rPr>
        <w:t>), was 22% and 29% lower than both the decadal and long-term averages.</w:t>
      </w:r>
    </w:p>
    <w:p w:rsidR="005132EF" w:rsidRPr="00370E70" w:rsidRDefault="007B15AB" w:rsidP="00034AD4">
      <w:pPr>
        <w:autoSpaceDE w:val="0"/>
        <w:autoSpaceDN w:val="0"/>
        <w:adjustRightInd w:val="0"/>
        <w:jc w:val="center"/>
      </w:pPr>
      <w:r>
        <w:rPr>
          <w:noProof/>
          <w:lang w:eastAsia="en-AU"/>
        </w:rPr>
        <w:lastRenderedPageBreak/>
        <w:drawing>
          <wp:inline distT="0" distB="0" distL="0" distR="0">
            <wp:extent cx="4276090" cy="3799205"/>
            <wp:effectExtent l="0" t="0" r="0" b="0"/>
            <wp:docPr id="114" name="Picture 123" descr="Graphs of the total monthly rainfall, mean monthly daily maximum air temperature, mean monthly cloud cover, and mean monthly 3pm wind speed at Lugger Bay and Dunk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Graphs of the total monthly rainfall, mean monthly daily maximum air temperature, mean monthly cloud cover, and mean monthly 3pm wind speed at Lugger Bay and Dunk Island. "/>
                    <pic:cNvPicPr>
                      <a:picLocks noChangeAspect="1" noChangeArrowheads="1"/>
                    </pic:cNvPicPr>
                  </pic:nvPicPr>
                  <pic:blipFill>
                    <a:blip r:embed="rId140" cstate="print">
                      <a:extLst>
                        <a:ext uri="{28A0092B-C50C-407E-A947-70E740481C1C}">
                          <a14:useLocalDpi xmlns:a14="http://schemas.microsoft.com/office/drawing/2010/main" val="0"/>
                        </a:ext>
                      </a:extLst>
                    </a:blip>
                    <a:srcRect t="7280"/>
                    <a:stretch>
                      <a:fillRect/>
                    </a:stretch>
                  </pic:blipFill>
                  <pic:spPr bwMode="auto">
                    <a:xfrm>
                      <a:off x="0" y="0"/>
                      <a:ext cx="4276090" cy="3799205"/>
                    </a:xfrm>
                    <a:prstGeom prst="rect">
                      <a:avLst/>
                    </a:prstGeom>
                    <a:noFill/>
                    <a:ln>
                      <a:noFill/>
                    </a:ln>
                  </pic:spPr>
                </pic:pic>
              </a:graphicData>
            </a:graphic>
          </wp:inline>
        </w:drawing>
      </w:r>
    </w:p>
    <w:p w:rsidR="00117451" w:rsidRPr="00370E70" w:rsidRDefault="005132EF" w:rsidP="00117451">
      <w:pPr>
        <w:pStyle w:val="Caption"/>
        <w:rPr>
          <w:i/>
          <w:vanish/>
          <w:color w:val="000000"/>
          <w:szCs w:val="22"/>
          <w:lang w:val="en-AU"/>
          <w:specVanish/>
        </w:rPr>
      </w:pPr>
      <w:bookmarkStart w:id="406" w:name="_Ref276117396"/>
      <w:bookmarkStart w:id="407" w:name="_Toc38419642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82</w:t>
      </w:r>
      <w:r w:rsidRPr="00370E70">
        <w:rPr>
          <w:lang w:val="en-AU"/>
        </w:rPr>
        <w:fldChar w:fldCharType="end"/>
      </w:r>
      <w:bookmarkEnd w:id="406"/>
      <w:r w:rsidRPr="00370E70">
        <w:rPr>
          <w:rStyle w:val="StyleCaptionCaptionCharCharLatinCalibri11ptBlackChar"/>
          <w:lang w:val="en-AU"/>
        </w:rPr>
        <w:t xml:space="preserve">. </w:t>
      </w:r>
      <w:r w:rsidRPr="00370E70">
        <w:rPr>
          <w:i/>
          <w:lang w:val="en-AU"/>
        </w:rPr>
        <w:t xml:space="preserve">Total monthly rainfall (bar graph), recorded at </w:t>
      </w:r>
      <w:smartTag w:uri="urn:schemas-microsoft-com:office:smarttags" w:element="place">
        <w:smartTag w:uri="urn:schemas-microsoft-com:office:smarttags" w:element="PlaceName">
          <w:r w:rsidRPr="00370E70">
            <w:rPr>
              <w:i/>
              <w:lang w:val="en-AU"/>
            </w:rPr>
            <w:t>Dunk</w:t>
          </w:r>
        </w:smartTag>
        <w:r w:rsidRPr="00370E70">
          <w:rPr>
            <w:i/>
            <w:lang w:val="en-AU"/>
          </w:rPr>
          <w:t xml:space="preserve"> </w:t>
        </w:r>
        <w:smartTag w:uri="urn:schemas-microsoft-com:office:smarttags" w:element="PlaceType">
          <w:r w:rsidRPr="00370E70">
            <w:rPr>
              <w:i/>
              <w:lang w:val="en-AU"/>
            </w:rPr>
            <w:t>Island</w:t>
          </w:r>
        </w:smartTag>
      </w:smartTag>
      <w:r w:rsidRPr="00370E70">
        <w:rPr>
          <w:i/>
          <w:lang w:val="en-AU"/>
        </w:rPr>
        <w:t>. Mean monthly daily maximum air temperature, mean monthly cloud cover (heavier line), and mean monthly 3pm wind speed (lighter line) recorded at Innisfail, located approximately 48km from monitoring sites at Lugger Bay and Dunk Island.</w:t>
      </w:r>
      <w:bookmarkEnd w:id="407"/>
      <w:r w:rsidR="00117451" w:rsidRPr="00370E70">
        <w:rPr>
          <w:i/>
          <w:lang w:val="en-AU"/>
        </w:rPr>
        <w:t xml:space="preserve"> </w:t>
      </w:r>
    </w:p>
    <w:p w:rsidR="00117451" w:rsidRPr="00370E70" w:rsidRDefault="00117451" w:rsidP="00117451">
      <w:pPr>
        <w:pStyle w:val="Caption"/>
        <w:rPr>
          <w:lang w:val="en-AU"/>
        </w:rPr>
      </w:pPr>
      <w:r w:rsidRPr="00370E70">
        <w:rPr>
          <w:i/>
          <w:lang w:val="en-AU"/>
        </w:rPr>
        <w:t xml:space="preserve">Source : </w:t>
      </w:r>
      <w:smartTag w:uri="urn:schemas-microsoft-com:office:smarttags" w:element="place">
        <w:smartTag w:uri="urn:schemas-microsoft-com:office:smarttags" w:element="PlaceName">
          <w:r w:rsidRPr="00370E70">
            <w:rPr>
              <w:i/>
              <w:color w:val="000000"/>
              <w:szCs w:val="22"/>
              <w:lang w:val="en-AU"/>
            </w:rPr>
            <w:t>Dunk</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Resort (BOM station 32118), Innisfail (BOM station 032025), courtesy www.bom.gov.au.</w:t>
      </w:r>
      <w:r w:rsidRPr="00370E70">
        <w:rPr>
          <w:lang w:val="en-AU"/>
        </w:rPr>
        <w:t xml:space="preserve"> </w:t>
      </w:r>
    </w:p>
    <w:p w:rsidR="005132EF" w:rsidRPr="00370E70" w:rsidRDefault="005132EF" w:rsidP="00034AD4">
      <w:pPr>
        <w:pStyle w:val="Heading4"/>
        <w:rPr>
          <w:b/>
          <w:iCs/>
          <w:color w:val="000000"/>
        </w:rPr>
      </w:pPr>
      <w:bookmarkStart w:id="408" w:name="_Toc184101994"/>
      <w:r w:rsidRPr="00370E70">
        <w:rPr>
          <w:b/>
          <w:iCs/>
          <w:color w:val="000000"/>
        </w:rPr>
        <w:t>River discharge</w:t>
      </w:r>
      <w:bookmarkEnd w:id="408"/>
    </w:p>
    <w:p w:rsidR="005132EF" w:rsidRPr="00370E70" w:rsidRDefault="005132EF" w:rsidP="00034AD4">
      <w:pPr>
        <w:rPr>
          <w:color w:val="000000"/>
          <w:szCs w:val="22"/>
        </w:rPr>
      </w:pPr>
      <w:bookmarkStart w:id="409" w:name="OLE_LINK8"/>
      <w:bookmarkStart w:id="410" w:name="OLE_LINK26"/>
      <w:r w:rsidRPr="00370E70">
        <w:rPr>
          <w:rFonts w:cs="TimesNewRoman"/>
          <w:color w:val="000000"/>
          <w:szCs w:val="22"/>
        </w:rPr>
        <w:t xml:space="preserve">Several major rivers discharge into the coastal waters of the Wet Tropics and during floods their plumes extend to locations where seagrass monitoring sites occur. </w:t>
      </w:r>
      <w:r w:rsidRPr="00370E70">
        <w:rPr>
          <w:color w:val="000000"/>
          <w:szCs w:val="22"/>
        </w:rPr>
        <w:t>Discharged waters from Wet Tropics rivers travel predominately north: a consequence of the Coriolis effect and prevailing trade winds (</w:t>
      </w:r>
      <w:hyperlink w:anchor="_ENREF_83" w:tooltip="Furnas, 2003 #7010" w:history="1">
        <w:r w:rsidR="00964A70" w:rsidRPr="00370E70">
          <w:rPr>
            <w:color w:val="000000"/>
            <w:szCs w:val="22"/>
          </w:rPr>
          <w:fldChar w:fldCharType="begin"/>
        </w:r>
        <w:r w:rsidR="00964A70" w:rsidRPr="00370E70">
          <w:rPr>
            <w:color w:val="000000"/>
            <w:szCs w:val="22"/>
          </w:rPr>
          <w:instrText xml:space="preserve"> ADDIN EN.CITE &lt;EndNote&gt;&lt;Cite&gt;&lt;Author&gt;Furnas&lt;/Author&gt;&lt;Year&gt;2003&lt;/Year&gt;&lt;RecNum&gt;7010&lt;/RecNum&gt;&lt;DisplayText&gt;Furnas 2003&lt;/DisplayText&gt;&lt;record&gt;&lt;rec-number&gt;7010&lt;/rec-number&gt;&lt;foreign-keys&gt;&lt;key app="EN" db-id="0eve55x9y5vfd6e9dacxtew4eatve2dzds9a"&gt;7010&lt;/key&gt;&lt;/foreign-keys&gt;&lt;ref-type name="Book"&gt;6&lt;/ref-type&gt;&lt;contributors&gt;&lt;authors&gt;&lt;author&gt;Furnas, M.&lt;/author&gt;&lt;/authors&gt;&lt;/contributors&gt;&lt;titles&gt;&lt;title&gt;Catchment and corals: terrestrial runoff to the Great Barrier Reef&lt;/title&gt;&lt;/titles&gt;&lt;pages&gt;334&lt;/pages&gt;&lt;dates&gt;&lt;year&gt;2003&lt;/year&gt;&lt;/dates&gt;&lt;pub-location&gt;Townville Queensland&lt;/pub-location&gt;&lt;publisher&gt;Australian Institute of Marine Science&lt;/publisher&gt;&lt;isbn&gt;0 642 32223 6&lt;/isbn&gt;&lt;urls&gt;&lt;/urls&gt;&lt;/record&gt;&lt;/Cite&gt;&lt;/EndNote&gt;</w:instrText>
        </w:r>
        <w:r w:rsidR="00964A70" w:rsidRPr="00370E70">
          <w:rPr>
            <w:color w:val="000000"/>
            <w:szCs w:val="22"/>
          </w:rPr>
          <w:fldChar w:fldCharType="separate"/>
        </w:r>
        <w:r w:rsidR="00964A70" w:rsidRPr="00370E70">
          <w:rPr>
            <w:noProof/>
            <w:color w:val="000000"/>
            <w:szCs w:val="22"/>
          </w:rPr>
          <w:t>Furnas 2003</w:t>
        </w:r>
        <w:r w:rsidR="00964A70" w:rsidRPr="00370E70">
          <w:rPr>
            <w:color w:val="000000"/>
            <w:szCs w:val="22"/>
          </w:rPr>
          <w:fldChar w:fldCharType="end"/>
        </w:r>
      </w:hyperlink>
      <w:r w:rsidRPr="00370E70">
        <w:rPr>
          <w:color w:val="000000"/>
          <w:szCs w:val="22"/>
        </w:rPr>
        <w:t>). During flood events, intertidal and inner reefs are inundated by waters laden in nitrogen and phosphorus species for periods of days to several weeks in the monsoon (</w:t>
      </w:r>
      <w:hyperlink w:anchor="_ENREF_65" w:tooltip="Devlin, 2001 #8103" w:history="1">
        <w:r w:rsidR="00964A70" w:rsidRPr="00370E70">
          <w:rPr>
            <w:color w:val="000000"/>
            <w:szCs w:val="22"/>
          </w:rPr>
          <w:fldChar w:fldCharType="begin"/>
        </w:r>
        <w:r w:rsidR="00964A70" w:rsidRPr="00370E70">
          <w:rPr>
            <w:color w:val="000000"/>
            <w:szCs w:val="22"/>
          </w:rPr>
          <w:instrText xml:space="preserve"> ADDIN EN.CITE &lt;EndNote&gt;&lt;Cite&gt;&lt;Author&gt;Devlin&lt;/Author&gt;&lt;Year&gt;2001&lt;/Year&gt;&lt;RecNum&gt;8103&lt;/RecNum&gt;&lt;DisplayText&gt;Devlin&lt;style face="italic"&gt; et al.&lt;/style&gt; 2001&lt;/DisplayText&gt;&lt;record&gt;&lt;rec-number&gt;8103&lt;/rec-number&gt;&lt;foreign-keys&gt;&lt;key app="EN" db-id="0eve55x9y5vfd6e9dacxtew4eatve2dzds9a"&gt;8103&lt;/key&gt;&lt;/foreign-keys&gt;&lt;ref-type name="Report"&gt;27&lt;/ref-type&gt;&lt;contributors&gt;&lt;authors&gt;&lt;author&gt;Devlin, M&lt;/author&gt;&lt;author&gt;Waterhouse, J&lt;/author&gt;&lt;author&gt;Taylor, J&lt;/author&gt;&lt;author&gt;Brodie, J&lt;/author&gt;&lt;/authors&gt;&lt;/contributors&gt;&lt;titles&gt;&lt;title&gt;Flood plumes in the Great Barrier Reef: Spatial and temporal patterns in composition and distribution&lt;/title&gt;&lt;/titles&gt;&lt;dates&gt;&lt;year&gt;2001&lt;/year&gt;&lt;/dates&gt;&lt;pub-location&gt;Townsville&lt;/pub-location&gt;&lt;publisher&gt;Great Barrier Reef Marine Park Authority Report No. 68&lt;/publisher&gt;&lt;urls&gt;&lt;/urls&gt;&lt;/record&gt;&lt;/Cite&gt;&lt;/EndNote&gt;</w:instrText>
        </w:r>
        <w:r w:rsidR="00964A70" w:rsidRPr="00370E70">
          <w:rPr>
            <w:color w:val="000000"/>
            <w:szCs w:val="22"/>
          </w:rPr>
          <w:fldChar w:fldCharType="separate"/>
        </w:r>
        <w:r w:rsidR="00964A70" w:rsidRPr="00370E70">
          <w:rPr>
            <w:noProof/>
            <w:color w:val="000000"/>
            <w:szCs w:val="22"/>
          </w:rPr>
          <w:t>Devlin</w:t>
        </w:r>
        <w:r w:rsidR="00964A70" w:rsidRPr="00370E70">
          <w:rPr>
            <w:i/>
            <w:noProof/>
            <w:color w:val="000000"/>
            <w:szCs w:val="22"/>
          </w:rPr>
          <w:t xml:space="preserve"> et al.</w:t>
        </w:r>
        <w:r w:rsidR="00964A70" w:rsidRPr="00370E70">
          <w:rPr>
            <w:noProof/>
            <w:color w:val="000000"/>
            <w:szCs w:val="22"/>
          </w:rPr>
          <w:t xml:space="preserve"> 2001</w:t>
        </w:r>
        <w:r w:rsidR="00964A70" w:rsidRPr="00370E70">
          <w:rPr>
            <w:color w:val="000000"/>
            <w:szCs w:val="22"/>
          </w:rPr>
          <w:fldChar w:fldCharType="end"/>
        </w:r>
      </w:hyperlink>
      <w:r w:rsidRPr="00370E70">
        <w:rPr>
          <w:color w:val="000000"/>
          <w:szCs w:val="22"/>
        </w:rPr>
        <w:t>).</w:t>
      </w:r>
    </w:p>
    <w:p w:rsidR="005132EF" w:rsidRPr="00370E70" w:rsidRDefault="005132EF" w:rsidP="00034AD4">
      <w:pPr>
        <w:rPr>
          <w:color w:val="000000"/>
          <w:szCs w:val="22"/>
        </w:rPr>
      </w:pPr>
      <w:r w:rsidRPr="00370E70">
        <w:rPr>
          <w:color w:val="000000"/>
          <w:szCs w:val="22"/>
        </w:rPr>
        <w:t xml:space="preserve">Flood plume modelling estimates that Yule Point is within a zone impacted yearly </w:t>
      </w:r>
      <w:r w:rsidR="00117451" w:rsidRPr="00370E70">
        <w:rPr>
          <w:color w:val="000000"/>
          <w:szCs w:val="22"/>
        </w:rPr>
        <w:t>(</w:t>
      </w:r>
      <w:hyperlink w:anchor="_ENREF_65" w:tooltip="Devlin, 2001 #8103" w:history="1">
        <w:r w:rsidR="00964A70" w:rsidRPr="00370E70">
          <w:rPr>
            <w:color w:val="000000"/>
            <w:szCs w:val="22"/>
          </w:rPr>
          <w:fldChar w:fldCharType="begin"/>
        </w:r>
        <w:r w:rsidR="00964A70" w:rsidRPr="00370E70">
          <w:rPr>
            <w:color w:val="000000"/>
            <w:szCs w:val="22"/>
          </w:rPr>
          <w:instrText xml:space="preserve"> ADDIN EN.CITE &lt;EndNote&gt;&lt;Cite&gt;&lt;Author&gt;Devlin&lt;/Author&gt;&lt;Year&gt;2001&lt;/Year&gt;&lt;RecNum&gt;8103&lt;/RecNum&gt;&lt;DisplayText&gt;Devlin&lt;style face="italic"&gt;, et al.&lt;/style&gt; 2001&lt;/DisplayText&gt;&lt;record&gt;&lt;rec-number&gt;8103&lt;/rec-number&gt;&lt;foreign-keys&gt;&lt;key app="EN" db-id="0eve55x9y5vfd6e9dacxtew4eatve2dzds9a"&gt;8103&lt;/key&gt;&lt;/foreign-keys&gt;&lt;ref-type name="Report"&gt;27&lt;/ref-type&gt;&lt;contributors&gt;&lt;authors&gt;&lt;author&gt;Devlin, M&lt;/author&gt;&lt;author&gt;Waterhouse, J&lt;/author&gt;&lt;author&gt;Taylor, J&lt;/author&gt;&lt;author&gt;Brodie, J&lt;/author&gt;&lt;/authors&gt;&lt;/contributors&gt;&lt;titles&gt;&lt;title&gt;Flood plumes in the Great Barrier Reef: Spatial and temporal patterns in composition and distribution&lt;/title&gt;&lt;/titles&gt;&lt;dates&gt;&lt;year&gt;2001&lt;/year&gt;&lt;/dates&gt;&lt;pub-location&gt;Townsville&lt;/pub-location&gt;&lt;publisher&gt;Great Barrier Reef Marine Park Authority Report No. 68&lt;/publisher&gt;&lt;urls&gt;&lt;/urls&gt;&lt;/record&gt;&lt;/Cite&gt;&lt;/EndNote&gt;</w:instrText>
        </w:r>
        <w:r w:rsidR="00964A70" w:rsidRPr="00370E70">
          <w:rPr>
            <w:color w:val="000000"/>
            <w:szCs w:val="22"/>
          </w:rPr>
          <w:fldChar w:fldCharType="separate"/>
        </w:r>
        <w:r w:rsidR="00964A70" w:rsidRPr="00370E70">
          <w:rPr>
            <w:noProof/>
            <w:color w:val="000000"/>
            <w:szCs w:val="22"/>
          </w:rPr>
          <w:t>Devlin</w:t>
        </w:r>
        <w:r w:rsidR="00964A70" w:rsidRPr="00370E70">
          <w:rPr>
            <w:i/>
            <w:noProof/>
            <w:color w:val="000000"/>
            <w:szCs w:val="22"/>
          </w:rPr>
          <w:t>, et al.</w:t>
        </w:r>
        <w:r w:rsidR="00964A70" w:rsidRPr="00370E70">
          <w:rPr>
            <w:noProof/>
            <w:color w:val="000000"/>
            <w:szCs w:val="22"/>
          </w:rPr>
          <w:t xml:space="preserve"> 2001</w:t>
        </w:r>
        <w:r w:rsidR="00964A70" w:rsidRPr="00370E70">
          <w:rPr>
            <w:color w:val="000000"/>
            <w:szCs w:val="22"/>
          </w:rPr>
          <w:fldChar w:fldCharType="end"/>
        </w:r>
      </w:hyperlink>
      <w:r w:rsidR="00117451" w:rsidRPr="00370E70">
        <w:rPr>
          <w:color w:val="000000"/>
          <w:szCs w:val="22"/>
        </w:rPr>
        <w:t>)</w:t>
      </w:r>
      <w:r w:rsidRPr="00370E70">
        <w:rPr>
          <w:color w:val="000000"/>
          <w:szCs w:val="22"/>
        </w:rPr>
        <w:t>. The major river impacting Yule Point would be the Barron. The Barron River discharges 0.1x10</w:t>
      </w:r>
      <w:r w:rsidRPr="00370E70">
        <w:rPr>
          <w:color w:val="000000"/>
          <w:szCs w:val="22"/>
          <w:vertAlign w:val="superscript"/>
        </w:rPr>
        <w:t>6</w:t>
      </w:r>
      <w:r w:rsidRPr="00370E70">
        <w:rPr>
          <w:color w:val="000000"/>
          <w:szCs w:val="22"/>
        </w:rPr>
        <w:t xml:space="preserve"> tonnes of fine sediment, 70 tonnes of phosphorus and 500 tonnes of nitrogen per year (from Table 1 </w:t>
      </w:r>
      <w:r w:rsidRPr="00370E70">
        <w:rPr>
          <w:i/>
          <w:color w:val="000000"/>
          <w:szCs w:val="22"/>
        </w:rPr>
        <w:t>in</w:t>
      </w:r>
      <w:r w:rsidRPr="00370E70">
        <w:rPr>
          <w:color w:val="000000"/>
          <w:szCs w:val="22"/>
        </w:rPr>
        <w:t xml:space="preserve">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xml:space="preserve">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xml:space="preserve">). During major flood events, plumes from the Russell-Mulgrave and </w:t>
      </w:r>
      <w:smartTag w:uri="urn:schemas-microsoft-com:office:smarttags" w:element="place">
        <w:smartTag w:uri="urn:schemas-microsoft-com:office:smarttags" w:element="PlaceName">
          <w:r w:rsidRPr="00370E70">
            <w:rPr>
              <w:color w:val="000000"/>
              <w:szCs w:val="22"/>
            </w:rPr>
            <w:t>Johnstone</w:t>
          </w:r>
        </w:smartTag>
        <w:r w:rsidRPr="00370E70">
          <w:rPr>
            <w:color w:val="000000"/>
            <w:szCs w:val="22"/>
          </w:rPr>
          <w:t xml:space="preserve"> </w:t>
        </w:r>
        <w:smartTag w:uri="urn:schemas-microsoft-com:office:smarttags" w:element="PlaceType">
          <w:r w:rsidRPr="00370E70">
            <w:rPr>
              <w:color w:val="000000"/>
              <w:szCs w:val="22"/>
            </w:rPr>
            <w:t>Rivers</w:t>
          </w:r>
        </w:smartTag>
      </w:smartTag>
      <w:r w:rsidRPr="00370E70">
        <w:rPr>
          <w:color w:val="000000"/>
          <w:szCs w:val="22"/>
        </w:rPr>
        <w:t xml:space="preserve"> could also impact Yule Point. The Russell-Mulgrave discharges 0.21 x10</w:t>
      </w:r>
      <w:r w:rsidRPr="00370E70">
        <w:rPr>
          <w:color w:val="000000"/>
          <w:szCs w:val="22"/>
          <w:vertAlign w:val="superscript"/>
        </w:rPr>
        <w:t>6</w:t>
      </w:r>
      <w:r w:rsidRPr="00370E70">
        <w:rPr>
          <w:color w:val="000000"/>
          <w:szCs w:val="22"/>
        </w:rPr>
        <w:t xml:space="preserve"> tonnes of fine sediment, 320 tonnes of phosphorus and 2200 tonnes of nitrogen per year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The Johnstone discharges 0.26 x10</w:t>
      </w:r>
      <w:r w:rsidRPr="00370E70">
        <w:rPr>
          <w:color w:val="000000"/>
          <w:szCs w:val="22"/>
          <w:vertAlign w:val="superscript"/>
        </w:rPr>
        <w:t>6</w:t>
      </w:r>
      <w:r w:rsidRPr="00370E70">
        <w:rPr>
          <w:color w:val="000000"/>
          <w:szCs w:val="22"/>
        </w:rPr>
        <w:t xml:space="preserve"> tonnes of fine sediment, 580 tonnes of phosphorus and 2,250 tonnes of nitrogen per year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w:t>
      </w:r>
    </w:p>
    <w:p w:rsidR="005132EF" w:rsidRPr="00370E70" w:rsidRDefault="005132EF" w:rsidP="00034AD4">
      <w:pPr>
        <w:rPr>
          <w:color w:val="000000"/>
          <w:szCs w:val="22"/>
        </w:rPr>
      </w:pPr>
      <w:r w:rsidRPr="00370E70">
        <w:rPr>
          <w:color w:val="000000"/>
          <w:szCs w:val="22"/>
        </w:rPr>
        <w:t>In the southern section of the Wet Tropics region, the coastal seagrass meadows of Lugger Bay would be influenced primarily by the Tully and Murray Rivers (approximately 8 km and 15 km south of Lugger Bay respectively) (</w:t>
      </w:r>
      <w:hyperlink w:anchor="_ENREF_64" w:tooltip="Devlin, 2009 #9774" w:history="1">
        <w:r w:rsidR="00964A70" w:rsidRPr="00370E70">
          <w:rPr>
            <w:color w:val="000000"/>
            <w:szCs w:val="22"/>
          </w:rPr>
          <w:fldChar w:fldCharType="begin"/>
        </w:r>
        <w:r w:rsidR="00964A70" w:rsidRPr="00370E70">
          <w:rPr>
            <w:color w:val="000000"/>
            <w:szCs w:val="22"/>
          </w:rPr>
          <w:instrText xml:space="preserve"> ADDIN EN.CITE &lt;EndNote&gt;&lt;Cite&gt;&lt;Author&gt;Devlin&lt;/Author&gt;&lt;Year&gt;2009&lt;/Year&gt;&lt;RecNum&gt;9774&lt;/RecNum&gt;&lt;DisplayText&gt;Devlin and Schaffelke 2009&lt;/DisplayText&gt;&lt;record&gt;&lt;rec-number&gt;9774&lt;/rec-number&gt;&lt;foreign-keys&gt;&lt;key app="EN" db-id="0eve55x9y5vfd6e9dacxtew4eatve2dzds9a"&gt;9774&lt;/key&gt;&lt;/foreign-keys&gt;&lt;ref-type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00964A70" w:rsidRPr="00370E70">
          <w:rPr>
            <w:color w:val="000000"/>
            <w:szCs w:val="22"/>
          </w:rPr>
          <w:fldChar w:fldCharType="separate"/>
        </w:r>
        <w:r w:rsidR="00964A70" w:rsidRPr="00370E70">
          <w:rPr>
            <w:noProof/>
            <w:color w:val="000000"/>
            <w:szCs w:val="22"/>
          </w:rPr>
          <w:t>Devlin and Schaffelke 2009</w:t>
        </w:r>
        <w:r w:rsidR="00964A70" w:rsidRPr="00370E70">
          <w:rPr>
            <w:color w:val="000000"/>
            <w:szCs w:val="22"/>
          </w:rPr>
          <w:fldChar w:fldCharType="end"/>
        </w:r>
      </w:hyperlink>
      <w:r w:rsidRPr="00370E70">
        <w:rPr>
          <w:color w:val="000000"/>
          <w:szCs w:val="22"/>
        </w:rPr>
        <w:t>). Both the Tully and Murray Rivers have been labelled as medium/high risk to inshore areas by the Great Barrier Reef Marine Park Authority (</w:t>
      </w:r>
      <w:hyperlink w:anchor="_ENREF_88" w:tooltip="Great Barrier Reef Marine Park Authority, 2001 #6932" w:history="1">
        <w:r w:rsidR="00964A70" w:rsidRPr="00370E70">
          <w:rPr>
            <w:color w:val="000000"/>
            <w:szCs w:val="22"/>
          </w:rPr>
          <w:fldChar w:fldCharType="begin"/>
        </w:r>
        <w:r w:rsidR="00964A70" w:rsidRPr="00370E70">
          <w:rPr>
            <w:color w:val="000000"/>
            <w:szCs w:val="22"/>
          </w:rPr>
          <w:instrText xml:space="preserve"> ADDIN EN.CITE &lt;EndNote&gt;&lt;Cite&gt;&lt;Author&gt;Great Barrier Reef Marine Park Authority&lt;/Author&gt;&lt;Year&gt;2001&lt;/Year&gt;&lt;RecNum&gt;6932&lt;/RecNum&gt;&lt;DisplayText&gt;Great Barrier Reef Marine Park Authority 2001&lt;/DisplayText&gt;&lt;record&gt;&lt;rec-number&gt;6932&lt;/rec-number&gt;&lt;foreign-keys&gt;&lt;key app="EN" db-id="0eve55x9y5vfd6e9dacxtew4eatve2dzds9a"&gt;6932&lt;/key&gt;&lt;/foreign-keys&gt;&lt;ref-type name="Book"&gt;6&lt;/ref-type&gt;&lt;contributors&gt;&lt;authors&gt;&lt;author&gt;Great Barrier Reef Marine Park Authority,&lt;/author&gt;&lt;/authors&gt;&lt;/contributors&gt;&lt;titles&gt;&lt;title&gt;Great Barrier Reef catchment water quality action plan, a report to ministerial council on targets for pollutant loads&lt;/title&gt;&lt;/titles&gt;&lt;pages&gt;116&lt;/pages&gt;&lt;dates&gt;&lt;year&gt;2001&lt;/year&gt;&lt;/dates&gt;&lt;pub-location&gt;Townsville&lt;/pub-location&gt;&lt;publisher&gt;Great Barrier Reef Marine Park Authority&lt;/publisher&gt;&lt;isbn&gt;1 876945 04 0&lt;/isbn&gt;&lt;urls&gt;&lt;/urls&gt;&lt;/record&gt;&lt;/Cite&gt;&lt;/EndNote&gt;</w:instrText>
        </w:r>
        <w:r w:rsidR="00964A70" w:rsidRPr="00370E70">
          <w:rPr>
            <w:color w:val="000000"/>
            <w:szCs w:val="22"/>
          </w:rPr>
          <w:fldChar w:fldCharType="separate"/>
        </w:r>
        <w:r w:rsidR="00964A70" w:rsidRPr="00370E70">
          <w:rPr>
            <w:noProof/>
            <w:color w:val="000000"/>
            <w:szCs w:val="22"/>
          </w:rPr>
          <w:t>Great Barrier Reef Marine Park Authority 2001</w:t>
        </w:r>
        <w:r w:rsidR="00964A70" w:rsidRPr="00370E70">
          <w:rPr>
            <w:color w:val="000000"/>
            <w:szCs w:val="22"/>
          </w:rPr>
          <w:fldChar w:fldCharType="end"/>
        </w:r>
      </w:hyperlink>
      <w:r w:rsidRPr="00370E70">
        <w:rPr>
          <w:color w:val="000000"/>
          <w:szCs w:val="22"/>
        </w:rPr>
        <w:t>). Of the two rivers, the Tully is the largest with an annual discharge of 0.12</w:t>
      </w:r>
      <w:bookmarkStart w:id="411" w:name="OLE_LINK37"/>
      <w:r w:rsidRPr="00370E70">
        <w:rPr>
          <w:color w:val="000000"/>
          <w:szCs w:val="22"/>
        </w:rPr>
        <w:t>x10</w:t>
      </w:r>
      <w:r w:rsidRPr="00370E70">
        <w:rPr>
          <w:color w:val="000000"/>
          <w:szCs w:val="22"/>
          <w:vertAlign w:val="superscript"/>
        </w:rPr>
        <w:t>6</w:t>
      </w:r>
      <w:r w:rsidRPr="00370E70">
        <w:rPr>
          <w:color w:val="000000"/>
          <w:szCs w:val="22"/>
        </w:rPr>
        <w:t xml:space="preserve"> </w:t>
      </w:r>
      <w:bookmarkEnd w:id="411"/>
      <w:r w:rsidRPr="00370E70">
        <w:rPr>
          <w:color w:val="000000"/>
          <w:szCs w:val="22"/>
        </w:rPr>
        <w:t>tonnes of fine sediment, 125 tonnes of phosphorus and 1,300 tonnes of nitrogen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The smaller river, the Murray, discharges 0.05x10</w:t>
      </w:r>
      <w:r w:rsidRPr="00370E70">
        <w:rPr>
          <w:color w:val="000000"/>
          <w:szCs w:val="22"/>
          <w:vertAlign w:val="superscript"/>
        </w:rPr>
        <w:t>6</w:t>
      </w:r>
      <w:r w:rsidRPr="00370E70">
        <w:rPr>
          <w:color w:val="000000"/>
          <w:szCs w:val="22"/>
        </w:rPr>
        <w:t xml:space="preserve"> tonnes of fine </w:t>
      </w:r>
      <w:r w:rsidRPr="00370E70">
        <w:rPr>
          <w:color w:val="000000"/>
          <w:szCs w:val="22"/>
        </w:rPr>
        <w:lastRenderedPageBreak/>
        <w:t>sediment, 58 tonnes of phosphorus and, 620 tonnes of nitrogen per year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The largest river in the region is the Herbert River, which is 60 km to the south and discharges 0.54 x10</w:t>
      </w:r>
      <w:r w:rsidRPr="00370E70">
        <w:rPr>
          <w:color w:val="000000"/>
          <w:szCs w:val="22"/>
          <w:vertAlign w:val="superscript"/>
        </w:rPr>
        <w:t>6</w:t>
      </w:r>
      <w:r w:rsidRPr="00370E70">
        <w:rPr>
          <w:color w:val="000000"/>
          <w:szCs w:val="22"/>
        </w:rPr>
        <w:t xml:space="preserve"> tonnes of fine sediment, 250 tonnes of phosphorus and 1,900 tonnes of nitrogen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w:t>
      </w:r>
    </w:p>
    <w:p w:rsidR="005132EF" w:rsidRPr="00370E70" w:rsidRDefault="005132EF" w:rsidP="00034AD4">
      <w:pPr>
        <w:rPr>
          <w:rFonts w:cs="TimesNewRoman"/>
          <w:color w:val="000000"/>
          <w:szCs w:val="22"/>
        </w:rPr>
      </w:pPr>
      <w:r w:rsidRPr="00370E70">
        <w:rPr>
          <w:color w:val="000000"/>
          <w:szCs w:val="22"/>
        </w:rPr>
        <w:t>Devlin and Schaffelke (</w:t>
      </w:r>
      <w:hyperlink w:anchor="_ENREF_64" w:tooltip="Devlin, 2009 #9774" w:history="1">
        <w:r w:rsidR="00964A70" w:rsidRPr="00370E70">
          <w:rPr>
            <w:color w:val="000000"/>
            <w:szCs w:val="22"/>
          </w:rPr>
          <w:fldChar w:fldCharType="begin"/>
        </w:r>
        <w:r w:rsidR="00964A70" w:rsidRPr="00370E70">
          <w:rPr>
            <w:color w:val="000000"/>
            <w:szCs w:val="22"/>
          </w:rPr>
          <w:instrText xml:space="preserve"> ADDIN EN.CITE &lt;EndNote&gt;&lt;Cite ExcludeAuth="1"&gt;&lt;Author&gt;Devlin&lt;/Author&gt;&lt;Year&gt;2009&lt;/Year&gt;&lt;RecNum&gt;9774&lt;/RecNum&gt;&lt;DisplayText&gt;2009&lt;/DisplayText&gt;&lt;record&gt;&lt;rec-number&gt;9774&lt;/rec-number&gt;&lt;foreign-keys&gt;&lt;key app="EN" db-id="0eve55x9y5vfd6e9dacxtew4eatve2dzds9a"&gt;9774&lt;/key&gt;&lt;/foreign-keys&gt;&lt;ref-type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00964A70" w:rsidRPr="00370E70">
          <w:rPr>
            <w:color w:val="000000"/>
            <w:szCs w:val="22"/>
          </w:rPr>
          <w:fldChar w:fldCharType="separate"/>
        </w:r>
        <w:r w:rsidR="00964A70" w:rsidRPr="00370E70">
          <w:rPr>
            <w:noProof/>
            <w:color w:val="000000"/>
            <w:szCs w:val="22"/>
          </w:rPr>
          <w:t>2009</w:t>
        </w:r>
        <w:r w:rsidR="00964A70" w:rsidRPr="00370E70">
          <w:rPr>
            <w:color w:val="000000"/>
            <w:szCs w:val="22"/>
          </w:rPr>
          <w:fldChar w:fldCharType="end"/>
        </w:r>
      </w:hyperlink>
      <w:r w:rsidRPr="00370E70">
        <w:rPr>
          <w:color w:val="000000"/>
          <w:szCs w:val="22"/>
        </w:rPr>
        <w:t xml:space="preserve">) reported that approximately 93% of seagrass meadows within the Tully marine area were inundated every year by freshwater-primary flood plumes, exposing the seagrass to intermittently high sediment and high nutrient concentrations for periods of days to weeks and potentially high loads of particles settling on the plants and seafloor. </w:t>
      </w:r>
      <w:r w:rsidRPr="00370E70">
        <w:rPr>
          <w:rFonts w:cs="TimesNewRoman"/>
          <w:color w:val="000000"/>
          <w:szCs w:val="22"/>
        </w:rPr>
        <w:t>The exposure to elevated Total Suspended Solids, Chlorophyll-a and PSII herbicides was rated as high for most of the seagrass monitoring sites, although reef habitats in the north (e.g. Green Island) were low exposure for TSS and reef habitats in the south (e.g. Dunk Island) were high for Chlorophyll-a and PSII herbicides. Overall, sites in the south had a high probability of exceeding the GBR WQ Guidelines for TSS in 2010, while coastal sites in the north had a medium probability (pers. comm. Michelle Devlin, JCU).</w:t>
      </w:r>
    </w:p>
    <w:p w:rsidR="005132EF" w:rsidRPr="00370E70" w:rsidRDefault="005132EF" w:rsidP="00034AD4">
      <w:pPr>
        <w:autoSpaceDE w:val="0"/>
        <w:autoSpaceDN w:val="0"/>
        <w:adjustRightInd w:val="0"/>
        <w:rPr>
          <w:rFonts w:cs="TimesNewRoman"/>
          <w:color w:val="000000"/>
          <w:szCs w:val="22"/>
        </w:rPr>
      </w:pPr>
      <w:r w:rsidRPr="00370E70">
        <w:rPr>
          <w:rFonts w:cs="Arial"/>
          <w:color w:val="000000"/>
          <w:szCs w:val="22"/>
        </w:rPr>
        <w:t xml:space="preserve">Higher rainfall in 2011/12 resulted </w:t>
      </w:r>
      <w:r w:rsidRPr="00370E70">
        <w:rPr>
          <w:rFonts w:cs="TimesNewRoman"/>
          <w:color w:val="000000"/>
          <w:szCs w:val="22"/>
        </w:rPr>
        <w:t xml:space="preserve">in higher than median discharges from the major rivers in the Wet Tropics, although this was approximately half the discharge over the 2010/11 monitoring period. </w:t>
      </w:r>
      <w:proofErr w:type="gramStart"/>
      <w:r w:rsidRPr="00370E70">
        <w:rPr>
          <w:rFonts w:cs="TimesNewRoman"/>
          <w:color w:val="000000"/>
          <w:szCs w:val="22"/>
        </w:rPr>
        <w:t>(</w:t>
      </w:r>
      <w:r w:rsidRPr="00370E70">
        <w:fldChar w:fldCharType="begin"/>
      </w:r>
      <w:r w:rsidRPr="00370E70">
        <w:instrText xml:space="preserve"> REF _Ref305321743 \h  \* MERGEFORMAT </w:instrText>
      </w:r>
      <w:r w:rsidRPr="00370E70">
        <w:fldChar w:fldCharType="separate"/>
      </w:r>
      <w:r w:rsidR="005B5FD6" w:rsidRPr="00370E70">
        <w:rPr>
          <w:color w:val="000000"/>
          <w:szCs w:val="22"/>
        </w:rPr>
        <w:t xml:space="preserve">Figure </w:t>
      </w:r>
      <w:r w:rsidR="005B5FD6">
        <w:rPr>
          <w:noProof/>
          <w:color w:val="000000"/>
          <w:szCs w:val="22"/>
        </w:rPr>
        <w:t>83</w:t>
      </w:r>
      <w:r w:rsidRPr="00370E70">
        <w:fldChar w:fldCharType="end"/>
      </w:r>
      <w:r w:rsidRPr="00370E70">
        <w:rPr>
          <w:rFonts w:cs="TimesNewRoman"/>
          <w:color w:val="000000"/>
          <w:szCs w:val="22"/>
        </w:rPr>
        <w:t>).</w:t>
      </w:r>
      <w:proofErr w:type="gramEnd"/>
    </w:p>
    <w:p w:rsidR="005132EF" w:rsidRPr="00370E70" w:rsidRDefault="007B15AB" w:rsidP="00034AD4">
      <w:r>
        <w:rPr>
          <w:noProof/>
          <w:lang w:eastAsia="en-AU"/>
        </w:rPr>
        <w:lastRenderedPageBreak/>
        <w:drawing>
          <wp:inline distT="0" distB="0" distL="0" distR="0">
            <wp:extent cx="5447665" cy="7096125"/>
            <wp:effectExtent l="0" t="0" r="635" b="9525"/>
            <wp:docPr id="115" name="Picture 124" descr="Graphs showing the average daily flow per month from the main rivers impacting the seagrass monitoring sites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Graphs showing the average daily flow per month from the main rivers impacting the seagrass monitoring sites in the Wet Tropics"/>
                    <pic:cNvPicPr>
                      <a:picLocks noChangeAspect="1" noChangeArrowheads="1"/>
                    </pic:cNvPicPr>
                  </pic:nvPicPr>
                  <pic:blipFill>
                    <a:blip r:embed="rId141">
                      <a:extLst>
                        <a:ext uri="{28A0092B-C50C-407E-A947-70E740481C1C}">
                          <a14:useLocalDpi xmlns:a14="http://schemas.microsoft.com/office/drawing/2010/main" val="0"/>
                        </a:ext>
                      </a:extLst>
                    </a:blip>
                    <a:srcRect b="1550"/>
                    <a:stretch>
                      <a:fillRect/>
                    </a:stretch>
                  </pic:blipFill>
                  <pic:spPr bwMode="auto">
                    <a:xfrm>
                      <a:off x="0" y="0"/>
                      <a:ext cx="5447665" cy="7096125"/>
                    </a:xfrm>
                    <a:prstGeom prst="rect">
                      <a:avLst/>
                    </a:prstGeom>
                    <a:noFill/>
                    <a:ln>
                      <a:noFill/>
                    </a:ln>
                  </pic:spPr>
                </pic:pic>
              </a:graphicData>
            </a:graphic>
          </wp:inline>
        </w:drawing>
      </w:r>
    </w:p>
    <w:p w:rsidR="006A5BF2" w:rsidRPr="00370E70" w:rsidRDefault="005132EF" w:rsidP="006A5BF2">
      <w:pPr>
        <w:rPr>
          <w:i/>
          <w:vanish/>
          <w:color w:val="000000"/>
          <w:szCs w:val="22"/>
          <w:specVanish/>
        </w:rPr>
      </w:pPr>
      <w:bookmarkStart w:id="412" w:name="_Ref305321743"/>
      <w:bookmarkStart w:id="413" w:name="_Toc384196430"/>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83</w:t>
      </w:r>
      <w:r w:rsidRPr="00370E70">
        <w:rPr>
          <w:color w:val="000000"/>
          <w:szCs w:val="22"/>
        </w:rPr>
        <w:fldChar w:fldCharType="end"/>
      </w:r>
      <w:bookmarkEnd w:id="412"/>
      <w:r w:rsidRPr="00370E70">
        <w:rPr>
          <w:color w:val="000000"/>
          <w:szCs w:val="22"/>
        </w:rPr>
        <w:t xml:space="preserve">. </w:t>
      </w:r>
      <w:r w:rsidRPr="00370E70">
        <w:rPr>
          <w:i/>
          <w:color w:val="000000"/>
          <w:szCs w:val="22"/>
        </w:rPr>
        <w:t>Average daily flow (ML day</w:t>
      </w:r>
      <w:r w:rsidRPr="00370E70">
        <w:rPr>
          <w:i/>
          <w:color w:val="000000"/>
          <w:szCs w:val="22"/>
          <w:vertAlign w:val="superscript"/>
        </w:rPr>
        <w:t>-1</w:t>
      </w:r>
      <w:r w:rsidRPr="00370E70">
        <w:rPr>
          <w:i/>
          <w:color w:val="000000"/>
          <w:szCs w:val="22"/>
        </w:rPr>
        <w:t>) per month from the main rivers impacting the seagrass monitoring sites in the Wet Tropics</w:t>
      </w:r>
      <w:bookmarkEnd w:id="413"/>
      <w:r w:rsidRPr="00370E70">
        <w:rPr>
          <w:i/>
          <w:color w:val="000000"/>
          <w:szCs w:val="22"/>
        </w:rPr>
        <w:t xml:space="preserve"> </w:t>
      </w:r>
    </w:p>
    <w:p w:rsidR="006A5BF2" w:rsidRPr="00370E70" w:rsidRDefault="006A5BF2" w:rsidP="006A5BF2">
      <w:pPr>
        <w:rPr>
          <w:color w:val="000000"/>
        </w:rPr>
      </w:pPr>
      <w:r w:rsidRPr="00370E70">
        <w:rPr>
          <w:i/>
          <w:color w:val="000000"/>
          <w:szCs w:val="22"/>
        </w:rPr>
        <w:t xml:space="preserve"> </w:t>
      </w:r>
      <w:r w:rsidR="005132EF" w:rsidRPr="00370E70">
        <w:rPr>
          <w:i/>
          <w:color w:val="000000"/>
          <w:szCs w:val="22"/>
        </w:rPr>
        <w:t xml:space="preserve">(DERM station </w:t>
      </w:r>
      <w:r w:rsidR="005132EF" w:rsidRPr="00370E70">
        <w:rPr>
          <w:rFonts w:cs="TimesNewRoman"/>
          <w:i/>
          <w:color w:val="000000"/>
          <w:szCs w:val="22"/>
        </w:rPr>
        <w:t>110001D - Barron River at Myola, 16.79983333°S 145.61211111°E, Elev 345m; 111007A - Mulgrave River at Peets Bridge, 17.13336111°S 145.76455556°E, Elev 27.1m; 111101D - Russell River at Bucklands 17.38595°S 145.96726667°E, Elev10m; 113006A - Tully River at Euramo, 17.99213889°S 145.94247222°E, Elev 8.76m</w:t>
      </w:r>
      <w:r w:rsidR="005132EF" w:rsidRPr="00370E70">
        <w:rPr>
          <w:i/>
          <w:color w:val="000000"/>
          <w:szCs w:val="22"/>
        </w:rPr>
        <w:t xml:space="preserve">) (source The State of </w:t>
      </w:r>
      <w:smartTag w:uri="urn:schemas-microsoft-com:office:smarttags" w:element="place">
        <w:smartTag w:uri="urn:schemas-microsoft-com:office:smarttags" w:element="State">
          <w:r w:rsidR="005132EF" w:rsidRPr="00370E70">
            <w:rPr>
              <w:i/>
              <w:color w:val="000000"/>
              <w:szCs w:val="22"/>
            </w:rPr>
            <w:t>Queensland</w:t>
          </w:r>
        </w:smartTag>
      </w:smartTag>
      <w:r w:rsidR="005132EF" w:rsidRPr="00370E70">
        <w:rPr>
          <w:i/>
          <w:color w:val="000000"/>
          <w:szCs w:val="22"/>
        </w:rPr>
        <w:t xml:space="preserve"> (DERM) 2012, watermonitoring.derm.qld.gov.au). </w:t>
      </w:r>
      <w:bookmarkEnd w:id="409"/>
      <w:bookmarkEnd w:id="410"/>
    </w:p>
    <w:p w:rsidR="00BC37A3" w:rsidRPr="00370E70" w:rsidRDefault="00BC37A3" w:rsidP="00034AD4">
      <w:pPr>
        <w:rPr>
          <w:color w:val="000000"/>
        </w:rPr>
      </w:pPr>
    </w:p>
    <w:p w:rsidR="00BC37A3" w:rsidRPr="00370E70" w:rsidRDefault="00BC37A3" w:rsidP="00034AD4">
      <w:pPr>
        <w:rPr>
          <w:color w:val="000000"/>
        </w:rPr>
      </w:pPr>
    </w:p>
    <w:p w:rsidR="00CB390E" w:rsidRPr="00370E70" w:rsidRDefault="00CB390E" w:rsidP="00034AD4">
      <w:pPr>
        <w:rPr>
          <w:color w:val="000000"/>
        </w:rPr>
      </w:pPr>
    </w:p>
    <w:p w:rsidR="00CB390E" w:rsidRPr="00370E70" w:rsidRDefault="00CB390E" w:rsidP="00034AD4">
      <w:pPr>
        <w:rPr>
          <w:color w:val="000000"/>
        </w:rPr>
      </w:pPr>
    </w:p>
    <w:p w:rsidR="00CB390E" w:rsidRPr="00370E70" w:rsidRDefault="00CB390E" w:rsidP="00034AD4">
      <w:pPr>
        <w:rPr>
          <w:color w:val="000000"/>
        </w:rPr>
      </w:pPr>
    </w:p>
    <w:p w:rsidR="00BC37A3" w:rsidRPr="00370E70" w:rsidRDefault="00BC37A3" w:rsidP="00034AD4">
      <w:pPr>
        <w:rPr>
          <w:color w:val="000000"/>
        </w:rPr>
      </w:pPr>
    </w:p>
    <w:p w:rsidR="005132EF" w:rsidRPr="00370E70" w:rsidRDefault="005132EF" w:rsidP="00034AD4">
      <w:pPr>
        <w:rPr>
          <w:color w:val="000080"/>
        </w:rPr>
      </w:pPr>
      <w:r w:rsidRPr="00370E70">
        <w:rPr>
          <w:color w:val="000000"/>
        </w:rPr>
        <w:br w:type="page"/>
      </w:r>
      <w:r w:rsidR="007B15AB">
        <w:rPr>
          <w:noProof/>
          <w:color w:val="000080"/>
          <w:lang w:eastAsia="en-AU"/>
        </w:rPr>
        <w:lastRenderedPageBreak/>
        <w:drawing>
          <wp:inline distT="0" distB="0" distL="0" distR="0">
            <wp:extent cx="5744210" cy="1867535"/>
            <wp:effectExtent l="0" t="0" r="8890" b="0"/>
            <wp:docPr id="116" name="Picture 125" descr="Photograph of seagrass monitoring site at Cockle Bay, Magnetic Island,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Photograph of seagrass monitoring site at Cockle Bay, Magnetic Island, April 2012"/>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744210" cy="186753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414" w:name="_Toc175991073"/>
      <w:bookmarkStart w:id="415" w:name="_Toc232845917"/>
      <w:bookmarkStart w:id="416" w:name="_Toc184101995"/>
      <w:bookmarkStart w:id="417" w:name="_Toc384196136"/>
      <w:bookmarkStart w:id="418" w:name="_Toc170191629"/>
      <w:r w:rsidRPr="00370E70">
        <w:rPr>
          <w:rFonts w:ascii="Century Gothic" w:hAnsi="Century Gothic"/>
          <w:color w:val="000000"/>
        </w:rPr>
        <w:t>Burdekin</w:t>
      </w:r>
      <w:bookmarkEnd w:id="414"/>
      <w:bookmarkEnd w:id="415"/>
      <w:bookmarkEnd w:id="416"/>
      <w:bookmarkEnd w:id="417"/>
    </w:p>
    <w:p w:rsidR="005132EF" w:rsidRPr="00370E70" w:rsidRDefault="005132EF" w:rsidP="00034AD4">
      <w:pPr>
        <w:pStyle w:val="Heading3"/>
        <w:rPr>
          <w:color w:val="000000"/>
        </w:rPr>
      </w:pPr>
      <w:bookmarkStart w:id="419" w:name="_Toc184101996"/>
      <w:bookmarkStart w:id="420" w:name="_Toc384196137"/>
      <w:bookmarkStart w:id="421" w:name="_Toc170191630"/>
      <w:bookmarkStart w:id="422" w:name="_Toc175991074"/>
      <w:bookmarkStart w:id="423" w:name="_Toc232845918"/>
      <w:bookmarkEnd w:id="418"/>
      <w:r w:rsidRPr="00370E70">
        <w:rPr>
          <w:color w:val="000000"/>
        </w:rPr>
        <w:t>2011/12 Summary</w:t>
      </w:r>
      <w:bookmarkEnd w:id="419"/>
      <w:bookmarkEnd w:id="420"/>
    </w:p>
    <w:p w:rsidR="004A1AD6" w:rsidRPr="00370E70" w:rsidRDefault="005132EF" w:rsidP="004A1AD6">
      <w:pPr>
        <w:rPr>
          <w:szCs w:val="22"/>
        </w:rPr>
      </w:pPr>
      <w:r w:rsidRPr="00370E70">
        <w:rPr>
          <w:color w:val="000000"/>
          <w:szCs w:val="22"/>
        </w:rPr>
        <w:t xml:space="preserve">Seagrass meadows in the Burdekin region are primarily structured by wind induced turbidity </w:t>
      </w:r>
      <w:r w:rsidR="00027B67" w:rsidRPr="00370E70">
        <w:rPr>
          <w:color w:val="000000"/>
          <w:szCs w:val="22"/>
        </w:rPr>
        <w:t xml:space="preserve">(resuspension) </w:t>
      </w:r>
      <w:r w:rsidRPr="00370E70">
        <w:rPr>
          <w:color w:val="000000"/>
          <w:szCs w:val="22"/>
        </w:rPr>
        <w:t>in the short term and by episodic riverine delivery of nutrients and sediment in the medium time scale. Disturbance from wave action, sediment movement and elevated temperatures are also dominant influences. Nutrient loadings in reef habitats are generally low: primarily nitrogen limited with secondary phosphate limi</w:t>
      </w:r>
      <w:r w:rsidR="006E0F9A" w:rsidRPr="00370E70">
        <w:rPr>
          <w:color w:val="000000"/>
          <w:szCs w:val="22"/>
        </w:rPr>
        <w:t>tation. Rainfall in the region is</w:t>
      </w:r>
      <w:r w:rsidRPr="00370E70">
        <w:rPr>
          <w:color w:val="000000"/>
          <w:szCs w:val="22"/>
        </w:rPr>
        <w:t xml:space="preserve"> lower than other regions within tropical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w:t>
      </w:r>
      <w:r w:rsidR="004A1AD6" w:rsidRPr="00370E70">
        <w:rPr>
          <w:color w:val="000000"/>
          <w:szCs w:val="22"/>
        </w:rPr>
        <w:t xml:space="preserve"> </w:t>
      </w:r>
      <w:r w:rsidR="00027B67" w:rsidRPr="00370E70">
        <w:rPr>
          <w:color w:val="000000"/>
          <w:szCs w:val="22"/>
        </w:rPr>
        <w:t>Seagrass abundance in coastal habitats</w:t>
      </w:r>
      <w:r w:rsidR="00FF2331" w:rsidRPr="00370E70">
        <w:rPr>
          <w:color w:val="000000"/>
          <w:szCs w:val="22"/>
        </w:rPr>
        <w:t xml:space="preserve"> </w:t>
      </w:r>
      <w:r w:rsidR="002C6536" w:rsidRPr="00370E70">
        <w:rPr>
          <w:color w:val="000000"/>
          <w:szCs w:val="22"/>
        </w:rPr>
        <w:t>remained</w:t>
      </w:r>
      <w:r w:rsidR="00FF2331" w:rsidRPr="00370E70">
        <w:rPr>
          <w:color w:val="000000"/>
          <w:szCs w:val="22"/>
        </w:rPr>
        <w:t xml:space="preserve"> low (unchanged)</w:t>
      </w:r>
      <w:r w:rsidR="00027B67" w:rsidRPr="00370E70">
        <w:rPr>
          <w:color w:val="000000"/>
          <w:szCs w:val="22"/>
        </w:rPr>
        <w:t xml:space="preserve"> from declines in early 2011</w:t>
      </w:r>
      <w:r w:rsidR="00FF2331" w:rsidRPr="00370E70">
        <w:rPr>
          <w:color w:val="000000"/>
          <w:szCs w:val="22"/>
        </w:rPr>
        <w:t xml:space="preserve">, </w:t>
      </w:r>
      <w:r w:rsidR="002C6536" w:rsidRPr="00370E70">
        <w:rPr>
          <w:color w:val="000000"/>
          <w:szCs w:val="22"/>
        </w:rPr>
        <w:t>however</w:t>
      </w:r>
      <w:r w:rsidR="006E0F9A" w:rsidRPr="00370E70">
        <w:rPr>
          <w:color w:val="000000"/>
          <w:szCs w:val="22"/>
        </w:rPr>
        <w:t>,</w:t>
      </w:r>
      <w:r w:rsidR="00FF2331" w:rsidRPr="00370E70">
        <w:rPr>
          <w:color w:val="000000"/>
          <w:szCs w:val="22"/>
        </w:rPr>
        <w:t xml:space="preserve"> </w:t>
      </w:r>
      <w:r w:rsidR="00027B67" w:rsidRPr="00370E70">
        <w:rPr>
          <w:color w:val="000000"/>
          <w:szCs w:val="22"/>
        </w:rPr>
        <w:t xml:space="preserve">abundance at </w:t>
      </w:r>
      <w:r w:rsidR="00FF2331" w:rsidRPr="00370E70">
        <w:rPr>
          <w:color w:val="000000"/>
          <w:szCs w:val="22"/>
        </w:rPr>
        <w:t>reef habitats increased</w:t>
      </w:r>
      <w:r w:rsidR="006E0F9A" w:rsidRPr="00370E70">
        <w:rPr>
          <w:color w:val="000000"/>
          <w:szCs w:val="22"/>
        </w:rPr>
        <w:t>;</w:t>
      </w:r>
      <w:r w:rsidR="00027B67" w:rsidRPr="00370E70">
        <w:rPr>
          <w:color w:val="000000"/>
          <w:szCs w:val="22"/>
        </w:rPr>
        <w:t xml:space="preserve"> primarily a consequence of the proliferation of </w:t>
      </w:r>
      <w:r w:rsidR="006E0F9A" w:rsidRPr="00370E70">
        <w:rPr>
          <w:color w:val="000000"/>
          <w:szCs w:val="22"/>
        </w:rPr>
        <w:t xml:space="preserve">the </w:t>
      </w:r>
      <w:r w:rsidR="00027B67" w:rsidRPr="00370E70">
        <w:rPr>
          <w:color w:val="000000"/>
          <w:szCs w:val="22"/>
        </w:rPr>
        <w:t xml:space="preserve">colonising seagrass species </w:t>
      </w:r>
      <w:r w:rsidR="00027B67" w:rsidRPr="00370E70">
        <w:rPr>
          <w:i/>
          <w:color w:val="000000"/>
          <w:szCs w:val="22"/>
        </w:rPr>
        <w:t>Halophila ovalis</w:t>
      </w:r>
      <w:r w:rsidR="00027B67" w:rsidRPr="00370E70">
        <w:rPr>
          <w:color w:val="000000"/>
          <w:szCs w:val="22"/>
        </w:rPr>
        <w:t xml:space="preserve">. </w:t>
      </w:r>
      <w:r w:rsidR="00A87F91" w:rsidRPr="00370E70">
        <w:rPr>
          <w:color w:val="000000"/>
          <w:szCs w:val="22"/>
        </w:rPr>
        <w:t xml:space="preserve">Seagrass reproductive status declined in coastal habitats, which also manifested in the further decline in meadow extent in 2011/12. Conversely, reproductive status increased in intertidal reef habitats, primarily a consequence of colonising seagrasses, </w:t>
      </w:r>
      <w:r w:rsidR="00057E27" w:rsidRPr="00370E70">
        <w:rPr>
          <w:color w:val="000000"/>
          <w:szCs w:val="22"/>
        </w:rPr>
        <w:t>which was</w:t>
      </w:r>
      <w:r w:rsidR="00A87F91" w:rsidRPr="00370E70">
        <w:rPr>
          <w:color w:val="000000"/>
          <w:szCs w:val="22"/>
        </w:rPr>
        <w:t xml:space="preserve"> reflected in the increased meadow extent.</w:t>
      </w:r>
      <w:r w:rsidR="00057E27" w:rsidRPr="00370E70">
        <w:rPr>
          <w:color w:val="000000"/>
          <w:szCs w:val="22"/>
        </w:rPr>
        <w:t xml:space="preserve"> Seed banks remained unchanged in reef habitats, but increased in coastal habitats, suggesting an improved capacity to recover once conditions are suitable.</w:t>
      </w:r>
      <w:r w:rsidR="004A1AD6" w:rsidRPr="00370E70">
        <w:rPr>
          <w:color w:val="000000"/>
          <w:szCs w:val="22"/>
        </w:rPr>
        <w:t xml:space="preserve"> </w:t>
      </w:r>
      <w:r w:rsidR="00046CED" w:rsidRPr="00370E70">
        <w:rPr>
          <w:szCs w:val="22"/>
        </w:rPr>
        <w:t>Seagrass tissue nutrients in late 2011 were</w:t>
      </w:r>
      <w:r w:rsidR="00FF2331" w:rsidRPr="00370E70">
        <w:rPr>
          <w:szCs w:val="22"/>
        </w:rPr>
        <w:t xml:space="preserve"> similar across habitats, suggesting P and N surplus to C requirements</w:t>
      </w:r>
      <w:r w:rsidR="00046CED" w:rsidRPr="00370E70">
        <w:rPr>
          <w:szCs w:val="22"/>
        </w:rPr>
        <w:t xml:space="preserve">. The nutrient ratios indicated elevated nitrogen, </w:t>
      </w:r>
      <w:r w:rsidR="00FE564F" w:rsidRPr="00370E70">
        <w:rPr>
          <w:szCs w:val="22"/>
        </w:rPr>
        <w:t>suggesting anthropogenic N influences such as fertiliser</w:t>
      </w:r>
      <w:r w:rsidR="00F6729C" w:rsidRPr="00370E70">
        <w:rPr>
          <w:szCs w:val="22"/>
        </w:rPr>
        <w:t xml:space="preserve">, although there appeared some sewage influence at </w:t>
      </w:r>
      <w:smartTag w:uri="urn:schemas-microsoft-com:office:smarttags" w:element="place">
        <w:smartTag w:uri="urn:schemas-microsoft-com:office:smarttags" w:element="PlaceName">
          <w:r w:rsidR="00046CED" w:rsidRPr="00370E70">
            <w:rPr>
              <w:szCs w:val="22"/>
            </w:rPr>
            <w:t>Magnetic</w:t>
          </w:r>
        </w:smartTag>
        <w:r w:rsidR="00F6729C" w:rsidRPr="00370E70">
          <w:rPr>
            <w:szCs w:val="22"/>
          </w:rPr>
          <w:t xml:space="preserve"> </w:t>
        </w:r>
        <w:smartTag w:uri="urn:schemas-microsoft-com:office:smarttags" w:element="PlaceType">
          <w:r w:rsidR="00F6729C" w:rsidRPr="00370E70">
            <w:rPr>
              <w:szCs w:val="22"/>
            </w:rPr>
            <w:t>Island</w:t>
          </w:r>
        </w:smartTag>
      </w:smartTag>
      <w:r w:rsidR="00F6729C" w:rsidRPr="00370E70">
        <w:rPr>
          <w:szCs w:val="22"/>
        </w:rPr>
        <w:t xml:space="preserve">. </w:t>
      </w:r>
      <w:r w:rsidR="00F6729C" w:rsidRPr="00370E70">
        <w:rPr>
          <w:color w:val="000000"/>
          <w:szCs w:val="22"/>
        </w:rPr>
        <w:t>Epiphytes in coastal habitats remained high on average over the monitoring period, but at reef habitats either declined slightly or remained unchanged. Adequate light was available for growth across the period as the l</w:t>
      </w:r>
      <w:r w:rsidR="00FF2331" w:rsidRPr="00370E70">
        <w:rPr>
          <w:color w:val="000000"/>
          <w:szCs w:val="22"/>
        </w:rPr>
        <w:t xml:space="preserve">ight environment improved, </w:t>
      </w:r>
      <w:r w:rsidR="002C6536" w:rsidRPr="00370E70">
        <w:rPr>
          <w:color w:val="000000"/>
          <w:szCs w:val="22"/>
        </w:rPr>
        <w:t>although</w:t>
      </w:r>
      <w:r w:rsidR="00FF2331" w:rsidRPr="00370E70">
        <w:rPr>
          <w:color w:val="000000"/>
          <w:szCs w:val="22"/>
        </w:rPr>
        <w:t xml:space="preserve"> </w:t>
      </w:r>
      <w:r w:rsidR="00F6729C" w:rsidRPr="00370E70">
        <w:rPr>
          <w:color w:val="000000"/>
          <w:szCs w:val="22"/>
        </w:rPr>
        <w:t xml:space="preserve">there was </w:t>
      </w:r>
      <w:r w:rsidR="00FF2331" w:rsidRPr="00370E70">
        <w:rPr>
          <w:color w:val="000000"/>
          <w:szCs w:val="22"/>
        </w:rPr>
        <w:t xml:space="preserve">limited data for coastal habitats due to </w:t>
      </w:r>
      <w:r w:rsidR="002C6536" w:rsidRPr="00370E70">
        <w:rPr>
          <w:color w:val="000000"/>
          <w:szCs w:val="22"/>
        </w:rPr>
        <w:t>equipment</w:t>
      </w:r>
      <w:r w:rsidR="00FF2331" w:rsidRPr="00370E70">
        <w:rPr>
          <w:color w:val="000000"/>
          <w:szCs w:val="22"/>
        </w:rPr>
        <w:t xml:space="preserve"> failure.</w:t>
      </w:r>
      <w:r w:rsidR="004A1AD6" w:rsidRPr="00370E70">
        <w:rPr>
          <w:color w:val="000000"/>
          <w:szCs w:val="22"/>
        </w:rPr>
        <w:t xml:space="preserve"> </w:t>
      </w:r>
      <w:r w:rsidR="00F6729C" w:rsidRPr="00370E70">
        <w:rPr>
          <w:szCs w:val="22"/>
        </w:rPr>
        <w:t xml:space="preserve">Extreme water temperatures were </w:t>
      </w:r>
      <w:r w:rsidR="00F6729C" w:rsidRPr="00370E70">
        <w:rPr>
          <w:rFonts w:cs="Calibri"/>
          <w:szCs w:val="22"/>
        </w:rPr>
        <w:t xml:space="preserve">recorded </w:t>
      </w:r>
      <w:r w:rsidR="00F6729C" w:rsidRPr="00370E70">
        <w:rPr>
          <w:szCs w:val="22"/>
        </w:rPr>
        <w:t>within the seagrass canopy over the monitoring period during April 2012, and temperatures across all habitats were slightly warmer in 2011/12 than 2010/11.</w:t>
      </w:r>
      <w:r w:rsidR="00F6729C" w:rsidRPr="00370E70">
        <w:rPr>
          <w:rFonts w:cs="TimesNewRoman"/>
          <w:szCs w:val="22"/>
        </w:rPr>
        <w:t xml:space="preserve"> Climate across the region was on average wetter, with clearer skies and calmer seas</w:t>
      </w:r>
      <w:r w:rsidR="00F6729C" w:rsidRPr="00370E70">
        <w:rPr>
          <w:szCs w:val="22"/>
        </w:rPr>
        <w:t xml:space="preserve"> than the previous monitoring period.</w:t>
      </w:r>
      <w:r w:rsidR="004A1AD6" w:rsidRPr="00370E70">
        <w:rPr>
          <w:rFonts w:cs="TimesNewRoman"/>
          <w:szCs w:val="22"/>
        </w:rPr>
        <w:t xml:space="preserve"> The high rainfall resulted in the 6</w:t>
      </w:r>
      <w:r w:rsidR="004A1AD6" w:rsidRPr="00370E70">
        <w:rPr>
          <w:rFonts w:cs="TimesNewRoman"/>
          <w:szCs w:val="22"/>
          <w:vertAlign w:val="superscript"/>
        </w:rPr>
        <w:t>th</w:t>
      </w:r>
      <w:r w:rsidR="004A1AD6" w:rsidRPr="00370E70">
        <w:rPr>
          <w:rFonts w:cs="TimesNewRoman"/>
          <w:szCs w:val="22"/>
        </w:rPr>
        <w:t xml:space="preserve"> consecutive year that the discharge from the </w:t>
      </w:r>
      <w:smartTag w:uri="urn:schemas-microsoft-com:office:smarttags" w:element="place">
        <w:smartTag w:uri="urn:schemas-microsoft-com:office:smarttags" w:element="PlaceName">
          <w:r w:rsidR="004A1AD6" w:rsidRPr="00370E70">
            <w:rPr>
              <w:rFonts w:cs="TimesNewRoman"/>
              <w:szCs w:val="22"/>
            </w:rPr>
            <w:t>Burdekin</w:t>
          </w:r>
        </w:smartTag>
        <w:r w:rsidR="004A1AD6" w:rsidRPr="00370E70">
          <w:rPr>
            <w:rFonts w:cs="TimesNewRoman"/>
            <w:szCs w:val="22"/>
          </w:rPr>
          <w:t xml:space="preserve"> </w:t>
        </w:r>
        <w:smartTag w:uri="urn:schemas-microsoft-com:office:smarttags" w:element="PlaceType">
          <w:r w:rsidR="004A1AD6" w:rsidRPr="00370E70">
            <w:rPr>
              <w:rFonts w:cs="TimesNewRoman"/>
              <w:szCs w:val="22"/>
            </w:rPr>
            <w:t>River</w:t>
          </w:r>
        </w:smartTag>
      </w:smartTag>
      <w:r w:rsidR="004A1AD6" w:rsidRPr="00370E70">
        <w:rPr>
          <w:rFonts w:cs="TimesNewRoman"/>
          <w:szCs w:val="22"/>
        </w:rPr>
        <w:t xml:space="preserve"> was above median flow. </w:t>
      </w:r>
      <w:r w:rsidR="004A1AD6" w:rsidRPr="00370E70">
        <w:rPr>
          <w:szCs w:val="22"/>
        </w:rPr>
        <w:t xml:space="preserve">Overall the status of seagrass condition in the Burdekin region improved slightly in 2011/12, but still remained </w:t>
      </w:r>
      <w:r w:rsidR="004A1AD6" w:rsidRPr="00370E70">
        <w:rPr>
          <w:b/>
          <w:szCs w:val="22"/>
        </w:rPr>
        <w:t>very</w:t>
      </w:r>
      <w:r w:rsidR="004A1AD6" w:rsidRPr="00370E70">
        <w:rPr>
          <w:szCs w:val="22"/>
        </w:rPr>
        <w:t xml:space="preserve"> </w:t>
      </w:r>
      <w:r w:rsidR="004A1AD6" w:rsidRPr="00370E70">
        <w:rPr>
          <w:b/>
          <w:szCs w:val="22"/>
        </w:rPr>
        <w:t>poor</w:t>
      </w:r>
      <w:r w:rsidR="004A1AD6" w:rsidRPr="00370E70">
        <w:rPr>
          <w:szCs w:val="22"/>
        </w:rPr>
        <w:t xml:space="preserve"> (</w:t>
      </w:r>
      <w:r w:rsidR="008552FE" w:rsidRPr="00370E70">
        <w:rPr>
          <w:szCs w:val="22"/>
        </w:rPr>
        <w:fldChar w:fldCharType="begin"/>
      </w:r>
      <w:r w:rsidR="008552FE" w:rsidRPr="00370E70">
        <w:rPr>
          <w:szCs w:val="22"/>
        </w:rPr>
        <w:instrText xml:space="preserve"> REF _Ref354737997 \h </w:instrText>
      </w:r>
      <w:r w:rsidR="008552FE" w:rsidRPr="00370E70">
        <w:rPr>
          <w:szCs w:val="22"/>
        </w:rPr>
      </w:r>
      <w:r w:rsidR="008552FE" w:rsidRPr="00370E70">
        <w:rPr>
          <w:szCs w:val="22"/>
        </w:rPr>
        <w:fldChar w:fldCharType="separate"/>
      </w:r>
      <w:r w:rsidR="005B5FD6" w:rsidRPr="00370E70">
        <w:rPr>
          <w:rStyle w:val="StyleCaptionCaptionCharCharLatinCalibri11ptBlackChar"/>
          <w:lang w:val="en-AU"/>
        </w:rPr>
        <w:t xml:space="preserve">Table </w:t>
      </w:r>
      <w:r w:rsidR="005B5FD6">
        <w:rPr>
          <w:noProof/>
        </w:rPr>
        <w:t>23</w:t>
      </w:r>
      <w:r w:rsidR="008552FE" w:rsidRPr="00370E70">
        <w:rPr>
          <w:szCs w:val="22"/>
        </w:rPr>
        <w:fldChar w:fldCharType="end"/>
      </w:r>
      <w:r w:rsidR="004A1AD6" w:rsidRPr="00370E70">
        <w:rPr>
          <w:szCs w:val="22"/>
        </w:rPr>
        <w:t xml:space="preserve">). </w:t>
      </w:r>
    </w:p>
    <w:p w:rsidR="006E0F9A" w:rsidRPr="00370E70" w:rsidRDefault="005132EF" w:rsidP="006E0F9A">
      <w:pPr>
        <w:pStyle w:val="Caption"/>
        <w:jc w:val="center"/>
        <w:rPr>
          <w:i/>
          <w:vanish/>
          <w:szCs w:val="22"/>
          <w:lang w:val="en-AU"/>
          <w:specVanish/>
        </w:rPr>
      </w:pPr>
      <w:bookmarkStart w:id="424" w:name="_Ref354737997"/>
      <w:bookmarkStart w:id="425" w:name="_Toc384196559"/>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23</w:t>
      </w:r>
      <w:r w:rsidRPr="00370E70">
        <w:rPr>
          <w:lang w:val="en-AU"/>
        </w:rPr>
        <w:fldChar w:fldCharType="end"/>
      </w:r>
      <w:bookmarkEnd w:id="424"/>
      <w:r w:rsidRPr="00370E70">
        <w:rPr>
          <w:rStyle w:val="StyleCaptionCaptionCharCharLatinCalibri11ptBlackChar"/>
          <w:lang w:val="en-AU"/>
        </w:rPr>
        <w:t xml:space="preserve">. </w:t>
      </w:r>
      <w:r w:rsidRPr="00370E70">
        <w:rPr>
          <w:i/>
          <w:lang w:val="en-AU"/>
        </w:rPr>
        <w:t>Report card for seagrass status (community &amp; environment) for the Burdekin region: July 2011 – May 2012.</w:t>
      </w:r>
      <w:bookmarkEnd w:id="425"/>
      <w:r w:rsidRPr="00370E70">
        <w:rPr>
          <w:i/>
          <w:lang w:val="en-AU"/>
        </w:rPr>
        <w:t xml:space="preserve"> </w:t>
      </w:r>
    </w:p>
    <w:p w:rsidR="006E0F9A" w:rsidRPr="00370E70" w:rsidRDefault="005132EF" w:rsidP="006E0F9A">
      <w:pPr>
        <w:pStyle w:val="Caption"/>
        <w:jc w:val="center"/>
        <w:rPr>
          <w:lang w:val="en-AU"/>
        </w:rPr>
      </w:pPr>
      <w:r w:rsidRPr="00370E70">
        <w:rPr>
          <w:i/>
          <w:lang w:val="en-AU"/>
        </w:rPr>
        <w:t xml:space="preserve">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6E0F9A" w:rsidRPr="00370E70">
        <w:rPr>
          <w:i/>
          <w:lang w:val="en-AU"/>
        </w:rPr>
        <w:t xml:space="preserve"> </w:t>
      </w:r>
    </w:p>
    <w:tbl>
      <w:tblPr>
        <w:tblW w:w="8046" w:type="dxa"/>
        <w:jc w:val="center"/>
        <w:tblInd w:w="685" w:type="dxa"/>
        <w:tblLayout w:type="fixed"/>
        <w:tblLook w:val="0000" w:firstRow="0" w:lastRow="0" w:firstColumn="0" w:lastColumn="0" w:noHBand="0" w:noVBand="0"/>
      </w:tblPr>
      <w:tblGrid>
        <w:gridCol w:w="2185"/>
        <w:gridCol w:w="1339"/>
        <w:gridCol w:w="1540"/>
        <w:gridCol w:w="1666"/>
        <w:gridCol w:w="1004"/>
        <w:gridCol w:w="312"/>
      </w:tblGrid>
      <w:tr w:rsidR="005132EF" w:rsidRPr="00370E70">
        <w:trPr>
          <w:trHeight w:val="437"/>
          <w:jc w:val="center"/>
        </w:trPr>
        <w:tc>
          <w:tcPr>
            <w:tcW w:w="2185"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 w:val="20"/>
                <w:szCs w:val="20"/>
              </w:rPr>
              <w:t>Habitat</w:t>
            </w:r>
          </w:p>
        </w:tc>
        <w:tc>
          <w:tcPr>
            <w:tcW w:w="1339"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Abundance</w:t>
            </w:r>
          </w:p>
        </w:tc>
        <w:tc>
          <w:tcPr>
            <w:tcW w:w="15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Reproductive</w:t>
            </w:r>
          </w:p>
          <w:p w:rsidR="005132EF" w:rsidRPr="00370E70" w:rsidRDefault="005132EF" w:rsidP="00034AD4">
            <w:pPr>
              <w:spacing w:before="0" w:after="0"/>
              <w:jc w:val="center"/>
              <w:rPr>
                <w:color w:val="000000"/>
              </w:rPr>
            </w:pPr>
            <w:r w:rsidRPr="00370E70">
              <w:rPr>
                <w:color w:val="000000"/>
                <w:szCs w:val="22"/>
              </w:rPr>
              <w:t>Effort</w:t>
            </w:r>
          </w:p>
        </w:tc>
        <w:tc>
          <w:tcPr>
            <w:tcW w:w="1666"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Nutrient status</w:t>
            </w:r>
          </w:p>
          <w:p w:rsidR="005132EF" w:rsidRPr="00370E70" w:rsidRDefault="005132EF" w:rsidP="00034AD4">
            <w:pPr>
              <w:spacing w:before="0" w:after="0"/>
              <w:jc w:val="center"/>
              <w:rPr>
                <w:color w:val="000000"/>
              </w:rPr>
            </w:pPr>
            <w:r w:rsidRPr="00370E70">
              <w:rPr>
                <w:color w:val="000000"/>
                <w:szCs w:val="22"/>
              </w:rPr>
              <w:t>(C:N ratio)</w:t>
            </w:r>
          </w:p>
        </w:tc>
        <w:tc>
          <w:tcPr>
            <w:tcW w:w="1316" w:type="dxa"/>
            <w:gridSpan w:val="2"/>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b/>
                <w:bCs/>
                <w:color w:val="000000"/>
              </w:rPr>
            </w:pPr>
            <w:r w:rsidRPr="00370E70">
              <w:rPr>
                <w:b/>
                <w:bCs/>
                <w:color w:val="000000"/>
                <w:szCs w:val="22"/>
              </w:rPr>
              <w:t>Seagrass</w:t>
            </w:r>
          </w:p>
          <w:p w:rsidR="005132EF" w:rsidRPr="00370E70" w:rsidRDefault="005132EF" w:rsidP="00034AD4">
            <w:pPr>
              <w:spacing w:before="0" w:after="0"/>
              <w:jc w:val="center"/>
              <w:rPr>
                <w:b/>
                <w:bCs/>
                <w:color w:val="000000"/>
              </w:rPr>
            </w:pPr>
            <w:r w:rsidRPr="00370E70">
              <w:rPr>
                <w:b/>
                <w:bCs/>
                <w:color w:val="000000"/>
                <w:szCs w:val="22"/>
              </w:rPr>
              <w:t>Index</w:t>
            </w:r>
          </w:p>
        </w:tc>
      </w:tr>
      <w:tr w:rsidR="005132EF" w:rsidRPr="00370E70">
        <w:trPr>
          <w:trHeight w:val="315"/>
          <w:jc w:val="center"/>
        </w:trPr>
        <w:tc>
          <w:tcPr>
            <w:tcW w:w="2185" w:type="dxa"/>
            <w:tcBorders>
              <w:top w:val="single" w:sz="4" w:space="0" w:color="000000"/>
              <w:left w:val="single" w:sz="4" w:space="0" w:color="FFFFFF"/>
              <w:bottom w:val="single" w:sz="4" w:space="0" w:color="FFFFFF"/>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19</w:t>
            </w:r>
          </w:p>
        </w:tc>
        <w:tc>
          <w:tcPr>
            <w:tcW w:w="1540"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38</w:t>
            </w:r>
          </w:p>
        </w:tc>
        <w:tc>
          <w:tcPr>
            <w:tcW w:w="1666"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28</w:t>
            </w:r>
          </w:p>
        </w:tc>
        <w:tc>
          <w:tcPr>
            <w:tcW w:w="1316" w:type="dxa"/>
            <w:gridSpan w:val="2"/>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28</w:t>
            </w:r>
          </w:p>
        </w:tc>
      </w:tr>
      <w:tr w:rsidR="005132EF" w:rsidRPr="00370E70">
        <w:trPr>
          <w:trHeight w:val="315"/>
          <w:jc w:val="center"/>
        </w:trPr>
        <w:tc>
          <w:tcPr>
            <w:tcW w:w="2185"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3</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14</w:t>
            </w:r>
          </w:p>
        </w:tc>
        <w:tc>
          <w:tcPr>
            <w:tcW w:w="1316" w:type="dxa"/>
            <w:gridSpan w:val="2"/>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6</w:t>
            </w:r>
          </w:p>
        </w:tc>
      </w:tr>
      <w:tr w:rsidR="005132EF" w:rsidRPr="00370E70">
        <w:trPr>
          <w:gridAfter w:val="1"/>
          <w:wAfter w:w="312" w:type="dxa"/>
          <w:trHeight w:val="315"/>
          <w:jc w:val="center"/>
        </w:trPr>
        <w:tc>
          <w:tcPr>
            <w:tcW w:w="2185" w:type="dxa"/>
            <w:tcBorders>
              <w:top w:val="single" w:sz="4" w:space="0" w:color="FFFFFF"/>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estuarine intertidal</w:t>
            </w:r>
          </w:p>
        </w:tc>
        <w:tc>
          <w:tcPr>
            <w:tcW w:w="5549" w:type="dxa"/>
            <w:gridSpan w:val="4"/>
            <w:tcBorders>
              <w:top w:val="single" w:sz="4" w:space="0" w:color="FFFFFF"/>
              <w:left w:val="single" w:sz="4" w:space="0" w:color="FFFFFF"/>
              <w:bottom w:val="single" w:sz="4" w:space="0" w:color="000000"/>
              <w:right w:val="single" w:sz="4" w:space="0" w:color="FFFFFF"/>
            </w:tcBorders>
            <w:noWrap/>
            <w:vAlign w:val="center"/>
          </w:tcPr>
          <w:p w:rsidR="005132EF" w:rsidRPr="00370E70" w:rsidRDefault="005132EF" w:rsidP="00034AD4">
            <w:pPr>
              <w:spacing w:before="0" w:after="0"/>
              <w:jc w:val="center"/>
              <w:rPr>
                <w:bCs/>
                <w:i/>
                <w:color w:val="000000"/>
                <w:sz w:val="20"/>
                <w:szCs w:val="20"/>
              </w:rPr>
            </w:pPr>
            <w:r w:rsidRPr="00370E70">
              <w:rPr>
                <w:bCs/>
                <w:i/>
                <w:color w:val="000000"/>
                <w:sz w:val="20"/>
                <w:szCs w:val="20"/>
              </w:rPr>
              <w:t>not monitored</w:t>
            </w:r>
          </w:p>
        </w:tc>
      </w:tr>
      <w:tr w:rsidR="005132EF" w:rsidRPr="00370E70" w:rsidTr="00990DD2">
        <w:trPr>
          <w:trHeight w:val="315"/>
          <w:jc w:val="center"/>
        </w:trPr>
        <w:tc>
          <w:tcPr>
            <w:tcW w:w="2185"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Burdekin</w:t>
            </w:r>
          </w:p>
        </w:tc>
        <w:tc>
          <w:tcPr>
            <w:tcW w:w="133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11</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19</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21</w:t>
            </w:r>
          </w:p>
        </w:tc>
        <w:tc>
          <w:tcPr>
            <w:tcW w:w="1316" w:type="dxa"/>
            <w:gridSpan w:val="2"/>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17</w:t>
            </w:r>
          </w:p>
        </w:tc>
      </w:tr>
    </w:tbl>
    <w:p w:rsidR="004A1AD6" w:rsidRPr="00370E70" w:rsidRDefault="004A1AD6" w:rsidP="004A1AD6">
      <w:pPr>
        <w:pStyle w:val="Heading3"/>
        <w:rPr>
          <w:color w:val="000000"/>
        </w:rPr>
      </w:pPr>
      <w:bookmarkStart w:id="426" w:name="_Toc184101997"/>
      <w:bookmarkStart w:id="427" w:name="_Toc384196138"/>
      <w:r w:rsidRPr="00370E70">
        <w:rPr>
          <w:color w:val="000000"/>
        </w:rPr>
        <w:lastRenderedPageBreak/>
        <w:t>Background</w:t>
      </w:r>
      <w:bookmarkEnd w:id="426"/>
      <w:bookmarkEnd w:id="427"/>
    </w:p>
    <w:bookmarkEnd w:id="421"/>
    <w:bookmarkEnd w:id="422"/>
    <w:bookmarkEnd w:id="423"/>
    <w:p w:rsidR="005132EF" w:rsidRPr="00370E70" w:rsidRDefault="006E0F9A" w:rsidP="00034AD4">
      <w:pPr>
        <w:rPr>
          <w:color w:val="000000"/>
          <w:szCs w:val="22"/>
        </w:rPr>
      </w:pPr>
      <w:r w:rsidRPr="00370E70">
        <w:rPr>
          <w:color w:val="000000"/>
          <w:szCs w:val="22"/>
        </w:rPr>
        <w:t>The Burdekin region, includes an aggregation of the Burdekin, Don, Haughton and Ross River catchments and several smaller coastal catchments, all of which empty into the Great Barrier Reef lagoon (</w:t>
      </w:r>
      <w:hyperlink w:anchor="_ENREF_46" w:tooltip="Commonwealth of Australia, 2013 #9678" w:history="1">
        <w:r w:rsidR="00964A70" w:rsidRPr="00370E70">
          <w:rPr>
            <w:color w:val="000000"/>
          </w:rPr>
          <w:fldChar w:fldCharType="begin"/>
        </w:r>
        <w:r w:rsidR="00964A70" w:rsidRPr="00370E70">
          <w:rPr>
            <w:color w:val="000000"/>
          </w:rPr>
          <w:instrText xml:space="preserve"> ADDIN EN.CITE &lt;EndNote&gt;&lt;Cite&gt;&lt;Author&gt;Commonwealth of Australia&lt;/Author&gt;&lt;Year&gt;2013&lt;/Year&gt;&lt;RecNum&gt;9678&lt;/RecNum&gt;&lt;DisplayText&gt;Commonwealth of Australia 2013a&lt;/DisplayText&gt;&lt;record&gt;&lt;rec-number&gt;9678&lt;/rec-number&gt;&lt;foreign-keys&gt;&lt;key app="EN" db-id="0eve55x9y5vfd6e9dacxtew4eatve2dzds9a"&gt;9678&lt;/key&gt;&lt;/foreign-keys&gt;&lt;ref-type name="Web Page"&gt;12&lt;/ref-type&gt;&lt;contributors&gt;&lt;authors&gt;&lt;author&gt;Commonwealth of Australia,&lt;/author&gt;&lt;/authors&gt;&lt;/contributors&gt;&lt;titles&gt;&lt;title&gt;Burdekin Natural Resource Management region, http://www.nrm.gov.au/about/nrm/regions/qld-burd.html&lt;/title&gt;&lt;/titles&gt;&lt;number&gt;18 February 2014&lt;/number&gt;&lt;dates&gt;&lt;year&gt;2013&lt;/year&gt;&lt;/dates&gt;&lt;urls&gt;&lt;related-urls&gt;&lt;url&gt;http://www.nrm.gov.au/about/nrm/regions/qld-burd.html&lt;/url&gt;&lt;/related-urls&gt;&lt;/urls&gt;&lt;/record&gt;&lt;/Cite&gt;&lt;/EndNote&gt;</w:instrText>
        </w:r>
        <w:r w:rsidR="00964A70" w:rsidRPr="00370E70">
          <w:rPr>
            <w:color w:val="000000"/>
          </w:rPr>
          <w:fldChar w:fldCharType="separate"/>
        </w:r>
        <w:r w:rsidR="00964A70" w:rsidRPr="00370E70">
          <w:rPr>
            <w:noProof/>
            <w:color w:val="000000"/>
          </w:rPr>
          <w:t>Commonwealth of Australia 2013a</w:t>
        </w:r>
        <w:r w:rsidR="00964A70" w:rsidRPr="00370E70">
          <w:rPr>
            <w:color w:val="000000"/>
          </w:rPr>
          <w:fldChar w:fldCharType="end"/>
        </w:r>
      </w:hyperlink>
      <w:r w:rsidRPr="00370E70">
        <w:rPr>
          <w:color w:val="000000"/>
          <w:szCs w:val="22"/>
        </w:rPr>
        <w:t xml:space="preserve">). </w:t>
      </w:r>
      <w:r w:rsidR="005132EF" w:rsidRPr="00370E70">
        <w:rPr>
          <w:color w:val="000000"/>
          <w:szCs w:val="22"/>
        </w:rPr>
        <w:t xml:space="preserve">Because of its geographical location, rainfall in the region is lower than other regions within tropical </w:t>
      </w:r>
      <w:smartTag w:uri="urn:schemas-microsoft-com:office:smarttags" w:element="place">
        <w:smartTag w:uri="urn:schemas-microsoft-com:office:smarttags" w:element="State">
          <w:r w:rsidR="005132EF" w:rsidRPr="00370E70">
            <w:rPr>
              <w:color w:val="000000"/>
              <w:szCs w:val="22"/>
            </w:rPr>
            <w:t>Queensland</w:t>
          </w:r>
        </w:smartTag>
      </w:smartTag>
      <w:r w:rsidR="005132EF" w:rsidRPr="00370E70">
        <w:rPr>
          <w:color w:val="000000"/>
          <w:szCs w:val="22"/>
        </w:rPr>
        <w:t xml:space="preserve">. Annual rainfall averages approximately 1,150 mm from on average 91 rain days. However, there is considerable variation from year-to-year due to the sporadic nature of tropical lows and storms. Approximately 75% of the average annual rainfall is received during December to March </w:t>
      </w:r>
      <w:r w:rsidR="00C610E4" w:rsidRPr="00370E70">
        <w:rPr>
          <w:color w:val="000000"/>
          <w:szCs w:val="22"/>
        </w:rPr>
        <w:t>(</w:t>
      </w:r>
      <w:hyperlink w:anchor="_ENREF_171" w:tooltip="Scheltinga, 2005 #9675" w:history="1">
        <w:r w:rsidR="00964A70" w:rsidRPr="00370E70">
          <w:rPr>
            <w:color w:val="000000"/>
            <w:szCs w:val="22"/>
          </w:rPr>
          <w:fldChar w:fldCharType="begin"/>
        </w:r>
        <w:r w:rsidR="00964A70" w:rsidRPr="00370E70">
          <w:rPr>
            <w:color w:val="000000"/>
            <w:szCs w:val="22"/>
          </w:rPr>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964A70" w:rsidRPr="00370E70">
          <w:rPr>
            <w:color w:val="000000"/>
            <w:szCs w:val="22"/>
          </w:rPr>
          <w:fldChar w:fldCharType="separate"/>
        </w:r>
        <w:r w:rsidR="00964A70" w:rsidRPr="00370E70">
          <w:rPr>
            <w:noProof/>
            <w:color w:val="000000"/>
            <w:szCs w:val="22"/>
          </w:rPr>
          <w:t>Scheltinga and Heydon 2005</w:t>
        </w:r>
        <w:r w:rsidR="00964A70" w:rsidRPr="00370E70">
          <w:rPr>
            <w:color w:val="000000"/>
            <w:szCs w:val="22"/>
          </w:rPr>
          <w:fldChar w:fldCharType="end"/>
        </w:r>
      </w:hyperlink>
      <w:r w:rsidR="00C610E4" w:rsidRPr="00370E70">
        <w:rPr>
          <w:color w:val="000000"/>
          <w:szCs w:val="22"/>
        </w:rPr>
        <w:t>)</w:t>
      </w:r>
      <w:r w:rsidR="005132EF" w:rsidRPr="00370E70">
        <w:rPr>
          <w:color w:val="000000"/>
          <w:szCs w:val="22"/>
        </w:rPr>
        <w:t xml:space="preserve">. </w:t>
      </w:r>
    </w:p>
    <w:p w:rsidR="005132EF" w:rsidRPr="00370E70" w:rsidRDefault="005132EF" w:rsidP="00034AD4">
      <w:pPr>
        <w:rPr>
          <w:color w:val="000000"/>
          <w:szCs w:val="22"/>
        </w:rPr>
      </w:pPr>
      <w:r w:rsidRPr="00370E70">
        <w:rPr>
          <w:color w:val="000000"/>
          <w:szCs w:val="22"/>
        </w:rPr>
        <w:t xml:space="preserve">Major threats to seagrass meadows in the region include: coastal development (reclamation); changes to hydrology; water quality declines (particularly nutrient enrichment or increased turbidity); downstream effects from agricultural (including sugarcane, horticultural, beef), industrial (including refineries) and urban centres </w:t>
      </w:r>
      <w:r w:rsidR="00C610E4" w:rsidRPr="00370E70">
        <w:rPr>
          <w:color w:val="000000"/>
          <w:szCs w:val="22"/>
        </w:rPr>
        <w:t>(</w:t>
      </w:r>
      <w:hyperlink w:anchor="_ENREF_171" w:tooltip="Scheltinga, 2005 #9675" w:history="1">
        <w:r w:rsidR="00964A70" w:rsidRPr="00370E70">
          <w:rPr>
            <w:color w:val="000000"/>
            <w:szCs w:val="22"/>
          </w:rPr>
          <w:fldChar w:fldCharType="begin"/>
        </w:r>
        <w:r w:rsidR="00964A70" w:rsidRPr="00370E70">
          <w:rPr>
            <w:color w:val="000000"/>
            <w:szCs w:val="22"/>
          </w:rPr>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964A70" w:rsidRPr="00370E70">
          <w:rPr>
            <w:color w:val="000000"/>
            <w:szCs w:val="22"/>
          </w:rPr>
          <w:fldChar w:fldCharType="separate"/>
        </w:r>
        <w:r w:rsidR="00964A70" w:rsidRPr="00370E70">
          <w:rPr>
            <w:noProof/>
            <w:color w:val="000000"/>
            <w:szCs w:val="22"/>
          </w:rPr>
          <w:t>Scheltinga and Heydon 2005</w:t>
        </w:r>
        <w:r w:rsidR="00964A70" w:rsidRPr="00370E70">
          <w:rPr>
            <w:color w:val="000000"/>
            <w:szCs w:val="22"/>
          </w:rPr>
          <w:fldChar w:fldCharType="end"/>
        </w:r>
      </w:hyperlink>
      <w:r w:rsidR="00C610E4" w:rsidRPr="00370E70">
        <w:rPr>
          <w:color w:val="000000"/>
          <w:szCs w:val="22"/>
        </w:rPr>
        <w:t xml:space="preserve">; </w:t>
      </w:r>
      <w:hyperlink w:anchor="_ENREF_96" w:tooltip="Haynes, 2001 #9676" w:history="1">
        <w:r w:rsidR="00964A70" w:rsidRPr="00370E70">
          <w:rPr>
            <w:color w:val="000000"/>
            <w:szCs w:val="22"/>
          </w:rPr>
          <w:fldChar w:fldCharType="begin"/>
        </w:r>
        <w:r w:rsidR="00964A70" w:rsidRPr="00370E70">
          <w:rPr>
            <w:color w:val="000000"/>
            <w:szCs w:val="22"/>
          </w:rPr>
          <w:instrText xml:space="preserve"> ADDIN EN.CITE &lt;EndNote&gt;&lt;Cite&gt;&lt;Author&gt;Haynes&lt;/Author&gt;&lt;Year&gt;2001&lt;/Year&gt;&lt;RecNum&gt;9676&lt;/RecNum&gt;&lt;DisplayText&gt;Haynes&lt;style face="italic"&gt; et al.&lt;/style&gt; 2001&lt;/DisplayText&gt;&lt;record&gt;&lt;rec-number&gt;9676&lt;/rec-number&gt;&lt;foreign-keys&gt;&lt;key app="EN" db-id="0eve55x9y5vfd6e9dacxtew4eatve2dzds9a"&gt;9676&lt;/key&gt;&lt;/foreign-keys&gt;&lt;ref-type name="Book"&gt;6&lt;/ref-type&gt;&lt;contributors&gt;&lt;authors&gt;&lt;author&gt;Haynes, David&lt;/author&gt;&lt;author&gt;Brodie, Jon&lt;/author&gt;&lt;author&gt;Christie, C&lt;/author&gt;&lt;author&gt;Devlin, M&lt;/author&gt;&lt;author&gt;Michalek-Wagner, K&lt;/author&gt;&lt;author&gt;Morris, S&lt;/author&gt;&lt;author&gt;Ramsay, M&lt;/author&gt;&lt;author&gt;Storrie, J&lt;/author&gt;&lt;author&gt;Waterhouse, Jane&lt;/author&gt;&lt;author&gt;Yorkston, Hugh &lt;/author&gt;&lt;/authors&gt;&lt;/contributors&gt;&lt;titles&gt;&lt;title&gt;Great Barrier Reef Water Quality Current Issues. &lt;/title&gt;&lt;/titles&gt;&lt;dates&gt;&lt;year&gt;2001&lt;/year&gt;&lt;/dates&gt;&lt;pub-location&gt;Townsville&lt;/pub-location&gt;&lt;publisher&gt;Great Barrier Reef Marine Park Authority&lt;/publisher&gt;&lt;urls&gt;&lt;/urls&gt;&lt;/record&gt;&lt;/Cite&gt;&lt;/EndNote&gt;</w:instrText>
        </w:r>
        <w:r w:rsidR="00964A70" w:rsidRPr="00370E70">
          <w:rPr>
            <w:color w:val="000000"/>
            <w:szCs w:val="22"/>
          </w:rPr>
          <w:fldChar w:fldCharType="separate"/>
        </w:r>
        <w:r w:rsidR="00964A70" w:rsidRPr="00370E70">
          <w:rPr>
            <w:noProof/>
            <w:color w:val="000000"/>
            <w:szCs w:val="22"/>
          </w:rPr>
          <w:t>Haynes</w:t>
        </w:r>
        <w:r w:rsidR="00964A70" w:rsidRPr="00370E70">
          <w:rPr>
            <w:i/>
            <w:noProof/>
            <w:color w:val="000000"/>
            <w:szCs w:val="22"/>
          </w:rPr>
          <w:t xml:space="preserve"> et al.</w:t>
        </w:r>
        <w:r w:rsidR="00964A70" w:rsidRPr="00370E70">
          <w:rPr>
            <w:noProof/>
            <w:color w:val="000000"/>
            <w:szCs w:val="22"/>
          </w:rPr>
          <w:t xml:space="preserve"> 2001</w:t>
        </w:r>
        <w:r w:rsidR="00964A70" w:rsidRPr="00370E70">
          <w:rPr>
            <w:color w:val="000000"/>
            <w:szCs w:val="22"/>
          </w:rPr>
          <w:fldChar w:fldCharType="end"/>
        </w:r>
      </w:hyperlink>
      <w:r w:rsidR="00C610E4" w:rsidRPr="00370E70">
        <w:rPr>
          <w:color w:val="000000"/>
          <w:szCs w:val="22"/>
        </w:rPr>
        <w:t>)</w:t>
      </w:r>
      <w:r w:rsidRPr="00370E70">
        <w:rPr>
          <w:color w:val="000000"/>
          <w:szCs w:val="22"/>
        </w:rPr>
        <w:t>. All four generalised seagrass habitats are present within the Burdekin region, and Reef Rescue MMP monitoring occur</w:t>
      </w:r>
      <w:r w:rsidR="00C610E4" w:rsidRPr="00370E70">
        <w:rPr>
          <w:color w:val="000000"/>
          <w:szCs w:val="22"/>
        </w:rPr>
        <w:t>s</w:t>
      </w:r>
      <w:r w:rsidRPr="00370E70">
        <w:rPr>
          <w:color w:val="000000"/>
          <w:szCs w:val="22"/>
        </w:rPr>
        <w:t xml:space="preserve"> at both coastal and reef seagrass habitat locations.</w:t>
      </w:r>
    </w:p>
    <w:p w:rsidR="005132EF" w:rsidRPr="00370E70" w:rsidRDefault="005132EF" w:rsidP="00034AD4">
      <w:pPr>
        <w:rPr>
          <w:color w:val="000000"/>
          <w:szCs w:val="22"/>
        </w:rPr>
      </w:pPr>
      <w:r w:rsidRPr="00370E70">
        <w:rPr>
          <w:color w:val="000000"/>
          <w:szCs w:val="22"/>
        </w:rPr>
        <w:t xml:space="preserve">The coastal sites are located on naturally dynamic intertidal sand flats and are subject to sand waves and erosion blowouts moving through the meadows. The </w:t>
      </w:r>
      <w:smartTag w:uri="urn:schemas-microsoft-com:office:smarttags" w:element="place">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xml:space="preserve"> and Shelley Beach area </w:t>
      </w:r>
      <w:r w:rsidR="00494624" w:rsidRPr="00370E70">
        <w:rPr>
          <w:color w:val="000000"/>
          <w:szCs w:val="22"/>
        </w:rPr>
        <w:t>(</w:t>
      </w:r>
      <w:r w:rsidR="00494624" w:rsidRPr="00370E70">
        <w:rPr>
          <w:color w:val="000000"/>
          <w:szCs w:val="22"/>
        </w:rPr>
        <w:fldChar w:fldCharType="begin"/>
      </w:r>
      <w:r w:rsidR="00494624" w:rsidRPr="00370E70">
        <w:rPr>
          <w:color w:val="000000"/>
          <w:szCs w:val="22"/>
        </w:rPr>
        <w:instrText xml:space="preserve"> REF _Ref179446008 \h </w:instrText>
      </w:r>
      <w:r w:rsidR="00494624" w:rsidRPr="00370E70">
        <w:rPr>
          <w:color w:val="000000"/>
          <w:szCs w:val="22"/>
        </w:rPr>
      </w:r>
      <w:r w:rsidR="00494624"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85</w:t>
      </w:r>
      <w:r w:rsidR="00494624" w:rsidRPr="00370E70">
        <w:rPr>
          <w:color w:val="000000"/>
          <w:szCs w:val="22"/>
        </w:rPr>
        <w:fldChar w:fldCharType="end"/>
      </w:r>
      <w:r w:rsidR="00494624" w:rsidRPr="00370E70">
        <w:rPr>
          <w:color w:val="000000"/>
          <w:szCs w:val="22"/>
        </w:rPr>
        <w:t xml:space="preserve">) </w:t>
      </w:r>
      <w:r w:rsidRPr="00370E70">
        <w:rPr>
          <w:color w:val="000000"/>
          <w:szCs w:val="22"/>
        </w:rPr>
        <w:t>is a sediment deposition zone, so the meadow must also cope with incursions of sediment carried by long shore drift. Sediments within this habitat are mud and sand that have been delivered to the coast during the episodic peak flows of the creeks and rivers (notably the Burdekin) in this area. While episodic riverine delivery of freshwater nutrients and sediment is a medium time scale factor in structuring these coastal seagrass meadows, it is the wind induced turbidity of the costal zone that is likely to be a major short term driver (</w:t>
      </w:r>
      <w:r w:rsidRPr="00370E70">
        <w:rPr>
          <w:color w:val="000000"/>
        </w:rPr>
        <w:fldChar w:fldCharType="begin"/>
      </w:r>
      <w:r w:rsidRPr="00370E70">
        <w:rPr>
          <w:color w:val="000000"/>
        </w:rPr>
        <w:instrText xml:space="preserve"> REF _Ref179445922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84</w:t>
      </w:r>
      <w:r w:rsidRPr="00370E70">
        <w:rPr>
          <w:color w:val="000000"/>
        </w:rPr>
        <w:fldChar w:fldCharType="end"/>
      </w:r>
      <w:r w:rsidRPr="00370E70">
        <w:rPr>
          <w:color w:val="000000"/>
          <w:szCs w:val="22"/>
        </w:rPr>
        <w:t>). In these shallow coastal areas waves generated by the prevailing SE trade winds are greater than the depth of water, maintaining elevated levels of suspended sediments, limiting the amount of light availability for photosynthesis during the trade season. Intertidal seagrasses can survive this by photosynthesizing during periods of exposure, but must also be able to cope with desiccation. Another significant feature in this region is the influence of ground water. The meadows are frequented by dugongs and turtles as witnessed by feeding trails and scars.</w:t>
      </w:r>
    </w:p>
    <w:p w:rsidR="005132EF" w:rsidRPr="00370E70" w:rsidRDefault="007B15AB" w:rsidP="00034AD4">
      <w:pPr>
        <w:keepNext/>
        <w:rPr>
          <w:color w:val="000000"/>
        </w:rPr>
      </w:pPr>
      <w:r>
        <w:rPr>
          <w:noProof/>
          <w:color w:val="000000"/>
          <w:lang w:eastAsia="en-AU"/>
        </w:rPr>
        <w:drawing>
          <wp:inline distT="0" distB="0" distL="0" distR="0">
            <wp:extent cx="5756910" cy="2112010"/>
            <wp:effectExtent l="0" t="0" r="0" b="2540"/>
            <wp:docPr id="117" name="Picture 126" descr="Conceptual diagram of coastal habitat in the Burdekin region - major control is wind and temperature extremes,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onceptual diagram of coastal habitat in the Burdekin region - major control is wind and temperature extremes, general habitat, seagrass meadow processes and threats/impacts"/>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756910" cy="2112010"/>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28" w:name="_Ref179445922"/>
      <w:bookmarkStart w:id="429" w:name="_Toc384196431"/>
      <w:bookmarkStart w:id="430" w:name="_Toc176158880"/>
      <w:bookmarkStart w:id="431" w:name="_Toc23284598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84</w:t>
      </w:r>
      <w:r w:rsidRPr="00370E70">
        <w:rPr>
          <w:lang w:val="en-AU"/>
        </w:rPr>
        <w:fldChar w:fldCharType="end"/>
      </w:r>
      <w:bookmarkEnd w:id="428"/>
      <w:r w:rsidRPr="00370E70">
        <w:rPr>
          <w:lang w:val="en-AU"/>
        </w:rPr>
        <w:t xml:space="preserve">. </w:t>
      </w:r>
      <w:r w:rsidRPr="00370E70">
        <w:rPr>
          <w:i/>
          <w:lang w:val="en-AU"/>
        </w:rPr>
        <w:t>Conceptual diagram of coastal habitat in the Burdekin region</w:t>
      </w:r>
      <w:bookmarkEnd w:id="429"/>
    </w:p>
    <w:p w:rsidR="00C610E4" w:rsidRPr="00370E70" w:rsidRDefault="005132EF" w:rsidP="00C610E4">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wind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430"/>
      <w:bookmarkEnd w:id="431"/>
      <w:r w:rsidR="00C610E4" w:rsidRPr="00370E70">
        <w:rPr>
          <w:i/>
          <w:lang w:val="en-AU"/>
        </w:rPr>
        <w:t xml:space="preserve"> </w:t>
      </w:r>
    </w:p>
    <w:p w:rsidR="00702E5E" w:rsidRPr="00370E70" w:rsidRDefault="005132EF" w:rsidP="00034AD4">
      <w:pPr>
        <w:rPr>
          <w:color w:val="000000"/>
          <w:szCs w:val="22"/>
        </w:rPr>
      </w:pPr>
      <w:r w:rsidRPr="00370E70">
        <w:rPr>
          <w:color w:val="000000"/>
          <w:szCs w:val="22"/>
        </w:rPr>
        <w:t>The reef habitats are mainly represented by fringing reefs on the many continental islands within this area. Most fringing reefs have seagrass meadows growing on their intertidal flats. Nutrient supply to these meadows is by terrestrial inputs via riverine discharge, re-suspension of sediments and groundwater supply (</w:t>
      </w:r>
      <w:r w:rsidRPr="00370E70">
        <w:rPr>
          <w:color w:val="000000"/>
        </w:rPr>
        <w:fldChar w:fldCharType="begin"/>
      </w:r>
      <w:r w:rsidRPr="00370E70">
        <w:rPr>
          <w:color w:val="000000"/>
        </w:rPr>
        <w:instrText xml:space="preserve"> REF _Ref179445959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86</w:t>
      </w:r>
      <w:r w:rsidRPr="00370E70">
        <w:rPr>
          <w:color w:val="000000"/>
        </w:rPr>
        <w:fldChar w:fldCharType="end"/>
      </w:r>
      <w:r w:rsidRPr="00370E70">
        <w:rPr>
          <w:color w:val="000000"/>
          <w:szCs w:val="22"/>
        </w:rPr>
        <w:t xml:space="preserve">). </w:t>
      </w:r>
    </w:p>
    <w:p w:rsidR="00702E5E" w:rsidRPr="00370E70" w:rsidRDefault="007B15AB" w:rsidP="00702E5E">
      <w:pPr>
        <w:keepNext/>
        <w:rPr>
          <w:color w:val="000000"/>
        </w:rPr>
      </w:pPr>
      <w:r>
        <w:rPr>
          <w:i/>
          <w:noProof/>
          <w:color w:val="000000"/>
          <w:szCs w:val="22"/>
          <w:lang w:eastAsia="en-AU"/>
        </w:rPr>
        <w:lastRenderedPageBreak/>
        <w:drawing>
          <wp:inline distT="0" distB="0" distL="0" distR="0">
            <wp:extent cx="5756910" cy="7225030"/>
            <wp:effectExtent l="0" t="0" r="0" b="0"/>
            <wp:docPr id="118" name="Picture 118" descr="Map showing the location of Burdekin region long-term monitoring sites in coastal (Bushland Beach and Shelley Beach) and reef (Picnic Bay and Cockle Bay, Magnetic Island) habitat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Map showing the location of Burdekin region long-term monitoring sites in coastal (Bushland Beach and Shelley Beach) and reef (Picnic Bay and Cockle Bay, Magnetic Island) habitats, and the seagrass species composition at each site."/>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702E5E" w:rsidRPr="00370E70" w:rsidRDefault="00702E5E" w:rsidP="00702E5E">
      <w:pPr>
        <w:pStyle w:val="Caption"/>
        <w:rPr>
          <w:i/>
          <w:color w:val="000000"/>
          <w:szCs w:val="22"/>
          <w:lang w:val="en-AU"/>
        </w:rPr>
      </w:pPr>
      <w:bookmarkStart w:id="432" w:name="_Ref179446008"/>
      <w:bookmarkStart w:id="433" w:name="_Toc176158882"/>
      <w:bookmarkStart w:id="434" w:name="_Toc232845982"/>
      <w:bookmarkStart w:id="435" w:name="_Toc384196432"/>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85</w:t>
      </w:r>
      <w:r w:rsidRPr="00370E70">
        <w:rPr>
          <w:color w:val="000000"/>
          <w:szCs w:val="22"/>
          <w:lang w:val="en-AU"/>
        </w:rPr>
        <w:fldChar w:fldCharType="end"/>
      </w:r>
      <w:bookmarkEnd w:id="432"/>
      <w:r w:rsidRPr="00370E70">
        <w:rPr>
          <w:i/>
          <w:color w:val="000000"/>
          <w:szCs w:val="22"/>
          <w:lang w:val="en-AU"/>
        </w:rPr>
        <w:t xml:space="preserve">. </w:t>
      </w:r>
      <w:bookmarkEnd w:id="433"/>
      <w:bookmarkEnd w:id="434"/>
      <w:r w:rsidRPr="00370E70">
        <w:rPr>
          <w:i/>
          <w:color w:val="000000"/>
          <w:szCs w:val="22"/>
          <w:lang w:val="en-AU"/>
        </w:rPr>
        <w:t>Location of Burdekin region long-term monitoring sites in coastal (</w:t>
      </w:r>
      <w:smartTag w:uri="urn:schemas-microsoft-com:office:smarttags" w:element="PlaceName">
        <w:r w:rsidRPr="00370E70">
          <w:rPr>
            <w:i/>
            <w:color w:val="000000"/>
            <w:szCs w:val="22"/>
            <w:lang w:val="en-AU"/>
          </w:rPr>
          <w:t>Bushland</w:t>
        </w:r>
      </w:smartTag>
      <w:r w:rsidRPr="00370E70">
        <w:rPr>
          <w:i/>
          <w:color w:val="000000"/>
          <w:szCs w:val="22"/>
          <w:lang w:val="en-AU"/>
        </w:rPr>
        <w:t xml:space="preserve"> </w:t>
      </w:r>
      <w:smartTag w:uri="urn:schemas-microsoft-com:office:smarttags" w:element="PlaceType">
        <w:r w:rsidRPr="00370E70">
          <w:rPr>
            <w:i/>
            <w:color w:val="000000"/>
            <w:szCs w:val="22"/>
            <w:lang w:val="en-AU"/>
          </w:rPr>
          <w:t>Beach</w:t>
        </w:r>
      </w:smartTag>
      <w:r w:rsidRPr="00370E70">
        <w:rPr>
          <w:i/>
          <w:color w:val="000000"/>
          <w:szCs w:val="22"/>
          <w:lang w:val="en-AU"/>
        </w:rPr>
        <w:t xml:space="preserve"> and Shelley Beach) and reef (</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and </w:t>
      </w:r>
      <w:smartTag w:uri="urn:schemas-microsoft-com:office:smarttags" w:element="PlaceName">
        <w:r w:rsidRPr="00370E70">
          <w:rPr>
            <w:i/>
            <w:color w:val="000000"/>
            <w:szCs w:val="22"/>
            <w:lang w:val="en-AU"/>
          </w:rPr>
          <w:t>Cockle</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habitats, and the seagrass species composition at each site.</w:t>
      </w:r>
      <w:bookmarkEnd w:id="435"/>
    </w:p>
    <w:p w:rsidR="005132EF" w:rsidRPr="00370E70" w:rsidRDefault="005132EF" w:rsidP="00034AD4">
      <w:pPr>
        <w:rPr>
          <w:color w:val="000000"/>
          <w:szCs w:val="22"/>
        </w:rPr>
      </w:pPr>
      <w:r w:rsidRPr="00370E70">
        <w:rPr>
          <w:color w:val="000000"/>
          <w:szCs w:val="22"/>
        </w:rPr>
        <w:t xml:space="preserve">The meadows </w:t>
      </w:r>
      <w:r w:rsidR="00702E5E" w:rsidRPr="00370E70">
        <w:rPr>
          <w:color w:val="000000"/>
          <w:szCs w:val="22"/>
        </w:rPr>
        <w:t xml:space="preserve">in reef habitats </w:t>
      </w:r>
      <w:r w:rsidRPr="00370E70">
        <w:rPr>
          <w:color w:val="000000"/>
          <w:szCs w:val="22"/>
        </w:rPr>
        <w:t xml:space="preserve">are typically composed of zones of seagrasses: </w:t>
      </w:r>
      <w:r w:rsidRPr="00370E70">
        <w:rPr>
          <w:i/>
          <w:color w:val="000000"/>
          <w:szCs w:val="22"/>
        </w:rPr>
        <w:t xml:space="preserve">Cymodocea serrulata and Thalassia hemprichii </w:t>
      </w:r>
      <w:r w:rsidRPr="00370E70">
        <w:rPr>
          <w:color w:val="000000"/>
          <w:szCs w:val="22"/>
        </w:rPr>
        <w:t>often occupy the</w:t>
      </w:r>
      <w:r w:rsidRPr="00370E70">
        <w:rPr>
          <w:i/>
          <w:color w:val="000000"/>
          <w:szCs w:val="22"/>
        </w:rPr>
        <w:t xml:space="preserve"> </w:t>
      </w:r>
      <w:r w:rsidRPr="00370E70">
        <w:rPr>
          <w:color w:val="000000"/>
          <w:szCs w:val="22"/>
        </w:rPr>
        <w:t xml:space="preserve">lower intertidal/subtidal area, blending with </w:t>
      </w:r>
      <w:r w:rsidRPr="00370E70">
        <w:rPr>
          <w:i/>
          <w:color w:val="000000"/>
          <w:szCs w:val="22"/>
        </w:rPr>
        <w:t>Halodule uninervis</w:t>
      </w:r>
      <w:r w:rsidRPr="00370E70">
        <w:rPr>
          <w:color w:val="000000"/>
          <w:szCs w:val="22"/>
        </w:rPr>
        <w:t xml:space="preserve"> (wide leaved) in the middle intertidal region. </w:t>
      </w:r>
      <w:r w:rsidRPr="00370E70">
        <w:rPr>
          <w:i/>
          <w:color w:val="000000"/>
          <w:szCs w:val="22"/>
        </w:rPr>
        <w:t>Halophila ovalis</w:t>
      </w:r>
      <w:r w:rsidRPr="00370E70">
        <w:rPr>
          <w:color w:val="000000"/>
          <w:szCs w:val="22"/>
        </w:rPr>
        <w:t xml:space="preserve"> and </w:t>
      </w:r>
      <w:r w:rsidRPr="00370E70">
        <w:rPr>
          <w:i/>
          <w:color w:val="000000"/>
          <w:szCs w:val="22"/>
        </w:rPr>
        <w:t>Halodule uninervis</w:t>
      </w:r>
      <w:r w:rsidRPr="00370E70">
        <w:rPr>
          <w:color w:val="000000"/>
          <w:szCs w:val="22"/>
        </w:rPr>
        <w:t xml:space="preserve"> (narrow leaved) inhabit the upper intertidal zone. Phosphate is often the nutrient most limiting to reefal seagrasses </w:t>
      </w:r>
      <w:r w:rsidR="00C610E4" w:rsidRPr="00370E70">
        <w:rPr>
          <w:color w:val="000000"/>
          <w:szCs w:val="22"/>
        </w:rPr>
        <w:t>(</w:t>
      </w:r>
      <w:hyperlink w:anchor="_ENREF_177" w:tooltip="Short, 1990 #128" w:history="1">
        <w:r w:rsidR="00964A70" w:rsidRPr="00370E70">
          <w:rPr>
            <w:color w:val="000000"/>
            <w:szCs w:val="22"/>
          </w:rPr>
          <w:fldChar w:fldCharType="begin"/>
        </w:r>
        <w:r w:rsidR="00964A70" w:rsidRPr="00370E70">
          <w:rPr>
            <w:color w:val="000000"/>
            <w:szCs w:val="22"/>
          </w:rPr>
          <w:instrText xml:space="preserve"> ADDIN EN.CITE &lt;EndNote&gt;&lt;Cite&gt;&lt;Author&gt;Short&lt;/Author&gt;&lt;Year&gt;1990&lt;/Year&gt;&lt;RecNum&gt;128&lt;/RecNum&gt;&lt;DisplayText&gt;Short&lt;style face="italic"&gt;, et al.&lt;/style&gt; 1990&lt;/DisplayText&gt;&lt;record&gt;&lt;rec-number&gt;128&lt;/rec-number&gt;&lt;foreign-keys&gt;&lt;key app="EN" db-id="0eve55x9y5vfd6e9dacxtew4eatve2dzds9a"&gt;128&lt;/key&gt;&lt;/foreign-keys&gt;&lt;ref-type name="Journal Article"&gt;17&lt;/ref-type&gt;&lt;contributors&gt;&lt;authors&gt;&lt;author&gt;Short, F. T.&lt;/author&gt;&lt;author&gt;Dennison, William C.&lt;/author&gt;&lt;author&gt;Capone, D. G.&lt;/author&gt;&lt;/authors&gt;&lt;/contributors&gt;&lt;titles&gt;&lt;title&gt;Phosphorus-limited growth of the tropical seagrass Syringodium filiforme in carbonate sediments&lt;/title&gt;&lt;secondary-title&gt;Marine Ecology Progress Series&lt;/secondary-title&gt;&lt;alt-title&gt;Mar. Ecol. Prog. Ser.&lt;/alt-title&gt;&lt;/titles&gt;&lt;periodical&gt;&lt;full-title&gt;Marine Ecology Progress Series&lt;/full-title&gt;&lt;/periodical&gt;&lt;pages&gt;169-174&lt;/pages&gt;&lt;volume&gt;62&lt;/volume&gt;&lt;number&gt;1-2&lt;/number&gt;&lt;keywords&gt;&lt;keyword&gt;GIBIBLIO&lt;/keyword&gt;&lt;keyword&gt;NUTRIENT ENRICHMENT&lt;/keyword&gt;&lt;keyword&gt;SEAGRASS&lt;/keyword&gt;&lt;/keywords&gt;&lt;dates&gt;&lt;year&gt;1990&lt;/year&gt;&lt;/dates&gt;&lt;label&gt;80&lt;/label&gt;&lt;urls&gt;&lt;/urls&gt;&lt;custom1&gt;Annex&lt;/custom1&gt;&lt;/record&gt;&lt;/Cite&gt;&lt;/EndNote&gt;</w:instrText>
        </w:r>
        <w:r w:rsidR="00964A70" w:rsidRPr="00370E70">
          <w:rPr>
            <w:color w:val="000000"/>
            <w:szCs w:val="22"/>
          </w:rPr>
          <w:fldChar w:fldCharType="separate"/>
        </w:r>
        <w:r w:rsidR="00964A70" w:rsidRPr="00370E70">
          <w:rPr>
            <w:noProof/>
            <w:color w:val="000000"/>
            <w:szCs w:val="22"/>
          </w:rPr>
          <w:t>Short</w:t>
        </w:r>
        <w:r w:rsidR="00964A70" w:rsidRPr="00370E70">
          <w:rPr>
            <w:i/>
            <w:noProof/>
            <w:color w:val="000000"/>
            <w:szCs w:val="22"/>
          </w:rPr>
          <w:t>, et al.</w:t>
        </w:r>
        <w:r w:rsidR="00964A70" w:rsidRPr="00370E70">
          <w:rPr>
            <w:noProof/>
            <w:color w:val="000000"/>
            <w:szCs w:val="22"/>
          </w:rPr>
          <w:t xml:space="preserve"> 1990</w:t>
        </w:r>
        <w:r w:rsidR="00964A70" w:rsidRPr="00370E70">
          <w:rPr>
            <w:color w:val="000000"/>
            <w:szCs w:val="22"/>
          </w:rPr>
          <w:fldChar w:fldCharType="end"/>
        </w:r>
      </w:hyperlink>
      <w:r w:rsidR="00C610E4" w:rsidRPr="00370E70">
        <w:rPr>
          <w:color w:val="000000"/>
          <w:szCs w:val="22"/>
        </w:rPr>
        <w:t>;</w:t>
      </w:r>
      <w:hyperlink w:anchor="_ENREF_80" w:tooltip="Fourqurean, 1992 #9493" w:history="1">
        <w:r w:rsidR="00964A70" w:rsidRPr="00370E70">
          <w:rPr>
            <w:color w:val="000000"/>
            <w:szCs w:val="22"/>
          </w:rPr>
          <w:fldChar w:fldCharType="begin"/>
        </w:r>
        <w:r w:rsidR="00964A70" w:rsidRPr="00370E70">
          <w:rPr>
            <w:color w:val="000000"/>
            <w:szCs w:val="22"/>
          </w:rPr>
          <w:instrText xml:space="preserve"> ADDIN EN.CITE &lt;EndNote&gt;&lt;Cite&gt;&lt;Author&gt;Fourqurean&lt;/Author&gt;&lt;Year&gt;1992&lt;/Year&gt;&lt;RecNum&gt;9493&lt;/RecNum&gt;&lt;DisplayText&gt;Fourqurean&lt;style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EndNote&gt;</w:instrText>
        </w:r>
        <w:r w:rsidR="00964A70" w:rsidRPr="00370E70">
          <w:rPr>
            <w:color w:val="000000"/>
            <w:szCs w:val="22"/>
          </w:rPr>
          <w:fldChar w:fldCharType="separate"/>
        </w:r>
        <w:r w:rsidR="00964A70" w:rsidRPr="00370E70">
          <w:rPr>
            <w:noProof/>
            <w:color w:val="000000"/>
            <w:szCs w:val="22"/>
          </w:rPr>
          <w:t>Fourqurean</w:t>
        </w:r>
        <w:r w:rsidR="00964A70" w:rsidRPr="00370E70">
          <w:rPr>
            <w:i/>
            <w:noProof/>
            <w:color w:val="000000"/>
            <w:szCs w:val="22"/>
          </w:rPr>
          <w:t>, et al.</w:t>
        </w:r>
        <w:r w:rsidR="00964A70" w:rsidRPr="00370E70">
          <w:rPr>
            <w:noProof/>
            <w:color w:val="000000"/>
            <w:szCs w:val="22"/>
          </w:rPr>
          <w:t xml:space="preserve"> 1992b</w:t>
        </w:r>
        <w:r w:rsidR="00964A70" w:rsidRPr="00370E70">
          <w:rPr>
            <w:color w:val="000000"/>
            <w:szCs w:val="22"/>
          </w:rPr>
          <w:fldChar w:fldCharType="end"/>
        </w:r>
      </w:hyperlink>
      <w:r w:rsidR="00C610E4" w:rsidRPr="00370E70">
        <w:rPr>
          <w:color w:val="000000"/>
          <w:szCs w:val="22"/>
        </w:rPr>
        <w:t>)</w:t>
      </w:r>
      <w:r w:rsidRPr="00370E70">
        <w:rPr>
          <w:color w:val="000000"/>
          <w:szCs w:val="22"/>
        </w:rPr>
        <w:t xml:space="preserve">. Experimental studies on reef top </w:t>
      </w:r>
      <w:r w:rsidRPr="00370E70">
        <w:rPr>
          <w:color w:val="000000"/>
          <w:szCs w:val="22"/>
        </w:rPr>
        <w:lastRenderedPageBreak/>
        <w:t xml:space="preserve">seagrasses in this region however, have shown seagrasses to be nitrogen limited primarily with secondary phosphate limitation, once the plants have started to increase in biomass </w:t>
      </w:r>
      <w:r w:rsidR="00C610E4" w:rsidRPr="00370E70">
        <w:rPr>
          <w:color w:val="000000"/>
          <w:szCs w:val="22"/>
        </w:rPr>
        <w:t>(</w:t>
      </w:r>
      <w:hyperlink w:anchor="_ENREF_144" w:tooltip="Mellors, 2003 #7086" w:history="1">
        <w:r w:rsidR="00964A70" w:rsidRPr="00370E70">
          <w:rPr>
            <w:color w:val="000000"/>
            <w:szCs w:val="22"/>
          </w:rPr>
          <w:fldChar w:fldCharType="begin"/>
        </w:r>
        <w:r w:rsidR="00964A70" w:rsidRPr="00370E70">
          <w:rPr>
            <w:color w:val="000000"/>
            <w:szCs w:val="22"/>
          </w:rPr>
          <w:instrText xml:space="preserve"> ADDIN EN.CITE &lt;EndNote&gt;&lt;Cite&gt;&lt;Author&gt;Mellors&lt;/Author&gt;&lt;Year&gt;2003&lt;/Year&gt;&lt;RecNum&gt;7086&lt;/RecNum&gt;&lt;DisplayText&gt;Mellors 2003&lt;/DisplayText&gt;&lt;record&gt;&lt;rec-number&gt;7086&lt;/rec-number&gt;&lt;foreign-keys&gt;&lt;key app="EN" db-id="0eve55x9y5vfd6e9dacxtew4eatve2dzds9a"&gt;7086&lt;/key&gt;&lt;/foreign-keys&gt;&lt;ref-type name="Book"&gt;6&lt;/ref-type&gt;&lt;contributors&gt;&lt;authors&gt;&lt;author&gt;Mellors, J. E.&lt;/author&gt;&lt;/authors&gt;&lt;/contributors&gt;&lt;titles&gt;&lt;title&gt;Sediment and nutrient dynamics in coastal intertidal seagrass of north eastern tropical Australia. PhD Thesis.&lt;/title&gt;&lt;/titles&gt;&lt;pages&gt;284&lt;/pages&gt;&lt;dates&gt;&lt;year&gt;2003&lt;/year&gt;&lt;/dates&gt;&lt;pub-location&gt;School of Tropical Environment Studies and Geography&lt;/pub-location&gt;&lt;publisher&gt;James Cook University, Townsville&lt;/publisher&gt;&lt;urls&gt;&lt;/urls&gt;&lt;/record&gt;&lt;/Cite&gt;&lt;/EndNote&gt;</w:instrText>
        </w:r>
        <w:r w:rsidR="00964A70" w:rsidRPr="00370E70">
          <w:rPr>
            <w:color w:val="000000"/>
            <w:szCs w:val="22"/>
          </w:rPr>
          <w:fldChar w:fldCharType="separate"/>
        </w:r>
        <w:r w:rsidR="00964A70" w:rsidRPr="00370E70">
          <w:rPr>
            <w:noProof/>
            <w:color w:val="000000"/>
            <w:szCs w:val="22"/>
          </w:rPr>
          <w:t>Mellors 2003</w:t>
        </w:r>
        <w:r w:rsidR="00964A70" w:rsidRPr="00370E70">
          <w:rPr>
            <w:color w:val="000000"/>
            <w:szCs w:val="22"/>
          </w:rPr>
          <w:fldChar w:fldCharType="end"/>
        </w:r>
      </w:hyperlink>
      <w:r w:rsidR="00C610E4" w:rsidRPr="00370E70">
        <w:rPr>
          <w:color w:val="000000"/>
          <w:szCs w:val="22"/>
        </w:rPr>
        <w:t>)</w:t>
      </w:r>
      <w:r w:rsidRPr="00370E70">
        <w:rPr>
          <w:color w:val="000000"/>
          <w:szCs w:val="22"/>
        </w:rPr>
        <w:t>. In these fringing reef top environments fine sediments are easily resuspended by tidal and wind generated currents making light availability a driver of meadow structure.</w:t>
      </w:r>
    </w:p>
    <w:p w:rsidR="005132EF" w:rsidRPr="00370E70" w:rsidRDefault="007B15AB" w:rsidP="00034AD4">
      <w:pPr>
        <w:keepNext/>
        <w:rPr>
          <w:color w:val="000000"/>
          <w:szCs w:val="22"/>
        </w:rPr>
      </w:pPr>
      <w:r>
        <w:rPr>
          <w:noProof/>
          <w:color w:val="000000"/>
          <w:szCs w:val="22"/>
          <w:lang w:eastAsia="en-AU"/>
        </w:rPr>
        <w:drawing>
          <wp:inline distT="0" distB="0" distL="0" distR="0">
            <wp:extent cx="5692775" cy="2163445"/>
            <wp:effectExtent l="0" t="0" r="3175" b="8255"/>
            <wp:docPr id="119" name="Picture 127" descr="Conceptual diagram of fringing reef habitat in the Burdekin region - major control is nutrient supply (groundwater), light and shelter: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onceptual diagram of fringing reef habitat in the Burdekin region - major control is nutrient supply (groundwater), light and shelter: general habitat and seagrass meadow processes "/>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692775" cy="2163445"/>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36" w:name="_Ref179445959"/>
      <w:bookmarkStart w:id="437" w:name="_Toc384196433"/>
      <w:bookmarkStart w:id="438" w:name="_Toc176158881"/>
      <w:bookmarkStart w:id="439" w:name="_Toc23284598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86</w:t>
      </w:r>
      <w:r w:rsidRPr="00370E70">
        <w:rPr>
          <w:lang w:val="en-AU"/>
        </w:rPr>
        <w:fldChar w:fldCharType="end"/>
      </w:r>
      <w:bookmarkEnd w:id="436"/>
      <w:r w:rsidRPr="00370E70">
        <w:rPr>
          <w:rStyle w:val="StyleCaptionCaptionCharCharLatinCalibri11ptBlackChar"/>
          <w:lang w:val="en-AU"/>
        </w:rPr>
        <w:t>.</w:t>
      </w:r>
      <w:r w:rsidRPr="00370E70">
        <w:rPr>
          <w:lang w:val="en-AU"/>
        </w:rPr>
        <w:t xml:space="preserve"> </w:t>
      </w:r>
      <w:r w:rsidRPr="00370E70">
        <w:rPr>
          <w:i/>
          <w:lang w:val="en-AU"/>
        </w:rPr>
        <w:t>Conceptual diagram of fringing reef habitat in the Burdekin region</w:t>
      </w:r>
      <w:bookmarkEnd w:id="437"/>
    </w:p>
    <w:p w:rsidR="00C610E4" w:rsidRPr="00370E70" w:rsidRDefault="005132EF" w:rsidP="00C610E4">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nutrient supply (groundwater), light and shelter: general habitat and seagrass meadow processes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438"/>
      <w:bookmarkEnd w:id="439"/>
      <w:r w:rsidRPr="00370E70">
        <w:rPr>
          <w:i/>
          <w:lang w:val="en-AU"/>
        </w:rPr>
        <w:t>.</w:t>
      </w:r>
      <w:r w:rsidR="00C610E4" w:rsidRPr="00370E70">
        <w:rPr>
          <w:i/>
          <w:lang w:val="en-AU"/>
        </w:rPr>
        <w:t xml:space="preserve"> </w:t>
      </w:r>
    </w:p>
    <w:p w:rsidR="005132EF" w:rsidRPr="00370E70" w:rsidRDefault="005132EF" w:rsidP="00034AD4">
      <w:pPr>
        <w:pStyle w:val="Heading3"/>
        <w:rPr>
          <w:color w:val="000000"/>
        </w:rPr>
      </w:pPr>
      <w:bookmarkStart w:id="440" w:name="_Toc184101998"/>
      <w:bookmarkStart w:id="441" w:name="_Toc384196139"/>
      <w:bookmarkStart w:id="442" w:name="_Toc175991075"/>
      <w:bookmarkStart w:id="443" w:name="_Toc232845919"/>
      <w:r w:rsidRPr="00370E70">
        <w:rPr>
          <w:color w:val="000000"/>
        </w:rPr>
        <w:t>Status of the seagrass community</w:t>
      </w:r>
      <w:bookmarkEnd w:id="440"/>
      <w:bookmarkEnd w:id="441"/>
    </w:p>
    <w:p w:rsidR="004B4D7F" w:rsidRPr="00370E70" w:rsidRDefault="004B4D7F" w:rsidP="004B4D7F">
      <w:pPr>
        <w:rPr>
          <w:lang w:eastAsia="en-AU"/>
        </w:rPr>
      </w:pPr>
      <w:r w:rsidRPr="00370E70">
        <w:rPr>
          <w:lang w:eastAsia="en-AU"/>
        </w:rPr>
        <w:t xml:space="preserve">The overall condition of inshore seagrass in the Burdekin region </w:t>
      </w:r>
      <w:r w:rsidR="007475F6" w:rsidRPr="00370E70">
        <w:rPr>
          <w:lang w:eastAsia="en-AU"/>
        </w:rPr>
        <w:t>remained</w:t>
      </w:r>
      <w:r w:rsidRPr="00370E70">
        <w:rPr>
          <w:lang w:eastAsia="en-AU"/>
        </w:rPr>
        <w:t xml:space="preserve"> very poor in 2011</w:t>
      </w:r>
      <w:r w:rsidR="007475F6" w:rsidRPr="00370E70">
        <w:rPr>
          <w:lang w:eastAsia="en-AU"/>
        </w:rPr>
        <w:t>/1</w:t>
      </w:r>
      <w:r w:rsidRPr="00370E70">
        <w:rPr>
          <w:lang w:eastAsia="en-AU"/>
        </w:rPr>
        <w:t>2</w:t>
      </w:r>
      <w:r w:rsidR="00702E5E" w:rsidRPr="00370E70">
        <w:rPr>
          <w:lang w:eastAsia="en-AU"/>
        </w:rPr>
        <w:t>, despite increases in all indicators (</w:t>
      </w:r>
      <w:r w:rsidR="00702E5E" w:rsidRPr="00370E70">
        <w:rPr>
          <w:lang w:eastAsia="en-AU"/>
        </w:rPr>
        <w:fldChar w:fldCharType="begin"/>
      </w:r>
      <w:r w:rsidR="00702E5E" w:rsidRPr="00370E70">
        <w:rPr>
          <w:lang w:eastAsia="en-AU"/>
        </w:rPr>
        <w:instrText xml:space="preserve"> REF _Ref382832789 \h </w:instrText>
      </w:r>
      <w:r w:rsidR="00702E5E" w:rsidRPr="00370E70">
        <w:rPr>
          <w:lang w:eastAsia="en-AU"/>
        </w:rPr>
      </w:r>
      <w:r w:rsidR="00702E5E" w:rsidRPr="00370E70">
        <w:rPr>
          <w:lang w:eastAsia="en-AU"/>
        </w:rPr>
        <w:fldChar w:fldCharType="separate"/>
      </w:r>
      <w:r w:rsidR="005B5FD6" w:rsidRPr="00370E70">
        <w:t xml:space="preserve">Figure </w:t>
      </w:r>
      <w:r w:rsidR="005B5FD6">
        <w:rPr>
          <w:noProof/>
        </w:rPr>
        <w:t>87</w:t>
      </w:r>
      <w:r w:rsidR="00702E5E" w:rsidRPr="00370E70">
        <w:rPr>
          <w:lang w:eastAsia="en-AU"/>
        </w:rPr>
        <w:fldChar w:fldCharType="end"/>
      </w:r>
      <w:r w:rsidR="00702E5E" w:rsidRPr="00370E70">
        <w:rPr>
          <w:lang w:eastAsia="en-AU"/>
        </w:rPr>
        <w:t>)</w:t>
      </w:r>
      <w:r w:rsidRPr="00370E70">
        <w:rPr>
          <w:lang w:eastAsia="en-AU"/>
        </w:rPr>
        <w:t xml:space="preserve">. The nutrient content of seagrass tissue </w:t>
      </w:r>
      <w:r w:rsidR="00702E5E" w:rsidRPr="00370E70">
        <w:rPr>
          <w:lang w:eastAsia="en-AU"/>
        </w:rPr>
        <w:t xml:space="preserve">was the only indictor which </w:t>
      </w:r>
      <w:r w:rsidR="007475F6" w:rsidRPr="00370E70">
        <w:rPr>
          <w:lang w:eastAsia="en-AU"/>
        </w:rPr>
        <w:t>improved from very poor in 2010/11 to poor in 2011/12</w:t>
      </w:r>
      <w:r w:rsidRPr="00370E70">
        <w:rPr>
          <w:lang w:eastAsia="en-AU"/>
        </w:rPr>
        <w:t>.</w:t>
      </w:r>
    </w:p>
    <w:p w:rsidR="004B4D7F" w:rsidRPr="00370E70" w:rsidRDefault="007B15AB" w:rsidP="004B4D7F">
      <w:pPr>
        <w:jc w:val="center"/>
        <w:rPr>
          <w:lang w:eastAsia="en-AU"/>
        </w:rPr>
      </w:pPr>
      <w:r>
        <w:rPr>
          <w:noProof/>
          <w:lang w:eastAsia="en-AU"/>
        </w:rPr>
        <w:drawing>
          <wp:inline distT="0" distB="0" distL="0" distR="0">
            <wp:extent cx="3606165" cy="1880235"/>
            <wp:effectExtent l="0" t="0" r="0" b="5715"/>
            <wp:docPr id="120" name="Picture 120" descr="Figure of report card of seagrass status indicators and index for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Figure of report card of seagrass status indicators and index for the Burdekin NRM region"/>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606165" cy="1880235"/>
                    </a:xfrm>
                    <a:prstGeom prst="rect">
                      <a:avLst/>
                    </a:prstGeom>
                    <a:noFill/>
                    <a:ln>
                      <a:noFill/>
                    </a:ln>
                  </pic:spPr>
                </pic:pic>
              </a:graphicData>
            </a:graphic>
          </wp:inline>
        </w:drawing>
      </w:r>
    </w:p>
    <w:p w:rsidR="004B4D7F" w:rsidRPr="00370E70" w:rsidRDefault="004B4D7F" w:rsidP="004B4D7F">
      <w:pPr>
        <w:rPr>
          <w:i/>
          <w:vanish/>
          <w:color w:val="000000"/>
          <w:szCs w:val="22"/>
          <w:specVanish/>
        </w:rPr>
      </w:pPr>
      <w:bookmarkStart w:id="444" w:name="_Ref382832789"/>
      <w:bookmarkStart w:id="445" w:name="_Toc384196434"/>
      <w:r w:rsidRPr="00370E70">
        <w:t xml:space="preserve">Figure </w:t>
      </w:r>
      <w:r w:rsidR="009A14B8">
        <w:fldChar w:fldCharType="begin"/>
      </w:r>
      <w:r w:rsidR="009A14B8">
        <w:instrText xml:space="preserve"> SEQ Figure \* ARABIC </w:instrText>
      </w:r>
      <w:r w:rsidR="009A14B8">
        <w:fldChar w:fldCharType="separate"/>
      </w:r>
      <w:r w:rsidR="005B5FD6">
        <w:rPr>
          <w:noProof/>
        </w:rPr>
        <w:t>87</w:t>
      </w:r>
      <w:r w:rsidR="009A14B8">
        <w:rPr>
          <w:noProof/>
        </w:rPr>
        <w:fldChar w:fldCharType="end"/>
      </w:r>
      <w:bookmarkEnd w:id="444"/>
      <w:r w:rsidRPr="00370E70">
        <w:t xml:space="preserve">. </w:t>
      </w:r>
      <w:r w:rsidRPr="00370E70">
        <w:rPr>
          <w:i/>
          <w:color w:val="000000"/>
          <w:szCs w:val="22"/>
        </w:rPr>
        <w:t>Report card of seagrass status indicators and index for the Burdekin NRM region</w:t>
      </w:r>
      <w:bookmarkEnd w:id="445"/>
    </w:p>
    <w:p w:rsidR="004B4D7F" w:rsidRPr="00370E70" w:rsidRDefault="004B4D7F" w:rsidP="004B4D7F">
      <w:pPr>
        <w:pStyle w:val="Caption"/>
        <w:rPr>
          <w:lang w:val="en-AU" w:eastAsia="en-AU"/>
        </w:rPr>
      </w:pPr>
      <w:r w:rsidRPr="00370E70">
        <w:rPr>
          <w:i/>
          <w:color w:val="000000"/>
          <w:szCs w:val="22"/>
          <w:lang w:val="en-AU"/>
        </w:rPr>
        <w:t xml:space="preserve"> (averaged across sites). Values are indexed scores scaled from 0-100; </w:t>
      </w:r>
      <w:r w:rsidRPr="00370E70">
        <w:rPr>
          <w:rFonts w:ascii="Arial" w:hAnsi="Arial" w:cs="Arial"/>
          <w:i/>
          <w:color w:val="008000"/>
          <w:szCs w:val="22"/>
          <w:lang w:val="en-AU"/>
        </w:rPr>
        <w:t>■ </w:t>
      </w:r>
      <w:r w:rsidRPr="00370E70">
        <w:rPr>
          <w:i/>
          <w:szCs w:val="22"/>
          <w:lang w:val="en-AU"/>
        </w:rPr>
        <w:t xml:space="preserve">= very good (80-100), </w:t>
      </w:r>
      <w:r w:rsidRPr="00370E70">
        <w:rPr>
          <w:rFonts w:ascii="Arial" w:hAnsi="Arial" w:cs="Arial"/>
          <w:i/>
          <w:color w:val="92D050"/>
          <w:szCs w:val="22"/>
          <w:lang w:val="en-AU"/>
        </w:rPr>
        <w:t>■</w:t>
      </w:r>
      <w:r w:rsidRPr="00370E70">
        <w:rPr>
          <w:i/>
          <w:szCs w:val="22"/>
          <w:lang w:val="en-AU"/>
        </w:rPr>
        <w:t xml:space="preserve"> = good (60 - &lt;80), </w:t>
      </w:r>
      <w:r w:rsidRPr="00370E70">
        <w:rPr>
          <w:rFonts w:ascii="Arial" w:hAnsi="Arial" w:cs="Arial"/>
          <w:i/>
          <w:color w:val="FFFF00"/>
          <w:szCs w:val="22"/>
          <w:lang w:val="en-AU"/>
        </w:rPr>
        <w:t>■</w:t>
      </w:r>
      <w:r w:rsidRPr="00370E70">
        <w:rPr>
          <w:i/>
          <w:szCs w:val="22"/>
          <w:lang w:val="en-AU"/>
        </w:rPr>
        <w:t xml:space="preserve"> = moderate (40 - &lt;60), </w:t>
      </w:r>
      <w:r w:rsidRPr="00370E70">
        <w:rPr>
          <w:rFonts w:ascii="Arial" w:hAnsi="Arial" w:cs="Arial"/>
          <w:i/>
          <w:color w:val="FFC000"/>
          <w:szCs w:val="22"/>
          <w:lang w:val="en-AU"/>
        </w:rPr>
        <w:t>■</w:t>
      </w:r>
      <w:r w:rsidRPr="00370E70">
        <w:rPr>
          <w:i/>
          <w:szCs w:val="22"/>
          <w:lang w:val="en-AU"/>
        </w:rPr>
        <w:t xml:space="preserve"> = poor (20 - &lt;40), </w:t>
      </w:r>
      <w:r w:rsidRPr="00370E70">
        <w:rPr>
          <w:rFonts w:ascii="Arial" w:hAnsi="Arial" w:cs="Arial"/>
          <w:i/>
          <w:color w:val="FF0000"/>
          <w:szCs w:val="22"/>
          <w:lang w:val="en-AU"/>
        </w:rPr>
        <w:t>■</w:t>
      </w:r>
      <w:r w:rsidRPr="00370E70">
        <w:rPr>
          <w:i/>
          <w:szCs w:val="22"/>
          <w:lang w:val="en-AU"/>
        </w:rPr>
        <w:t> = very poor (0 - &lt;20)</w:t>
      </w:r>
      <w:r w:rsidRPr="00370E70">
        <w:rPr>
          <w:i/>
          <w:color w:val="000000"/>
          <w:szCs w:val="22"/>
          <w:lang w:val="en-AU"/>
        </w:rPr>
        <w:t>.</w:t>
      </w:r>
    </w:p>
    <w:p w:rsidR="005132EF" w:rsidRPr="00370E70" w:rsidRDefault="005132EF" w:rsidP="00034AD4">
      <w:pPr>
        <w:pStyle w:val="Heading4"/>
        <w:rPr>
          <w:b/>
          <w:color w:val="000000"/>
        </w:rPr>
      </w:pPr>
      <w:bookmarkStart w:id="446" w:name="_Toc184101999"/>
      <w:bookmarkEnd w:id="442"/>
      <w:bookmarkEnd w:id="443"/>
      <w:r w:rsidRPr="00370E70">
        <w:rPr>
          <w:b/>
          <w:color w:val="000000"/>
        </w:rPr>
        <w:t>Seagrass abundance and composition</w:t>
      </w:r>
      <w:bookmarkEnd w:id="446"/>
    </w:p>
    <w:p w:rsidR="005132EF" w:rsidRPr="00370E70" w:rsidRDefault="005132EF" w:rsidP="00A96BFC">
      <w:pPr>
        <w:pStyle w:val="Heading5"/>
        <w:rPr>
          <w:szCs w:val="22"/>
        </w:rPr>
      </w:pPr>
      <w:r w:rsidRPr="00370E70">
        <w:rPr>
          <w:szCs w:val="22"/>
        </w:rPr>
        <w:t>Coastal habitat</w:t>
      </w:r>
    </w:p>
    <w:p w:rsidR="005132EF" w:rsidRPr="00370E70" w:rsidRDefault="005132EF" w:rsidP="00034AD4">
      <w:pPr>
        <w:rPr>
          <w:color w:val="000000"/>
          <w:szCs w:val="22"/>
        </w:rPr>
      </w:pPr>
      <w:r w:rsidRPr="00370E70">
        <w:rPr>
          <w:color w:val="000000"/>
          <w:szCs w:val="22"/>
        </w:rPr>
        <w:t>Meadows at coastal sites adjacent to Townsville (</w:t>
      </w:r>
      <w:smartTag w:uri="urn:schemas-microsoft-com:office:smarttags" w:element="place">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xml:space="preserve"> and Shelley Beach) remained dominated by </w:t>
      </w:r>
      <w:r w:rsidRPr="00370E70">
        <w:rPr>
          <w:i/>
          <w:color w:val="000000"/>
          <w:szCs w:val="22"/>
        </w:rPr>
        <w:t>Halodule uninervis</w:t>
      </w:r>
      <w:r w:rsidRPr="00370E70">
        <w:rPr>
          <w:color w:val="000000"/>
          <w:szCs w:val="22"/>
        </w:rPr>
        <w:t xml:space="preserve"> with small amounts of </w:t>
      </w:r>
      <w:r w:rsidRPr="00370E70">
        <w:rPr>
          <w:i/>
          <w:color w:val="000000"/>
          <w:szCs w:val="22"/>
        </w:rPr>
        <w:t>Halophila ovalis</w:t>
      </w:r>
      <w:r w:rsidRPr="00370E70">
        <w:rPr>
          <w:color w:val="000000"/>
          <w:szCs w:val="22"/>
        </w:rPr>
        <w:t xml:space="preserve"> over the 2011/12 period (</w:t>
      </w:r>
      <w:r w:rsidRPr="00370E70">
        <w:fldChar w:fldCharType="begin"/>
      </w:r>
      <w:r w:rsidRPr="00370E70">
        <w:instrText xml:space="preserve"> REF _Ref179446008 \h  \* MERGEFORMAT </w:instrText>
      </w:r>
      <w:r w:rsidRPr="00370E70">
        <w:fldChar w:fldCharType="separate"/>
      </w:r>
      <w:r w:rsidR="005B5FD6" w:rsidRPr="005B5FD6">
        <w:rPr>
          <w:szCs w:val="22"/>
        </w:rPr>
        <w:t xml:space="preserve">Figure </w:t>
      </w:r>
      <w:r w:rsidR="005B5FD6">
        <w:rPr>
          <w:noProof/>
          <w:color w:val="000000"/>
          <w:szCs w:val="22"/>
        </w:rPr>
        <w:t>85</w:t>
      </w:r>
      <w:r w:rsidRPr="00370E70">
        <w:fldChar w:fldCharType="end"/>
      </w:r>
      <w:r w:rsidRPr="00370E70">
        <w:rPr>
          <w:color w:val="000000"/>
          <w:szCs w:val="22"/>
        </w:rPr>
        <w:t>).  Seagrass cover has decreased at both sites since 2009 and the meadows were either absent or only a few isolated shoots remained after TC Yasi in February 2011 (</w:t>
      </w:r>
      <w:r w:rsidRPr="00370E70">
        <w:fldChar w:fldCharType="begin"/>
      </w:r>
      <w:r w:rsidRPr="00370E70">
        <w:instrText xml:space="preserve"> REF _Ref179446038 \h  \* MERGEFORMAT </w:instrText>
      </w:r>
      <w:r w:rsidRPr="00370E70">
        <w:fldChar w:fldCharType="separate"/>
      </w:r>
      <w:r w:rsidR="005B5FD6" w:rsidRPr="005B5FD6">
        <w:rPr>
          <w:szCs w:val="22"/>
        </w:rPr>
        <w:t xml:space="preserve">Figure </w:t>
      </w:r>
      <w:r w:rsidR="005B5FD6" w:rsidRPr="005B5FD6">
        <w:rPr>
          <w:noProof/>
          <w:color w:val="000000"/>
          <w:szCs w:val="22"/>
        </w:rPr>
        <w:t>88</w:t>
      </w:r>
      <w:r w:rsidRPr="00370E70">
        <w:fldChar w:fldCharType="end"/>
      </w:r>
      <w:r w:rsidRPr="00370E70">
        <w:rPr>
          <w:color w:val="000000"/>
          <w:szCs w:val="22"/>
        </w:rPr>
        <w:t>). Seagrass cover remained below 1% throughout the 2011/12 period, with little evidence of recovery.</w:t>
      </w:r>
    </w:p>
    <w:p w:rsidR="005132EF" w:rsidRPr="00370E70" w:rsidRDefault="007B15AB" w:rsidP="00034AD4">
      <w:pPr>
        <w:keepNext/>
        <w:jc w:val="center"/>
        <w:rPr>
          <w:color w:val="000000"/>
        </w:rPr>
      </w:pPr>
      <w:r>
        <w:rPr>
          <w:noProof/>
          <w:color w:val="000000"/>
          <w:lang w:eastAsia="en-AU"/>
        </w:rPr>
        <w:lastRenderedPageBreak/>
        <w:drawing>
          <wp:inline distT="0" distB="0" distL="0" distR="0">
            <wp:extent cx="2820670" cy="1996440"/>
            <wp:effectExtent l="0" t="0" r="0" b="3810"/>
            <wp:docPr id="121" name="Picture 128" descr="Graph showing changes in mean seagrass abundance (% cover) at coastal meadows in the Burdekin region from 2001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Graph showing changes in mean seagrass abundance (% cover) at coastal meadows in the Burdekin region from 2001 to 201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820670" cy="1996440"/>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47" w:name="_Ref179446038"/>
      <w:bookmarkStart w:id="448" w:name="_Toc384196435"/>
      <w:bookmarkStart w:id="449" w:name="_Toc176158883"/>
      <w:bookmarkStart w:id="450" w:name="_Toc23284598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88</w:t>
      </w:r>
      <w:r w:rsidRPr="00370E70">
        <w:rPr>
          <w:lang w:val="en-AU"/>
        </w:rPr>
        <w:fldChar w:fldCharType="end"/>
      </w:r>
      <w:bookmarkEnd w:id="447"/>
      <w:r w:rsidRPr="00370E70">
        <w:rPr>
          <w:rStyle w:val="StyleCaptionCaptionCharCharLatinCalibri11ptBlackChar"/>
          <w:lang w:val="en-AU"/>
        </w:rPr>
        <w:t>.</w:t>
      </w:r>
      <w:r w:rsidRPr="00370E70">
        <w:rPr>
          <w:lang w:val="en-AU"/>
        </w:rPr>
        <w:t xml:space="preserve"> </w:t>
      </w:r>
      <w:r w:rsidRPr="00370E70">
        <w:rPr>
          <w:i/>
          <w:lang w:val="en-AU"/>
        </w:rPr>
        <w:t xml:space="preserve">Changes in mean seagrass abundance (% cover ±Standard Error) at </w:t>
      </w:r>
      <w:r w:rsidR="007C2BB4">
        <w:rPr>
          <w:i/>
          <w:lang w:val="en-AU"/>
        </w:rPr>
        <w:t xml:space="preserve">inshore intertidal </w:t>
      </w:r>
      <w:r w:rsidRPr="00370E70">
        <w:rPr>
          <w:i/>
          <w:lang w:val="en-AU"/>
        </w:rPr>
        <w:t xml:space="preserve">coastal </w:t>
      </w:r>
      <w:r w:rsidR="007C2BB4">
        <w:rPr>
          <w:i/>
          <w:lang w:val="en-AU"/>
        </w:rPr>
        <w:t>habitats</w:t>
      </w:r>
      <w:r w:rsidRPr="00370E70">
        <w:rPr>
          <w:i/>
          <w:lang w:val="en-AU"/>
        </w:rPr>
        <w:t xml:space="preserve"> in the Burdekin region from 2001 to 2012.</w:t>
      </w:r>
      <w:bookmarkEnd w:id="448"/>
      <w:r w:rsidRPr="00370E70">
        <w:rPr>
          <w:i/>
          <w:lang w:val="en-AU"/>
        </w:rPr>
        <w:t xml:space="preserve"> </w:t>
      </w:r>
    </w:p>
    <w:p w:rsidR="00C610E4" w:rsidRPr="00370E70" w:rsidRDefault="005132EF" w:rsidP="00C610E4">
      <w:pPr>
        <w:pStyle w:val="Caption"/>
        <w:rPr>
          <w:lang w:val="en-AU"/>
        </w:rPr>
      </w:pPr>
      <w:r w:rsidRPr="00370E70">
        <w:rPr>
          <w:i/>
          <w:lang w:val="en-AU"/>
        </w:rPr>
        <w:t>Trendline is 3</w:t>
      </w:r>
      <w:r w:rsidRPr="00370E70">
        <w:rPr>
          <w:i/>
          <w:vertAlign w:val="superscript"/>
          <w:lang w:val="en-AU"/>
        </w:rPr>
        <w:t>rd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0.648.</w:t>
      </w:r>
      <w:bookmarkEnd w:id="449"/>
      <w:bookmarkEnd w:id="450"/>
      <w:r w:rsidR="00C610E4" w:rsidRPr="00370E70">
        <w:rPr>
          <w:lang w:val="en-AU"/>
        </w:rPr>
        <w:t xml:space="preserve"> </w:t>
      </w:r>
    </w:p>
    <w:p w:rsidR="005132EF" w:rsidRPr="00370E70" w:rsidRDefault="005132EF" w:rsidP="00E84B78">
      <w:pPr>
        <w:rPr>
          <w:color w:val="000000"/>
          <w:szCs w:val="22"/>
        </w:rPr>
      </w:pPr>
      <w:r w:rsidRPr="00370E70">
        <w:rPr>
          <w:color w:val="000000"/>
          <w:szCs w:val="22"/>
        </w:rPr>
        <w:t xml:space="preserve">Since monitoring was established, both </w:t>
      </w:r>
      <w:smartTag w:uri="urn:schemas-microsoft-com:office:smarttags" w:element="place">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xml:space="preserve"> and Shelley Beach have displayed a seasonal pattern in seagrass cover; high in monsoon and low in the dry season (</w:t>
      </w:r>
      <w:r w:rsidRPr="00370E70">
        <w:fldChar w:fldCharType="begin"/>
      </w:r>
      <w:r w:rsidRPr="00370E70">
        <w:instrText xml:space="preserve"> REF _Ref179446112 \h  \* MERGEFORMAT </w:instrText>
      </w:r>
      <w:r w:rsidRPr="00370E70">
        <w:fldChar w:fldCharType="separate"/>
      </w:r>
      <w:r w:rsidR="005B5FD6" w:rsidRPr="005B5FD6">
        <w:rPr>
          <w:szCs w:val="22"/>
        </w:rPr>
        <w:t xml:space="preserve">Figure </w:t>
      </w:r>
      <w:r w:rsidR="005B5FD6" w:rsidRPr="005B5FD6">
        <w:rPr>
          <w:noProof/>
          <w:color w:val="000000"/>
          <w:szCs w:val="22"/>
        </w:rPr>
        <w:t>89</w:t>
      </w:r>
      <w:r w:rsidRPr="00370E70">
        <w:fldChar w:fldCharType="end"/>
      </w:r>
      <w:r w:rsidRPr="00370E70">
        <w:rPr>
          <w:color w:val="000000"/>
          <w:szCs w:val="22"/>
        </w:rPr>
        <w:t>).</w:t>
      </w:r>
    </w:p>
    <w:p w:rsidR="005132EF" w:rsidRPr="00370E70" w:rsidRDefault="005132EF" w:rsidP="00AC4C9D">
      <w:pPr>
        <w:rPr>
          <w:color w:val="000000"/>
          <w:szCs w:val="22"/>
        </w:rPr>
      </w:pPr>
      <w:r w:rsidRPr="00370E70">
        <w:rPr>
          <w:color w:val="000000"/>
          <w:szCs w:val="22"/>
        </w:rPr>
        <w:t xml:space="preserve">The recently established sites in </w:t>
      </w:r>
      <w:smartTag w:uri="urn:schemas-microsoft-com:office:smarttags" w:element="place">
        <w:smartTag w:uri="urn:schemas-microsoft-com:office:smarttags" w:element="PlaceName">
          <w:r w:rsidRPr="00370E70">
            <w:rPr>
              <w:color w:val="000000"/>
              <w:szCs w:val="22"/>
            </w:rPr>
            <w:t>Bowling Green</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were a </w:t>
      </w:r>
      <w:r w:rsidR="002C6536" w:rsidRPr="00370E70">
        <w:rPr>
          <w:color w:val="000000"/>
          <w:szCs w:val="22"/>
        </w:rPr>
        <w:t>mixture</w:t>
      </w:r>
      <w:r w:rsidRPr="00370E70">
        <w:rPr>
          <w:color w:val="000000"/>
          <w:szCs w:val="22"/>
        </w:rPr>
        <w:t xml:space="preserve"> of </w:t>
      </w:r>
      <w:r w:rsidRPr="00370E70">
        <w:rPr>
          <w:i/>
          <w:color w:val="000000"/>
          <w:szCs w:val="22"/>
        </w:rPr>
        <w:t>H. uninervis</w:t>
      </w:r>
      <w:r w:rsidRPr="00370E70">
        <w:rPr>
          <w:color w:val="000000"/>
          <w:szCs w:val="22"/>
        </w:rPr>
        <w:t xml:space="preserve"> dominated, or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dominated (</w:t>
      </w:r>
      <w:r w:rsidRPr="00370E70">
        <w:fldChar w:fldCharType="begin"/>
      </w:r>
      <w:r w:rsidRPr="00370E70">
        <w:instrText xml:space="preserve"> REF _Ref179446008 \h  \* MERGEFORMAT </w:instrText>
      </w:r>
      <w:r w:rsidRPr="00370E70">
        <w:fldChar w:fldCharType="separate"/>
      </w:r>
      <w:r w:rsidR="005B5FD6" w:rsidRPr="005B5FD6">
        <w:rPr>
          <w:szCs w:val="22"/>
        </w:rPr>
        <w:t xml:space="preserve">Figure </w:t>
      </w:r>
      <w:r w:rsidR="005B5FD6">
        <w:rPr>
          <w:noProof/>
          <w:color w:val="000000"/>
          <w:szCs w:val="22"/>
        </w:rPr>
        <w:t>85</w:t>
      </w:r>
      <w:r w:rsidRPr="00370E70">
        <w:fldChar w:fldCharType="end"/>
      </w:r>
      <w:r w:rsidRPr="00370E70">
        <w:rPr>
          <w:color w:val="000000"/>
          <w:szCs w:val="22"/>
        </w:rPr>
        <w:t>).  Mean seagrass abundance was below 7% cover at both sites in April 2012 (JR1 = 6.7±0.6%, JR2 = 1.7±0.3%).</w:t>
      </w:r>
    </w:p>
    <w:p w:rsidR="005132EF" w:rsidRPr="00370E70" w:rsidRDefault="007B15AB" w:rsidP="00FE564F">
      <w:pPr>
        <w:keepNext/>
        <w:jc w:val="center"/>
        <w:rPr>
          <w:color w:val="000000"/>
        </w:rPr>
      </w:pPr>
      <w:r>
        <w:rPr>
          <w:noProof/>
          <w:lang w:eastAsia="en-AU"/>
        </w:rPr>
        <w:drawing>
          <wp:inline distT="0" distB="0" distL="0" distR="0">
            <wp:extent cx="4327525" cy="1674495"/>
            <wp:effectExtent l="0" t="0" r="0" b="1905"/>
            <wp:docPr id="122" name="Picture 130" descr="Graph of the mean percentage seagrass cover (all species pooled) at Townsville coastal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Graph of the mean percentage seagrass cover (all species pooled) at Townsville coastal long-term monitoring sites at time of year"/>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4327525" cy="1674495"/>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51" w:name="_Ref179446112"/>
      <w:bookmarkStart w:id="452" w:name="_Toc384196436"/>
      <w:bookmarkStart w:id="453" w:name="_Toc176158884"/>
      <w:bookmarkStart w:id="454" w:name="_Toc23284598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89</w:t>
      </w:r>
      <w:r w:rsidRPr="00370E70">
        <w:rPr>
          <w:lang w:val="en-AU"/>
        </w:rPr>
        <w:fldChar w:fldCharType="end"/>
      </w:r>
      <w:bookmarkEnd w:id="451"/>
      <w:r w:rsidRPr="00370E70">
        <w:rPr>
          <w:lang w:val="en-AU"/>
        </w:rPr>
        <w:t xml:space="preserve">. </w:t>
      </w:r>
      <w:r w:rsidRPr="00370E70">
        <w:rPr>
          <w:i/>
          <w:lang w:val="en-AU"/>
        </w:rPr>
        <w:t xml:space="preserve">Mean percentage seagrass cover (all species pooled) (± Standard Error) at </w:t>
      </w:r>
      <w:r w:rsidR="007C2BB4">
        <w:rPr>
          <w:i/>
          <w:lang w:val="en-AU"/>
        </w:rPr>
        <w:t xml:space="preserve">inshore intertidal </w:t>
      </w:r>
      <w:r w:rsidR="007C2BB4" w:rsidRPr="00370E70">
        <w:rPr>
          <w:i/>
          <w:lang w:val="en-AU"/>
        </w:rPr>
        <w:t xml:space="preserve">coastal </w:t>
      </w:r>
      <w:r w:rsidR="007C2BB4">
        <w:rPr>
          <w:i/>
          <w:lang w:val="en-AU"/>
        </w:rPr>
        <w:t xml:space="preserve">habitat </w:t>
      </w:r>
      <w:r w:rsidRPr="00370E70">
        <w:rPr>
          <w:i/>
          <w:lang w:val="en-AU"/>
        </w:rPr>
        <w:t>long-term monitoring sites at time of year.</w:t>
      </w:r>
      <w:bookmarkEnd w:id="452"/>
      <w:r w:rsidRPr="00370E70">
        <w:rPr>
          <w:i/>
          <w:lang w:val="en-AU"/>
        </w:rPr>
        <w:t xml:space="preserve"> </w:t>
      </w:r>
    </w:p>
    <w:p w:rsidR="00C610E4" w:rsidRPr="00370E70" w:rsidRDefault="005132EF" w:rsidP="00C610E4">
      <w:pPr>
        <w:pStyle w:val="Caption"/>
        <w:rPr>
          <w:lang w:val="en-AU"/>
        </w:rPr>
      </w:pPr>
      <w:r w:rsidRPr="00370E70">
        <w:rPr>
          <w:i/>
          <w:lang w:val="en-AU"/>
        </w:rPr>
        <w:t>NB: Polynomial trendline for all years pooled.</w:t>
      </w:r>
      <w:bookmarkEnd w:id="453"/>
      <w:bookmarkEnd w:id="454"/>
      <w:r w:rsidR="00C610E4" w:rsidRPr="00370E70">
        <w:rPr>
          <w:i/>
          <w:lang w:val="en-AU"/>
        </w:rPr>
        <w:t xml:space="preserve"> </w:t>
      </w:r>
    </w:p>
    <w:p w:rsidR="005132EF" w:rsidRPr="00370E70" w:rsidRDefault="005132EF" w:rsidP="00A96BFC">
      <w:pPr>
        <w:pStyle w:val="Heading5"/>
        <w:rPr>
          <w:szCs w:val="22"/>
        </w:rPr>
      </w:pPr>
      <w:r w:rsidRPr="00370E70">
        <w:rPr>
          <w:szCs w:val="22"/>
        </w:rPr>
        <w:t>Inshore reef habitat</w:t>
      </w:r>
    </w:p>
    <w:p w:rsidR="005132EF" w:rsidRPr="00370E70" w:rsidRDefault="005132EF" w:rsidP="00034AD4">
      <w:pPr>
        <w:rPr>
          <w:color w:val="000000"/>
          <w:szCs w:val="22"/>
        </w:rPr>
      </w:pPr>
      <w:r w:rsidRPr="00370E70">
        <w:rPr>
          <w:color w:val="000000"/>
          <w:szCs w:val="22"/>
        </w:rPr>
        <w:t xml:space="preserve">Intertidal reef habitats are monitored on the fringing reef platforms of </w:t>
      </w:r>
      <w:smartTag w:uri="urn:schemas-microsoft-com:office:smarttags" w:element="PlaceName">
        <w:r w:rsidRPr="00370E70">
          <w:rPr>
            <w:color w:val="000000"/>
            <w:szCs w:val="22"/>
          </w:rPr>
          <w:t>Magnetic</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which during the 2011/12 monitoring period were dominated by the colonising species </w:t>
      </w:r>
      <w:r w:rsidRPr="00370E70">
        <w:rPr>
          <w:i/>
          <w:color w:val="000000"/>
          <w:szCs w:val="22"/>
        </w:rPr>
        <w:t>Halodule uninervis</w:t>
      </w:r>
      <w:r w:rsidRPr="00370E70">
        <w:rPr>
          <w:color w:val="000000"/>
          <w:szCs w:val="22"/>
        </w:rPr>
        <w:t xml:space="preserve"> (</w:t>
      </w:r>
      <w:smartTag w:uri="urn:schemas-microsoft-com:office:smarttags" w:element="PlaceName">
        <w:r w:rsidRPr="00370E70">
          <w:rPr>
            <w:color w:val="000000"/>
            <w:szCs w:val="22"/>
          </w:rPr>
          <w:t>Picnic</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 or </w:t>
      </w:r>
      <w:r w:rsidRPr="00370E70">
        <w:rPr>
          <w:i/>
          <w:color w:val="000000"/>
          <w:szCs w:val="22"/>
        </w:rPr>
        <w:t>Halophila ovalis</w:t>
      </w:r>
      <w:r w:rsidRPr="00370E70">
        <w:rPr>
          <w:color w:val="000000"/>
          <w:szCs w:val="22"/>
        </w:rPr>
        <w:t xml:space="preserve"> (</w:t>
      </w:r>
      <w:smartTag w:uri="urn:schemas-microsoft-com:office:smarttags" w:element="place">
        <w:smartTag w:uri="urn:schemas-microsoft-com:office:smarttags" w:element="PlaceName">
          <w:r w:rsidRPr="00370E70">
            <w:rPr>
              <w:color w:val="000000"/>
              <w:szCs w:val="22"/>
            </w:rPr>
            <w:t>Cockle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Since late 2009, the seagrass meadow at Cockle Bay (MI2) which was once dominated by </w:t>
      </w:r>
      <w:r w:rsidRPr="00370E70">
        <w:rPr>
          <w:i/>
          <w:color w:val="000000"/>
          <w:szCs w:val="22"/>
        </w:rPr>
        <w:t xml:space="preserve">Cymodocea serrulata </w:t>
      </w:r>
      <w:r w:rsidRPr="00370E70">
        <w:rPr>
          <w:color w:val="000000"/>
          <w:szCs w:val="22"/>
        </w:rPr>
        <w:t>and</w:t>
      </w:r>
      <w:r w:rsidRPr="00370E70">
        <w:rPr>
          <w:i/>
          <w:color w:val="000000"/>
          <w:szCs w:val="22"/>
        </w:rPr>
        <w:t xml:space="preserve"> Thalassia hemprichii </w:t>
      </w:r>
      <w:r w:rsidRPr="00370E70">
        <w:rPr>
          <w:color w:val="000000"/>
          <w:szCs w:val="22"/>
        </w:rPr>
        <w:t xml:space="preserve">has undergone a state change to become dominated by </w:t>
      </w:r>
      <w:r w:rsidRPr="00370E70">
        <w:rPr>
          <w:i/>
          <w:color w:val="000000"/>
          <w:szCs w:val="22"/>
        </w:rPr>
        <w:t xml:space="preserve">H. ovalis </w:t>
      </w:r>
      <w:r w:rsidRPr="00370E70">
        <w:rPr>
          <w:color w:val="000000"/>
          <w:szCs w:val="22"/>
        </w:rPr>
        <w:t>(</w:t>
      </w:r>
      <w:r w:rsidRPr="00370E70">
        <w:fldChar w:fldCharType="begin"/>
      </w:r>
      <w:r w:rsidRPr="00370E70">
        <w:instrText xml:space="preserve"> REF _Ref179446008 \h  \* MERGEFORMAT </w:instrText>
      </w:r>
      <w:r w:rsidRPr="00370E70">
        <w:fldChar w:fldCharType="separate"/>
      </w:r>
      <w:r w:rsidR="005B5FD6" w:rsidRPr="005B5FD6">
        <w:rPr>
          <w:szCs w:val="22"/>
        </w:rPr>
        <w:t xml:space="preserve">Figure </w:t>
      </w:r>
      <w:r w:rsidR="005B5FD6">
        <w:rPr>
          <w:noProof/>
          <w:color w:val="000000"/>
          <w:szCs w:val="22"/>
        </w:rPr>
        <w:t>85</w:t>
      </w:r>
      <w:r w:rsidRPr="00370E70">
        <w:fldChar w:fldCharType="end"/>
      </w:r>
      <w:r w:rsidRPr="00370E70">
        <w:rPr>
          <w:color w:val="000000"/>
          <w:szCs w:val="22"/>
        </w:rPr>
        <w:t xml:space="preserve">). Conversely, in 2010 the species composition at </w:t>
      </w:r>
      <w:smartTag w:uri="urn:schemas-microsoft-com:office:smarttags" w:element="place">
        <w:smartTag w:uri="urn:schemas-microsoft-com:office:smarttags" w:element="PlaceName">
          <w:r w:rsidRPr="00370E70">
            <w:rPr>
              <w:color w:val="000000"/>
              <w:szCs w:val="22"/>
            </w:rPr>
            <w:t>Picnic</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changed from </w:t>
      </w:r>
      <w:r w:rsidRPr="00370E70">
        <w:rPr>
          <w:i/>
          <w:color w:val="000000"/>
          <w:szCs w:val="22"/>
        </w:rPr>
        <w:t>H. ovalis</w:t>
      </w:r>
      <w:r w:rsidRPr="00370E70">
        <w:rPr>
          <w:color w:val="000000"/>
          <w:szCs w:val="22"/>
        </w:rPr>
        <w:t xml:space="preserve"> to </w:t>
      </w:r>
      <w:r w:rsidRPr="00370E70">
        <w:rPr>
          <w:i/>
          <w:color w:val="000000"/>
          <w:szCs w:val="22"/>
        </w:rPr>
        <w:t>H. uninervis</w:t>
      </w:r>
      <w:r w:rsidRPr="00370E70">
        <w:rPr>
          <w:color w:val="000000"/>
          <w:szCs w:val="22"/>
        </w:rPr>
        <w:t xml:space="preserve"> dominated, suggesting the meadow was recovering from disturbances in 2009/10 (</w:t>
      </w:r>
      <w:r w:rsidRPr="00370E70">
        <w:fldChar w:fldCharType="begin"/>
      </w:r>
      <w:r w:rsidRPr="00370E70">
        <w:instrText xml:space="preserve"> REF _Ref179446008 \h  \* MERGEFORMAT </w:instrText>
      </w:r>
      <w:r w:rsidRPr="00370E70">
        <w:fldChar w:fldCharType="separate"/>
      </w:r>
      <w:r w:rsidR="005B5FD6" w:rsidRPr="005B5FD6">
        <w:rPr>
          <w:szCs w:val="22"/>
        </w:rPr>
        <w:t xml:space="preserve">Figure </w:t>
      </w:r>
      <w:r w:rsidR="005B5FD6">
        <w:rPr>
          <w:noProof/>
          <w:color w:val="000000"/>
          <w:szCs w:val="22"/>
        </w:rPr>
        <w:t>85</w:t>
      </w:r>
      <w:r w:rsidRPr="00370E70">
        <w:fldChar w:fldCharType="end"/>
      </w:r>
      <w:r w:rsidRPr="00370E70">
        <w:rPr>
          <w:color w:val="000000"/>
          <w:szCs w:val="22"/>
        </w:rPr>
        <w:t xml:space="preserve">). Seagrass abundance declined to </w:t>
      </w:r>
      <w:proofErr w:type="gramStart"/>
      <w:r w:rsidRPr="00370E70">
        <w:rPr>
          <w:color w:val="000000"/>
          <w:szCs w:val="22"/>
        </w:rPr>
        <w:t>it's</w:t>
      </w:r>
      <w:proofErr w:type="gramEnd"/>
      <w:r w:rsidRPr="00370E70">
        <w:rPr>
          <w:color w:val="000000"/>
          <w:szCs w:val="22"/>
        </w:rPr>
        <w:t xml:space="preserve"> lowest level in early 2001 following the impacts of TC Yasi (</w:t>
      </w:r>
      <w:r w:rsidRPr="00370E70">
        <w:fldChar w:fldCharType="begin"/>
      </w:r>
      <w:r w:rsidRPr="00370E70">
        <w:instrText xml:space="preserve"> REF _Ref179446171 \h  \* MERGEFORMAT </w:instrText>
      </w:r>
      <w:r w:rsidRPr="00370E70">
        <w:fldChar w:fldCharType="separate"/>
      </w:r>
      <w:r w:rsidR="005B5FD6" w:rsidRPr="005B5FD6">
        <w:rPr>
          <w:szCs w:val="22"/>
        </w:rPr>
        <w:t xml:space="preserve">Figure </w:t>
      </w:r>
      <w:r w:rsidR="005B5FD6" w:rsidRPr="005B5FD6">
        <w:rPr>
          <w:noProof/>
          <w:color w:val="000000"/>
          <w:szCs w:val="22"/>
        </w:rPr>
        <w:t>90</w:t>
      </w:r>
      <w:r w:rsidRPr="00370E70">
        <w:fldChar w:fldCharType="end"/>
      </w:r>
      <w:r w:rsidRPr="00370E70">
        <w:rPr>
          <w:color w:val="000000"/>
          <w:szCs w:val="22"/>
        </w:rPr>
        <w:t>). Since July 2011, seagrass abundance has progressively increased, indicating the onset of recovery.</w:t>
      </w:r>
    </w:p>
    <w:p w:rsidR="005132EF" w:rsidRPr="00370E70" w:rsidRDefault="007B15AB" w:rsidP="00034AD4">
      <w:pPr>
        <w:keepNext/>
        <w:jc w:val="center"/>
        <w:rPr>
          <w:color w:val="000000"/>
        </w:rPr>
      </w:pPr>
      <w:r>
        <w:rPr>
          <w:noProof/>
          <w:lang w:eastAsia="en-AU"/>
        </w:rPr>
        <w:lastRenderedPageBreak/>
        <w:drawing>
          <wp:inline distT="0" distB="0" distL="0" distR="0">
            <wp:extent cx="2743200" cy="1970405"/>
            <wp:effectExtent l="0" t="0" r="0" b="0"/>
            <wp:docPr id="123" name="Picture 123" descr="Graph showing changes in seagrass abundance (% cover) at Magnetic Island intertidal meadows in the Burdekin region from 2001 to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Graph showing changes in seagrass abundance (% cover) at Magnetic Island intertidal meadows in the Burdekin region from 2001 to 2011. "/>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743200" cy="1970405"/>
                    </a:xfrm>
                    <a:prstGeom prst="rect">
                      <a:avLst/>
                    </a:prstGeom>
                    <a:noFill/>
                    <a:ln>
                      <a:noFill/>
                    </a:ln>
                  </pic:spPr>
                </pic:pic>
              </a:graphicData>
            </a:graphic>
          </wp:inline>
        </w:drawing>
      </w:r>
      <w:r w:rsidR="005132EF" w:rsidRPr="00370E70">
        <w:rPr>
          <w:noProof/>
          <w:color w:val="000000"/>
          <w:lang w:eastAsia="en-AU"/>
        </w:rPr>
        <w:t xml:space="preserve"> </w:t>
      </w:r>
      <w:r>
        <w:rPr>
          <w:noProof/>
          <w:lang w:eastAsia="en-AU"/>
        </w:rPr>
        <w:drawing>
          <wp:inline distT="0" distB="0" distL="0" distR="0">
            <wp:extent cx="2743200" cy="1970405"/>
            <wp:effectExtent l="0" t="0" r="0" b="0"/>
            <wp:docPr id="124" name="Picture 124" descr="Graph showing changes in seagrass abundance (% cover) at Magnetic Island subtidal meadows in the Burdekin region from 2007 to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Graph showing changes in seagrass abundance (% cover) at Magnetic Island subtidal meadows in the Burdekin region from 2007 to 2011. "/>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743200" cy="1970405"/>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55" w:name="_Ref179446171"/>
      <w:bookmarkStart w:id="456" w:name="_Toc384196437"/>
      <w:bookmarkStart w:id="457" w:name="_Toc176158885"/>
      <w:bookmarkStart w:id="458" w:name="_Toc23284598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90</w:t>
      </w:r>
      <w:r w:rsidRPr="00370E70">
        <w:rPr>
          <w:lang w:val="en-AU"/>
        </w:rPr>
        <w:fldChar w:fldCharType="end"/>
      </w:r>
      <w:bookmarkEnd w:id="455"/>
      <w:r w:rsidRPr="00370E70">
        <w:rPr>
          <w:rStyle w:val="StyleCaptionCaptionCharCharLatinCalibri11ptBlackChar"/>
          <w:lang w:val="en-AU"/>
        </w:rPr>
        <w:t xml:space="preserve">. </w:t>
      </w:r>
      <w:r w:rsidRPr="00370E70">
        <w:rPr>
          <w:i/>
          <w:lang w:val="en-AU"/>
        </w:rPr>
        <w:t xml:space="preserve">Changes in seagrass abundance (% cover ±Standard Error) at inshore intertidal and subtidal </w:t>
      </w:r>
      <w:r w:rsidR="007C2BB4" w:rsidRPr="00370E70">
        <w:rPr>
          <w:i/>
          <w:lang w:val="en-AU"/>
        </w:rPr>
        <w:t xml:space="preserve">reef </w:t>
      </w:r>
      <w:r w:rsidR="007C2BB4">
        <w:rPr>
          <w:i/>
          <w:lang w:val="en-AU"/>
        </w:rPr>
        <w:t>habitats</w:t>
      </w:r>
      <w:r w:rsidRPr="00370E70">
        <w:rPr>
          <w:i/>
          <w:lang w:val="en-AU"/>
        </w:rPr>
        <w:t xml:space="preserve"> in the Burdekin region from 2001 to 201</w:t>
      </w:r>
      <w:r w:rsidR="008F4EDA">
        <w:rPr>
          <w:i/>
          <w:lang w:val="en-AU"/>
        </w:rPr>
        <w:t>2</w:t>
      </w:r>
      <w:r w:rsidRPr="00370E70">
        <w:rPr>
          <w:i/>
          <w:lang w:val="en-AU"/>
        </w:rPr>
        <w:t>.</w:t>
      </w:r>
      <w:bookmarkEnd w:id="456"/>
      <w:r w:rsidRPr="00370E70">
        <w:rPr>
          <w:i/>
          <w:lang w:val="en-AU"/>
        </w:rPr>
        <w:t xml:space="preserve"> </w:t>
      </w:r>
    </w:p>
    <w:p w:rsidR="00C610E4" w:rsidRPr="00370E70" w:rsidRDefault="005132EF" w:rsidP="00C610E4">
      <w:pPr>
        <w:pStyle w:val="Caption"/>
        <w:rPr>
          <w:lang w:val="en-AU"/>
        </w:rPr>
      </w:pPr>
      <w:r w:rsidRPr="00370E70">
        <w:rPr>
          <w:i/>
          <w:lang w:val="en-AU"/>
        </w:rPr>
        <w:t>Trendline is 3</w:t>
      </w:r>
      <w:r w:rsidRPr="00370E70">
        <w:rPr>
          <w:i/>
          <w:vertAlign w:val="superscript"/>
          <w:lang w:val="en-AU"/>
        </w:rPr>
        <w:t>rd</w:t>
      </w:r>
      <w:r w:rsidRPr="00370E70">
        <w:rPr>
          <w:i/>
          <w:lang w:val="en-AU"/>
        </w:rPr>
        <w:t xml:space="preserve"> order polynomial, 95% confidence intervals displayed, intertidal r</w:t>
      </w:r>
      <w:r w:rsidRPr="00370E70">
        <w:rPr>
          <w:i/>
          <w:vertAlign w:val="superscript"/>
          <w:lang w:val="en-AU"/>
        </w:rPr>
        <w:t>2</w:t>
      </w:r>
      <w:r w:rsidRPr="00370E70">
        <w:rPr>
          <w:i/>
          <w:lang w:val="en-AU"/>
        </w:rPr>
        <w:t xml:space="preserve"> = 0.746 and subtidal</w:t>
      </w:r>
      <w:bookmarkEnd w:id="457"/>
      <w:bookmarkEnd w:id="458"/>
      <w:r w:rsidRPr="00370E70">
        <w:rPr>
          <w:i/>
          <w:lang w:val="en-AU"/>
        </w:rPr>
        <w:t xml:space="preserve"> r</w:t>
      </w:r>
      <w:r w:rsidRPr="00370E70">
        <w:rPr>
          <w:i/>
          <w:vertAlign w:val="superscript"/>
          <w:lang w:val="en-AU"/>
        </w:rPr>
        <w:t>2</w:t>
      </w:r>
      <w:r w:rsidRPr="00370E70">
        <w:rPr>
          <w:i/>
          <w:lang w:val="en-AU"/>
        </w:rPr>
        <w:t xml:space="preserve"> = 0.828</w:t>
      </w:r>
      <w:r w:rsidR="00C610E4" w:rsidRPr="00370E70">
        <w:rPr>
          <w:i/>
          <w:lang w:val="en-AU"/>
        </w:rPr>
        <w:t xml:space="preserve">. </w:t>
      </w:r>
    </w:p>
    <w:p w:rsidR="005132EF" w:rsidRPr="00370E70" w:rsidRDefault="005132EF" w:rsidP="00034AD4">
      <w:pPr>
        <w:rPr>
          <w:color w:val="000000"/>
          <w:szCs w:val="22"/>
        </w:rPr>
      </w:pPr>
      <w:r w:rsidRPr="00370E70">
        <w:rPr>
          <w:color w:val="000000"/>
          <w:szCs w:val="22"/>
        </w:rPr>
        <w:t xml:space="preserve">The subtidal meadow beyond the reef crest on the eastern side of the bay was a dense (48% cover) mixed species meadow of </w:t>
      </w:r>
      <w:r w:rsidRPr="00370E70">
        <w:rPr>
          <w:i/>
          <w:color w:val="000000"/>
          <w:szCs w:val="22"/>
        </w:rPr>
        <w:t>H. uninervis</w:t>
      </w:r>
      <w:r w:rsidRPr="00370E70">
        <w:rPr>
          <w:color w:val="000000"/>
          <w:szCs w:val="22"/>
        </w:rPr>
        <w:t xml:space="preserve">, </w:t>
      </w:r>
      <w:r w:rsidRPr="00370E70">
        <w:rPr>
          <w:i/>
          <w:color w:val="000000"/>
          <w:szCs w:val="22"/>
        </w:rPr>
        <w:t>C. serrulata</w:t>
      </w:r>
      <w:r w:rsidRPr="00370E70">
        <w:rPr>
          <w:color w:val="000000"/>
          <w:szCs w:val="22"/>
        </w:rPr>
        <w:t xml:space="preserve">, and </w:t>
      </w:r>
      <w:r w:rsidRPr="00370E70">
        <w:rPr>
          <w:i/>
          <w:color w:val="000000"/>
          <w:szCs w:val="22"/>
        </w:rPr>
        <w:t>H. spinulosa</w:t>
      </w:r>
      <w:r w:rsidRPr="00370E70">
        <w:rPr>
          <w:color w:val="000000"/>
          <w:szCs w:val="22"/>
        </w:rPr>
        <w:t xml:space="preserve"> when monitoring began in January 2008. After considerable intra-annual variability in 2008, density has continued to decline, with large reductions in seagrass cover occurring during the wet seasons to a low of 0% cover in April 2011. These losses were associated with extreme low light conditions (</w:t>
      </w:r>
      <w:hyperlink w:anchor="_ENREF_45" w:tooltip="Collier, 2012 #9288" w:history="1">
        <w:r w:rsidR="00964A70" w:rsidRPr="00370E70">
          <w:rPr>
            <w:color w:val="000000"/>
            <w:szCs w:val="22"/>
          </w:rPr>
          <w:fldChar w:fldCharType="begin"/>
        </w:r>
        <w:r w:rsidR="00964A70" w:rsidRPr="00370E70">
          <w:rPr>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color w:val="000000"/>
            <w:szCs w:val="22"/>
          </w:rPr>
          <w:fldChar w:fldCharType="separate"/>
        </w:r>
        <w:r w:rsidR="00964A70" w:rsidRPr="00370E70">
          <w:rPr>
            <w:noProof/>
            <w:color w:val="000000"/>
            <w:szCs w:val="22"/>
          </w:rPr>
          <w:t>Collier</w:t>
        </w:r>
        <w:r w:rsidR="00964A70" w:rsidRPr="00370E70">
          <w:rPr>
            <w:i/>
            <w:noProof/>
            <w:color w:val="000000"/>
            <w:szCs w:val="22"/>
          </w:rPr>
          <w:t>, et al.</w:t>
        </w:r>
        <w:r w:rsidR="00964A70" w:rsidRPr="00370E70">
          <w:rPr>
            <w:noProof/>
            <w:color w:val="000000"/>
            <w:szCs w:val="22"/>
          </w:rPr>
          <w:t xml:space="preserve"> 2012b</w:t>
        </w:r>
        <w:r w:rsidR="00964A70" w:rsidRPr="00370E70">
          <w:rPr>
            <w:color w:val="000000"/>
            <w:szCs w:val="22"/>
          </w:rPr>
          <w:fldChar w:fldCharType="end"/>
        </w:r>
      </w:hyperlink>
      <w:r w:rsidRPr="00370E70">
        <w:rPr>
          <w:color w:val="000000"/>
          <w:szCs w:val="22"/>
        </w:rPr>
        <w:t xml:space="preserve">). However, during the 2011/2012 monitoring period, cover increased from 0% to 2% of mixed species (largely </w:t>
      </w:r>
      <w:r w:rsidRPr="00370E70">
        <w:rPr>
          <w:i/>
          <w:color w:val="000000"/>
          <w:szCs w:val="22"/>
        </w:rPr>
        <w:t>H. uninervis</w:t>
      </w:r>
      <w:r w:rsidRPr="00370E70">
        <w:rPr>
          <w:color w:val="000000"/>
          <w:szCs w:val="22"/>
        </w:rPr>
        <w:t xml:space="preserve"> and </w:t>
      </w:r>
      <w:r w:rsidRPr="00370E70">
        <w:rPr>
          <w:i/>
          <w:color w:val="000000"/>
          <w:szCs w:val="22"/>
        </w:rPr>
        <w:t>H. decipiens</w:t>
      </w:r>
      <w:r w:rsidRPr="00370E70">
        <w:rPr>
          <w:color w:val="000000"/>
          <w:szCs w:val="22"/>
        </w:rPr>
        <w:t xml:space="preserve">). This increase was likely due to germination from seed, as seedlings, in some cases with seeds attached, were found </w:t>
      </w:r>
      <w:r w:rsidR="008E65AD" w:rsidRPr="00370E70">
        <w:rPr>
          <w:color w:val="000000"/>
          <w:szCs w:val="22"/>
        </w:rPr>
        <w:t>within the monitoring site.</w:t>
      </w:r>
    </w:p>
    <w:p w:rsidR="005132EF" w:rsidRPr="00370E70" w:rsidRDefault="005132EF" w:rsidP="00034AD4">
      <w:pPr>
        <w:rPr>
          <w:color w:val="000000"/>
          <w:szCs w:val="22"/>
        </w:rPr>
      </w:pPr>
      <w:r w:rsidRPr="00370E70">
        <w:rPr>
          <w:color w:val="000000"/>
          <w:szCs w:val="22"/>
        </w:rPr>
        <w:t>Since monitoring was established, all reef habitat sites have displayed a seasonal pattern in seagrass cover; high in late dry-monsoon and low in the dry season (</w:t>
      </w:r>
      <w:r w:rsidRPr="00370E70">
        <w:fldChar w:fldCharType="begin"/>
      </w:r>
      <w:r w:rsidRPr="00370E70">
        <w:instrText xml:space="preserve"> REF _Ref179446183 \h  \* MERGEFORMAT </w:instrText>
      </w:r>
      <w:r w:rsidRPr="00370E70">
        <w:fldChar w:fldCharType="separate"/>
      </w:r>
      <w:r w:rsidR="005B5FD6" w:rsidRPr="005B5FD6">
        <w:rPr>
          <w:szCs w:val="22"/>
        </w:rPr>
        <w:t xml:space="preserve">Figure </w:t>
      </w:r>
      <w:r w:rsidR="005B5FD6" w:rsidRPr="005B5FD6">
        <w:rPr>
          <w:noProof/>
          <w:color w:val="000000"/>
          <w:szCs w:val="22"/>
        </w:rPr>
        <w:t>91</w:t>
      </w:r>
      <w:r w:rsidRPr="00370E70">
        <w:fldChar w:fldCharType="end"/>
      </w:r>
      <w:r w:rsidRPr="00370E70">
        <w:rPr>
          <w:color w:val="000000"/>
          <w:szCs w:val="22"/>
        </w:rPr>
        <w:t xml:space="preserve">, </w:t>
      </w:r>
      <w:r w:rsidRPr="00370E70">
        <w:fldChar w:fldCharType="begin"/>
      </w:r>
      <w:r w:rsidRPr="00370E70">
        <w:instrText xml:space="preserve"> REF _Ref348798502 \h  \* MERGEFORMAT </w:instrText>
      </w:r>
      <w:r w:rsidRPr="00370E70">
        <w:fldChar w:fldCharType="separate"/>
      </w:r>
      <w:r w:rsidR="005B5FD6" w:rsidRPr="005B5FD6">
        <w:rPr>
          <w:szCs w:val="22"/>
        </w:rPr>
        <w:t xml:space="preserve">Figure </w:t>
      </w:r>
      <w:r w:rsidR="005B5FD6" w:rsidRPr="005B5FD6">
        <w:rPr>
          <w:noProof/>
          <w:color w:val="000000"/>
          <w:szCs w:val="22"/>
        </w:rPr>
        <w:t>92</w:t>
      </w:r>
      <w:r w:rsidRPr="00370E70">
        <w:fldChar w:fldCharType="end"/>
      </w:r>
      <w:r w:rsidRPr="00370E70">
        <w:rPr>
          <w:color w:val="000000"/>
          <w:szCs w:val="22"/>
        </w:rPr>
        <w:t>).</w:t>
      </w:r>
    </w:p>
    <w:p w:rsidR="005132EF" w:rsidRPr="00370E70" w:rsidRDefault="007B15AB" w:rsidP="00034AD4">
      <w:pPr>
        <w:keepNext/>
        <w:jc w:val="center"/>
        <w:rPr>
          <w:color w:val="000000"/>
        </w:rPr>
      </w:pPr>
      <w:r>
        <w:rPr>
          <w:noProof/>
          <w:lang w:eastAsia="en-AU"/>
        </w:rPr>
        <w:drawing>
          <wp:inline distT="0" distB="0" distL="0" distR="0">
            <wp:extent cx="5447665" cy="2112010"/>
            <wp:effectExtent l="0" t="0" r="635" b="2540"/>
            <wp:docPr id="125" name="Picture 133" descr="Graphs showing seasonal mean percentage seagrass cover (all species pooled) at Magnetic Island intertidal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Graphs showing seasonal mean percentage seagrass cover (all species pooled) at Magnetic Island intertidal long-term monitoring sites at time of year."/>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447665" cy="2112010"/>
                    </a:xfrm>
                    <a:prstGeom prst="rect">
                      <a:avLst/>
                    </a:prstGeom>
                    <a:noFill/>
                    <a:ln>
                      <a:noFill/>
                    </a:ln>
                  </pic:spPr>
                </pic:pic>
              </a:graphicData>
            </a:graphic>
          </wp:inline>
        </w:drawing>
      </w:r>
    </w:p>
    <w:p w:rsidR="00DA6C70" w:rsidRPr="00370E70" w:rsidRDefault="005132EF" w:rsidP="00DA6C70">
      <w:pPr>
        <w:pStyle w:val="Caption"/>
        <w:rPr>
          <w:i/>
          <w:vanish/>
          <w:lang w:val="en-AU"/>
          <w:specVanish/>
        </w:rPr>
      </w:pPr>
      <w:bookmarkStart w:id="459" w:name="_Ref179446183"/>
      <w:bookmarkStart w:id="460" w:name="_Toc384196438"/>
      <w:bookmarkStart w:id="461" w:name="_Toc176158886"/>
      <w:bookmarkStart w:id="462" w:name="_Toc23284598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91</w:t>
      </w:r>
      <w:r w:rsidRPr="00370E70">
        <w:rPr>
          <w:lang w:val="en-AU"/>
        </w:rPr>
        <w:fldChar w:fldCharType="end"/>
      </w:r>
      <w:bookmarkEnd w:id="459"/>
      <w:r w:rsidRPr="00370E70">
        <w:rPr>
          <w:lang w:val="en-AU"/>
        </w:rPr>
        <w:t xml:space="preserve">. </w:t>
      </w:r>
      <w:r w:rsidRPr="00370E70">
        <w:rPr>
          <w:i/>
          <w:lang w:val="en-AU"/>
        </w:rPr>
        <w:t xml:space="preserve">Mean percentage seagrass cover (all species pooled) (± Standard Error) at </w:t>
      </w:r>
      <w:r w:rsidR="007C2BB4">
        <w:rPr>
          <w:i/>
          <w:lang w:val="en-AU"/>
        </w:rPr>
        <w:t>inshore intertidal reef habitat (</w:t>
      </w:r>
      <w:smartTag w:uri="urn:schemas-microsoft-com:office:smarttags" w:element="place">
        <w:smartTag w:uri="urn:schemas-microsoft-com:office:smarttags" w:element="PlaceName">
          <w:r w:rsidRPr="00370E70">
            <w:rPr>
              <w:i/>
              <w:lang w:val="en-AU"/>
            </w:rPr>
            <w:t>Magnetic</w:t>
          </w:r>
        </w:smartTag>
        <w:r w:rsidRPr="00370E70">
          <w:rPr>
            <w:i/>
            <w:lang w:val="en-AU"/>
          </w:rPr>
          <w:t xml:space="preserve"> </w:t>
        </w:r>
        <w:smartTag w:uri="urn:schemas-microsoft-com:office:smarttags" w:element="PlaceType">
          <w:r w:rsidRPr="00370E70">
            <w:rPr>
              <w:i/>
              <w:lang w:val="en-AU"/>
            </w:rPr>
            <w:t>Island</w:t>
          </w:r>
        </w:smartTag>
      </w:smartTag>
      <w:r w:rsidR="007C2BB4">
        <w:rPr>
          <w:i/>
          <w:lang w:val="en-AU"/>
        </w:rPr>
        <w:t>)</w:t>
      </w:r>
      <w:r w:rsidRPr="00370E70">
        <w:rPr>
          <w:i/>
          <w:lang w:val="en-AU"/>
        </w:rPr>
        <w:t xml:space="preserve"> long-term monitoring sites at time of year.</w:t>
      </w:r>
      <w:bookmarkEnd w:id="460"/>
      <w:r w:rsidR="00D91C78" w:rsidRPr="00370E70">
        <w:rPr>
          <w:i/>
          <w:vanish/>
          <w:lang w:val="en-AU"/>
          <w:specVanish/>
        </w:rPr>
        <w:t xml:space="preserve"> </w:t>
      </w:r>
      <w:r w:rsidR="00C610E4" w:rsidRPr="00370E70">
        <w:rPr>
          <w:i/>
          <w:vanish/>
          <w:color w:val="000000"/>
          <w:szCs w:val="22"/>
          <w:lang w:val="en-AU"/>
          <w:specVanish/>
        </w:rPr>
        <w:t xml:space="preserve"> </w:t>
      </w:r>
    </w:p>
    <w:p w:rsidR="00DA6C70" w:rsidRPr="00370E70" w:rsidRDefault="005132EF" w:rsidP="00DA6C70">
      <w:pPr>
        <w:pStyle w:val="Caption"/>
        <w:rPr>
          <w:lang w:val="en-AU"/>
        </w:rPr>
      </w:pPr>
      <w:r w:rsidRPr="00370E70">
        <w:rPr>
          <w:i/>
          <w:lang w:val="en-AU"/>
        </w:rPr>
        <w:t xml:space="preserve"> NB: Polynomial trendline for all years pooled.</w:t>
      </w:r>
      <w:bookmarkEnd w:id="461"/>
      <w:bookmarkEnd w:id="462"/>
      <w:r w:rsidR="00C610E4" w:rsidRPr="00370E70">
        <w:rPr>
          <w:i/>
          <w:lang w:val="en-AU"/>
        </w:rPr>
        <w:t xml:space="preserve"> </w:t>
      </w:r>
    </w:p>
    <w:p w:rsidR="005132EF" w:rsidRPr="00370E70" w:rsidRDefault="007B15AB" w:rsidP="00EA3ADF">
      <w:pPr>
        <w:keepNext/>
        <w:jc w:val="center"/>
      </w:pPr>
      <w:r>
        <w:rPr>
          <w:noProof/>
          <w:lang w:eastAsia="en-AU"/>
        </w:rPr>
        <w:lastRenderedPageBreak/>
        <w:drawing>
          <wp:inline distT="0" distB="0" distL="0" distR="0">
            <wp:extent cx="2292350" cy="2073275"/>
            <wp:effectExtent l="0" t="0" r="0" b="3175"/>
            <wp:docPr id="126" name="Picture 126" descr="Graphs showing seasonal mean percentage seagrass cover (all species pooled) at Magnetic Island subtidal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Graphs showing seasonal mean percentage seagrass cover (all species pooled) at Magnetic Island subtidal long-term monitoring sites at time of year."/>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292350" cy="2073275"/>
                    </a:xfrm>
                    <a:prstGeom prst="rect">
                      <a:avLst/>
                    </a:prstGeom>
                    <a:noFill/>
                    <a:ln>
                      <a:noFill/>
                    </a:ln>
                  </pic:spPr>
                </pic:pic>
              </a:graphicData>
            </a:graphic>
          </wp:inline>
        </w:drawing>
      </w:r>
    </w:p>
    <w:p w:rsidR="00C610E4" w:rsidRPr="00370E70" w:rsidRDefault="005132EF" w:rsidP="00C610E4">
      <w:pPr>
        <w:pStyle w:val="Caption"/>
        <w:rPr>
          <w:i/>
          <w:vanish/>
          <w:color w:val="000000"/>
          <w:szCs w:val="22"/>
          <w:lang w:val="en-AU"/>
          <w:specVanish/>
        </w:rPr>
      </w:pPr>
      <w:bookmarkStart w:id="463" w:name="_Ref348798502"/>
      <w:bookmarkStart w:id="464" w:name="_Toc38419643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92</w:t>
      </w:r>
      <w:r w:rsidRPr="00370E70">
        <w:rPr>
          <w:lang w:val="en-AU"/>
        </w:rPr>
        <w:fldChar w:fldCharType="end"/>
      </w:r>
      <w:bookmarkEnd w:id="463"/>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7C2BB4">
        <w:rPr>
          <w:i/>
          <w:lang w:val="en-AU"/>
        </w:rPr>
        <w:t xml:space="preserve">inshore </w:t>
      </w:r>
      <w:r w:rsidRPr="00370E70">
        <w:rPr>
          <w:i/>
          <w:lang w:val="en-AU"/>
        </w:rPr>
        <w:t xml:space="preserve">subtidal </w:t>
      </w:r>
      <w:r w:rsidR="007C2BB4">
        <w:rPr>
          <w:i/>
          <w:lang w:val="en-AU"/>
        </w:rPr>
        <w:t>reef habitat (</w:t>
      </w:r>
      <w:smartTag w:uri="urn:schemas-microsoft-com:office:smarttags" w:element="place">
        <w:smartTag w:uri="urn:schemas-microsoft-com:office:smarttags" w:element="PlaceName">
          <w:r w:rsidR="007C2BB4" w:rsidRPr="00370E70">
            <w:rPr>
              <w:i/>
              <w:lang w:val="en-AU"/>
            </w:rPr>
            <w:t>Magnetic</w:t>
          </w:r>
        </w:smartTag>
        <w:r w:rsidR="007C2BB4" w:rsidRPr="00370E70">
          <w:rPr>
            <w:i/>
            <w:lang w:val="en-AU"/>
          </w:rPr>
          <w:t xml:space="preserve"> </w:t>
        </w:r>
        <w:smartTag w:uri="urn:schemas-microsoft-com:office:smarttags" w:element="PlaceType">
          <w:r w:rsidR="007C2BB4" w:rsidRPr="00370E70">
            <w:rPr>
              <w:i/>
              <w:lang w:val="en-AU"/>
            </w:rPr>
            <w:t>Island</w:t>
          </w:r>
        </w:smartTag>
      </w:smartTag>
      <w:r w:rsidR="007C2BB4">
        <w:rPr>
          <w:i/>
          <w:lang w:val="en-AU"/>
        </w:rPr>
        <w:t xml:space="preserve">) </w:t>
      </w:r>
      <w:r w:rsidRPr="00370E70">
        <w:rPr>
          <w:i/>
          <w:lang w:val="en-AU"/>
        </w:rPr>
        <w:t>long-term monitoring site at time of year.</w:t>
      </w:r>
      <w:bookmarkEnd w:id="464"/>
      <w:r w:rsidRPr="00370E70">
        <w:rPr>
          <w:i/>
          <w:lang w:val="en-AU"/>
        </w:rPr>
        <w:t xml:space="preserve"> </w:t>
      </w:r>
    </w:p>
    <w:p w:rsidR="00C610E4" w:rsidRPr="00370E70" w:rsidRDefault="005132EF" w:rsidP="00C610E4">
      <w:pPr>
        <w:pStyle w:val="Caption"/>
        <w:rPr>
          <w:lang w:val="en-AU"/>
        </w:rPr>
      </w:pPr>
      <w:r w:rsidRPr="00370E70">
        <w:rPr>
          <w:i/>
          <w:lang w:val="en-AU"/>
        </w:rPr>
        <w:t>NB: Polynomial trendline for all years pooled.</w:t>
      </w:r>
      <w:r w:rsidR="00C610E4" w:rsidRPr="00370E70">
        <w:rPr>
          <w:i/>
          <w:lang w:val="en-AU"/>
        </w:rPr>
        <w:t xml:space="preserve"> </w:t>
      </w:r>
    </w:p>
    <w:p w:rsidR="005132EF" w:rsidRPr="00370E70" w:rsidRDefault="005132EF" w:rsidP="00034AD4">
      <w:pPr>
        <w:rPr>
          <w:color w:val="000000"/>
          <w:szCs w:val="22"/>
        </w:rPr>
      </w:pPr>
    </w:p>
    <w:p w:rsidR="005132EF" w:rsidRPr="00370E70" w:rsidRDefault="005132EF" w:rsidP="00034AD4">
      <w:pPr>
        <w:rPr>
          <w:color w:val="000000"/>
          <w:szCs w:val="22"/>
        </w:rPr>
      </w:pPr>
      <w:r w:rsidRPr="00370E70">
        <w:rPr>
          <w:color w:val="000000"/>
          <w:szCs w:val="22"/>
        </w:rPr>
        <w:t>Seagrass meadows edge mapping was conducted within a 100m radius of all monitoring sites in October/November and March/April of each year to determine if changes in abundance were a consequence of the meadow edges changing (</w:t>
      </w:r>
      <w:r w:rsidRPr="00370E70">
        <w:fldChar w:fldCharType="begin"/>
      </w:r>
      <w:r w:rsidRPr="00370E70">
        <w:instrText xml:space="preserve"> REF _Ref211912505 \h  \* MERGEFORMAT </w:instrText>
      </w:r>
      <w:r w:rsidRPr="00370E70">
        <w:fldChar w:fldCharType="separate"/>
      </w:r>
      <w:r w:rsidR="005B5FD6" w:rsidRPr="005B5FD6">
        <w:rPr>
          <w:szCs w:val="22"/>
        </w:rPr>
        <w:t xml:space="preserve">Table </w:t>
      </w:r>
      <w:r w:rsidR="005B5FD6" w:rsidRPr="005B5FD6">
        <w:rPr>
          <w:noProof/>
          <w:color w:val="000000"/>
          <w:szCs w:val="22"/>
        </w:rPr>
        <w:t>24</w:t>
      </w:r>
      <w:r w:rsidRPr="00370E70">
        <w:fldChar w:fldCharType="end"/>
      </w:r>
      <w:r w:rsidRPr="00370E70">
        <w:rPr>
          <w:color w:val="000000"/>
          <w:szCs w:val="22"/>
        </w:rPr>
        <w:t>). Over the past two to three years, significant changes have occurred across the region with all seagrass meadows reducing in size and changing in landscape from continuous, to patchy, to isolated patches and finally to isolated shoots with the loss of meadow cohesion (</w:t>
      </w:r>
      <w:r w:rsidRPr="00370E70">
        <w:fldChar w:fldCharType="begin"/>
      </w:r>
      <w:r w:rsidRPr="00370E70">
        <w:instrText xml:space="preserve"> REF _Ref179449820 \h  \* MERGEFORMAT </w:instrText>
      </w:r>
      <w:r w:rsidRPr="00370E70">
        <w:fldChar w:fldCharType="separate"/>
      </w:r>
      <w:r w:rsidR="005B5FD6" w:rsidRPr="005B5FD6">
        <w:rPr>
          <w:szCs w:val="22"/>
        </w:rPr>
        <w:t xml:space="preserve">Figure </w:t>
      </w:r>
      <w:r w:rsidR="005B5FD6">
        <w:rPr>
          <w:noProof/>
          <w:color w:val="000000"/>
          <w:szCs w:val="22"/>
        </w:rPr>
        <w:t>93</w:t>
      </w:r>
      <w:r w:rsidRPr="00370E70">
        <w:fldChar w:fldCharType="end"/>
      </w:r>
      <w:r w:rsidRPr="00370E70">
        <w:rPr>
          <w:color w:val="000000"/>
          <w:szCs w:val="22"/>
        </w:rPr>
        <w:t xml:space="preserve">). </w:t>
      </w:r>
    </w:p>
    <w:p w:rsidR="005132EF" w:rsidRPr="00370E70" w:rsidRDefault="007B15AB" w:rsidP="00034AD4">
      <w:pPr>
        <w:keepNext/>
        <w:jc w:val="center"/>
        <w:rPr>
          <w:color w:val="000000"/>
        </w:rPr>
      </w:pPr>
      <w:r>
        <w:rPr>
          <w:noProof/>
          <w:lang w:eastAsia="en-AU"/>
        </w:rPr>
        <w:drawing>
          <wp:inline distT="0" distB="0" distL="0" distR="0">
            <wp:extent cx="5396230" cy="1816100"/>
            <wp:effectExtent l="0" t="0" r="0" b="0"/>
            <wp:docPr id="127" name="Picture 135" descr="Graph showing changes in extent of area (within 100m radius of monitoring site) covered by seagrass at each coastal and offshore monitoring site at Townsville and Magnetic Islan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Graph showing changes in extent of area (within 100m radius of monitoring site) covered by seagrass at each coastal and offshore monitoring site at Townsville and Magnetic Island locations"/>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396230" cy="181610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465" w:name="_Ref179449820"/>
      <w:bookmarkStart w:id="466" w:name="_Toc176158888"/>
      <w:bookmarkStart w:id="467" w:name="_Toc232845989"/>
      <w:bookmarkStart w:id="468" w:name="_Toc384196440"/>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93</w:t>
      </w:r>
      <w:r w:rsidRPr="00370E70">
        <w:rPr>
          <w:color w:val="000000"/>
          <w:szCs w:val="22"/>
          <w:lang w:val="en-AU"/>
        </w:rPr>
        <w:fldChar w:fldCharType="end"/>
      </w:r>
      <w:bookmarkEnd w:id="465"/>
      <w:r w:rsidRPr="00370E70">
        <w:rPr>
          <w:i/>
          <w:color w:val="000000"/>
          <w:szCs w:val="22"/>
          <w:lang w:val="en-AU"/>
        </w:rPr>
        <w:t xml:space="preserve">. Extent of area (within 100m radius of monitoring site) covered by seagrass at each </w:t>
      </w:r>
      <w:r w:rsidR="00C702ED">
        <w:rPr>
          <w:i/>
          <w:color w:val="000000"/>
          <w:szCs w:val="22"/>
          <w:lang w:val="en-AU"/>
        </w:rPr>
        <w:t xml:space="preserve">inshore intertidal </w:t>
      </w:r>
      <w:r w:rsidRPr="00370E70">
        <w:rPr>
          <w:i/>
          <w:color w:val="000000"/>
          <w:szCs w:val="22"/>
          <w:lang w:val="en-AU"/>
        </w:rPr>
        <w:t xml:space="preserve">coastal </w:t>
      </w:r>
      <w:r w:rsidR="00C702ED">
        <w:rPr>
          <w:i/>
          <w:color w:val="000000"/>
          <w:szCs w:val="22"/>
          <w:lang w:val="en-AU"/>
        </w:rPr>
        <w:t xml:space="preserve">(Townsville) </w:t>
      </w:r>
      <w:r w:rsidRPr="00370E70">
        <w:rPr>
          <w:i/>
          <w:color w:val="000000"/>
          <w:szCs w:val="22"/>
          <w:lang w:val="en-AU"/>
        </w:rPr>
        <w:t xml:space="preserve">and </w:t>
      </w:r>
      <w:r w:rsidR="00C702ED">
        <w:rPr>
          <w:i/>
          <w:color w:val="000000"/>
          <w:szCs w:val="22"/>
          <w:lang w:val="en-AU"/>
        </w:rPr>
        <w:t>reef (</w:t>
      </w:r>
      <w:smartTag w:uri="urn:schemas-microsoft-com:office:smarttags" w:element="place">
        <w:smartTag w:uri="urn:schemas-microsoft-com:office:smarttags" w:element="PlaceName">
          <w:r w:rsidR="00C702ED">
            <w:rPr>
              <w:i/>
              <w:color w:val="000000"/>
              <w:szCs w:val="22"/>
              <w:lang w:val="en-AU"/>
            </w:rPr>
            <w:t>Magnetic</w:t>
          </w:r>
        </w:smartTag>
        <w:r w:rsidR="00C702ED">
          <w:rPr>
            <w:i/>
            <w:color w:val="000000"/>
            <w:szCs w:val="22"/>
            <w:lang w:val="en-AU"/>
          </w:rPr>
          <w:t xml:space="preserve"> </w:t>
        </w:r>
        <w:smartTag w:uri="urn:schemas-microsoft-com:office:smarttags" w:element="PlaceType">
          <w:r w:rsidR="00C702ED">
            <w:rPr>
              <w:i/>
              <w:color w:val="000000"/>
              <w:szCs w:val="22"/>
              <w:lang w:val="en-AU"/>
            </w:rPr>
            <w:t>Island</w:t>
          </w:r>
        </w:smartTag>
      </w:smartTag>
      <w:r w:rsidR="00C702ED">
        <w:rPr>
          <w:i/>
          <w:color w:val="000000"/>
          <w:szCs w:val="22"/>
          <w:lang w:val="en-AU"/>
        </w:rPr>
        <w:t>) habitat in the Burdekin region</w:t>
      </w:r>
      <w:r w:rsidRPr="00370E70">
        <w:rPr>
          <w:i/>
          <w:color w:val="000000"/>
          <w:szCs w:val="22"/>
          <w:lang w:val="en-AU"/>
        </w:rPr>
        <w:t>.</w:t>
      </w:r>
      <w:bookmarkEnd w:id="466"/>
      <w:bookmarkEnd w:id="467"/>
      <w:bookmarkEnd w:id="468"/>
    </w:p>
    <w:p w:rsidR="00C610E4" w:rsidRPr="00370E70" w:rsidRDefault="005132EF" w:rsidP="00C610E4">
      <w:pPr>
        <w:pStyle w:val="Caption"/>
        <w:keepNext/>
        <w:jc w:val="center"/>
        <w:rPr>
          <w:i/>
          <w:vanish/>
          <w:color w:val="000000"/>
          <w:szCs w:val="22"/>
          <w:lang w:val="en-AU"/>
          <w:specVanish/>
        </w:rPr>
      </w:pPr>
      <w:bookmarkStart w:id="469" w:name="_Ref211912505"/>
      <w:bookmarkStart w:id="470" w:name="_Toc384196560"/>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24</w:t>
      </w:r>
      <w:r w:rsidRPr="00370E70">
        <w:rPr>
          <w:lang w:val="en-AU"/>
        </w:rPr>
        <w:fldChar w:fldCharType="end"/>
      </w:r>
      <w:bookmarkEnd w:id="469"/>
      <w:r w:rsidRPr="00370E70">
        <w:rPr>
          <w:lang w:val="en-AU"/>
        </w:rPr>
        <w:t xml:space="preserve">. </w:t>
      </w:r>
      <w:r w:rsidRPr="00370E70">
        <w:rPr>
          <w:i/>
          <w:lang w:val="en-AU"/>
        </w:rPr>
        <w:t>Area (ha) of seagrass meadow within 100m radius of each site.</w:t>
      </w:r>
      <w:bookmarkEnd w:id="470"/>
      <w:r w:rsidRPr="00370E70">
        <w:rPr>
          <w:i/>
          <w:lang w:val="en-AU"/>
        </w:rPr>
        <w:t xml:space="preserve"> </w:t>
      </w:r>
    </w:p>
    <w:p w:rsidR="00C610E4" w:rsidRPr="00370E70" w:rsidRDefault="005132EF" w:rsidP="00C610E4">
      <w:pPr>
        <w:pStyle w:val="Caption"/>
        <w:keepNext/>
        <w:jc w:val="center"/>
        <w:rPr>
          <w:lang w:val="en-AU"/>
        </w:rPr>
      </w:pPr>
      <w:r w:rsidRPr="00370E70">
        <w:rPr>
          <w:i/>
          <w:lang w:val="en-AU"/>
        </w:rPr>
        <w:t>Value in parenthesis is % change from the October 2005 baseline and description of change from previous mapping. Shading indicates decrease in meadow area since baseline.</w:t>
      </w:r>
      <w:r w:rsidRPr="00370E70">
        <w:rPr>
          <w:lang w:val="en-AU"/>
        </w:rPr>
        <w:t xml:space="preserve"> </w:t>
      </w:r>
    </w:p>
    <w:tbl>
      <w:tblPr>
        <w:tblW w:w="96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9"/>
        <w:gridCol w:w="2202"/>
        <w:gridCol w:w="2061"/>
        <w:gridCol w:w="2061"/>
        <w:gridCol w:w="2061"/>
      </w:tblGrid>
      <w:tr w:rsidR="005132EF" w:rsidRPr="00370E70">
        <w:trPr>
          <w:jc w:val="center"/>
        </w:trPr>
        <w:tc>
          <w:tcPr>
            <w:tcW w:w="1279" w:type="dxa"/>
            <w:tcBorders>
              <w:top w:val="nil"/>
              <w:left w:val="nil"/>
            </w:tcBorders>
            <w:vAlign w:val="center"/>
          </w:tcPr>
          <w:p w:rsidR="005132EF" w:rsidRPr="00370E70" w:rsidRDefault="005132EF" w:rsidP="00034AD4">
            <w:pPr>
              <w:keepNext/>
              <w:spacing w:before="0" w:after="0"/>
              <w:rPr>
                <w:b/>
                <w:color w:val="000000"/>
              </w:rPr>
            </w:pPr>
          </w:p>
        </w:tc>
        <w:tc>
          <w:tcPr>
            <w:tcW w:w="4263" w:type="dxa"/>
            <w:gridSpan w:val="2"/>
            <w:vAlign w:val="center"/>
          </w:tcPr>
          <w:p w:rsidR="005132EF" w:rsidRPr="00370E70" w:rsidRDefault="005132EF" w:rsidP="00034AD4">
            <w:pPr>
              <w:keepNext/>
              <w:spacing w:before="0" w:after="0"/>
              <w:jc w:val="center"/>
              <w:rPr>
                <w:b/>
                <w:color w:val="000000"/>
              </w:rPr>
            </w:pPr>
            <w:r w:rsidRPr="00370E70">
              <w:rPr>
                <w:b/>
                <w:color w:val="000000"/>
              </w:rPr>
              <w:t xml:space="preserve">Magnetic </w:t>
            </w:r>
            <w:smartTag w:uri="urn:schemas-microsoft-com:office:smarttags" w:element="place">
              <w:r w:rsidRPr="00370E70">
                <w:rPr>
                  <w:b/>
                  <w:color w:val="000000"/>
                </w:rPr>
                <w:t>Island</w:t>
              </w:r>
            </w:smartTag>
          </w:p>
        </w:tc>
        <w:tc>
          <w:tcPr>
            <w:tcW w:w="4122" w:type="dxa"/>
            <w:gridSpan w:val="2"/>
            <w:vAlign w:val="center"/>
          </w:tcPr>
          <w:p w:rsidR="005132EF" w:rsidRPr="00370E70" w:rsidRDefault="005132EF" w:rsidP="00034AD4">
            <w:pPr>
              <w:keepNext/>
              <w:spacing w:before="0" w:after="0"/>
              <w:jc w:val="center"/>
              <w:rPr>
                <w:b/>
                <w:color w:val="000000"/>
              </w:rPr>
            </w:pPr>
            <w:r w:rsidRPr="00370E70">
              <w:rPr>
                <w:b/>
                <w:color w:val="000000"/>
              </w:rPr>
              <w:t>Townsville</w:t>
            </w:r>
          </w:p>
        </w:tc>
      </w:tr>
      <w:tr w:rsidR="005132EF" w:rsidRPr="00370E70">
        <w:trPr>
          <w:jc w:val="center"/>
        </w:trPr>
        <w:tc>
          <w:tcPr>
            <w:tcW w:w="1279" w:type="dxa"/>
            <w:vAlign w:val="center"/>
          </w:tcPr>
          <w:p w:rsidR="005132EF" w:rsidRPr="00370E70" w:rsidRDefault="005132EF" w:rsidP="00034AD4">
            <w:pPr>
              <w:keepNext/>
              <w:spacing w:before="0" w:after="0"/>
              <w:rPr>
                <w:b/>
                <w:color w:val="000000"/>
              </w:rPr>
            </w:pPr>
          </w:p>
        </w:tc>
        <w:tc>
          <w:tcPr>
            <w:tcW w:w="2202" w:type="dxa"/>
            <w:vAlign w:val="center"/>
          </w:tcPr>
          <w:p w:rsidR="005132EF" w:rsidRPr="00370E70" w:rsidRDefault="005132EF" w:rsidP="00034AD4">
            <w:pPr>
              <w:keepNext/>
              <w:spacing w:before="0" w:after="0"/>
              <w:jc w:val="center"/>
              <w:rPr>
                <w:b/>
                <w:color w:val="000000"/>
              </w:rPr>
            </w:pPr>
            <w:r w:rsidRPr="00370E70">
              <w:rPr>
                <w:b/>
                <w:color w:val="000000"/>
              </w:rPr>
              <w:t>MI1</w:t>
            </w:r>
          </w:p>
        </w:tc>
        <w:tc>
          <w:tcPr>
            <w:tcW w:w="2061" w:type="dxa"/>
            <w:vAlign w:val="center"/>
          </w:tcPr>
          <w:p w:rsidR="005132EF" w:rsidRPr="00370E70" w:rsidRDefault="005132EF" w:rsidP="00034AD4">
            <w:pPr>
              <w:keepNext/>
              <w:spacing w:before="0" w:after="0"/>
              <w:jc w:val="center"/>
              <w:rPr>
                <w:b/>
                <w:color w:val="000000"/>
              </w:rPr>
            </w:pPr>
            <w:r w:rsidRPr="00370E70">
              <w:rPr>
                <w:b/>
                <w:color w:val="000000"/>
              </w:rPr>
              <w:t>MI2</w:t>
            </w:r>
          </w:p>
        </w:tc>
        <w:tc>
          <w:tcPr>
            <w:tcW w:w="2061" w:type="dxa"/>
            <w:vAlign w:val="center"/>
          </w:tcPr>
          <w:p w:rsidR="005132EF" w:rsidRPr="00370E70" w:rsidRDefault="005132EF" w:rsidP="00034AD4">
            <w:pPr>
              <w:keepNext/>
              <w:spacing w:before="0" w:after="0"/>
              <w:jc w:val="center"/>
              <w:rPr>
                <w:b/>
                <w:color w:val="000000"/>
              </w:rPr>
            </w:pPr>
            <w:r w:rsidRPr="00370E70">
              <w:rPr>
                <w:b/>
                <w:color w:val="000000"/>
              </w:rPr>
              <w:t>BB1</w:t>
            </w:r>
          </w:p>
        </w:tc>
        <w:tc>
          <w:tcPr>
            <w:tcW w:w="2061" w:type="dxa"/>
            <w:vAlign w:val="center"/>
          </w:tcPr>
          <w:p w:rsidR="005132EF" w:rsidRPr="00370E70" w:rsidRDefault="005132EF" w:rsidP="00034AD4">
            <w:pPr>
              <w:keepNext/>
              <w:spacing w:before="0" w:after="0"/>
              <w:jc w:val="center"/>
              <w:rPr>
                <w:b/>
                <w:color w:val="000000"/>
              </w:rPr>
            </w:pPr>
            <w:r w:rsidRPr="00370E70">
              <w:rPr>
                <w:b/>
                <w:color w:val="000000"/>
              </w:rPr>
              <w:t>SB1</w:t>
            </w:r>
          </w:p>
        </w:tc>
      </w:tr>
      <w:tr w:rsidR="005132EF" w:rsidRPr="00370E70">
        <w:trPr>
          <w:jc w:val="center"/>
        </w:trPr>
        <w:tc>
          <w:tcPr>
            <w:tcW w:w="1279" w:type="dxa"/>
            <w:vAlign w:val="center"/>
          </w:tcPr>
          <w:p w:rsidR="005132EF" w:rsidRPr="00370E70" w:rsidRDefault="005132EF" w:rsidP="00034AD4">
            <w:pPr>
              <w:keepNext/>
              <w:spacing w:before="0" w:after="0"/>
              <w:jc w:val="center"/>
              <w:rPr>
                <w:b/>
                <w:color w:val="000000"/>
                <w:sz w:val="20"/>
                <w:szCs w:val="20"/>
              </w:rPr>
            </w:pPr>
            <w:r w:rsidRPr="00370E70">
              <w:rPr>
                <w:b/>
                <w:color w:val="000000"/>
                <w:sz w:val="20"/>
                <w:szCs w:val="20"/>
              </w:rPr>
              <w:t>October 2005</w:t>
            </w:r>
          </w:p>
          <w:p w:rsidR="005132EF" w:rsidRPr="00370E70" w:rsidRDefault="005132EF" w:rsidP="00034AD4">
            <w:pPr>
              <w:keepNext/>
              <w:spacing w:before="0" w:after="0"/>
              <w:jc w:val="center"/>
              <w:rPr>
                <w:color w:val="000000"/>
              </w:rPr>
            </w:pPr>
            <w:r w:rsidRPr="00370E70">
              <w:rPr>
                <w:color w:val="000000"/>
                <w:sz w:val="20"/>
                <w:szCs w:val="20"/>
              </w:rPr>
              <w:t>(baseline)</w:t>
            </w:r>
          </w:p>
        </w:tc>
        <w:tc>
          <w:tcPr>
            <w:tcW w:w="2202" w:type="dxa"/>
            <w:vAlign w:val="center"/>
          </w:tcPr>
          <w:p w:rsidR="005132EF" w:rsidRPr="00370E70" w:rsidRDefault="005132EF" w:rsidP="00034AD4">
            <w:pPr>
              <w:keepNext/>
              <w:spacing w:before="0" w:after="0"/>
              <w:ind w:left="-692" w:firstLine="692"/>
              <w:jc w:val="center"/>
              <w:rPr>
                <w:rFonts w:cs="Arial"/>
                <w:b/>
                <w:color w:val="000000"/>
              </w:rPr>
            </w:pPr>
            <w:r w:rsidRPr="00370E70">
              <w:rPr>
                <w:b/>
                <w:color w:val="000000"/>
              </w:rPr>
              <w:t>2.933</w:t>
            </w:r>
          </w:p>
        </w:tc>
        <w:tc>
          <w:tcPr>
            <w:tcW w:w="2061" w:type="dxa"/>
            <w:vAlign w:val="center"/>
          </w:tcPr>
          <w:p w:rsidR="005132EF" w:rsidRPr="00370E70" w:rsidRDefault="005132EF" w:rsidP="00034AD4">
            <w:pPr>
              <w:keepNext/>
              <w:spacing w:before="0" w:after="0"/>
              <w:ind w:left="-692" w:firstLine="692"/>
              <w:jc w:val="center"/>
              <w:rPr>
                <w:rFonts w:cs="Arial"/>
                <w:b/>
                <w:color w:val="000000"/>
              </w:rPr>
            </w:pPr>
            <w:r w:rsidRPr="00370E70">
              <w:rPr>
                <w:b/>
                <w:color w:val="000000"/>
              </w:rPr>
              <w:t>4.104</w:t>
            </w:r>
          </w:p>
        </w:tc>
        <w:tc>
          <w:tcPr>
            <w:tcW w:w="2061" w:type="dxa"/>
            <w:vAlign w:val="center"/>
          </w:tcPr>
          <w:p w:rsidR="005132EF" w:rsidRPr="00370E70" w:rsidRDefault="005132EF" w:rsidP="00034AD4">
            <w:pPr>
              <w:keepNext/>
              <w:spacing w:before="0" w:after="0"/>
              <w:ind w:left="-692" w:firstLine="692"/>
              <w:jc w:val="center"/>
              <w:rPr>
                <w:rFonts w:cs="Arial"/>
                <w:b/>
                <w:color w:val="000000"/>
              </w:rPr>
            </w:pPr>
            <w:r w:rsidRPr="00370E70">
              <w:rPr>
                <w:b/>
                <w:color w:val="000000"/>
              </w:rPr>
              <w:t>5.312</w:t>
            </w:r>
          </w:p>
        </w:tc>
        <w:tc>
          <w:tcPr>
            <w:tcW w:w="2061" w:type="dxa"/>
            <w:vAlign w:val="center"/>
          </w:tcPr>
          <w:p w:rsidR="005132EF" w:rsidRPr="00370E70" w:rsidRDefault="005132EF" w:rsidP="00034AD4">
            <w:pPr>
              <w:keepNext/>
              <w:spacing w:before="0" w:after="0"/>
              <w:ind w:left="-692" w:firstLine="692"/>
              <w:jc w:val="center"/>
              <w:rPr>
                <w:rFonts w:cs="Arial"/>
                <w:b/>
                <w:color w:val="000000"/>
              </w:rPr>
            </w:pPr>
            <w:r w:rsidRPr="00370E70">
              <w:rPr>
                <w:b/>
                <w:color w:val="000000"/>
              </w:rPr>
              <w:t>4.303</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color w:val="000000"/>
              </w:rPr>
            </w:pPr>
            <w:r w:rsidRPr="00370E70">
              <w:rPr>
                <w:b/>
                <w:color w:val="000000"/>
                <w:sz w:val="20"/>
                <w:szCs w:val="20"/>
              </w:rPr>
              <w:t>2006</w:t>
            </w:r>
          </w:p>
        </w:tc>
        <w:tc>
          <w:tcPr>
            <w:tcW w:w="2202" w:type="dxa"/>
            <w:vAlign w:val="center"/>
          </w:tcPr>
          <w:p w:rsidR="005132EF" w:rsidRPr="00370E70" w:rsidRDefault="005132EF" w:rsidP="00034AD4">
            <w:pPr>
              <w:keepNext/>
              <w:spacing w:before="0" w:after="0"/>
              <w:ind w:left="-692" w:firstLine="692"/>
              <w:jc w:val="center"/>
              <w:rPr>
                <w:rFonts w:cs="Arial"/>
                <w:color w:val="000000"/>
              </w:rPr>
            </w:pPr>
            <w:r w:rsidRPr="00370E70">
              <w:rPr>
                <w:color w:val="000000"/>
              </w:rPr>
              <w:t>3.398</w:t>
            </w:r>
          </w:p>
          <w:p w:rsidR="005132EF" w:rsidRPr="00370E70" w:rsidRDefault="005132EF" w:rsidP="00034AD4">
            <w:pPr>
              <w:keepNext/>
              <w:spacing w:before="0" w:after="0"/>
              <w:ind w:left="-14" w:firstLine="14"/>
              <w:jc w:val="center"/>
              <w:rPr>
                <w:rFonts w:cs="Arial"/>
                <w:i/>
                <w:color w:val="000000"/>
                <w:sz w:val="16"/>
                <w:szCs w:val="16"/>
              </w:rPr>
            </w:pPr>
            <w:r w:rsidRPr="00370E70">
              <w:rPr>
                <w:rFonts w:cs="Arial"/>
                <w:i/>
                <w:color w:val="000000"/>
                <w:sz w:val="16"/>
                <w:szCs w:val="16"/>
              </w:rPr>
              <w:t>(15.9%, increase shoreward)</w:t>
            </w:r>
          </w:p>
        </w:tc>
        <w:tc>
          <w:tcPr>
            <w:tcW w:w="2061" w:type="dxa"/>
            <w:vAlign w:val="center"/>
          </w:tcPr>
          <w:p w:rsidR="005132EF" w:rsidRPr="00370E70" w:rsidRDefault="005132EF" w:rsidP="00034AD4">
            <w:pPr>
              <w:keepNext/>
              <w:spacing w:before="0" w:after="0"/>
              <w:ind w:left="-14" w:firstLine="14"/>
              <w:jc w:val="center"/>
              <w:rPr>
                <w:rFonts w:cs="Arial"/>
                <w:color w:val="000000"/>
              </w:rPr>
            </w:pPr>
            <w:r w:rsidRPr="00370E70">
              <w:rPr>
                <w:color w:val="000000"/>
              </w:rPr>
              <w:t>4.342</w:t>
            </w:r>
          </w:p>
          <w:p w:rsidR="005132EF" w:rsidRPr="00370E70" w:rsidRDefault="005132EF" w:rsidP="00034AD4">
            <w:pPr>
              <w:keepNext/>
              <w:spacing w:before="0" w:after="0"/>
              <w:ind w:left="-14" w:firstLine="14"/>
              <w:jc w:val="center"/>
              <w:rPr>
                <w:rFonts w:cs="Arial"/>
                <w:i/>
                <w:color w:val="000000"/>
                <w:sz w:val="16"/>
                <w:szCs w:val="16"/>
              </w:rPr>
            </w:pPr>
            <w:r w:rsidRPr="00370E70">
              <w:rPr>
                <w:rFonts w:cs="Arial"/>
                <w:i/>
                <w:color w:val="000000"/>
                <w:sz w:val="16"/>
                <w:szCs w:val="16"/>
              </w:rPr>
              <w:t>(5.8, increase shoreward)</w:t>
            </w:r>
          </w:p>
        </w:tc>
        <w:tc>
          <w:tcPr>
            <w:tcW w:w="2061" w:type="dxa"/>
            <w:vAlign w:val="center"/>
          </w:tcPr>
          <w:p w:rsidR="005132EF" w:rsidRPr="00370E70" w:rsidRDefault="005132EF" w:rsidP="00034AD4">
            <w:pPr>
              <w:keepNext/>
              <w:spacing w:before="0" w:after="0"/>
              <w:ind w:left="-14" w:firstLine="14"/>
              <w:jc w:val="center"/>
              <w:rPr>
                <w:rFonts w:cs="Arial"/>
                <w:color w:val="000000"/>
              </w:rPr>
            </w:pPr>
            <w:r w:rsidRPr="00370E70">
              <w:rPr>
                <w:color w:val="000000"/>
              </w:rPr>
              <w:t>5.312</w:t>
            </w:r>
          </w:p>
          <w:p w:rsidR="005132EF" w:rsidRPr="00370E70" w:rsidRDefault="005132EF" w:rsidP="00034AD4">
            <w:pPr>
              <w:keepNext/>
              <w:spacing w:before="0" w:after="0"/>
              <w:ind w:left="-14" w:firstLine="14"/>
              <w:jc w:val="center"/>
              <w:rPr>
                <w:rFonts w:cs="Arial"/>
                <w:color w:val="000000"/>
                <w:sz w:val="20"/>
                <w:szCs w:val="20"/>
              </w:rPr>
            </w:pPr>
            <w:r w:rsidRPr="00370E70">
              <w:rPr>
                <w:rFonts w:cs="Arial"/>
                <w:i/>
                <w:color w:val="000000"/>
                <w:sz w:val="16"/>
                <w:szCs w:val="16"/>
              </w:rPr>
              <w:t>(no change)</w:t>
            </w:r>
          </w:p>
        </w:tc>
        <w:tc>
          <w:tcPr>
            <w:tcW w:w="2061" w:type="dxa"/>
            <w:vAlign w:val="center"/>
          </w:tcPr>
          <w:p w:rsidR="005132EF" w:rsidRPr="00370E70" w:rsidRDefault="005132EF" w:rsidP="00034AD4">
            <w:pPr>
              <w:keepNext/>
              <w:spacing w:before="0" w:after="0"/>
              <w:ind w:left="-14" w:firstLine="14"/>
              <w:jc w:val="center"/>
              <w:rPr>
                <w:rFonts w:cs="Arial"/>
                <w:color w:val="000000"/>
              </w:rPr>
            </w:pPr>
            <w:r w:rsidRPr="00370E70">
              <w:rPr>
                <w:color w:val="000000"/>
              </w:rPr>
              <w:t>3.485</w:t>
            </w:r>
          </w:p>
          <w:p w:rsidR="005132EF" w:rsidRPr="00370E70" w:rsidRDefault="005132EF" w:rsidP="00034AD4">
            <w:pPr>
              <w:keepNext/>
              <w:spacing w:before="0" w:after="0"/>
              <w:ind w:left="-14" w:firstLine="14"/>
              <w:jc w:val="center"/>
              <w:rPr>
                <w:rFonts w:cs="Arial"/>
                <w:color w:val="000000"/>
                <w:sz w:val="20"/>
                <w:szCs w:val="20"/>
              </w:rPr>
            </w:pPr>
            <w:r w:rsidRPr="00370E70">
              <w:rPr>
                <w:rFonts w:cs="Arial"/>
                <w:i/>
                <w:color w:val="000000"/>
                <w:sz w:val="16"/>
                <w:szCs w:val="16"/>
              </w:rPr>
              <w:t>(-19.1 decrease seaward)</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October</w:t>
            </w:r>
          </w:p>
          <w:p w:rsidR="005132EF" w:rsidRPr="00370E70" w:rsidRDefault="005132EF" w:rsidP="00034AD4">
            <w:pPr>
              <w:keepNext/>
              <w:spacing w:before="0" w:after="0"/>
              <w:jc w:val="center"/>
              <w:rPr>
                <w:color w:val="000000"/>
              </w:rPr>
            </w:pPr>
            <w:r w:rsidRPr="00370E70">
              <w:rPr>
                <w:b/>
                <w:color w:val="000000"/>
                <w:sz w:val="20"/>
                <w:szCs w:val="20"/>
              </w:rPr>
              <w:t>2006</w:t>
            </w:r>
          </w:p>
        </w:tc>
        <w:tc>
          <w:tcPr>
            <w:tcW w:w="2202" w:type="dxa"/>
            <w:shd w:val="clear" w:color="auto" w:fill="E6E6E6"/>
            <w:vAlign w:val="center"/>
          </w:tcPr>
          <w:p w:rsidR="005132EF" w:rsidRPr="00370E70" w:rsidRDefault="005132EF" w:rsidP="00034AD4">
            <w:pPr>
              <w:keepNext/>
              <w:spacing w:before="0" w:after="0"/>
              <w:jc w:val="center"/>
              <w:rPr>
                <w:rFonts w:cs="Arial"/>
                <w:color w:val="000000"/>
                <w:sz w:val="20"/>
                <w:szCs w:val="20"/>
              </w:rPr>
            </w:pPr>
            <w:r w:rsidRPr="00370E70">
              <w:rPr>
                <w:color w:val="000000"/>
              </w:rPr>
              <w:t>1.723</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-41.2</w:t>
            </w:r>
            <w:r w:rsidRPr="00370E70">
              <w:rPr>
                <w:rFonts w:cs="Arial"/>
                <w:i/>
                <w:color w:val="000000"/>
                <w:sz w:val="16"/>
                <w:szCs w:val="16"/>
              </w:rPr>
              <w:t>% decrease seaward)</w:t>
            </w:r>
          </w:p>
        </w:tc>
        <w:tc>
          <w:tcPr>
            <w:tcW w:w="2061" w:type="dxa"/>
          </w:tcPr>
          <w:p w:rsidR="005132EF" w:rsidRPr="00370E70" w:rsidRDefault="005132EF" w:rsidP="00034AD4">
            <w:pPr>
              <w:keepNext/>
              <w:spacing w:before="0" w:after="0"/>
              <w:jc w:val="center"/>
              <w:rPr>
                <w:rFonts w:cs="Arial"/>
                <w:color w:val="000000"/>
                <w:sz w:val="20"/>
                <w:szCs w:val="20"/>
              </w:rPr>
            </w:pPr>
            <w:r w:rsidRPr="00370E70">
              <w:rPr>
                <w:color w:val="000000"/>
              </w:rPr>
              <w:t>4.112</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0.2</w:t>
            </w:r>
            <w:r w:rsidRPr="00370E70">
              <w:rPr>
                <w:rFonts w:cs="Arial"/>
                <w:i/>
                <w:color w:val="000000"/>
                <w:sz w:val="16"/>
                <w:szCs w:val="16"/>
              </w:rPr>
              <w:t>, negligible)</w:t>
            </w:r>
          </w:p>
        </w:tc>
        <w:tc>
          <w:tcPr>
            <w:tcW w:w="2061" w:type="dxa"/>
            <w:vAlign w:val="center"/>
          </w:tcPr>
          <w:p w:rsidR="005132EF" w:rsidRPr="00370E70" w:rsidRDefault="005132EF" w:rsidP="00034AD4">
            <w:pPr>
              <w:keepNext/>
              <w:spacing w:before="0" w:after="0"/>
              <w:jc w:val="center"/>
              <w:rPr>
                <w:color w:val="000000"/>
              </w:rPr>
            </w:pPr>
            <w:r w:rsidRPr="00370E70">
              <w:rPr>
                <w:color w:val="000000"/>
              </w:rPr>
              <w:t>5.312</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w:t>
            </w:r>
            <w:r w:rsidRPr="00370E70">
              <w:rPr>
                <w:rFonts w:cs="Arial"/>
                <w:i/>
                <w:color w:val="000000"/>
                <w:sz w:val="16"/>
                <w:szCs w:val="16"/>
              </w:rPr>
              <w:t>no change)</w:t>
            </w:r>
          </w:p>
        </w:tc>
        <w:tc>
          <w:tcPr>
            <w:tcW w:w="2061" w:type="dxa"/>
            <w:vAlign w:val="center"/>
          </w:tcPr>
          <w:p w:rsidR="005132EF" w:rsidRPr="00370E70" w:rsidRDefault="005132EF" w:rsidP="00034AD4">
            <w:pPr>
              <w:keepNext/>
              <w:spacing w:before="0" w:after="0"/>
              <w:jc w:val="center"/>
              <w:rPr>
                <w:color w:val="000000"/>
              </w:rPr>
            </w:pPr>
            <w:r w:rsidRPr="00370E70">
              <w:rPr>
                <w:color w:val="000000"/>
              </w:rPr>
              <w:t>2.861</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(-33.5</w:t>
            </w:r>
            <w:r w:rsidRPr="00370E70">
              <w:rPr>
                <w:rFonts w:cs="Arial"/>
                <w:i/>
                <w:color w:val="000000"/>
                <w:sz w:val="16"/>
                <w:szCs w:val="16"/>
              </w:rPr>
              <w:t xml:space="preserve"> decrease seaward)</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color w:val="000000"/>
              </w:rPr>
            </w:pPr>
            <w:r w:rsidRPr="00370E70">
              <w:rPr>
                <w:b/>
                <w:color w:val="000000"/>
                <w:sz w:val="20"/>
                <w:szCs w:val="20"/>
              </w:rPr>
              <w:t>2007</w:t>
            </w:r>
          </w:p>
        </w:tc>
        <w:tc>
          <w:tcPr>
            <w:tcW w:w="2202" w:type="dxa"/>
            <w:shd w:val="clear" w:color="auto" w:fill="E6E6E6"/>
            <w:vAlign w:val="center"/>
          </w:tcPr>
          <w:p w:rsidR="005132EF" w:rsidRPr="00370E70" w:rsidRDefault="005132EF" w:rsidP="00034AD4">
            <w:pPr>
              <w:keepNext/>
              <w:spacing w:before="0" w:after="0"/>
              <w:jc w:val="center"/>
              <w:rPr>
                <w:rFonts w:cs="Arial"/>
                <w:color w:val="000000"/>
                <w:sz w:val="20"/>
                <w:szCs w:val="20"/>
              </w:rPr>
            </w:pPr>
            <w:r w:rsidRPr="00370E70">
              <w:rPr>
                <w:color w:val="000000"/>
              </w:rPr>
              <w:t>2.587</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-11.8</w:t>
            </w:r>
            <w:r w:rsidRPr="00370E70">
              <w:rPr>
                <w:rFonts w:cs="Arial"/>
                <w:i/>
                <w:color w:val="000000"/>
                <w:sz w:val="16"/>
                <w:szCs w:val="16"/>
              </w:rPr>
              <w:t>%, increase shoreward)</w:t>
            </w:r>
          </w:p>
        </w:tc>
        <w:tc>
          <w:tcPr>
            <w:tcW w:w="2061" w:type="dxa"/>
            <w:vAlign w:val="center"/>
          </w:tcPr>
          <w:p w:rsidR="005132EF" w:rsidRPr="00370E70" w:rsidRDefault="005132EF" w:rsidP="00034AD4">
            <w:pPr>
              <w:keepNext/>
              <w:spacing w:before="0" w:after="0"/>
              <w:jc w:val="center"/>
              <w:rPr>
                <w:rFonts w:cs="Arial"/>
                <w:color w:val="000000"/>
                <w:sz w:val="20"/>
                <w:szCs w:val="20"/>
              </w:rPr>
            </w:pPr>
            <w:r w:rsidRPr="00370E70">
              <w:rPr>
                <w:color w:val="000000"/>
              </w:rPr>
              <w:t>4.141</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0.9</w:t>
            </w:r>
            <w:r w:rsidRPr="00370E70">
              <w:rPr>
                <w:rFonts w:cs="Arial"/>
                <w:i/>
                <w:color w:val="000000"/>
                <w:sz w:val="16"/>
                <w:szCs w:val="16"/>
              </w:rPr>
              <w:t>%, increase shoreward)</w:t>
            </w:r>
          </w:p>
        </w:tc>
        <w:tc>
          <w:tcPr>
            <w:tcW w:w="2061" w:type="dxa"/>
            <w:shd w:val="clear" w:color="auto" w:fill="E6E6E6"/>
            <w:vAlign w:val="center"/>
          </w:tcPr>
          <w:p w:rsidR="005132EF" w:rsidRPr="00370E70" w:rsidRDefault="005132EF" w:rsidP="00034AD4">
            <w:pPr>
              <w:keepNext/>
              <w:spacing w:before="0" w:after="0"/>
              <w:jc w:val="center"/>
              <w:rPr>
                <w:color w:val="000000"/>
              </w:rPr>
            </w:pPr>
            <w:r w:rsidRPr="00370E70">
              <w:rPr>
                <w:color w:val="000000"/>
              </w:rPr>
              <w:t>5.113</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 xml:space="preserve">(-3.7, </w:t>
            </w:r>
            <w:r w:rsidRPr="00370E70">
              <w:rPr>
                <w:rFonts w:cs="Arial"/>
                <w:i/>
                <w:color w:val="000000"/>
                <w:sz w:val="16"/>
                <w:szCs w:val="16"/>
              </w:rPr>
              <w:t>decrease seaward)</w:t>
            </w:r>
          </w:p>
        </w:tc>
        <w:tc>
          <w:tcPr>
            <w:tcW w:w="2061" w:type="dxa"/>
            <w:shd w:val="clear" w:color="auto" w:fill="E6E6E6"/>
            <w:vAlign w:val="center"/>
          </w:tcPr>
          <w:p w:rsidR="005132EF" w:rsidRPr="00370E70" w:rsidRDefault="005132EF" w:rsidP="00034AD4">
            <w:pPr>
              <w:keepNext/>
              <w:spacing w:before="0" w:after="0"/>
              <w:jc w:val="center"/>
              <w:rPr>
                <w:color w:val="000000"/>
              </w:rPr>
            </w:pPr>
            <w:r w:rsidRPr="00370E70">
              <w:rPr>
                <w:color w:val="000000"/>
              </w:rPr>
              <w:t>3.939</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 xml:space="preserve"> (-8.5 </w:t>
            </w:r>
            <w:r w:rsidRPr="00370E70">
              <w:rPr>
                <w:rFonts w:cs="Arial"/>
                <w:i/>
                <w:color w:val="000000"/>
                <w:sz w:val="16"/>
                <w:szCs w:val="16"/>
              </w:rPr>
              <w:t>increase shoreward)</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October</w:t>
            </w:r>
          </w:p>
          <w:p w:rsidR="005132EF" w:rsidRPr="00370E70" w:rsidRDefault="005132EF" w:rsidP="00034AD4">
            <w:pPr>
              <w:keepNext/>
              <w:spacing w:before="0" w:after="0"/>
              <w:jc w:val="center"/>
              <w:rPr>
                <w:color w:val="000000"/>
              </w:rPr>
            </w:pPr>
            <w:r w:rsidRPr="00370E70">
              <w:rPr>
                <w:b/>
                <w:color w:val="000000"/>
                <w:sz w:val="20"/>
                <w:szCs w:val="20"/>
              </w:rPr>
              <w:t>2007</w:t>
            </w:r>
          </w:p>
        </w:tc>
        <w:tc>
          <w:tcPr>
            <w:tcW w:w="2202" w:type="dxa"/>
          </w:tcPr>
          <w:p w:rsidR="005132EF" w:rsidRPr="00370E70" w:rsidRDefault="005132EF" w:rsidP="00034AD4">
            <w:pPr>
              <w:keepNext/>
              <w:spacing w:before="0" w:after="0"/>
              <w:jc w:val="center"/>
              <w:rPr>
                <w:rFonts w:cs="Arial"/>
                <w:color w:val="000000"/>
              </w:rPr>
            </w:pPr>
            <w:r w:rsidRPr="00370E70">
              <w:rPr>
                <w:rFonts w:cs="Arial"/>
                <w:color w:val="000000"/>
              </w:rPr>
              <w:t>3.119</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iCs/>
                <w:color w:val="000000"/>
                <w:sz w:val="16"/>
                <w:szCs w:val="16"/>
              </w:rPr>
              <w:t>6.3</w:t>
            </w:r>
            <w:r w:rsidRPr="00370E70">
              <w:rPr>
                <w:rFonts w:cs="Arial"/>
                <w:i/>
                <w:color w:val="000000"/>
                <w:sz w:val="16"/>
                <w:szCs w:val="16"/>
              </w:rPr>
              <w:t>%, increase shoreward)</w:t>
            </w:r>
          </w:p>
        </w:tc>
        <w:tc>
          <w:tcPr>
            <w:tcW w:w="2061" w:type="dxa"/>
          </w:tcPr>
          <w:p w:rsidR="005132EF" w:rsidRPr="00370E70" w:rsidRDefault="005132EF" w:rsidP="00034AD4">
            <w:pPr>
              <w:keepNext/>
              <w:spacing w:before="0" w:after="0"/>
              <w:jc w:val="center"/>
              <w:rPr>
                <w:rFonts w:cs="Arial"/>
                <w:color w:val="000000"/>
              </w:rPr>
            </w:pPr>
            <w:r w:rsidRPr="00370E70">
              <w:rPr>
                <w:rFonts w:cs="Arial"/>
                <w:color w:val="000000"/>
              </w:rPr>
              <w:t>4.144</w:t>
            </w:r>
          </w:p>
          <w:p w:rsidR="005132EF" w:rsidRPr="00370E70" w:rsidRDefault="005132EF" w:rsidP="00034AD4">
            <w:pPr>
              <w:keepNext/>
              <w:spacing w:before="0" w:after="0"/>
              <w:jc w:val="center"/>
              <w:rPr>
                <w:rFonts w:cs="Arial"/>
                <w:color w:val="000000"/>
                <w:highlight w:val="yellow"/>
              </w:rPr>
            </w:pPr>
            <w:r w:rsidRPr="00370E70">
              <w:rPr>
                <w:rFonts w:cs="Arial"/>
                <w:i/>
                <w:color w:val="000000"/>
                <w:sz w:val="16"/>
                <w:szCs w:val="16"/>
              </w:rPr>
              <w:t>(1.0%, increase shoreward)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5.221</w:t>
            </w:r>
          </w:p>
          <w:p w:rsidR="005132EF" w:rsidRPr="00370E70" w:rsidRDefault="005132EF" w:rsidP="00034AD4">
            <w:pPr>
              <w:keepNext/>
              <w:spacing w:before="0" w:after="0"/>
              <w:jc w:val="center"/>
              <w:rPr>
                <w:rFonts w:cs="Arial"/>
                <w:color w:val="000000"/>
              </w:rPr>
            </w:pPr>
            <w:r w:rsidRPr="00370E70">
              <w:rPr>
                <w:i/>
                <w:iCs/>
                <w:color w:val="000000"/>
                <w:sz w:val="16"/>
                <w:szCs w:val="16"/>
              </w:rPr>
              <w:t>(-1.7,increase shoreward</w:t>
            </w:r>
            <w:r w:rsidRPr="00370E70">
              <w:rPr>
                <w:rFonts w:cs="Arial"/>
                <w:i/>
                <w:color w:val="000000"/>
                <w:sz w:val="16"/>
                <w:szCs w:val="16"/>
              </w:rPr>
              <w:t>)</w:t>
            </w:r>
          </w:p>
        </w:tc>
        <w:tc>
          <w:tcPr>
            <w:tcW w:w="2061" w:type="dxa"/>
          </w:tcPr>
          <w:p w:rsidR="005132EF" w:rsidRPr="00370E70" w:rsidRDefault="005132EF" w:rsidP="00034AD4">
            <w:pPr>
              <w:keepNext/>
              <w:spacing w:before="0" w:after="0"/>
              <w:jc w:val="center"/>
              <w:rPr>
                <w:rFonts w:cs="Arial"/>
                <w:color w:val="000000"/>
              </w:rPr>
            </w:pPr>
            <w:r w:rsidRPr="00370E70">
              <w:rPr>
                <w:rFonts w:cs="Arial"/>
                <w:color w:val="000000"/>
              </w:rPr>
              <w:t>4.529</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(-5.2 </w:t>
            </w:r>
            <w:r w:rsidRPr="00370E70">
              <w:rPr>
                <w:rFonts w:cs="Arial"/>
                <w:i/>
                <w:color w:val="000000"/>
                <w:sz w:val="16"/>
                <w:szCs w:val="16"/>
              </w:rPr>
              <w:t>increase shoreward)</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b/>
                <w:color w:val="000000"/>
                <w:sz w:val="20"/>
                <w:szCs w:val="20"/>
              </w:rPr>
            </w:pPr>
            <w:r w:rsidRPr="00370E70">
              <w:rPr>
                <w:b/>
                <w:color w:val="000000"/>
                <w:sz w:val="20"/>
                <w:szCs w:val="20"/>
              </w:rPr>
              <w:t>2008</w:t>
            </w:r>
          </w:p>
        </w:tc>
        <w:tc>
          <w:tcPr>
            <w:tcW w:w="220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2.69</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iCs/>
                <w:color w:val="000000"/>
                <w:sz w:val="16"/>
                <w:szCs w:val="16"/>
              </w:rPr>
              <w:t>-8.3</w:t>
            </w:r>
            <w:r w:rsidRPr="00370E70">
              <w:rPr>
                <w:rFonts w:cs="Arial"/>
                <w:i/>
                <w:color w:val="000000"/>
                <w:sz w:val="16"/>
                <w:szCs w:val="16"/>
              </w:rPr>
              <w:t>%, decrease seaward)</w:t>
            </w:r>
          </w:p>
        </w:tc>
        <w:tc>
          <w:tcPr>
            <w:tcW w:w="2061" w:type="dxa"/>
          </w:tcPr>
          <w:p w:rsidR="005132EF" w:rsidRPr="00370E70" w:rsidRDefault="005132EF" w:rsidP="00034AD4">
            <w:pPr>
              <w:keepNext/>
              <w:spacing w:before="0" w:after="0"/>
              <w:jc w:val="center"/>
              <w:rPr>
                <w:rFonts w:cs="Arial"/>
                <w:color w:val="000000"/>
              </w:rPr>
            </w:pPr>
            <w:r w:rsidRPr="00370E70">
              <w:rPr>
                <w:rFonts w:cs="Arial"/>
                <w:color w:val="000000"/>
              </w:rPr>
              <w:t>4.191</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(2.1%, increase shoreward)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5.08</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(-4.4, </w:t>
            </w:r>
            <w:r w:rsidRPr="00370E70">
              <w:rPr>
                <w:rFonts w:cs="Arial"/>
                <w:i/>
                <w:color w:val="000000"/>
                <w:sz w:val="16"/>
                <w:szCs w:val="16"/>
              </w:rPr>
              <w:t>decrease seaward)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2.095</w:t>
            </w:r>
          </w:p>
          <w:p w:rsidR="005132EF" w:rsidRPr="00370E70" w:rsidRDefault="005132EF" w:rsidP="00034AD4">
            <w:pPr>
              <w:keepNext/>
              <w:spacing w:before="0" w:after="0"/>
              <w:jc w:val="center"/>
              <w:rPr>
                <w:rFonts w:cs="Arial"/>
                <w:color w:val="000000"/>
              </w:rPr>
            </w:pPr>
            <w:r w:rsidRPr="00370E70">
              <w:rPr>
                <w:i/>
                <w:iCs/>
                <w:color w:val="000000"/>
                <w:sz w:val="16"/>
                <w:szCs w:val="16"/>
              </w:rPr>
              <w:t>(-51.3 decrease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October</w:t>
            </w:r>
          </w:p>
          <w:p w:rsidR="005132EF" w:rsidRPr="00370E70" w:rsidRDefault="005132EF" w:rsidP="00034AD4">
            <w:pPr>
              <w:keepNext/>
              <w:spacing w:before="0" w:after="0"/>
              <w:jc w:val="center"/>
              <w:rPr>
                <w:b/>
                <w:color w:val="000000"/>
                <w:sz w:val="20"/>
                <w:szCs w:val="20"/>
              </w:rPr>
            </w:pPr>
            <w:r w:rsidRPr="00370E70">
              <w:rPr>
                <w:b/>
                <w:color w:val="000000"/>
                <w:sz w:val="20"/>
                <w:szCs w:val="20"/>
              </w:rPr>
              <w:t>2008</w:t>
            </w:r>
          </w:p>
        </w:tc>
        <w:tc>
          <w:tcPr>
            <w:tcW w:w="220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2.76</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(-5.9%, increase shoreward)</w:t>
            </w:r>
          </w:p>
        </w:tc>
        <w:tc>
          <w:tcPr>
            <w:tcW w:w="2061" w:type="dxa"/>
          </w:tcPr>
          <w:p w:rsidR="005132EF" w:rsidRPr="00370E70" w:rsidRDefault="005132EF" w:rsidP="00034AD4">
            <w:pPr>
              <w:keepNext/>
              <w:spacing w:before="0" w:after="0"/>
              <w:jc w:val="center"/>
              <w:rPr>
                <w:rFonts w:cs="Arial"/>
                <w:color w:val="000000"/>
              </w:rPr>
            </w:pPr>
            <w:r w:rsidRPr="00370E70">
              <w:rPr>
                <w:rFonts w:cs="Arial"/>
                <w:color w:val="000000"/>
              </w:rPr>
              <w:t>4.320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(5.3%, increase shoreward)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5.264</w:t>
            </w:r>
          </w:p>
          <w:p w:rsidR="005132EF" w:rsidRPr="00370E70" w:rsidRDefault="005132EF" w:rsidP="00034AD4">
            <w:pPr>
              <w:keepNext/>
              <w:spacing w:before="0" w:after="0"/>
              <w:jc w:val="center"/>
              <w:rPr>
                <w:rFonts w:cs="Arial"/>
                <w:color w:val="000000"/>
              </w:rPr>
            </w:pPr>
            <w:r w:rsidRPr="00370E70">
              <w:rPr>
                <w:i/>
                <w:iCs/>
                <w:color w:val="000000"/>
                <w:sz w:val="16"/>
                <w:szCs w:val="16"/>
              </w:rPr>
              <w:t>(-0.9%, increase shoreward</w:t>
            </w:r>
            <w:r w:rsidRPr="00370E70">
              <w:rPr>
                <w:rFonts w:cs="Arial"/>
                <w:i/>
                <w:color w:val="000000"/>
                <w:sz w:val="16"/>
                <w:szCs w:val="16"/>
              </w:rPr>
              <w:t>)</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1.648</w:t>
            </w:r>
          </w:p>
          <w:p w:rsidR="005132EF" w:rsidRPr="00370E70" w:rsidRDefault="005132EF" w:rsidP="00034AD4">
            <w:pPr>
              <w:keepNext/>
              <w:spacing w:before="0" w:after="0"/>
              <w:jc w:val="center"/>
              <w:rPr>
                <w:rFonts w:cs="Arial"/>
                <w:color w:val="000000"/>
              </w:rPr>
            </w:pPr>
            <w:r w:rsidRPr="00370E70">
              <w:rPr>
                <w:i/>
                <w:iCs/>
                <w:color w:val="000000"/>
                <w:sz w:val="16"/>
                <w:szCs w:val="16"/>
              </w:rPr>
              <w:t>(-61.7%,  decrease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b/>
                <w:color w:val="000000"/>
                <w:sz w:val="20"/>
                <w:szCs w:val="20"/>
              </w:rPr>
            </w:pPr>
            <w:r w:rsidRPr="00370E70">
              <w:rPr>
                <w:b/>
                <w:color w:val="000000"/>
                <w:sz w:val="20"/>
                <w:szCs w:val="20"/>
              </w:rPr>
              <w:t>2009</w:t>
            </w:r>
          </w:p>
        </w:tc>
        <w:tc>
          <w:tcPr>
            <w:tcW w:w="220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2.677</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iCs/>
                <w:color w:val="000000"/>
                <w:sz w:val="16"/>
                <w:szCs w:val="16"/>
              </w:rPr>
              <w:t>-8.7</w:t>
            </w:r>
            <w:r w:rsidRPr="00370E70">
              <w:rPr>
                <w:rFonts w:cs="Arial"/>
                <w:i/>
                <w:color w:val="000000"/>
                <w:sz w:val="16"/>
                <w:szCs w:val="16"/>
              </w:rPr>
              <w:t>%, decrease seaward)</w:t>
            </w:r>
          </w:p>
        </w:tc>
        <w:tc>
          <w:tcPr>
            <w:tcW w:w="2061" w:type="dxa"/>
          </w:tcPr>
          <w:p w:rsidR="005132EF" w:rsidRPr="00370E70" w:rsidRDefault="005132EF" w:rsidP="00034AD4">
            <w:pPr>
              <w:keepNext/>
              <w:spacing w:before="0" w:after="0"/>
              <w:jc w:val="center"/>
              <w:rPr>
                <w:rFonts w:cs="Arial"/>
                <w:color w:val="000000"/>
              </w:rPr>
            </w:pPr>
            <w:r w:rsidRPr="00370E70">
              <w:rPr>
                <w:rFonts w:cs="Arial"/>
                <w:color w:val="000000"/>
              </w:rPr>
              <w:t>5.179</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(26.2%, increase shoreward)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2.275</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(-57.2%, </w:t>
            </w:r>
            <w:r w:rsidRPr="00370E70">
              <w:rPr>
                <w:rFonts w:cs="Arial"/>
                <w:i/>
                <w:color w:val="000000"/>
                <w:sz w:val="16"/>
                <w:szCs w:val="16"/>
              </w:rPr>
              <w:t>decrease seaward)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1.178</w:t>
            </w:r>
          </w:p>
          <w:p w:rsidR="005132EF" w:rsidRPr="00370E70" w:rsidRDefault="005132EF" w:rsidP="00034AD4">
            <w:pPr>
              <w:keepNext/>
              <w:spacing w:before="0" w:after="0"/>
              <w:jc w:val="center"/>
              <w:rPr>
                <w:rFonts w:cs="Arial"/>
                <w:color w:val="000000"/>
              </w:rPr>
            </w:pPr>
            <w:r w:rsidRPr="00370E70">
              <w:rPr>
                <w:i/>
                <w:iCs/>
                <w:color w:val="000000"/>
                <w:sz w:val="16"/>
                <w:szCs w:val="16"/>
              </w:rPr>
              <w:t>(-72.6%, decrease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October</w:t>
            </w:r>
          </w:p>
          <w:p w:rsidR="005132EF" w:rsidRPr="00370E70" w:rsidRDefault="005132EF" w:rsidP="00034AD4">
            <w:pPr>
              <w:keepNext/>
              <w:spacing w:before="0" w:after="0"/>
              <w:jc w:val="center"/>
              <w:rPr>
                <w:b/>
                <w:color w:val="000000"/>
                <w:sz w:val="20"/>
                <w:szCs w:val="20"/>
              </w:rPr>
            </w:pPr>
            <w:r w:rsidRPr="00370E70">
              <w:rPr>
                <w:b/>
                <w:color w:val="000000"/>
                <w:sz w:val="20"/>
                <w:szCs w:val="20"/>
              </w:rPr>
              <w:t>2009</w:t>
            </w:r>
          </w:p>
        </w:tc>
        <w:tc>
          <w:tcPr>
            <w:tcW w:w="2202" w:type="dxa"/>
          </w:tcPr>
          <w:p w:rsidR="005132EF" w:rsidRPr="00370E70" w:rsidRDefault="005132EF" w:rsidP="00034AD4">
            <w:pPr>
              <w:keepNext/>
              <w:spacing w:before="0" w:after="0"/>
              <w:jc w:val="center"/>
              <w:rPr>
                <w:color w:val="000000"/>
              </w:rPr>
            </w:pPr>
            <w:r w:rsidRPr="00370E70">
              <w:rPr>
                <w:color w:val="000000"/>
              </w:rPr>
              <w:t>3.885</w:t>
            </w:r>
          </w:p>
          <w:p w:rsidR="005132EF" w:rsidRPr="00370E70" w:rsidRDefault="005132EF" w:rsidP="00034AD4">
            <w:pPr>
              <w:keepNext/>
              <w:spacing w:before="0" w:after="0"/>
              <w:jc w:val="center"/>
              <w:rPr>
                <w:color w:val="000000"/>
              </w:rPr>
            </w:pPr>
            <w:r w:rsidRPr="00370E70">
              <w:rPr>
                <w:rFonts w:cs="Arial"/>
                <w:i/>
                <w:color w:val="000000"/>
                <w:sz w:val="16"/>
                <w:szCs w:val="16"/>
              </w:rPr>
              <w:t>(32.4%, increase seaward)</w:t>
            </w:r>
          </w:p>
        </w:tc>
        <w:tc>
          <w:tcPr>
            <w:tcW w:w="2061" w:type="dxa"/>
            <w:shd w:val="clear" w:color="auto" w:fill="E6E6E6"/>
          </w:tcPr>
          <w:p w:rsidR="005132EF" w:rsidRPr="00370E70" w:rsidRDefault="005132EF" w:rsidP="00034AD4">
            <w:pPr>
              <w:keepNext/>
              <w:spacing w:before="0" w:after="0"/>
              <w:jc w:val="center"/>
              <w:rPr>
                <w:color w:val="000000"/>
              </w:rPr>
            </w:pPr>
            <w:r w:rsidRPr="00370E70">
              <w:rPr>
                <w:color w:val="000000"/>
              </w:rPr>
              <w:t>3.525</w:t>
            </w:r>
          </w:p>
          <w:p w:rsidR="005132EF" w:rsidRPr="00370E70" w:rsidRDefault="005132EF" w:rsidP="00034AD4">
            <w:pPr>
              <w:keepNext/>
              <w:spacing w:before="0" w:after="0"/>
              <w:jc w:val="center"/>
              <w:rPr>
                <w:color w:val="000000"/>
              </w:rPr>
            </w:pPr>
            <w:r w:rsidRPr="00370E70">
              <w:rPr>
                <w:rFonts w:cs="Arial"/>
                <w:i/>
                <w:color w:val="000000"/>
                <w:sz w:val="16"/>
                <w:szCs w:val="16"/>
              </w:rPr>
              <w:t>(-14.1%, decrease overall)</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4.645</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(-12.6%, </w:t>
            </w:r>
            <w:r w:rsidRPr="00370E70">
              <w:rPr>
                <w:rFonts w:cs="Arial"/>
                <w:i/>
                <w:color w:val="000000"/>
                <w:sz w:val="16"/>
                <w:szCs w:val="16"/>
              </w:rPr>
              <w:t>increase seaward)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2.728</w:t>
            </w:r>
          </w:p>
          <w:p w:rsidR="005132EF" w:rsidRPr="00370E70" w:rsidRDefault="005132EF" w:rsidP="00034AD4">
            <w:pPr>
              <w:keepNext/>
              <w:spacing w:before="0" w:after="0"/>
              <w:jc w:val="center"/>
              <w:rPr>
                <w:rFonts w:cs="Arial"/>
                <w:color w:val="000000"/>
                <w:highlight w:val="yellow"/>
              </w:rPr>
            </w:pPr>
            <w:r w:rsidRPr="00370E70">
              <w:rPr>
                <w:i/>
                <w:iCs/>
                <w:color w:val="000000"/>
                <w:sz w:val="16"/>
                <w:szCs w:val="16"/>
              </w:rPr>
              <w:t>(-36.6%, increase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b/>
                <w:color w:val="000000"/>
                <w:sz w:val="20"/>
                <w:szCs w:val="20"/>
              </w:rPr>
            </w:pPr>
            <w:r w:rsidRPr="00370E70">
              <w:rPr>
                <w:b/>
                <w:color w:val="000000"/>
                <w:sz w:val="20"/>
                <w:szCs w:val="20"/>
              </w:rPr>
              <w:t>2010</w:t>
            </w:r>
          </w:p>
        </w:tc>
        <w:tc>
          <w:tcPr>
            <w:tcW w:w="2202" w:type="dxa"/>
            <w:shd w:val="clear" w:color="auto" w:fill="E6E6E6"/>
          </w:tcPr>
          <w:p w:rsidR="005132EF" w:rsidRPr="00370E70" w:rsidRDefault="005132EF" w:rsidP="00034AD4">
            <w:pPr>
              <w:keepNext/>
              <w:spacing w:before="0" w:after="0"/>
              <w:jc w:val="center"/>
              <w:rPr>
                <w:color w:val="000000"/>
              </w:rPr>
            </w:pPr>
            <w:r w:rsidRPr="00370E70">
              <w:rPr>
                <w:color w:val="000000"/>
              </w:rPr>
              <w:t>2.560</w:t>
            </w:r>
          </w:p>
          <w:p w:rsidR="005132EF" w:rsidRPr="00370E70" w:rsidRDefault="005132EF" w:rsidP="00034AD4">
            <w:pPr>
              <w:keepNext/>
              <w:spacing w:before="0" w:after="0"/>
              <w:jc w:val="center"/>
              <w:rPr>
                <w:color w:val="000000"/>
              </w:rPr>
            </w:pPr>
            <w:r w:rsidRPr="00370E70">
              <w:rPr>
                <w:rFonts w:cs="Arial"/>
                <w:i/>
                <w:color w:val="000000"/>
                <w:sz w:val="16"/>
                <w:szCs w:val="16"/>
              </w:rPr>
              <w:t>(-12.7%, decrease overall)</w:t>
            </w:r>
          </w:p>
        </w:tc>
        <w:tc>
          <w:tcPr>
            <w:tcW w:w="2061" w:type="dxa"/>
            <w:shd w:val="clear" w:color="auto" w:fill="E6E6E6"/>
          </w:tcPr>
          <w:p w:rsidR="005132EF" w:rsidRPr="00370E70" w:rsidRDefault="005132EF" w:rsidP="00034AD4">
            <w:pPr>
              <w:keepNext/>
              <w:spacing w:before="0" w:after="0"/>
              <w:jc w:val="center"/>
              <w:rPr>
                <w:color w:val="000000"/>
              </w:rPr>
            </w:pPr>
            <w:r w:rsidRPr="00370E70">
              <w:rPr>
                <w:color w:val="000000"/>
              </w:rPr>
              <w:t>2.086</w:t>
            </w:r>
          </w:p>
          <w:p w:rsidR="005132EF" w:rsidRPr="00370E70" w:rsidRDefault="005132EF" w:rsidP="00034AD4">
            <w:pPr>
              <w:keepNext/>
              <w:spacing w:before="0" w:after="0"/>
              <w:jc w:val="center"/>
              <w:rPr>
                <w:color w:val="000000"/>
              </w:rPr>
            </w:pPr>
            <w:r w:rsidRPr="00370E70">
              <w:rPr>
                <w:rFonts w:cs="Arial"/>
                <w:i/>
                <w:color w:val="000000"/>
                <w:sz w:val="16"/>
                <w:szCs w:val="16"/>
              </w:rPr>
              <w:t>(-49.2%, decrease overall)</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2.483</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(-46.4%, </w:t>
            </w:r>
            <w:r w:rsidRPr="00370E70">
              <w:rPr>
                <w:rFonts w:cs="Arial"/>
                <w:i/>
                <w:color w:val="000000"/>
                <w:sz w:val="16"/>
                <w:szCs w:val="16"/>
              </w:rPr>
              <w:t>decrease seaward)</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2.066</w:t>
            </w:r>
          </w:p>
          <w:p w:rsidR="005132EF" w:rsidRPr="00370E70" w:rsidRDefault="005132EF" w:rsidP="00034AD4">
            <w:pPr>
              <w:keepNext/>
              <w:spacing w:before="0" w:after="0"/>
              <w:jc w:val="center"/>
              <w:rPr>
                <w:rFonts w:cs="Arial"/>
                <w:color w:val="000000"/>
              </w:rPr>
            </w:pPr>
            <w:r w:rsidRPr="00370E70">
              <w:rPr>
                <w:i/>
                <w:iCs/>
                <w:color w:val="000000"/>
                <w:sz w:val="16"/>
                <w:szCs w:val="16"/>
              </w:rPr>
              <w:t>(-52%, decrease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October</w:t>
            </w:r>
          </w:p>
          <w:p w:rsidR="005132EF" w:rsidRPr="00370E70" w:rsidRDefault="005132EF" w:rsidP="00034AD4">
            <w:pPr>
              <w:keepNext/>
              <w:spacing w:before="0" w:after="0"/>
              <w:jc w:val="center"/>
              <w:rPr>
                <w:b/>
                <w:color w:val="000000"/>
                <w:sz w:val="20"/>
                <w:szCs w:val="20"/>
              </w:rPr>
            </w:pPr>
            <w:r w:rsidRPr="00370E70">
              <w:rPr>
                <w:b/>
                <w:color w:val="000000"/>
                <w:sz w:val="20"/>
                <w:szCs w:val="20"/>
              </w:rPr>
              <w:t>2010</w:t>
            </w:r>
          </w:p>
        </w:tc>
        <w:tc>
          <w:tcPr>
            <w:tcW w:w="2202" w:type="dxa"/>
            <w:shd w:val="clear" w:color="auto" w:fill="E6E6E6"/>
          </w:tcPr>
          <w:p w:rsidR="005132EF" w:rsidRPr="00370E70" w:rsidRDefault="005132EF" w:rsidP="00034AD4">
            <w:pPr>
              <w:keepNext/>
              <w:spacing w:before="0" w:after="0"/>
              <w:jc w:val="center"/>
              <w:rPr>
                <w:color w:val="000000"/>
              </w:rPr>
            </w:pPr>
            <w:r w:rsidRPr="00370E70">
              <w:rPr>
                <w:color w:val="000000"/>
              </w:rPr>
              <w:t>2.287</w:t>
            </w:r>
          </w:p>
          <w:p w:rsidR="005132EF" w:rsidRPr="00370E70" w:rsidRDefault="005132EF" w:rsidP="00034AD4">
            <w:pPr>
              <w:keepNext/>
              <w:spacing w:before="0" w:after="0"/>
              <w:jc w:val="center"/>
              <w:rPr>
                <w:color w:val="000000"/>
              </w:rPr>
            </w:pPr>
            <w:r w:rsidRPr="00370E70">
              <w:rPr>
                <w:rFonts w:cs="Arial"/>
                <w:i/>
                <w:color w:val="000000"/>
                <w:sz w:val="16"/>
                <w:szCs w:val="16"/>
              </w:rPr>
              <w:t>(-22%, decrease seaward)</w:t>
            </w:r>
          </w:p>
        </w:tc>
        <w:tc>
          <w:tcPr>
            <w:tcW w:w="2061" w:type="dxa"/>
            <w:shd w:val="clear" w:color="auto" w:fill="E6E6E6"/>
          </w:tcPr>
          <w:p w:rsidR="005132EF" w:rsidRPr="00370E70" w:rsidRDefault="005132EF" w:rsidP="00034AD4">
            <w:pPr>
              <w:keepNext/>
              <w:spacing w:before="0" w:after="0"/>
              <w:jc w:val="center"/>
              <w:rPr>
                <w:color w:val="000000"/>
              </w:rPr>
            </w:pPr>
            <w:r w:rsidRPr="00370E70">
              <w:rPr>
                <w:color w:val="000000"/>
              </w:rPr>
              <w:t>3.975</w:t>
            </w:r>
          </w:p>
          <w:p w:rsidR="005132EF" w:rsidRPr="00370E70" w:rsidRDefault="005132EF" w:rsidP="00034AD4">
            <w:pPr>
              <w:keepNext/>
              <w:spacing w:before="0" w:after="0"/>
              <w:jc w:val="center"/>
              <w:rPr>
                <w:color w:val="000000"/>
              </w:rPr>
            </w:pPr>
            <w:r w:rsidRPr="00370E70">
              <w:rPr>
                <w:rFonts w:cs="Arial"/>
                <w:i/>
                <w:color w:val="000000"/>
                <w:sz w:val="16"/>
                <w:szCs w:val="16"/>
              </w:rPr>
              <w:t>(-3.2%, increase overall)</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1.116</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(-79%, </w:t>
            </w:r>
            <w:r w:rsidRPr="00370E70">
              <w:rPr>
                <w:rFonts w:cs="Arial"/>
                <w:i/>
                <w:color w:val="000000"/>
                <w:sz w:val="16"/>
                <w:szCs w:val="16"/>
              </w:rPr>
              <w:t>isolated patches)</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3.579</w:t>
            </w:r>
          </w:p>
          <w:p w:rsidR="005132EF" w:rsidRPr="00370E70" w:rsidRDefault="005132EF" w:rsidP="00034AD4">
            <w:pPr>
              <w:keepNext/>
              <w:spacing w:before="0" w:after="0"/>
              <w:jc w:val="center"/>
              <w:rPr>
                <w:rFonts w:cs="Arial"/>
                <w:color w:val="000000"/>
              </w:rPr>
            </w:pPr>
            <w:r w:rsidRPr="00370E70">
              <w:rPr>
                <w:i/>
                <w:iCs/>
                <w:color w:val="000000"/>
                <w:sz w:val="16"/>
                <w:szCs w:val="16"/>
              </w:rPr>
              <w:t>(-16.8%, increase overall</w:t>
            </w:r>
            <w:r w:rsidRPr="00370E70">
              <w:rPr>
                <w:rFonts w:cs="Arial"/>
                <w:i/>
                <w:color w:val="000000"/>
                <w:sz w:val="16"/>
                <w:szCs w:val="16"/>
              </w:rPr>
              <w:t>)</w:t>
            </w:r>
          </w:p>
        </w:tc>
      </w:tr>
      <w:tr w:rsidR="005132EF" w:rsidRPr="00370E70">
        <w:trPr>
          <w:jc w:val="center"/>
        </w:trPr>
        <w:tc>
          <w:tcPr>
            <w:tcW w:w="1279" w:type="dxa"/>
          </w:tcPr>
          <w:p w:rsidR="005132EF" w:rsidRPr="00370E70" w:rsidRDefault="005132EF" w:rsidP="00034AD4">
            <w:pPr>
              <w:keepNext/>
              <w:spacing w:before="0" w:after="0"/>
              <w:jc w:val="center"/>
              <w:rPr>
                <w:b/>
                <w:color w:val="000000"/>
                <w:sz w:val="20"/>
                <w:szCs w:val="20"/>
              </w:rPr>
            </w:pPr>
            <w:r w:rsidRPr="00370E70">
              <w:rPr>
                <w:b/>
                <w:color w:val="000000"/>
                <w:sz w:val="20"/>
                <w:szCs w:val="20"/>
              </w:rPr>
              <w:t>April</w:t>
            </w:r>
          </w:p>
          <w:p w:rsidR="005132EF" w:rsidRPr="00370E70" w:rsidRDefault="005132EF" w:rsidP="00034AD4">
            <w:pPr>
              <w:keepNext/>
              <w:spacing w:before="0" w:after="0"/>
              <w:jc w:val="center"/>
              <w:rPr>
                <w:b/>
                <w:color w:val="000000"/>
                <w:sz w:val="20"/>
                <w:szCs w:val="20"/>
              </w:rPr>
            </w:pPr>
            <w:r w:rsidRPr="00370E70">
              <w:rPr>
                <w:b/>
                <w:color w:val="000000"/>
                <w:sz w:val="20"/>
                <w:szCs w:val="20"/>
              </w:rPr>
              <w:t>2011</w:t>
            </w:r>
          </w:p>
        </w:tc>
        <w:tc>
          <w:tcPr>
            <w:tcW w:w="2202" w:type="dxa"/>
            <w:shd w:val="clear" w:color="auto" w:fill="E6E6E6"/>
          </w:tcPr>
          <w:p w:rsidR="005132EF" w:rsidRPr="00370E70" w:rsidRDefault="005132EF" w:rsidP="00034AD4">
            <w:pPr>
              <w:keepNext/>
              <w:spacing w:before="0" w:after="0"/>
              <w:jc w:val="center"/>
              <w:rPr>
                <w:color w:val="000000"/>
              </w:rPr>
            </w:pPr>
            <w:r w:rsidRPr="00370E70">
              <w:rPr>
                <w:color w:val="000000"/>
              </w:rPr>
              <w:t>1.111</w:t>
            </w:r>
          </w:p>
          <w:p w:rsidR="005132EF" w:rsidRPr="00370E70" w:rsidRDefault="005132EF" w:rsidP="00034AD4">
            <w:pPr>
              <w:keepNext/>
              <w:spacing w:before="0" w:after="0"/>
              <w:jc w:val="center"/>
              <w:rPr>
                <w:color w:val="000000"/>
              </w:rPr>
            </w:pPr>
            <w:r w:rsidRPr="00370E70">
              <w:rPr>
                <w:rFonts w:cs="Arial"/>
                <w:i/>
                <w:color w:val="000000"/>
                <w:sz w:val="16"/>
                <w:szCs w:val="16"/>
              </w:rPr>
              <w:t>(-62.1%, isolated patches)</w:t>
            </w:r>
          </w:p>
        </w:tc>
        <w:tc>
          <w:tcPr>
            <w:tcW w:w="2061" w:type="dxa"/>
            <w:shd w:val="clear" w:color="auto" w:fill="E6E6E6"/>
          </w:tcPr>
          <w:p w:rsidR="005132EF" w:rsidRPr="00370E70" w:rsidRDefault="005132EF" w:rsidP="00034AD4">
            <w:pPr>
              <w:keepNext/>
              <w:spacing w:before="0" w:after="0"/>
              <w:jc w:val="center"/>
              <w:rPr>
                <w:color w:val="000000"/>
              </w:rPr>
            </w:pPr>
            <w:r w:rsidRPr="00370E70">
              <w:rPr>
                <w:color w:val="000000"/>
              </w:rPr>
              <w:t>1.146</w:t>
            </w:r>
          </w:p>
          <w:p w:rsidR="005132EF" w:rsidRPr="00370E70" w:rsidRDefault="005132EF" w:rsidP="00034AD4">
            <w:pPr>
              <w:keepNext/>
              <w:spacing w:before="0" w:after="0"/>
              <w:jc w:val="center"/>
              <w:rPr>
                <w:color w:val="000000"/>
              </w:rPr>
            </w:pPr>
            <w:r w:rsidRPr="00370E70">
              <w:rPr>
                <w:rFonts w:cs="Arial"/>
                <w:i/>
                <w:color w:val="000000"/>
                <w:sz w:val="16"/>
                <w:szCs w:val="16"/>
              </w:rPr>
              <w:t>(-72.1%, isolated patches)</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2.542</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(-52.2%, </w:t>
            </w:r>
            <w:r w:rsidRPr="00370E70">
              <w:rPr>
                <w:rFonts w:cs="Arial"/>
                <w:i/>
                <w:color w:val="000000"/>
                <w:sz w:val="16"/>
                <w:szCs w:val="16"/>
              </w:rPr>
              <w:t>isolated patches)</w:t>
            </w:r>
          </w:p>
        </w:tc>
        <w:tc>
          <w:tcPr>
            <w:tcW w:w="206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0.248</w:t>
            </w:r>
          </w:p>
          <w:p w:rsidR="005132EF" w:rsidRPr="00370E70" w:rsidRDefault="005132EF" w:rsidP="00034AD4">
            <w:pPr>
              <w:keepNext/>
              <w:spacing w:before="0" w:after="0"/>
              <w:jc w:val="center"/>
              <w:rPr>
                <w:rFonts w:cs="Arial"/>
                <w:color w:val="000000"/>
              </w:rPr>
            </w:pPr>
            <w:r w:rsidRPr="00370E70">
              <w:rPr>
                <w:i/>
                <w:iCs/>
                <w:color w:val="000000"/>
                <w:sz w:val="16"/>
                <w:szCs w:val="16"/>
              </w:rPr>
              <w:t xml:space="preserve">(-94.2%, </w:t>
            </w:r>
            <w:r w:rsidRPr="00370E70">
              <w:rPr>
                <w:rFonts w:cs="Arial"/>
                <w:i/>
                <w:color w:val="000000"/>
                <w:sz w:val="16"/>
                <w:szCs w:val="16"/>
              </w:rPr>
              <w:t>isolated patches)</w:t>
            </w:r>
          </w:p>
        </w:tc>
      </w:tr>
      <w:tr w:rsidR="005132EF" w:rsidRPr="00370E70" w:rsidTr="00B75BE9">
        <w:trPr>
          <w:jc w:val="center"/>
        </w:trPr>
        <w:tc>
          <w:tcPr>
            <w:tcW w:w="1279" w:type="dxa"/>
          </w:tcPr>
          <w:p w:rsidR="005132EF" w:rsidRPr="00370E70" w:rsidRDefault="005132EF" w:rsidP="003214B3">
            <w:pPr>
              <w:keepNext/>
              <w:spacing w:before="0" w:after="0"/>
              <w:jc w:val="center"/>
              <w:rPr>
                <w:b/>
                <w:color w:val="000000"/>
                <w:sz w:val="20"/>
                <w:szCs w:val="20"/>
              </w:rPr>
            </w:pPr>
            <w:r w:rsidRPr="00370E70">
              <w:rPr>
                <w:b/>
                <w:color w:val="000000"/>
                <w:sz w:val="20"/>
                <w:szCs w:val="20"/>
              </w:rPr>
              <w:t>October</w:t>
            </w:r>
          </w:p>
          <w:p w:rsidR="005132EF" w:rsidRPr="00370E70" w:rsidRDefault="005132EF" w:rsidP="003214B3">
            <w:pPr>
              <w:keepNext/>
              <w:spacing w:before="0" w:after="0"/>
              <w:jc w:val="center"/>
              <w:rPr>
                <w:b/>
                <w:color w:val="000000"/>
                <w:sz w:val="20"/>
                <w:szCs w:val="20"/>
              </w:rPr>
            </w:pPr>
            <w:r w:rsidRPr="00370E70">
              <w:rPr>
                <w:b/>
                <w:color w:val="000000"/>
                <w:sz w:val="20"/>
                <w:szCs w:val="20"/>
              </w:rPr>
              <w:t>2011</w:t>
            </w:r>
          </w:p>
        </w:tc>
        <w:tc>
          <w:tcPr>
            <w:tcW w:w="2202" w:type="dxa"/>
            <w:shd w:val="clear" w:color="auto" w:fill="E6E6E6"/>
          </w:tcPr>
          <w:p w:rsidR="005132EF" w:rsidRPr="00370E70" w:rsidRDefault="005132EF" w:rsidP="00636866">
            <w:pPr>
              <w:keepNext/>
              <w:spacing w:before="0" w:after="0"/>
              <w:jc w:val="center"/>
              <w:rPr>
                <w:color w:val="000000"/>
              </w:rPr>
            </w:pPr>
            <w:r w:rsidRPr="00370E70">
              <w:rPr>
                <w:color w:val="000000"/>
              </w:rPr>
              <w:t>2.204</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(-24.8,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3.996</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(-2.6,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2.105</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(-60.4,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0.873</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(-79.7, isolated patches)</w:t>
            </w:r>
          </w:p>
        </w:tc>
      </w:tr>
      <w:tr w:rsidR="005132EF" w:rsidRPr="00370E70" w:rsidTr="00B75BE9">
        <w:trPr>
          <w:jc w:val="center"/>
        </w:trPr>
        <w:tc>
          <w:tcPr>
            <w:tcW w:w="1279" w:type="dxa"/>
          </w:tcPr>
          <w:p w:rsidR="005132EF" w:rsidRPr="00370E70" w:rsidRDefault="005132EF" w:rsidP="003214B3">
            <w:pPr>
              <w:keepNext/>
              <w:spacing w:before="0" w:after="0"/>
              <w:jc w:val="center"/>
              <w:rPr>
                <w:b/>
                <w:color w:val="000000"/>
                <w:sz w:val="20"/>
                <w:szCs w:val="20"/>
              </w:rPr>
            </w:pPr>
            <w:r w:rsidRPr="00370E70">
              <w:rPr>
                <w:b/>
                <w:color w:val="000000"/>
                <w:sz w:val="20"/>
                <w:szCs w:val="20"/>
              </w:rPr>
              <w:t>April</w:t>
            </w:r>
          </w:p>
          <w:p w:rsidR="005132EF" w:rsidRPr="00370E70" w:rsidRDefault="005132EF" w:rsidP="003214B3">
            <w:pPr>
              <w:keepNext/>
              <w:spacing w:before="0" w:after="0"/>
              <w:jc w:val="center"/>
              <w:rPr>
                <w:b/>
                <w:color w:val="000000"/>
                <w:sz w:val="20"/>
                <w:szCs w:val="20"/>
              </w:rPr>
            </w:pPr>
            <w:r w:rsidRPr="00370E70">
              <w:rPr>
                <w:b/>
                <w:color w:val="000000"/>
                <w:sz w:val="20"/>
                <w:szCs w:val="20"/>
              </w:rPr>
              <w:t>2012</w:t>
            </w:r>
          </w:p>
        </w:tc>
        <w:tc>
          <w:tcPr>
            <w:tcW w:w="2202" w:type="dxa"/>
            <w:shd w:val="clear" w:color="auto" w:fill="E6E6E6"/>
          </w:tcPr>
          <w:p w:rsidR="005132EF" w:rsidRPr="00370E70" w:rsidRDefault="005132EF" w:rsidP="00636866">
            <w:pPr>
              <w:keepNext/>
              <w:spacing w:before="0" w:after="0"/>
              <w:jc w:val="center"/>
              <w:rPr>
                <w:color w:val="000000"/>
              </w:rPr>
            </w:pPr>
            <w:r w:rsidRPr="00370E70">
              <w:rPr>
                <w:color w:val="000000"/>
              </w:rPr>
              <w:t>2.466</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(-15.9,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4.086</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(-0.4,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1.116</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(-79, isolated patches)</w:t>
            </w:r>
          </w:p>
        </w:tc>
        <w:tc>
          <w:tcPr>
            <w:tcW w:w="2061" w:type="dxa"/>
            <w:shd w:val="clear" w:color="auto" w:fill="E6E6E6"/>
          </w:tcPr>
          <w:p w:rsidR="005132EF" w:rsidRPr="00370E70" w:rsidRDefault="005132EF" w:rsidP="00636866">
            <w:pPr>
              <w:keepNext/>
              <w:spacing w:before="0" w:after="0"/>
              <w:jc w:val="center"/>
              <w:rPr>
                <w:color w:val="000000"/>
              </w:rPr>
            </w:pPr>
            <w:r w:rsidRPr="00370E70">
              <w:rPr>
                <w:color w:val="000000"/>
              </w:rPr>
              <w:t>0.873</w:t>
            </w:r>
          </w:p>
          <w:p w:rsidR="005132EF" w:rsidRPr="00370E70" w:rsidRDefault="005132EF" w:rsidP="00636866">
            <w:pPr>
              <w:keepNext/>
              <w:spacing w:before="0" w:after="0"/>
              <w:jc w:val="center"/>
              <w:rPr>
                <w:rFonts w:cs="Arial"/>
                <w:i/>
                <w:color w:val="000000"/>
                <w:sz w:val="16"/>
                <w:szCs w:val="16"/>
              </w:rPr>
            </w:pPr>
            <w:r w:rsidRPr="00370E70">
              <w:rPr>
                <w:rFonts w:cs="Arial"/>
                <w:i/>
                <w:color w:val="000000"/>
                <w:sz w:val="16"/>
                <w:szCs w:val="16"/>
              </w:rPr>
              <w:t>(-79.7, isolated patches)</w:t>
            </w:r>
          </w:p>
        </w:tc>
      </w:tr>
    </w:tbl>
    <w:p w:rsidR="005132EF" w:rsidRPr="00370E70" w:rsidRDefault="005132EF" w:rsidP="00034AD4">
      <w:pPr>
        <w:pStyle w:val="Heading4"/>
        <w:rPr>
          <w:b/>
          <w:color w:val="000000"/>
        </w:rPr>
      </w:pPr>
      <w:bookmarkStart w:id="471" w:name="_Toc184102000"/>
      <w:r w:rsidRPr="00370E70">
        <w:rPr>
          <w:b/>
          <w:color w:val="000000"/>
        </w:rPr>
        <w:t>Seagrass reproductive status</w:t>
      </w:r>
      <w:bookmarkEnd w:id="471"/>
    </w:p>
    <w:p w:rsidR="005132EF" w:rsidRPr="00370E70" w:rsidRDefault="005132EF" w:rsidP="00034AD4">
      <w:pPr>
        <w:autoSpaceDE w:val="0"/>
        <w:autoSpaceDN w:val="0"/>
        <w:adjustRightInd w:val="0"/>
        <w:spacing w:before="0" w:after="0"/>
        <w:rPr>
          <w:color w:val="000000"/>
          <w:szCs w:val="22"/>
        </w:rPr>
      </w:pPr>
      <w:r w:rsidRPr="00370E70">
        <w:rPr>
          <w:color w:val="000000"/>
          <w:szCs w:val="22"/>
          <w:lang w:eastAsia="en-AU"/>
        </w:rPr>
        <w:t>Seed banks remained low across the region over the monitoring period at</w:t>
      </w:r>
      <w:r w:rsidRPr="00370E70">
        <w:rPr>
          <w:color w:val="000000"/>
          <w:szCs w:val="22"/>
        </w:rPr>
        <w:t xml:space="preserve"> both coastal and reef habitat (</w:t>
      </w:r>
      <w:r w:rsidRPr="00370E70">
        <w:rPr>
          <w:color w:val="000000"/>
        </w:rPr>
        <w:fldChar w:fldCharType="begin"/>
      </w:r>
      <w:r w:rsidRPr="00370E70">
        <w:rPr>
          <w:color w:val="000000"/>
        </w:rPr>
        <w:instrText xml:space="preserve"> REF _Ref271531417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94</w:t>
      </w:r>
      <w:r w:rsidRPr="00370E70">
        <w:rPr>
          <w:color w:val="000000"/>
        </w:rPr>
        <w:fldChar w:fldCharType="end"/>
      </w:r>
      <w:r w:rsidRPr="00370E70">
        <w:rPr>
          <w:color w:val="000000"/>
          <w:szCs w:val="22"/>
        </w:rPr>
        <w:t xml:space="preserve">, </w:t>
      </w:r>
      <w:r w:rsidRPr="00370E70">
        <w:rPr>
          <w:color w:val="000000"/>
        </w:rPr>
        <w:fldChar w:fldCharType="begin"/>
      </w:r>
      <w:r w:rsidRPr="00370E70">
        <w:rPr>
          <w:color w:val="000000"/>
        </w:rPr>
        <w:instrText xml:space="preserve"> REF _Ref271531426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95</w:t>
      </w:r>
      <w:r w:rsidRPr="00370E70">
        <w:rPr>
          <w:color w:val="000000"/>
        </w:rPr>
        <w:fldChar w:fldCharType="end"/>
      </w:r>
      <w:r w:rsidRPr="00370E70">
        <w:rPr>
          <w:color w:val="000000"/>
          <w:szCs w:val="22"/>
        </w:rPr>
        <w:t>). The abundance of germinated seeds at reef habitats in mid 2011 remained high, indicating recent recruitment (</w:t>
      </w:r>
      <w:r w:rsidRPr="00370E70">
        <w:rPr>
          <w:color w:val="000000"/>
        </w:rPr>
        <w:fldChar w:fldCharType="begin"/>
      </w:r>
      <w:r w:rsidRPr="00370E70">
        <w:rPr>
          <w:color w:val="000000"/>
        </w:rPr>
        <w:instrText xml:space="preserve"> REF _Ref271531426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95</w:t>
      </w:r>
      <w:r w:rsidRPr="00370E70">
        <w:rPr>
          <w:color w:val="000000"/>
        </w:rPr>
        <w:fldChar w:fldCharType="end"/>
      </w:r>
      <w:r w:rsidRPr="00370E70">
        <w:rPr>
          <w:color w:val="000000"/>
          <w:szCs w:val="22"/>
        </w:rPr>
        <w:t xml:space="preserve">). Reproductive effort overall is high for coastal sites in the Burdekin </w:t>
      </w:r>
      <w:r w:rsidR="0077169E" w:rsidRPr="00370E70">
        <w:rPr>
          <w:color w:val="000000"/>
          <w:szCs w:val="22"/>
        </w:rPr>
        <w:t>region</w:t>
      </w:r>
      <w:r w:rsidRPr="00370E70">
        <w:rPr>
          <w:color w:val="000000"/>
          <w:szCs w:val="22"/>
        </w:rPr>
        <w:t xml:space="preserve">; however, since 2010 reproductive effort has been considerably reduced compared to previous years and it was lower in 2011/12 than in 2010/11. Despite this, reproductive effort is higher in the </w:t>
      </w:r>
      <w:r w:rsidR="0077169E" w:rsidRPr="00370E70">
        <w:rPr>
          <w:color w:val="000000"/>
          <w:szCs w:val="22"/>
        </w:rPr>
        <w:t xml:space="preserve">Burdekin </w:t>
      </w:r>
      <w:r w:rsidRPr="00370E70">
        <w:rPr>
          <w:color w:val="000000"/>
          <w:szCs w:val="22"/>
        </w:rPr>
        <w:t xml:space="preserve">than in most other coastal regions, particularly during the </w:t>
      </w:r>
      <w:r w:rsidR="0077169E" w:rsidRPr="00370E70">
        <w:rPr>
          <w:color w:val="000000"/>
          <w:szCs w:val="22"/>
        </w:rPr>
        <w:t xml:space="preserve">late dry </w:t>
      </w:r>
      <w:r w:rsidRPr="00370E70">
        <w:rPr>
          <w:color w:val="000000"/>
          <w:szCs w:val="22"/>
        </w:rPr>
        <w:t xml:space="preserve">season. At subtidal sites, reproductive effort has declined only slightly since 2010 from 4.4 to 3.3 in the dry and 4.1 to 3.1 in the wet season. </w:t>
      </w:r>
    </w:p>
    <w:p w:rsidR="005132EF" w:rsidRPr="00370E70" w:rsidRDefault="007B15AB" w:rsidP="0034068E">
      <w:pPr>
        <w:keepNext/>
        <w:jc w:val="center"/>
      </w:pPr>
      <w:r>
        <w:rPr>
          <w:noProof/>
          <w:lang w:eastAsia="en-AU"/>
        </w:rPr>
        <w:lastRenderedPageBreak/>
        <w:drawing>
          <wp:inline distT="0" distB="0" distL="0" distR="0">
            <wp:extent cx="5486400" cy="1970405"/>
            <wp:effectExtent l="0" t="0" r="0" b="0"/>
            <wp:docPr id="128" name="Picture 136" descr="Graph of coastal habitat seed banks and germinated seed abundance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Graph of coastal habitat seed banks and germinated seed abundance in the Burdekin region. "/>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486400" cy="1970405"/>
                    </a:xfrm>
                    <a:prstGeom prst="rect">
                      <a:avLst/>
                    </a:prstGeom>
                    <a:noFill/>
                    <a:ln>
                      <a:noFill/>
                    </a:ln>
                  </pic:spPr>
                </pic:pic>
              </a:graphicData>
            </a:graphic>
          </wp:inline>
        </w:drawing>
      </w:r>
    </w:p>
    <w:p w:rsidR="005132EF" w:rsidRPr="00370E70" w:rsidRDefault="00D17533" w:rsidP="00D17533">
      <w:pPr>
        <w:keepNext/>
        <w:tabs>
          <w:tab w:val="left" w:pos="2694"/>
        </w:tabs>
        <w:spacing w:after="0"/>
        <w:rPr>
          <w:b/>
          <w:color w:val="000000"/>
        </w:rPr>
      </w:pPr>
      <w:r w:rsidRPr="00370E70">
        <w:rPr>
          <w:b/>
          <w:color w:val="000000"/>
        </w:rPr>
        <w:tab/>
      </w:r>
      <w:r w:rsidR="005132EF" w:rsidRPr="00370E70">
        <w:rPr>
          <w:b/>
          <w:color w:val="000000"/>
        </w:rPr>
        <w:t xml:space="preserve">c. </w:t>
      </w:r>
    </w:p>
    <w:p w:rsidR="005132EF" w:rsidRPr="00370E70" w:rsidRDefault="007B15AB" w:rsidP="00D17533">
      <w:pPr>
        <w:keepNext/>
        <w:spacing w:before="0"/>
        <w:jc w:val="center"/>
        <w:rPr>
          <w:color w:val="000000"/>
        </w:rPr>
      </w:pPr>
      <w:r>
        <w:rPr>
          <w:b/>
          <w:noProof/>
          <w:color w:val="000000"/>
          <w:lang w:eastAsia="en-AU"/>
        </w:rPr>
        <w:drawing>
          <wp:inline distT="0" distB="0" distL="0" distR="0">
            <wp:extent cx="2730500" cy="2279650"/>
            <wp:effectExtent l="0" t="0" r="0" b="0"/>
            <wp:docPr id="129" name="Picture 244" descr="Graph of coastal habitat reproductive effort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Graph of coastal habitat reproductive effort in the Burdekin region. "/>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730500" cy="2279650"/>
                    </a:xfrm>
                    <a:prstGeom prst="rect">
                      <a:avLst/>
                    </a:prstGeom>
                    <a:noFill/>
                    <a:ln>
                      <a:noFill/>
                    </a:ln>
                  </pic:spPr>
                </pic:pic>
              </a:graphicData>
            </a:graphic>
          </wp:inline>
        </w:drawing>
      </w:r>
    </w:p>
    <w:p w:rsidR="00D17533" w:rsidRPr="00370E70" w:rsidRDefault="005132EF" w:rsidP="00D17533">
      <w:pPr>
        <w:pStyle w:val="Caption"/>
        <w:rPr>
          <w:i/>
          <w:vanish/>
          <w:lang w:val="en-AU"/>
          <w:specVanish/>
        </w:rPr>
      </w:pPr>
      <w:bookmarkStart w:id="472" w:name="_Ref271531417"/>
      <w:bookmarkStart w:id="473" w:name="_Toc38419644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94</w:t>
      </w:r>
      <w:r w:rsidRPr="00370E70">
        <w:rPr>
          <w:lang w:val="en-AU"/>
        </w:rPr>
        <w:fldChar w:fldCharType="end"/>
      </w:r>
      <w:bookmarkEnd w:id="472"/>
      <w:r w:rsidRPr="00370E70">
        <w:rPr>
          <w:rStyle w:val="StyleCaptionCaptionCharCharLatinCalibri11ptBlackChar"/>
          <w:lang w:val="en-AU"/>
        </w:rPr>
        <w:t xml:space="preserve">. </w:t>
      </w:r>
      <w:r w:rsidR="00C702ED" w:rsidRPr="00C702ED">
        <w:rPr>
          <w:rStyle w:val="StyleCaptionCaptionCharCharLatinCalibri11ptBlackChar"/>
          <w:i/>
          <w:lang w:val="en-AU"/>
        </w:rPr>
        <w:t>Inshore intertidal c</w:t>
      </w:r>
      <w:r w:rsidR="00D17533" w:rsidRPr="00C702ED">
        <w:rPr>
          <w:i/>
          <w:lang w:val="en-AU"/>
        </w:rPr>
        <w:t>oastal</w:t>
      </w:r>
      <w:r w:rsidR="00D17533" w:rsidRPr="00370E70">
        <w:rPr>
          <w:i/>
          <w:lang w:val="en-AU"/>
        </w:rPr>
        <w:t xml:space="preserve"> habitat</w:t>
      </w:r>
      <w:r w:rsidRPr="00370E70">
        <w:rPr>
          <w:i/>
          <w:lang w:val="en-AU"/>
        </w:rPr>
        <w:t xml:space="preserve"> seed bank</w:t>
      </w:r>
      <w:r w:rsidR="00D17533" w:rsidRPr="00370E70">
        <w:rPr>
          <w:i/>
          <w:lang w:val="en-AU"/>
        </w:rPr>
        <w:t>s</w:t>
      </w:r>
      <w:r w:rsidRPr="00370E70">
        <w:rPr>
          <w:i/>
          <w:lang w:val="en-AU"/>
        </w:rPr>
        <w:t xml:space="preserve"> (a)</w:t>
      </w:r>
      <w:r w:rsidR="00D17533" w:rsidRPr="00370E70">
        <w:rPr>
          <w:i/>
          <w:lang w:val="en-AU"/>
        </w:rPr>
        <w:t>,</w:t>
      </w:r>
      <w:r w:rsidRPr="00370E70">
        <w:rPr>
          <w:i/>
          <w:lang w:val="en-AU"/>
        </w:rPr>
        <w:t xml:space="preserve"> germinated seed abundance (b)</w:t>
      </w:r>
      <w:r w:rsidR="00D17533" w:rsidRPr="00370E70">
        <w:rPr>
          <w:i/>
          <w:lang w:val="en-AU"/>
        </w:rPr>
        <w:t>,</w:t>
      </w:r>
      <w:r w:rsidRPr="00370E70">
        <w:rPr>
          <w:i/>
          <w:lang w:val="en-AU"/>
        </w:rPr>
        <w:t xml:space="preserve"> </w:t>
      </w:r>
      <w:r w:rsidR="00D17533" w:rsidRPr="00370E70">
        <w:rPr>
          <w:i/>
          <w:lang w:val="en-AU"/>
        </w:rPr>
        <w:t xml:space="preserve">and total reproductive effort (c) </w:t>
      </w:r>
      <w:r w:rsidRPr="00370E70">
        <w:rPr>
          <w:i/>
          <w:lang w:val="en-AU"/>
        </w:rPr>
        <w:t>in the Burdekin region</w:t>
      </w:r>
      <w:r w:rsidR="00D17533" w:rsidRPr="00370E70">
        <w:rPr>
          <w:i/>
          <w:lang w:val="en-AU"/>
        </w:rPr>
        <w:t>.</w:t>
      </w:r>
      <w:bookmarkEnd w:id="473"/>
      <w:r w:rsidR="00D17533" w:rsidRPr="00370E70">
        <w:rPr>
          <w:i/>
          <w:lang w:val="en-AU"/>
        </w:rPr>
        <w:t xml:space="preserve"> </w:t>
      </w:r>
    </w:p>
    <w:p w:rsidR="00D17533" w:rsidRPr="00370E70" w:rsidRDefault="00D17533" w:rsidP="00D17533">
      <w:pPr>
        <w:pStyle w:val="Caption"/>
        <w:rPr>
          <w:i/>
          <w:lang w:val="en-AU"/>
        </w:rPr>
      </w:pPr>
      <w:r w:rsidRPr="00370E70">
        <w:rPr>
          <w:i/>
          <w:lang w:val="en-AU"/>
        </w:rPr>
        <w:t>Seed bank presented as the total number of 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 </w:t>
      </w:r>
    </w:p>
    <w:p w:rsidR="005132EF" w:rsidRPr="00370E70" w:rsidRDefault="007B15AB" w:rsidP="0034068E">
      <w:pPr>
        <w:keepNext/>
        <w:jc w:val="center"/>
        <w:rPr>
          <w:noProof/>
          <w:color w:val="000000"/>
          <w:lang w:eastAsia="en-AU"/>
        </w:rPr>
      </w:pPr>
      <w:r>
        <w:rPr>
          <w:noProof/>
          <w:color w:val="000000"/>
          <w:lang w:eastAsia="en-AU"/>
        </w:rPr>
        <w:lastRenderedPageBreak/>
        <w:drawing>
          <wp:inline distT="0" distB="0" distL="0" distR="0">
            <wp:extent cx="5486400" cy="1970405"/>
            <wp:effectExtent l="0" t="0" r="0" b="0"/>
            <wp:docPr id="130" name="Picture 138" descr="Graph of reef habitat seed banks and germinated seed abundance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Graph of reef habitat seed banks and germinated seed abundance in the Burdekin region. "/>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486400" cy="1970405"/>
                    </a:xfrm>
                    <a:prstGeom prst="rect">
                      <a:avLst/>
                    </a:prstGeom>
                    <a:noFill/>
                    <a:ln>
                      <a:noFill/>
                    </a:ln>
                  </pic:spPr>
                </pic:pic>
              </a:graphicData>
            </a:graphic>
          </wp:inline>
        </w:drawing>
      </w:r>
    </w:p>
    <w:p w:rsidR="00D17533" w:rsidRPr="00370E70" w:rsidRDefault="00D17533" w:rsidP="00D17533">
      <w:pPr>
        <w:keepNext/>
        <w:tabs>
          <w:tab w:val="left" w:pos="2694"/>
        </w:tabs>
        <w:spacing w:after="0"/>
        <w:rPr>
          <w:b/>
          <w:color w:val="000000"/>
        </w:rPr>
      </w:pPr>
      <w:r w:rsidRPr="00370E70">
        <w:rPr>
          <w:b/>
          <w:color w:val="000000"/>
        </w:rPr>
        <w:tab/>
        <w:t xml:space="preserve">c. </w:t>
      </w:r>
    </w:p>
    <w:p w:rsidR="005132EF" w:rsidRPr="00370E70" w:rsidRDefault="007B15AB" w:rsidP="00D17533">
      <w:pPr>
        <w:keepNext/>
        <w:spacing w:before="0"/>
        <w:jc w:val="center"/>
        <w:rPr>
          <w:color w:val="000000"/>
          <w:szCs w:val="22"/>
        </w:rPr>
      </w:pPr>
      <w:r>
        <w:rPr>
          <w:noProof/>
          <w:color w:val="000000"/>
          <w:szCs w:val="22"/>
          <w:lang w:eastAsia="en-AU"/>
        </w:rPr>
        <w:drawing>
          <wp:inline distT="0" distB="0" distL="0" distR="0">
            <wp:extent cx="2730500" cy="2279650"/>
            <wp:effectExtent l="0" t="0" r="0" b="0"/>
            <wp:docPr id="131" name="Picture 245" descr="Graph of reef habitat reproductive effort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Graph of reef habitat reproductive effort in the Burdekin region. "/>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730500" cy="2279650"/>
                    </a:xfrm>
                    <a:prstGeom prst="rect">
                      <a:avLst/>
                    </a:prstGeom>
                    <a:noFill/>
                    <a:ln>
                      <a:noFill/>
                    </a:ln>
                  </pic:spPr>
                </pic:pic>
              </a:graphicData>
            </a:graphic>
          </wp:inline>
        </w:drawing>
      </w:r>
    </w:p>
    <w:p w:rsidR="00D17533" w:rsidRPr="00370E70" w:rsidRDefault="005132EF" w:rsidP="00D17533">
      <w:pPr>
        <w:pStyle w:val="Caption"/>
        <w:rPr>
          <w:i/>
          <w:vanish/>
          <w:color w:val="000000"/>
          <w:szCs w:val="22"/>
          <w:lang w:val="en-AU"/>
          <w:specVanish/>
        </w:rPr>
      </w:pPr>
      <w:bookmarkStart w:id="474" w:name="_Ref271531426"/>
      <w:bookmarkStart w:id="475" w:name="_Toc38419644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95</w:t>
      </w:r>
      <w:r w:rsidRPr="00370E70">
        <w:rPr>
          <w:lang w:val="en-AU"/>
        </w:rPr>
        <w:fldChar w:fldCharType="end"/>
      </w:r>
      <w:bookmarkEnd w:id="474"/>
      <w:r w:rsidRPr="00370E70">
        <w:rPr>
          <w:rStyle w:val="StyleCaptionCaptionCharCharLatinCalibri11ptBlackChar"/>
          <w:lang w:val="en-AU"/>
        </w:rPr>
        <w:t xml:space="preserve">. </w:t>
      </w:r>
      <w:r w:rsidR="00C702ED" w:rsidRPr="00C702ED">
        <w:rPr>
          <w:rStyle w:val="StyleCaptionCaptionCharCharLatinCalibri11ptBlackChar"/>
          <w:i/>
          <w:lang w:val="en-AU"/>
        </w:rPr>
        <w:t>Inshore intertidal r</w:t>
      </w:r>
      <w:r w:rsidR="00D17533" w:rsidRPr="00C702ED">
        <w:rPr>
          <w:i/>
          <w:lang w:val="en-AU"/>
        </w:rPr>
        <w:t>eef</w:t>
      </w:r>
      <w:r w:rsidR="00D17533" w:rsidRPr="00370E70">
        <w:rPr>
          <w:i/>
          <w:lang w:val="en-AU"/>
        </w:rPr>
        <w:t xml:space="preserve"> habitat </w:t>
      </w:r>
      <w:r w:rsidRPr="00370E70">
        <w:rPr>
          <w:i/>
          <w:lang w:val="en-AU"/>
        </w:rPr>
        <w:t>seed bank</w:t>
      </w:r>
      <w:r w:rsidR="00D17533" w:rsidRPr="00370E70">
        <w:rPr>
          <w:i/>
          <w:lang w:val="en-AU"/>
        </w:rPr>
        <w:t>s</w:t>
      </w:r>
      <w:r w:rsidRPr="00370E70">
        <w:rPr>
          <w:i/>
          <w:lang w:val="en-AU"/>
        </w:rPr>
        <w:t xml:space="preserve"> (a)</w:t>
      </w:r>
      <w:r w:rsidR="00D17533" w:rsidRPr="00370E70">
        <w:rPr>
          <w:i/>
          <w:lang w:val="en-AU"/>
        </w:rPr>
        <w:t>,</w:t>
      </w:r>
      <w:r w:rsidRPr="00370E70">
        <w:rPr>
          <w:i/>
          <w:lang w:val="en-AU"/>
        </w:rPr>
        <w:t xml:space="preserve"> germinated seed abundance (b)</w:t>
      </w:r>
      <w:r w:rsidR="00D17533" w:rsidRPr="00370E70">
        <w:rPr>
          <w:i/>
          <w:lang w:val="en-AU"/>
        </w:rPr>
        <w:t>,</w:t>
      </w:r>
      <w:r w:rsidRPr="00370E70">
        <w:rPr>
          <w:i/>
          <w:lang w:val="en-AU"/>
        </w:rPr>
        <w:t xml:space="preserve"> </w:t>
      </w:r>
      <w:r w:rsidR="00D17533" w:rsidRPr="00370E70">
        <w:rPr>
          <w:i/>
          <w:lang w:val="en-AU"/>
        </w:rPr>
        <w:t xml:space="preserve">and total seagrass reproductive effort (c) </w:t>
      </w:r>
      <w:r w:rsidRPr="00370E70">
        <w:rPr>
          <w:i/>
          <w:lang w:val="en-AU"/>
        </w:rPr>
        <w:t>in the Burdekin region</w:t>
      </w:r>
      <w:r w:rsidR="00D17533" w:rsidRPr="00370E70">
        <w:rPr>
          <w:i/>
          <w:lang w:val="en-AU"/>
        </w:rPr>
        <w:t>.</w:t>
      </w:r>
      <w:bookmarkEnd w:id="475"/>
      <w:r w:rsidR="00D17533" w:rsidRPr="00370E70">
        <w:rPr>
          <w:i/>
          <w:lang w:val="en-AU"/>
        </w:rPr>
        <w:t xml:space="preserve"> </w:t>
      </w:r>
    </w:p>
    <w:p w:rsidR="00D17533" w:rsidRPr="00370E70" w:rsidRDefault="00D17533" w:rsidP="00D17533">
      <w:pPr>
        <w:pStyle w:val="Caption"/>
        <w:rPr>
          <w:i/>
          <w:lang w:val="en-AU"/>
        </w:rPr>
      </w:pPr>
      <w:r w:rsidRPr="00370E70">
        <w:rPr>
          <w:i/>
          <w:lang w:val="en-AU"/>
        </w:rPr>
        <w:t>S</w:t>
      </w:r>
      <w:r w:rsidRPr="00370E70">
        <w:rPr>
          <w:i/>
          <w:color w:val="000000"/>
          <w:szCs w:val="22"/>
          <w:lang w:val="en-AU"/>
        </w:rPr>
        <w:t>eed bank presented as the total number of seeds per m</w:t>
      </w:r>
      <w:r w:rsidRPr="00370E70">
        <w:rPr>
          <w:i/>
          <w:color w:val="000000"/>
          <w:szCs w:val="22"/>
          <w:vertAlign w:val="superscript"/>
          <w:lang w:val="en-AU"/>
        </w:rPr>
        <w:t>2</w:t>
      </w:r>
      <w:r w:rsidRPr="00370E70">
        <w:rPr>
          <w:i/>
          <w:color w:val="000000"/>
          <w:szCs w:val="22"/>
          <w:lang w:val="en-AU"/>
        </w:rPr>
        <w:t xml:space="preserve"> sediment surface and reproductive effort presented as the average number of reproductive structures per core (all species pooled).</w:t>
      </w:r>
      <w:r w:rsidRPr="00370E70">
        <w:rPr>
          <w:i/>
          <w:lang w:val="en-AU"/>
        </w:rPr>
        <w:t xml:space="preserve"> </w:t>
      </w:r>
    </w:p>
    <w:p w:rsidR="005132EF" w:rsidRPr="00370E70" w:rsidRDefault="005132EF" w:rsidP="00034AD4">
      <w:pPr>
        <w:autoSpaceDE w:val="0"/>
        <w:autoSpaceDN w:val="0"/>
        <w:adjustRightInd w:val="0"/>
        <w:spacing w:before="0" w:after="0"/>
        <w:rPr>
          <w:color w:val="000000"/>
          <w:szCs w:val="22"/>
        </w:rPr>
      </w:pPr>
      <w:r w:rsidRPr="00370E70">
        <w:rPr>
          <w:color w:val="000000"/>
          <w:szCs w:val="22"/>
          <w:lang w:eastAsia="en-AU"/>
        </w:rPr>
        <w:t xml:space="preserve">Reproductive effort across the Burdekin region is classified as very poor. This suggests that sites within the region will take longer to recover following </w:t>
      </w:r>
      <w:r w:rsidR="00D17533" w:rsidRPr="00370E70">
        <w:rPr>
          <w:color w:val="000000"/>
          <w:szCs w:val="22"/>
          <w:lang w:eastAsia="en-AU"/>
        </w:rPr>
        <w:t xml:space="preserve">major </w:t>
      </w:r>
      <w:r w:rsidRPr="00370E70">
        <w:rPr>
          <w:color w:val="000000"/>
          <w:szCs w:val="22"/>
          <w:lang w:eastAsia="en-AU"/>
        </w:rPr>
        <w:t>disturbance</w:t>
      </w:r>
      <w:r w:rsidR="00D17533" w:rsidRPr="00370E70">
        <w:rPr>
          <w:color w:val="000000"/>
          <w:szCs w:val="22"/>
          <w:lang w:eastAsia="en-AU"/>
        </w:rPr>
        <w:t>s</w:t>
      </w:r>
      <w:r w:rsidRPr="00370E70">
        <w:rPr>
          <w:color w:val="000000"/>
          <w:szCs w:val="22"/>
          <w:lang w:eastAsia="en-AU"/>
        </w:rPr>
        <w:t xml:space="preserve"> and may be at risk from repeated impacts</w:t>
      </w:r>
      <w:r w:rsidRPr="00370E70">
        <w:rPr>
          <w:color w:val="000000"/>
          <w:szCs w:val="22"/>
        </w:rPr>
        <w:t>.</w:t>
      </w:r>
    </w:p>
    <w:p w:rsidR="005132EF" w:rsidRPr="00370E70" w:rsidRDefault="005132EF" w:rsidP="00034AD4">
      <w:pPr>
        <w:pStyle w:val="Heading3"/>
        <w:rPr>
          <w:color w:val="000000"/>
        </w:rPr>
      </w:pPr>
      <w:bookmarkStart w:id="476" w:name="_Toc184102001"/>
      <w:bookmarkStart w:id="477" w:name="_Toc384196140"/>
      <w:r w:rsidRPr="00370E70">
        <w:rPr>
          <w:color w:val="000000"/>
        </w:rPr>
        <w:t>Status of the seagrass environment</w:t>
      </w:r>
      <w:bookmarkEnd w:id="476"/>
      <w:bookmarkEnd w:id="477"/>
    </w:p>
    <w:p w:rsidR="005132EF" w:rsidRPr="00370E70" w:rsidRDefault="005132EF" w:rsidP="00034AD4">
      <w:pPr>
        <w:pStyle w:val="Heading4"/>
        <w:rPr>
          <w:b/>
          <w:iCs/>
          <w:color w:val="000000"/>
        </w:rPr>
      </w:pPr>
      <w:bookmarkStart w:id="478" w:name="_Toc184102002"/>
      <w:r w:rsidRPr="00370E70">
        <w:rPr>
          <w:b/>
          <w:iCs/>
          <w:color w:val="000000"/>
        </w:rPr>
        <w:t>Seagrass tissue nutrients</w:t>
      </w:r>
      <w:bookmarkEnd w:id="478"/>
    </w:p>
    <w:p w:rsidR="005132EF" w:rsidRPr="00370E70" w:rsidRDefault="005132EF" w:rsidP="00034AD4">
      <w:pPr>
        <w:rPr>
          <w:color w:val="000000"/>
          <w:szCs w:val="22"/>
        </w:rPr>
      </w:pPr>
      <w:r w:rsidRPr="00370E70">
        <w:rPr>
          <w:color w:val="000000"/>
          <w:szCs w:val="22"/>
        </w:rPr>
        <w:t>Seagrass leaf tissue C</w:t>
      </w:r>
      <w:proofErr w:type="gramStart"/>
      <w:r w:rsidRPr="00370E70">
        <w:rPr>
          <w:color w:val="000000"/>
          <w:szCs w:val="22"/>
        </w:rPr>
        <w:t>:N</w:t>
      </w:r>
      <w:proofErr w:type="gramEnd"/>
      <w:r w:rsidRPr="00370E70">
        <w:rPr>
          <w:color w:val="000000"/>
          <w:szCs w:val="22"/>
        </w:rPr>
        <w:t xml:space="preserve"> ratios across the region </w:t>
      </w:r>
      <w:r w:rsidR="002C6536" w:rsidRPr="00370E70">
        <w:rPr>
          <w:color w:val="000000"/>
          <w:szCs w:val="22"/>
        </w:rPr>
        <w:t>remained</w:t>
      </w:r>
      <w:r w:rsidRPr="00370E70">
        <w:rPr>
          <w:color w:val="000000"/>
          <w:szCs w:val="22"/>
        </w:rPr>
        <w:t xml:space="preserve"> below 20 in 2011</w:t>
      </w:r>
      <w:r w:rsidRPr="00370E70">
        <w:rPr>
          <w:rFonts w:cs="GaramondPremrPro"/>
          <w:color w:val="000000"/>
          <w:szCs w:val="22"/>
          <w:lang w:eastAsia="en-AU"/>
        </w:rPr>
        <w:t xml:space="preserve"> </w:t>
      </w:r>
      <w:bookmarkStart w:id="479" w:name="OLE_LINK32"/>
      <w:r w:rsidRPr="00370E70">
        <w:rPr>
          <w:color w:val="000000"/>
          <w:szCs w:val="22"/>
        </w:rPr>
        <w:t>(</w:t>
      </w:r>
      <w:r w:rsidRPr="00370E70">
        <w:fldChar w:fldCharType="begin"/>
      </w:r>
      <w:r w:rsidRPr="00370E70">
        <w:instrText xml:space="preserve"> REF _Ref271126020 \h  \* MERGEFORMAT </w:instrText>
      </w:r>
      <w:r w:rsidRPr="00370E70">
        <w:fldChar w:fldCharType="separate"/>
      </w:r>
      <w:r w:rsidR="005B5FD6" w:rsidRPr="005B5FD6">
        <w:rPr>
          <w:szCs w:val="22"/>
        </w:rPr>
        <w:t xml:space="preserve">Figure </w:t>
      </w:r>
      <w:r w:rsidR="005B5FD6" w:rsidRPr="005B5FD6">
        <w:rPr>
          <w:noProof/>
          <w:color w:val="000000"/>
          <w:szCs w:val="22"/>
        </w:rPr>
        <w:t>96</w:t>
      </w:r>
      <w:r w:rsidRPr="00370E70">
        <w:fldChar w:fldCharType="end"/>
      </w:r>
      <w:r w:rsidRPr="00370E70">
        <w:rPr>
          <w:color w:val="000000"/>
          <w:szCs w:val="22"/>
        </w:rPr>
        <w:t>)</w:t>
      </w:r>
      <w:bookmarkEnd w:id="479"/>
      <w:r w:rsidRPr="00370E70">
        <w:rPr>
          <w:rFonts w:cs="GaramondPremrPro"/>
          <w:color w:val="000000"/>
          <w:szCs w:val="22"/>
          <w:lang w:eastAsia="en-AU"/>
        </w:rPr>
        <w:t>. Decreasing C:N ratios across the region since 2006 may indicate decreasing light availability or N loading.</w:t>
      </w:r>
    </w:p>
    <w:p w:rsidR="005132EF" w:rsidRPr="00370E70" w:rsidRDefault="007B15AB" w:rsidP="00034AD4">
      <w:pPr>
        <w:keepNext/>
        <w:jc w:val="center"/>
        <w:rPr>
          <w:color w:val="000000"/>
        </w:rPr>
      </w:pPr>
      <w:r>
        <w:rPr>
          <w:noProof/>
          <w:lang w:eastAsia="en-AU"/>
        </w:rPr>
        <w:lastRenderedPageBreak/>
        <w:drawing>
          <wp:inline distT="0" distB="0" distL="0" distR="0">
            <wp:extent cx="4327525" cy="2073275"/>
            <wp:effectExtent l="0" t="0" r="0" b="3175"/>
            <wp:docPr id="132" name="Picture 139" descr="Graph showing long-term tredn in elemental ratios (atomic) of seagrass leaf tissue C:N for the foundation seagrass species examined at each habitat in the Burdekin region each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Graph showing long-term tredn in elemental ratios (atomic) of seagrass leaf tissue C:N for the foundation seagrass species examined at each habitat in the Burdekin region each year "/>
                    <pic:cNvPicPr>
                      <a:picLocks noChangeAspect="1" noChangeArrowheads="1"/>
                    </pic:cNvPicPr>
                  </pic:nvPicPr>
                  <pic:blipFill>
                    <a:blip r:embed="rId158" cstate="print">
                      <a:extLst>
                        <a:ext uri="{28A0092B-C50C-407E-A947-70E740481C1C}">
                          <a14:useLocalDpi xmlns:a14="http://schemas.microsoft.com/office/drawing/2010/main" val="0"/>
                        </a:ext>
                      </a:extLst>
                    </a:blip>
                    <a:srcRect t="14508" r="4446" b="3886"/>
                    <a:stretch>
                      <a:fillRect/>
                    </a:stretch>
                  </pic:blipFill>
                  <pic:spPr bwMode="auto">
                    <a:xfrm>
                      <a:off x="0" y="0"/>
                      <a:ext cx="4327525" cy="2073275"/>
                    </a:xfrm>
                    <a:prstGeom prst="rect">
                      <a:avLst/>
                    </a:prstGeom>
                    <a:noFill/>
                    <a:ln>
                      <a:noFill/>
                    </a:ln>
                  </pic:spPr>
                </pic:pic>
              </a:graphicData>
            </a:graphic>
          </wp:inline>
        </w:drawing>
      </w:r>
    </w:p>
    <w:p w:rsidR="00DA6C70" w:rsidRPr="00370E70" w:rsidRDefault="005132EF" w:rsidP="00DA6C70">
      <w:pPr>
        <w:pStyle w:val="Caption"/>
        <w:rPr>
          <w:i/>
          <w:vanish/>
          <w:lang w:val="en-AU" w:eastAsia="en-AU"/>
          <w:specVanish/>
        </w:rPr>
      </w:pPr>
      <w:bookmarkStart w:id="480" w:name="_Ref271126020"/>
      <w:bookmarkStart w:id="481" w:name="_Toc38419644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96</w:t>
      </w:r>
      <w:r w:rsidRPr="00370E70">
        <w:rPr>
          <w:lang w:val="en-AU"/>
        </w:rPr>
        <w:fldChar w:fldCharType="end"/>
      </w:r>
      <w:bookmarkEnd w:id="480"/>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Pr="00370E70">
        <w:rPr>
          <w:i/>
          <w:lang w:val="en-AU"/>
        </w:rPr>
        <w:t xml:space="preserve">the foundation seagrass species examined at each </w:t>
      </w:r>
      <w:r w:rsidR="00C702ED">
        <w:rPr>
          <w:i/>
          <w:lang w:val="en-AU"/>
        </w:rPr>
        <w:t xml:space="preserve">inshore intertidal </w:t>
      </w:r>
      <w:r w:rsidRPr="00370E70">
        <w:rPr>
          <w:i/>
          <w:lang w:val="en-AU"/>
        </w:rPr>
        <w:t>habitat in the Burdekin region</w:t>
      </w:r>
      <w:r w:rsidRPr="00370E70">
        <w:rPr>
          <w:i/>
          <w:lang w:val="en-AU" w:eastAsia="en-AU"/>
        </w:rPr>
        <w:t xml:space="preserve"> each year</w:t>
      </w:r>
      <w:bookmarkEnd w:id="481"/>
      <w:r w:rsidRPr="00370E70">
        <w:rPr>
          <w:i/>
          <w:lang w:val="en-AU" w:eastAsia="en-AU"/>
        </w:rPr>
        <w:t xml:space="preserve"> </w:t>
      </w:r>
    </w:p>
    <w:p w:rsidR="00DA6C70" w:rsidRPr="00370E70" w:rsidRDefault="00DA6C70" w:rsidP="00DA6C70">
      <w:pPr>
        <w:pStyle w:val="Caption"/>
        <w:rPr>
          <w:lang w:val="en-AU" w:eastAsia="en-AU"/>
        </w:rPr>
      </w:pPr>
      <w:r w:rsidRPr="00370E70">
        <w:rPr>
          <w:i/>
          <w:lang w:val="en-AU" w:eastAsia="en-AU"/>
        </w:rPr>
        <w:t xml:space="preserve"> </w:t>
      </w:r>
      <w:r w:rsidR="005132EF" w:rsidRPr="00370E70">
        <w:rPr>
          <w:i/>
          <w:lang w:val="en-AU" w:eastAsia="en-AU"/>
        </w:rPr>
        <w:t>(species pooled)</w:t>
      </w:r>
      <w:r w:rsidR="00C610E4" w:rsidRPr="00370E70">
        <w:rPr>
          <w:i/>
          <w:iCs/>
          <w:vanish/>
          <w:color w:val="000000"/>
          <w:szCs w:val="22"/>
          <w:lang w:val="en-AU" w:eastAsia="en-AU"/>
          <w:specVanish/>
        </w:rPr>
        <w:t xml:space="preserve"> </w:t>
      </w:r>
      <w:r w:rsidR="005132EF" w:rsidRPr="00370E70">
        <w:rPr>
          <w:i/>
          <w:lang w:val="en-AU"/>
        </w:rPr>
        <w:t>(mean</w:t>
      </w:r>
      <w:r w:rsidR="005132EF" w:rsidRPr="00370E70">
        <w:rPr>
          <w:i/>
          <w:lang w:val="en-AU" w:eastAsia="en-AU"/>
        </w:rPr>
        <w:t xml:space="preserve"> ± Standard Error</w:t>
      </w:r>
      <w:r w:rsidR="005132EF" w:rsidRPr="00370E70">
        <w:rPr>
          <w:i/>
          <w:lang w:val="en-AU"/>
        </w:rPr>
        <w:t>)</w:t>
      </w:r>
      <w:r w:rsidR="005132EF" w:rsidRPr="00370E70">
        <w:rPr>
          <w:i/>
          <w:lang w:val="en-AU" w:eastAsia="en-AU"/>
        </w:rPr>
        <w:t xml:space="preserve">. Horizontal shaded band on the C:N ratio panel represents the accepted </w:t>
      </w:r>
      <w:r w:rsidR="005132EF" w:rsidRPr="00370E70">
        <w:rPr>
          <w:i/>
          <w:lang w:val="en-AU"/>
        </w:rPr>
        <w:t xml:space="preserve">guideline </w:t>
      </w:r>
      <w:r w:rsidR="005132EF" w:rsidRPr="00370E70">
        <w:rPr>
          <w:i/>
          <w:lang w:val="en-AU" w:eastAsia="en-AU"/>
        </w:rPr>
        <w:t xml:space="preserve">seagrass “Redfield” ratio </w:t>
      </w:r>
      <w:r w:rsidR="005132EF"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005132EF" w:rsidRPr="00370E70">
        <w:rPr>
          <w:i/>
          <w:lang w:val="en-AU" w:eastAsia="en-AU"/>
        </w:rPr>
        <w:t xml:space="preserve">. C:N ratios below this line </w:t>
      </w:r>
      <w:r w:rsidR="005132EF" w:rsidRPr="00370E70">
        <w:rPr>
          <w:i/>
          <w:lang w:val="en-AU"/>
        </w:rPr>
        <w:t>indicate reduced light availability</w:t>
      </w:r>
      <w:r w:rsidR="00C702ED">
        <w:rPr>
          <w:i/>
          <w:lang w:val="en-AU"/>
        </w:rPr>
        <w:t xml:space="preserve"> and/or N enrichment</w:t>
      </w:r>
      <w:r w:rsidR="005132EF" w:rsidRPr="00370E70">
        <w:rPr>
          <w:i/>
          <w:lang w:val="en-AU" w:eastAsia="en-AU"/>
        </w:rPr>
        <w:t>.</w:t>
      </w:r>
      <w:r w:rsidR="00C610E4" w:rsidRPr="00370E70">
        <w:rPr>
          <w:lang w:val="en-AU" w:eastAsia="en-AU"/>
        </w:rPr>
        <w:t xml:space="preserve"> </w:t>
      </w:r>
    </w:p>
    <w:p w:rsidR="005132EF" w:rsidRPr="00370E70" w:rsidRDefault="005132EF" w:rsidP="00034AD4">
      <w:pPr>
        <w:rPr>
          <w:color w:val="000000"/>
          <w:szCs w:val="22"/>
        </w:rPr>
      </w:pPr>
      <w:r w:rsidRPr="00370E70">
        <w:rPr>
          <w:color w:val="000000"/>
          <w:szCs w:val="22"/>
        </w:rPr>
        <w:t>The tissue nutrient status (tissue C</w:t>
      </w:r>
      <w:proofErr w:type="gramStart"/>
      <w:r w:rsidRPr="00370E70">
        <w:rPr>
          <w:color w:val="000000"/>
          <w:szCs w:val="22"/>
        </w:rPr>
        <w:t>:P</w:t>
      </w:r>
      <w:proofErr w:type="gramEnd"/>
      <w:r w:rsidRPr="00370E70">
        <w:rPr>
          <w:color w:val="000000"/>
          <w:szCs w:val="22"/>
        </w:rPr>
        <w:t>) across region indicates that both habitats remained nutrient rich, containing a large P pool (</w:t>
      </w:r>
      <w:r w:rsidRPr="00370E70">
        <w:fldChar w:fldCharType="begin"/>
      </w:r>
      <w:r w:rsidRPr="00370E70">
        <w:instrText xml:space="preserve"> REF _Ref236801906 \h  \* MERGEFORMAT </w:instrText>
      </w:r>
      <w:r w:rsidRPr="00370E70">
        <w:fldChar w:fldCharType="separate"/>
      </w:r>
      <w:r w:rsidR="005B5FD6" w:rsidRPr="00370E70">
        <w:rPr>
          <w:color w:val="000000"/>
          <w:szCs w:val="22"/>
        </w:rPr>
        <w:t xml:space="preserve">Figure </w:t>
      </w:r>
      <w:r w:rsidR="005B5FD6">
        <w:rPr>
          <w:noProof/>
          <w:color w:val="000000"/>
          <w:szCs w:val="22"/>
        </w:rPr>
        <w:t>97</w:t>
      </w:r>
      <w:r w:rsidRPr="00370E70">
        <w:fldChar w:fldCharType="end"/>
      </w:r>
      <w:r w:rsidRPr="00370E70">
        <w:rPr>
          <w:color w:val="000000"/>
          <w:szCs w:val="22"/>
        </w:rPr>
        <w:t>). The tissue N</w:t>
      </w:r>
      <w:proofErr w:type="gramStart"/>
      <w:r w:rsidRPr="00370E70">
        <w:rPr>
          <w:color w:val="000000"/>
          <w:szCs w:val="22"/>
        </w:rPr>
        <w:t>:P</w:t>
      </w:r>
      <w:proofErr w:type="gramEnd"/>
      <w:r w:rsidRPr="00370E70">
        <w:rPr>
          <w:color w:val="000000"/>
          <w:szCs w:val="22"/>
        </w:rPr>
        <w:t xml:space="preserve"> ratio increased across habitats in the region in 2011 due to increasing N, with the reef habitats </w:t>
      </w:r>
      <w:r w:rsidR="002C6536" w:rsidRPr="00370E70">
        <w:rPr>
          <w:color w:val="000000"/>
          <w:szCs w:val="22"/>
        </w:rPr>
        <w:t>remaining</w:t>
      </w:r>
      <w:r w:rsidRPr="00370E70">
        <w:rPr>
          <w:color w:val="000000"/>
          <w:szCs w:val="22"/>
        </w:rPr>
        <w:t xml:space="preserve"> replete </w:t>
      </w:r>
      <w:r w:rsidR="006B4FAF" w:rsidRPr="00370E70">
        <w:rPr>
          <w:rFonts w:cs="TimesNewRoman,Italic"/>
          <w:iCs/>
          <w:color w:val="000000"/>
          <w:szCs w:val="22"/>
        </w:rPr>
        <w:t xml:space="preserve">(well supplied and balanced macronutrients for growth) </w:t>
      </w:r>
      <w:r w:rsidRPr="00370E70">
        <w:rPr>
          <w:color w:val="000000"/>
          <w:szCs w:val="22"/>
        </w:rPr>
        <w:t>and coastal habitats becoming P-limited (</w:t>
      </w:r>
      <w:r w:rsidRPr="00370E70">
        <w:fldChar w:fldCharType="begin"/>
      </w:r>
      <w:r w:rsidRPr="00370E70">
        <w:instrText xml:space="preserve"> REF _Ref236801906 \h  \* MERGEFORMAT </w:instrText>
      </w:r>
      <w:r w:rsidRPr="00370E70">
        <w:fldChar w:fldCharType="separate"/>
      </w:r>
      <w:r w:rsidR="005B5FD6" w:rsidRPr="00370E70">
        <w:rPr>
          <w:color w:val="000000"/>
          <w:szCs w:val="22"/>
        </w:rPr>
        <w:t xml:space="preserve">Figure </w:t>
      </w:r>
      <w:r w:rsidR="005B5FD6">
        <w:rPr>
          <w:noProof/>
          <w:color w:val="000000"/>
          <w:szCs w:val="22"/>
        </w:rPr>
        <w:t>97</w:t>
      </w:r>
      <w:r w:rsidRPr="00370E70">
        <w:fldChar w:fldCharType="end"/>
      </w:r>
      <w:r w:rsidRPr="00370E70">
        <w:rPr>
          <w:color w:val="000000"/>
          <w:szCs w:val="22"/>
        </w:rPr>
        <w:t>). This suggests that although a large P pool may be present, it is small relative to an increasing N pool.</w:t>
      </w:r>
    </w:p>
    <w:p w:rsidR="005132EF" w:rsidRPr="00370E70" w:rsidRDefault="005132EF" w:rsidP="00034AD4">
      <w:pPr>
        <w:keepNext/>
        <w:jc w:val="center"/>
      </w:pPr>
      <w:r w:rsidRPr="00370E70">
        <w:rPr>
          <w:noProof/>
          <w:color w:val="000000"/>
          <w:lang w:eastAsia="en-AU"/>
        </w:rPr>
        <w:t xml:space="preserve"> </w:t>
      </w:r>
      <w:r w:rsidR="007B15AB">
        <w:rPr>
          <w:noProof/>
          <w:lang w:eastAsia="en-AU"/>
        </w:rPr>
        <w:drawing>
          <wp:inline distT="0" distB="0" distL="0" distR="0">
            <wp:extent cx="4314190" cy="3026410"/>
            <wp:effectExtent l="0" t="0" r="0" b="2540"/>
            <wp:docPr id="133" name="Picture 140" descr="Graph showing long-term trends in elemental ratios (atomic) of seagrass leaf tissue N:P and C:P for the foundation seagrass species examined at each location in the Burdekin region each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Graph showing long-term trends in elemental ratios (atomic) of seagrass leaf tissue N:P and C:P for the foundation seagrass species examined at each location in the Burdekin region each year "/>
                    <pic:cNvPicPr>
                      <a:picLocks noChangeAspect="1" noChangeArrowheads="1"/>
                    </pic:cNvPicPr>
                  </pic:nvPicPr>
                  <pic:blipFill>
                    <a:blip r:embed="rId159" cstate="print">
                      <a:extLst>
                        <a:ext uri="{28A0092B-C50C-407E-A947-70E740481C1C}">
                          <a14:useLocalDpi xmlns:a14="http://schemas.microsoft.com/office/drawing/2010/main" val="0"/>
                        </a:ext>
                      </a:extLst>
                    </a:blip>
                    <a:srcRect t="9816" r="3702" b="2434"/>
                    <a:stretch>
                      <a:fillRect/>
                    </a:stretch>
                  </pic:blipFill>
                  <pic:spPr bwMode="auto">
                    <a:xfrm>
                      <a:off x="0" y="0"/>
                      <a:ext cx="4314190" cy="3026410"/>
                    </a:xfrm>
                    <a:prstGeom prst="rect">
                      <a:avLst/>
                    </a:prstGeom>
                    <a:noFill/>
                    <a:ln>
                      <a:noFill/>
                    </a:ln>
                  </pic:spPr>
                </pic:pic>
              </a:graphicData>
            </a:graphic>
          </wp:inline>
        </w:drawing>
      </w:r>
    </w:p>
    <w:p w:rsidR="00DA6C70" w:rsidRPr="00370E70" w:rsidRDefault="005132EF" w:rsidP="00DA6C70">
      <w:pPr>
        <w:rPr>
          <w:i/>
          <w:iCs/>
          <w:vanish/>
          <w:color w:val="000000"/>
          <w:szCs w:val="22"/>
          <w:lang w:eastAsia="en-AU"/>
          <w:specVanish/>
        </w:rPr>
      </w:pPr>
      <w:bookmarkStart w:id="482" w:name="_Ref236801906"/>
      <w:bookmarkStart w:id="483" w:name="_Toc384196444"/>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97</w:t>
      </w:r>
      <w:r w:rsidRPr="00370E70">
        <w:rPr>
          <w:color w:val="000000"/>
          <w:szCs w:val="22"/>
        </w:rPr>
        <w:fldChar w:fldCharType="end"/>
      </w:r>
      <w:bookmarkEnd w:id="482"/>
      <w:r w:rsidRPr="00370E70">
        <w:rPr>
          <w:color w:val="000000"/>
          <w:szCs w:val="22"/>
        </w:rPr>
        <w:t xml:space="preserve">. </w:t>
      </w:r>
      <w:r w:rsidRPr="00370E70">
        <w:rPr>
          <w:i/>
          <w:iCs/>
          <w:color w:val="000000"/>
          <w:szCs w:val="22"/>
          <w:lang w:eastAsia="en-AU"/>
        </w:rPr>
        <w:t xml:space="preserve">Elemental ratios (atomic) of seagrass leaf tissue N:P and C:P </w:t>
      </w:r>
      <w:r w:rsidRPr="00370E70">
        <w:rPr>
          <w:i/>
          <w:iCs/>
          <w:color w:val="000000"/>
          <w:szCs w:val="22"/>
        </w:rPr>
        <w:t xml:space="preserve">for the foundation seagrass species examined at each </w:t>
      </w:r>
      <w:r w:rsidR="00C702ED">
        <w:rPr>
          <w:i/>
          <w:iCs/>
          <w:color w:val="000000"/>
          <w:szCs w:val="22"/>
        </w:rPr>
        <w:t>inshore intertidal habitat</w:t>
      </w:r>
      <w:r w:rsidRPr="00370E70">
        <w:rPr>
          <w:i/>
          <w:iCs/>
          <w:color w:val="000000"/>
          <w:szCs w:val="22"/>
        </w:rPr>
        <w:t xml:space="preserve"> in the Burdekin region </w:t>
      </w:r>
      <w:r w:rsidRPr="00370E70">
        <w:rPr>
          <w:i/>
          <w:iCs/>
          <w:color w:val="000000"/>
          <w:szCs w:val="22"/>
          <w:lang w:eastAsia="en-AU"/>
        </w:rPr>
        <w:t>each year</w:t>
      </w:r>
      <w:bookmarkEnd w:id="483"/>
      <w:r w:rsidRPr="00370E70">
        <w:rPr>
          <w:i/>
          <w:iCs/>
          <w:color w:val="000000"/>
          <w:szCs w:val="22"/>
          <w:lang w:eastAsia="en-AU"/>
        </w:rPr>
        <w:t xml:space="preserve"> </w:t>
      </w:r>
    </w:p>
    <w:p w:rsidR="00DA6C70" w:rsidRPr="00370E70" w:rsidRDefault="00DA6C70" w:rsidP="00DA6C70">
      <w:pPr>
        <w:rPr>
          <w:i/>
          <w:iCs/>
          <w:color w:val="000000"/>
          <w:szCs w:val="22"/>
          <w:lang w:eastAsia="en-AU"/>
        </w:rPr>
      </w:pPr>
      <w:r w:rsidRPr="00370E70">
        <w:rPr>
          <w:i/>
          <w:iCs/>
          <w:color w:val="000000"/>
          <w:szCs w:val="22"/>
          <w:lang w:eastAsia="en-AU"/>
        </w:rPr>
        <w:t xml:space="preserve"> </w:t>
      </w:r>
      <w:r w:rsidR="005132EF" w:rsidRPr="00370E70">
        <w:rPr>
          <w:i/>
          <w:iCs/>
          <w:color w:val="000000"/>
          <w:szCs w:val="22"/>
          <w:lang w:eastAsia="en-AU"/>
        </w:rPr>
        <w:t>(species pooled)</w:t>
      </w:r>
      <w:r w:rsidR="00C610E4" w:rsidRPr="00370E70">
        <w:rPr>
          <w:i/>
          <w:iCs/>
          <w:vanish/>
          <w:color w:val="000000"/>
          <w:szCs w:val="22"/>
          <w:lang w:eastAsia="en-AU"/>
          <w:specVanish/>
        </w:rPr>
        <w:t xml:space="preserve"> </w:t>
      </w:r>
      <w:r w:rsidR="005132EF" w:rsidRPr="00370E70">
        <w:rPr>
          <w:i/>
          <w:iCs/>
          <w:color w:val="000000"/>
          <w:szCs w:val="22"/>
          <w:lang w:eastAsia="en-AU"/>
        </w:rPr>
        <w:t xml:space="preserve"> (</w:t>
      </w:r>
      <w:r w:rsidR="005132EF" w:rsidRPr="00370E70">
        <w:rPr>
          <w:i/>
          <w:iCs/>
          <w:color w:val="000000"/>
          <w:szCs w:val="22"/>
        </w:rPr>
        <w:t>mean</w:t>
      </w:r>
      <w:r w:rsidR="005132EF" w:rsidRPr="00370E70">
        <w:rPr>
          <w:i/>
          <w:iCs/>
          <w:color w:val="000000"/>
          <w:szCs w:val="22"/>
          <w:lang w:eastAsia="en-AU"/>
        </w:rPr>
        <w:t xml:space="preserve"> ± Standard Error). </w:t>
      </w:r>
      <w:r w:rsidR="00A62B1C" w:rsidRPr="00370E70">
        <w:rPr>
          <w:i/>
          <w:iCs/>
          <w:color w:val="000000"/>
          <w:szCs w:val="22"/>
          <w:lang w:eastAsia="en-AU"/>
        </w:rPr>
        <w:t xml:space="preserve">Horizontal shaded band on the N:P ratio panel represents the range of value associated with N:P balance ratio in the plant tissues, i.e. a seagrass “Redfield” ratio </w:t>
      </w:r>
      <w:r w:rsidR="00A62B1C" w:rsidRPr="00370E70">
        <w:rPr>
          <w:i/>
          <w:lang w:eastAsia="en-AU"/>
        </w:rPr>
        <w:t>(</w:t>
      </w:r>
      <w:r w:rsidR="00A62B1C"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 </w:instrText>
      </w:r>
      <w:r w:rsidR="00494624"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EN.CITE.DATA </w:instrText>
      </w:r>
      <w:r w:rsidR="00494624" w:rsidRPr="00370E70">
        <w:rPr>
          <w:i/>
          <w:lang w:eastAsia="en-AU"/>
        </w:rPr>
      </w:r>
      <w:r w:rsidR="00494624" w:rsidRPr="00370E70">
        <w:rPr>
          <w:i/>
          <w:lang w:eastAsia="en-AU"/>
        </w:rPr>
        <w:fldChar w:fldCharType="end"/>
      </w:r>
      <w:r w:rsidR="00A62B1C" w:rsidRPr="00370E70">
        <w:rPr>
          <w:i/>
          <w:lang w:eastAsia="en-AU"/>
        </w:rPr>
      </w:r>
      <w:r w:rsidR="00A62B1C" w:rsidRPr="00370E70">
        <w:rPr>
          <w:i/>
          <w:lang w:eastAsia="en-AU"/>
        </w:rPr>
        <w:fldChar w:fldCharType="separate"/>
      </w:r>
      <w:hyperlink w:anchor="_ENREF_9" w:tooltip="Atkinson, 1983 #6292" w:history="1">
        <w:r w:rsidR="00964A70" w:rsidRPr="00370E70">
          <w:rPr>
            <w:i/>
            <w:noProof/>
            <w:lang w:eastAsia="en-AU"/>
          </w:rPr>
          <w:t>Atkinson and Smith 1983</w:t>
        </w:r>
      </w:hyperlink>
      <w:r w:rsidR="00494624" w:rsidRPr="00370E70">
        <w:rPr>
          <w:i/>
          <w:noProof/>
          <w:lang w:eastAsia="en-AU"/>
        </w:rPr>
        <w:t xml:space="preserve">; </w:t>
      </w:r>
      <w:hyperlink w:anchor="_ENREF_66" w:tooltip="Duarte, 1990 #1954" w:history="1">
        <w:r w:rsidR="00964A70" w:rsidRPr="00370E70">
          <w:rPr>
            <w:i/>
            <w:noProof/>
            <w:lang w:eastAsia="en-AU"/>
          </w:rPr>
          <w:t>Duarte 1990</w:t>
        </w:r>
      </w:hyperlink>
      <w:r w:rsidR="00494624" w:rsidRPr="00370E70">
        <w:rPr>
          <w:i/>
          <w:noProof/>
          <w:lang w:eastAsia="en-AU"/>
        </w:rPr>
        <w:t xml:space="preserve">; </w:t>
      </w:r>
      <w:hyperlink w:anchor="_ENREF_80" w:tooltip="Fourqurean, 1992 #9493" w:history="1">
        <w:r w:rsidR="00964A70" w:rsidRPr="00370E70">
          <w:rPr>
            <w:i/>
            <w:noProof/>
            <w:lang w:eastAsia="en-AU"/>
          </w:rPr>
          <w:t>Fourqurean, et al. 1992b</w:t>
        </w:r>
      </w:hyperlink>
      <w:r w:rsidR="00494624" w:rsidRPr="00370E70">
        <w:rPr>
          <w:i/>
          <w:noProof/>
          <w:lang w:eastAsia="en-AU"/>
        </w:rPr>
        <w:t xml:space="preserve">; </w:t>
      </w:r>
      <w:hyperlink w:anchor="_ENREF_76" w:tooltip="Fourqurean, 2001 #9492" w:history="1">
        <w:r w:rsidR="00964A70" w:rsidRPr="00370E70">
          <w:rPr>
            <w:i/>
            <w:noProof/>
            <w:lang w:eastAsia="en-AU"/>
          </w:rPr>
          <w:t>Fourqurean and Cai 2001</w:t>
        </w:r>
      </w:hyperlink>
      <w:r w:rsidR="00A62B1C" w:rsidRPr="00370E70">
        <w:rPr>
          <w:i/>
          <w:lang w:eastAsia="en-AU"/>
        </w:rPr>
        <w:fldChar w:fldCharType="end"/>
      </w:r>
      <w:r w:rsidR="00A62B1C" w:rsidRPr="00370E70">
        <w:rPr>
          <w:i/>
          <w:lang w:eastAsia="en-AU"/>
        </w:rPr>
        <w:t>)</w:t>
      </w:r>
      <w:r w:rsidR="00A62B1C" w:rsidRPr="00370E70">
        <w:rPr>
          <w:i/>
          <w:iCs/>
          <w:color w:val="000000"/>
          <w:szCs w:val="22"/>
          <w:lang w:eastAsia="en-AU"/>
        </w:rPr>
        <w:t>. N:P ratio above this band indicates P limitation, below indicates N limitation and within indicates replete (balanced). Shaded portion on the C:P panel ≤500 represents the value associated with C:P balance ratio in the plant tissues, C:P values &lt;500 may indicate nutrient rich habitats (large P pool).</w:t>
      </w:r>
      <w:r w:rsidR="00C610E4" w:rsidRPr="00370E70">
        <w:rPr>
          <w:i/>
          <w:iCs/>
          <w:color w:val="000000"/>
          <w:szCs w:val="22"/>
          <w:lang w:eastAsia="en-AU"/>
        </w:rPr>
        <w:t xml:space="preserve"> </w:t>
      </w:r>
    </w:p>
    <w:p w:rsidR="00882F2F" w:rsidRPr="00370E70" w:rsidRDefault="00882F2F" w:rsidP="00882F2F">
      <w:pPr>
        <w:rPr>
          <w:color w:val="000000"/>
          <w:szCs w:val="22"/>
        </w:rPr>
      </w:pPr>
      <w:bookmarkStart w:id="484" w:name="_Toc232845920"/>
      <w:bookmarkStart w:id="485" w:name="_Toc184102003"/>
      <w:r w:rsidRPr="00370E70">
        <w:rPr>
          <w:color w:val="000000"/>
          <w:szCs w:val="22"/>
        </w:rPr>
        <w:lastRenderedPageBreak/>
        <w:t>δ</w:t>
      </w:r>
      <w:r w:rsidRPr="00370E70">
        <w:rPr>
          <w:color w:val="000000"/>
          <w:szCs w:val="22"/>
          <w:vertAlign w:val="superscript"/>
        </w:rPr>
        <w:t>13</w:t>
      </w:r>
      <w:r w:rsidRPr="00370E70">
        <w:rPr>
          <w:color w:val="000000"/>
          <w:szCs w:val="22"/>
        </w:rPr>
        <w:t>C value</w:t>
      </w:r>
      <w:r w:rsidR="007D6AC3" w:rsidRPr="00370E70">
        <w:rPr>
          <w:color w:val="000000"/>
          <w:szCs w:val="22"/>
        </w:rPr>
        <w:t>s</w:t>
      </w:r>
      <w:r w:rsidRPr="00370E70">
        <w:rPr>
          <w:color w:val="000000"/>
          <w:szCs w:val="22"/>
        </w:rPr>
        <w:t xml:space="preserve"> for </w:t>
      </w:r>
      <w:r w:rsidR="00085EB2" w:rsidRPr="00370E70">
        <w:rPr>
          <w:i/>
          <w:color w:val="000000"/>
          <w:szCs w:val="22"/>
        </w:rPr>
        <w:t>Halodule uninervis</w:t>
      </w:r>
      <w:r w:rsidRPr="00370E70">
        <w:rPr>
          <w:color w:val="000000"/>
          <w:szCs w:val="22"/>
        </w:rPr>
        <w:t xml:space="preserve"> </w:t>
      </w:r>
      <w:r w:rsidR="00085EB2" w:rsidRPr="00370E70">
        <w:rPr>
          <w:color w:val="000000"/>
          <w:szCs w:val="22"/>
        </w:rPr>
        <w:t xml:space="preserve">(foundation species) </w:t>
      </w:r>
      <w:r w:rsidR="007D6AC3" w:rsidRPr="00370E70">
        <w:rPr>
          <w:color w:val="000000"/>
          <w:szCs w:val="22"/>
        </w:rPr>
        <w:t xml:space="preserve">and </w:t>
      </w:r>
      <w:r w:rsidR="007D6AC3" w:rsidRPr="00370E70">
        <w:rPr>
          <w:i/>
          <w:color w:val="000000"/>
          <w:szCs w:val="22"/>
        </w:rPr>
        <w:t>Halophila ovalis</w:t>
      </w:r>
      <w:r w:rsidR="007D6AC3" w:rsidRPr="00370E70">
        <w:rPr>
          <w:color w:val="0000FF"/>
          <w:szCs w:val="22"/>
        </w:rPr>
        <w:t xml:space="preserve"> </w:t>
      </w:r>
      <w:r w:rsidRPr="00370E70">
        <w:rPr>
          <w:color w:val="000000"/>
          <w:szCs w:val="22"/>
        </w:rPr>
        <w:t xml:space="preserve">at </w:t>
      </w:r>
      <w:r w:rsidR="00085EB2" w:rsidRPr="00370E70">
        <w:rPr>
          <w:color w:val="000000"/>
          <w:szCs w:val="22"/>
        </w:rPr>
        <w:t>Magnetic Island</w:t>
      </w:r>
      <w:r w:rsidRPr="00370E70">
        <w:rPr>
          <w:color w:val="000000"/>
          <w:szCs w:val="22"/>
        </w:rPr>
        <w:t xml:space="preserve"> during the late dry (growing) season w</w:t>
      </w:r>
      <w:r w:rsidR="007D6AC3" w:rsidRPr="00370E70">
        <w:rPr>
          <w:color w:val="000000"/>
          <w:szCs w:val="22"/>
        </w:rPr>
        <w:t>ere</w:t>
      </w:r>
      <w:r w:rsidRPr="00370E70">
        <w:rPr>
          <w:color w:val="000000"/>
          <w:szCs w:val="22"/>
        </w:rPr>
        <w:t xml:space="preserve"> above </w:t>
      </w:r>
      <w:r w:rsidR="007D6AC3" w:rsidRPr="00370E70">
        <w:rPr>
          <w:color w:val="000000"/>
          <w:szCs w:val="22"/>
        </w:rPr>
        <w:t xml:space="preserve">or at </w:t>
      </w:r>
      <w:r w:rsidRPr="00370E70">
        <w:rPr>
          <w:color w:val="000000"/>
          <w:szCs w:val="22"/>
        </w:rPr>
        <w:t>the global average and within global ranges (</w:t>
      </w:r>
      <w:r w:rsidR="00085EB2" w:rsidRPr="00370E70">
        <w:rPr>
          <w:color w:val="000000"/>
          <w:szCs w:val="22"/>
        </w:rPr>
        <w:fldChar w:fldCharType="begin"/>
      </w:r>
      <w:r w:rsidR="00085EB2" w:rsidRPr="00370E70">
        <w:rPr>
          <w:color w:val="000000"/>
          <w:szCs w:val="22"/>
        </w:rPr>
        <w:instrText xml:space="preserve"> REF _Ref353373012 \h  \* MERGEFORMAT </w:instrText>
      </w:r>
      <w:r w:rsidR="00085EB2" w:rsidRPr="00370E70">
        <w:rPr>
          <w:color w:val="000000"/>
          <w:szCs w:val="22"/>
        </w:rPr>
      </w:r>
      <w:r w:rsidR="00085EB2" w:rsidRPr="00370E70">
        <w:rPr>
          <w:color w:val="000000"/>
          <w:szCs w:val="22"/>
        </w:rPr>
        <w:fldChar w:fldCharType="separate"/>
      </w:r>
      <w:r w:rsidR="005B5FD6" w:rsidRPr="00370E70">
        <w:rPr>
          <w:color w:val="000000"/>
          <w:szCs w:val="22"/>
        </w:rPr>
        <w:t xml:space="preserve">Table </w:t>
      </w:r>
      <w:r w:rsidR="005B5FD6">
        <w:rPr>
          <w:noProof/>
          <w:color w:val="000000"/>
          <w:szCs w:val="22"/>
        </w:rPr>
        <w:t>25</w:t>
      </w:r>
      <w:r w:rsidR="00085EB2" w:rsidRPr="00370E70">
        <w:rPr>
          <w:color w:val="000000"/>
          <w:szCs w:val="22"/>
        </w:rPr>
        <w:fldChar w:fldCharType="end"/>
      </w:r>
      <w:r w:rsidRPr="00370E70">
        <w:rPr>
          <w:color w:val="000000"/>
          <w:szCs w:val="22"/>
        </w:rPr>
        <w:t xml:space="preserve">), suggesting sufficient carbon available for growth. Similarly, as %C in the </w:t>
      </w:r>
      <w:r w:rsidR="00085EB2" w:rsidRPr="00370E70">
        <w:rPr>
          <w:i/>
          <w:color w:val="000000"/>
          <w:szCs w:val="22"/>
        </w:rPr>
        <w:t>H. uninervis</w:t>
      </w:r>
      <w:r w:rsidR="00085EB2" w:rsidRPr="00370E70">
        <w:rPr>
          <w:color w:val="000000"/>
          <w:szCs w:val="22"/>
        </w:rPr>
        <w:t xml:space="preserve"> </w:t>
      </w:r>
      <w:r w:rsidRPr="00370E70">
        <w:rPr>
          <w:color w:val="000000"/>
          <w:szCs w:val="22"/>
        </w:rPr>
        <w:t>leaves was also above the literature median values, suggests adequate light available for growth. The low C</w:t>
      </w:r>
      <w:proofErr w:type="gramStart"/>
      <w:r w:rsidRPr="00370E70">
        <w:rPr>
          <w:color w:val="000000"/>
          <w:szCs w:val="22"/>
        </w:rPr>
        <w:t>:N</w:t>
      </w:r>
      <w:proofErr w:type="gramEnd"/>
      <w:r w:rsidRPr="00370E70">
        <w:rPr>
          <w:color w:val="000000"/>
          <w:szCs w:val="22"/>
        </w:rPr>
        <w:t xml:space="preserve"> ratio is likely a consequence of the elevated N, where the low δ</w:t>
      </w:r>
      <w:r w:rsidRPr="00370E70">
        <w:rPr>
          <w:color w:val="000000"/>
          <w:szCs w:val="22"/>
          <w:vertAlign w:val="superscript"/>
        </w:rPr>
        <w:t>15</w:t>
      </w:r>
      <w:r w:rsidRPr="00370E70">
        <w:rPr>
          <w:color w:val="000000"/>
          <w:szCs w:val="22"/>
        </w:rPr>
        <w:t xml:space="preserve">N value in the </w:t>
      </w:r>
      <w:r w:rsidR="007D6AC3" w:rsidRPr="00370E70">
        <w:rPr>
          <w:i/>
          <w:color w:val="000000"/>
          <w:szCs w:val="22"/>
        </w:rPr>
        <w:t>H. uninervis</w:t>
      </w:r>
      <w:r w:rsidR="007D6AC3" w:rsidRPr="00370E70">
        <w:rPr>
          <w:color w:val="000000"/>
          <w:szCs w:val="22"/>
        </w:rPr>
        <w:t xml:space="preserve"> </w:t>
      </w:r>
      <w:r w:rsidRPr="00370E70">
        <w:rPr>
          <w:color w:val="000000"/>
          <w:szCs w:val="22"/>
        </w:rPr>
        <w:t>leaf tissue (</w:t>
      </w:r>
      <w:r w:rsidR="00085EB2" w:rsidRPr="00370E70">
        <w:rPr>
          <w:color w:val="000000"/>
          <w:szCs w:val="22"/>
        </w:rPr>
        <w:fldChar w:fldCharType="begin"/>
      </w:r>
      <w:r w:rsidR="00085EB2" w:rsidRPr="00370E70">
        <w:rPr>
          <w:color w:val="000000"/>
          <w:szCs w:val="22"/>
        </w:rPr>
        <w:instrText xml:space="preserve"> REF _Ref353373012 \h  \* MERGEFORMAT </w:instrText>
      </w:r>
      <w:r w:rsidR="00085EB2" w:rsidRPr="00370E70">
        <w:rPr>
          <w:color w:val="000000"/>
          <w:szCs w:val="22"/>
        </w:rPr>
      </w:r>
      <w:r w:rsidR="00085EB2" w:rsidRPr="00370E70">
        <w:rPr>
          <w:color w:val="000000"/>
          <w:szCs w:val="22"/>
        </w:rPr>
        <w:fldChar w:fldCharType="separate"/>
      </w:r>
      <w:r w:rsidR="005B5FD6" w:rsidRPr="00370E70">
        <w:rPr>
          <w:color w:val="000000"/>
          <w:szCs w:val="22"/>
        </w:rPr>
        <w:t xml:space="preserve">Table </w:t>
      </w:r>
      <w:r w:rsidR="005B5FD6">
        <w:rPr>
          <w:noProof/>
          <w:color w:val="000000"/>
          <w:szCs w:val="22"/>
        </w:rPr>
        <w:t>25</w:t>
      </w:r>
      <w:r w:rsidR="00085EB2" w:rsidRPr="00370E70">
        <w:rPr>
          <w:color w:val="000000"/>
          <w:szCs w:val="22"/>
        </w:rPr>
        <w:fldChar w:fldCharType="end"/>
      </w:r>
      <w:r w:rsidRPr="00370E70">
        <w:rPr>
          <w:color w:val="000000"/>
          <w:szCs w:val="22"/>
        </w:rPr>
        <w:t>) suggests that their primary source of N was either from N</w:t>
      </w:r>
      <w:r w:rsidRPr="00370E70">
        <w:rPr>
          <w:color w:val="000000"/>
          <w:szCs w:val="22"/>
          <w:vertAlign w:val="subscript"/>
        </w:rPr>
        <w:t>2</w:t>
      </w:r>
      <w:r w:rsidRPr="00370E70">
        <w:rPr>
          <w:color w:val="000000"/>
          <w:szCs w:val="22"/>
        </w:rPr>
        <w:t xml:space="preserve"> fixation or fertiliser.</w:t>
      </w:r>
      <w:r w:rsidR="007D6AC3" w:rsidRPr="00370E70">
        <w:rPr>
          <w:color w:val="000000"/>
          <w:szCs w:val="22"/>
        </w:rPr>
        <w:t xml:space="preserve"> The slightly elevated δ</w:t>
      </w:r>
      <w:r w:rsidR="007D6AC3" w:rsidRPr="00370E70">
        <w:rPr>
          <w:color w:val="000000"/>
          <w:szCs w:val="22"/>
          <w:vertAlign w:val="superscript"/>
        </w:rPr>
        <w:t>15</w:t>
      </w:r>
      <w:r w:rsidR="007D6AC3" w:rsidRPr="00370E70">
        <w:rPr>
          <w:color w:val="000000"/>
          <w:szCs w:val="22"/>
        </w:rPr>
        <w:t xml:space="preserve">N in the </w:t>
      </w:r>
      <w:r w:rsidR="007D6AC3" w:rsidRPr="00370E70">
        <w:rPr>
          <w:i/>
          <w:color w:val="000000"/>
          <w:szCs w:val="22"/>
        </w:rPr>
        <w:t>H. ovalis</w:t>
      </w:r>
      <w:r w:rsidR="007D6AC3" w:rsidRPr="00370E70">
        <w:rPr>
          <w:color w:val="0000FF"/>
          <w:szCs w:val="22"/>
        </w:rPr>
        <w:t xml:space="preserve"> </w:t>
      </w:r>
      <w:r w:rsidR="007D6AC3" w:rsidRPr="00370E70">
        <w:rPr>
          <w:color w:val="000000"/>
          <w:szCs w:val="22"/>
        </w:rPr>
        <w:t>leaf tissue suggests some sewage influence in their primary source of N.</w:t>
      </w:r>
    </w:p>
    <w:p w:rsidR="00C610E4" w:rsidRPr="00370E70" w:rsidRDefault="005132EF" w:rsidP="00C610E4">
      <w:pPr>
        <w:jc w:val="center"/>
        <w:rPr>
          <w:i/>
          <w:vanish/>
          <w:color w:val="000000"/>
          <w:szCs w:val="22"/>
          <w:specVanish/>
        </w:rPr>
      </w:pPr>
      <w:bookmarkStart w:id="486" w:name="_Ref353373012"/>
      <w:bookmarkStart w:id="487" w:name="_Toc384196561"/>
      <w:r w:rsidRPr="00370E70">
        <w:rPr>
          <w:color w:val="000000"/>
          <w:szCs w:val="22"/>
        </w:rPr>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25</w:t>
      </w:r>
      <w:r w:rsidRPr="00370E70">
        <w:rPr>
          <w:color w:val="000000"/>
          <w:szCs w:val="22"/>
        </w:rPr>
        <w:fldChar w:fldCharType="end"/>
      </w:r>
      <w:bookmarkEnd w:id="486"/>
      <w:r w:rsidRPr="00370E70">
        <w:rPr>
          <w:color w:val="000000"/>
          <w:szCs w:val="22"/>
        </w:rPr>
        <w:t xml:space="preserve">. </w:t>
      </w:r>
      <w:r w:rsidRPr="00370E70">
        <w:rPr>
          <w:i/>
          <w:color w:val="000000"/>
          <w:szCs w:val="22"/>
        </w:rPr>
        <w:t>Seagrass leaf tissue nutrient, δ</w:t>
      </w:r>
      <w:r w:rsidRPr="00370E70">
        <w:rPr>
          <w:i/>
          <w:color w:val="000000"/>
          <w:szCs w:val="22"/>
          <w:vertAlign w:val="superscript"/>
        </w:rPr>
        <w:t>13</w:t>
      </w:r>
      <w:r w:rsidRPr="00370E70">
        <w:rPr>
          <w:i/>
          <w:color w:val="000000"/>
          <w:szCs w:val="22"/>
        </w:rPr>
        <w:t>C and δ</w:t>
      </w:r>
      <w:r w:rsidRPr="00370E70">
        <w:rPr>
          <w:i/>
          <w:color w:val="000000"/>
          <w:szCs w:val="22"/>
          <w:vertAlign w:val="superscript"/>
        </w:rPr>
        <w:t>15</w:t>
      </w:r>
      <w:r w:rsidRPr="00370E70">
        <w:rPr>
          <w:i/>
          <w:color w:val="000000"/>
          <w:szCs w:val="22"/>
        </w:rPr>
        <w:t>N concentrations from Burdekin locations in the late dry 2011.</w:t>
      </w:r>
      <w:bookmarkEnd w:id="487"/>
      <w:r w:rsidRPr="00370E70">
        <w:rPr>
          <w:i/>
          <w:color w:val="000000"/>
          <w:szCs w:val="22"/>
        </w:rPr>
        <w:t xml:space="preserve"> </w:t>
      </w:r>
    </w:p>
    <w:p w:rsidR="00C610E4" w:rsidRPr="00370E70" w:rsidRDefault="00882F2F" w:rsidP="00FA75CB">
      <w:pPr>
        <w:jc w:val="center"/>
        <w:rPr>
          <w:color w:val="000000"/>
          <w:szCs w:val="22"/>
        </w:rPr>
      </w:pPr>
      <w:r w:rsidRPr="00370E70">
        <w:rPr>
          <w:i/>
          <w:color w:val="000000"/>
          <w:szCs w:val="22"/>
        </w:rPr>
        <w:t xml:space="preserve">Leaf tissues with low %C (see </w:t>
      </w:r>
      <w:r w:rsidRPr="00370E70">
        <w:rPr>
          <w:i/>
          <w:color w:val="000000"/>
          <w:szCs w:val="22"/>
        </w:rPr>
        <w:fldChar w:fldCharType="begin"/>
      </w:r>
      <w:r w:rsidRPr="00370E70">
        <w:rPr>
          <w:i/>
          <w:color w:val="000000"/>
          <w:szCs w:val="22"/>
        </w:rPr>
        <w:instrText xml:space="preserve"> REF _Ref353029075 \h  \* MERGEFORMAT </w:instrText>
      </w:r>
      <w:r w:rsidRPr="00370E70">
        <w:rPr>
          <w:i/>
          <w:color w:val="000000"/>
          <w:szCs w:val="22"/>
        </w:rPr>
      </w:r>
      <w:r w:rsidRPr="00370E70">
        <w:rPr>
          <w:i/>
          <w:color w:val="000000"/>
          <w:szCs w:val="22"/>
        </w:rPr>
        <w:fldChar w:fldCharType="separate"/>
      </w:r>
      <w:r w:rsidR="005B5FD6" w:rsidRPr="005B5FD6">
        <w:rPr>
          <w:i/>
          <w:szCs w:val="22"/>
        </w:rPr>
        <w:t xml:space="preserve">Table </w:t>
      </w:r>
      <w:r w:rsidR="005B5FD6" w:rsidRPr="005B5FD6">
        <w:rPr>
          <w:i/>
          <w:noProof/>
          <w:color w:val="000000"/>
          <w:szCs w:val="22"/>
        </w:rPr>
        <w:t>37</w:t>
      </w:r>
      <w:r w:rsidRPr="00370E70">
        <w:rPr>
          <w:i/>
          <w:color w:val="000000"/>
          <w:szCs w:val="22"/>
        </w:rPr>
        <w:fldChar w:fldCharType="end"/>
      </w:r>
      <w:r w:rsidRPr="00370E70">
        <w:rPr>
          <w:i/>
          <w:color w:val="000000"/>
          <w:szCs w:val="22"/>
        </w:rPr>
        <w:t>), low C</w:t>
      </w:r>
      <w:proofErr w:type="gramStart"/>
      <w:r w:rsidRPr="00370E70">
        <w:rPr>
          <w:i/>
          <w:color w:val="000000"/>
          <w:szCs w:val="22"/>
        </w:rPr>
        <w:t>:N</w:t>
      </w:r>
      <w:proofErr w:type="gramEnd"/>
      <w:r w:rsidRPr="00370E70">
        <w:rPr>
          <w:i/>
          <w:color w:val="000000"/>
          <w:szCs w:val="22"/>
        </w:rPr>
        <w:t xml:space="preserve"> (&lt;20:1), and isotopically depleted δ</w:t>
      </w:r>
      <w:r w:rsidRPr="00370E70">
        <w:rPr>
          <w:i/>
          <w:color w:val="000000"/>
          <w:szCs w:val="22"/>
          <w:vertAlign w:val="superscript"/>
        </w:rPr>
        <w:t>13</w:t>
      </w:r>
      <w:r w:rsidRPr="00370E70">
        <w:rPr>
          <w:i/>
          <w:color w:val="000000"/>
          <w:szCs w:val="22"/>
        </w:rPr>
        <w:t>C may indicate that growth is light limited (</w:t>
      </w:r>
      <w:r w:rsidR="00C610E4"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 </w:instrText>
      </w:r>
      <w:r w:rsidR="00126051"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EN.CITE.DATA </w:instrText>
      </w:r>
      <w:r w:rsidR="00126051" w:rsidRPr="00370E70">
        <w:rPr>
          <w:i/>
          <w:color w:val="000000"/>
          <w:szCs w:val="22"/>
        </w:rPr>
      </w:r>
      <w:r w:rsidR="00126051" w:rsidRPr="00370E70">
        <w:rPr>
          <w:i/>
          <w:color w:val="000000"/>
          <w:szCs w:val="22"/>
        </w:rPr>
        <w:fldChar w:fldCharType="end"/>
      </w:r>
      <w:r w:rsidR="00C610E4" w:rsidRPr="00370E70">
        <w:rPr>
          <w:i/>
          <w:color w:val="000000"/>
          <w:szCs w:val="22"/>
        </w:rPr>
      </w:r>
      <w:r w:rsidR="00C610E4" w:rsidRPr="00370E70">
        <w:rPr>
          <w:i/>
          <w:color w:val="000000"/>
          <w:szCs w:val="22"/>
        </w:rPr>
        <w:fldChar w:fldCharType="separate"/>
      </w:r>
      <w:hyperlink w:anchor="_ENREF_93" w:tooltip="Grice, 1996 #1346" w:history="1">
        <w:r w:rsidR="00964A70" w:rsidRPr="00370E70">
          <w:rPr>
            <w:i/>
            <w:noProof/>
            <w:color w:val="000000"/>
            <w:szCs w:val="22"/>
          </w:rPr>
          <w:t>Grice, et al. 1996</w:t>
        </w:r>
      </w:hyperlink>
      <w:r w:rsidR="00126051" w:rsidRPr="00370E70">
        <w:rPr>
          <w:i/>
          <w:noProof/>
          <w:color w:val="000000"/>
          <w:szCs w:val="22"/>
        </w:rPr>
        <w:t xml:space="preserve">; </w:t>
      </w:r>
      <w:hyperlink w:anchor="_ENREF_77" w:tooltip="Fourqurean, 2005 #7505" w:history="1">
        <w:r w:rsidR="00964A70" w:rsidRPr="00370E70">
          <w:rPr>
            <w:i/>
            <w:noProof/>
            <w:color w:val="000000"/>
            <w:szCs w:val="22"/>
          </w:rPr>
          <w:t>Fourqurean, et al. 2005</w:t>
        </w:r>
      </w:hyperlink>
      <w:r w:rsidR="00C610E4" w:rsidRPr="00370E70">
        <w:rPr>
          <w:i/>
          <w:color w:val="000000"/>
          <w:szCs w:val="22"/>
        </w:rPr>
        <w:fldChar w:fldCharType="end"/>
      </w:r>
      <w:r w:rsidRPr="00370E70">
        <w:rPr>
          <w:i/>
          <w:color w:val="000000"/>
          <w:szCs w:val="22"/>
        </w:rPr>
        <w:t>). Shading indicates values lower than literature. HO=</w:t>
      </w:r>
      <w:r w:rsidR="002C6536" w:rsidRPr="00370E70">
        <w:rPr>
          <w:i/>
          <w:color w:val="000000"/>
          <w:szCs w:val="22"/>
        </w:rPr>
        <w:t>Halophila</w:t>
      </w:r>
      <w:r w:rsidRPr="00370E70">
        <w:rPr>
          <w:i/>
          <w:color w:val="000000"/>
          <w:szCs w:val="22"/>
        </w:rPr>
        <w:t xml:space="preserve"> ovalis, HU=Halodule uninervis, TH=Thalassia hemprichii, Z</w:t>
      </w:r>
      <w:r w:rsidR="00A46CDE" w:rsidRPr="00370E70">
        <w:rPr>
          <w:i/>
          <w:color w:val="000000"/>
          <w:szCs w:val="22"/>
        </w:rPr>
        <w:t>M</w:t>
      </w:r>
      <w:r w:rsidRPr="00370E70">
        <w:rPr>
          <w:i/>
          <w:color w:val="000000"/>
          <w:szCs w:val="22"/>
        </w:rPr>
        <w:t xml:space="preserve">=Zostera </w:t>
      </w:r>
      <w:r w:rsidR="00A46CDE" w:rsidRPr="00370E70">
        <w:rPr>
          <w:i/>
          <w:color w:val="000000"/>
          <w:szCs w:val="22"/>
        </w:rPr>
        <w:t>muelleri</w:t>
      </w:r>
      <w:r w:rsidRPr="00370E70">
        <w:rPr>
          <w:i/>
          <w:color w:val="000000"/>
          <w:szCs w:val="22"/>
        </w:rPr>
        <w:t>.</w:t>
      </w:r>
      <w:r w:rsidR="00C610E4" w:rsidRPr="00370E70">
        <w:rPr>
          <w:color w:val="000000"/>
          <w:szCs w:val="22"/>
        </w:rPr>
        <w:t xml:space="preserve"> </w:t>
      </w:r>
    </w:p>
    <w:tbl>
      <w:tblPr>
        <w:tblW w:w="9284" w:type="dxa"/>
        <w:jc w:val="center"/>
        <w:tblLook w:val="0000" w:firstRow="0" w:lastRow="0" w:firstColumn="0" w:lastColumn="0" w:noHBand="0" w:noVBand="0"/>
      </w:tblPr>
      <w:tblGrid>
        <w:gridCol w:w="1455"/>
        <w:gridCol w:w="850"/>
        <w:gridCol w:w="744"/>
        <w:gridCol w:w="653"/>
        <w:gridCol w:w="954"/>
        <w:gridCol w:w="975"/>
        <w:gridCol w:w="1026"/>
        <w:gridCol w:w="1722"/>
        <w:gridCol w:w="905"/>
      </w:tblGrid>
      <w:tr w:rsidR="00085EB2" w:rsidRPr="00370E70" w:rsidTr="00085EB2">
        <w:trPr>
          <w:trHeight w:val="288"/>
          <w:jc w:val="center"/>
        </w:trPr>
        <w:tc>
          <w:tcPr>
            <w:tcW w:w="1455" w:type="dxa"/>
            <w:tcBorders>
              <w:top w:val="single" w:sz="4" w:space="0" w:color="auto"/>
              <w:bottom w:val="single" w:sz="4" w:space="0" w:color="auto"/>
            </w:tcBorders>
            <w:noWrap/>
            <w:vAlign w:val="center"/>
          </w:tcPr>
          <w:p w:rsidR="00085EB2" w:rsidRPr="00370E70" w:rsidRDefault="00085EB2" w:rsidP="008C585C">
            <w:pPr>
              <w:spacing w:before="0" w:after="0"/>
              <w:rPr>
                <w:b/>
                <w:sz w:val="18"/>
                <w:szCs w:val="18"/>
              </w:rPr>
            </w:pPr>
            <w:r w:rsidRPr="00370E70">
              <w:rPr>
                <w:b/>
                <w:sz w:val="18"/>
                <w:szCs w:val="18"/>
              </w:rPr>
              <w:t>Location</w:t>
            </w:r>
          </w:p>
        </w:tc>
        <w:tc>
          <w:tcPr>
            <w:tcW w:w="850" w:type="dxa"/>
            <w:tcBorders>
              <w:top w:val="single" w:sz="4" w:space="0" w:color="auto"/>
              <w:bottom w:val="single" w:sz="4" w:space="0" w:color="auto"/>
            </w:tcBorders>
            <w:noWrap/>
            <w:vAlign w:val="center"/>
          </w:tcPr>
          <w:p w:rsidR="00085EB2" w:rsidRPr="00370E70" w:rsidRDefault="00085EB2" w:rsidP="008C585C">
            <w:pPr>
              <w:spacing w:before="0" w:after="0"/>
              <w:jc w:val="center"/>
              <w:rPr>
                <w:b/>
                <w:sz w:val="18"/>
                <w:szCs w:val="18"/>
              </w:rPr>
            </w:pPr>
            <w:r w:rsidRPr="00370E70">
              <w:rPr>
                <w:b/>
                <w:sz w:val="18"/>
                <w:szCs w:val="18"/>
              </w:rPr>
              <w:t>Species</w:t>
            </w:r>
          </w:p>
        </w:tc>
        <w:tc>
          <w:tcPr>
            <w:tcW w:w="744" w:type="dxa"/>
            <w:tcBorders>
              <w:top w:val="single" w:sz="4" w:space="0" w:color="auto"/>
              <w:bottom w:val="single" w:sz="4" w:space="0" w:color="auto"/>
            </w:tcBorders>
            <w:vAlign w:val="center"/>
          </w:tcPr>
          <w:p w:rsidR="00085EB2" w:rsidRPr="00370E70" w:rsidRDefault="00085EB2" w:rsidP="008C585C">
            <w:pPr>
              <w:spacing w:before="0" w:after="0"/>
              <w:jc w:val="center"/>
              <w:rPr>
                <w:b/>
                <w:sz w:val="18"/>
                <w:szCs w:val="18"/>
              </w:rPr>
            </w:pPr>
            <w:r w:rsidRPr="00370E70">
              <w:rPr>
                <w:b/>
                <w:sz w:val="18"/>
                <w:szCs w:val="18"/>
              </w:rPr>
              <w:t>%C</w:t>
            </w:r>
          </w:p>
        </w:tc>
        <w:tc>
          <w:tcPr>
            <w:tcW w:w="653" w:type="dxa"/>
            <w:tcBorders>
              <w:top w:val="single" w:sz="4" w:space="0" w:color="auto"/>
              <w:bottom w:val="single" w:sz="4" w:space="0" w:color="auto"/>
            </w:tcBorders>
            <w:vAlign w:val="center"/>
          </w:tcPr>
          <w:p w:rsidR="00085EB2" w:rsidRPr="00370E70" w:rsidRDefault="00085EB2" w:rsidP="008C585C">
            <w:pPr>
              <w:spacing w:before="0" w:after="0"/>
              <w:jc w:val="center"/>
              <w:rPr>
                <w:b/>
                <w:sz w:val="18"/>
                <w:szCs w:val="18"/>
              </w:rPr>
            </w:pPr>
            <w:r w:rsidRPr="00370E70">
              <w:rPr>
                <w:b/>
                <w:sz w:val="18"/>
                <w:szCs w:val="18"/>
              </w:rPr>
              <w:t>C:N</w:t>
            </w:r>
          </w:p>
        </w:tc>
        <w:tc>
          <w:tcPr>
            <w:tcW w:w="954" w:type="dxa"/>
            <w:tcBorders>
              <w:top w:val="single" w:sz="4" w:space="0" w:color="auto"/>
              <w:bottom w:val="single" w:sz="4" w:space="0" w:color="auto"/>
            </w:tcBorders>
            <w:noWrap/>
            <w:vAlign w:val="center"/>
          </w:tcPr>
          <w:p w:rsidR="00085EB2" w:rsidRPr="00370E70" w:rsidRDefault="00085EB2" w:rsidP="008C585C">
            <w:pPr>
              <w:spacing w:before="0" w:after="0"/>
              <w:jc w:val="center"/>
              <w:rPr>
                <w:b/>
                <w:sz w:val="18"/>
                <w:szCs w:val="18"/>
              </w:rPr>
            </w:pPr>
            <w:r w:rsidRPr="00370E70">
              <w:rPr>
                <w:b/>
                <w:i/>
                <w:sz w:val="18"/>
                <w:szCs w:val="18"/>
              </w:rPr>
              <w:t>δ</w:t>
            </w:r>
            <w:r w:rsidRPr="00370E70">
              <w:rPr>
                <w:b/>
                <w:sz w:val="18"/>
                <w:szCs w:val="18"/>
                <w:vertAlign w:val="superscript"/>
              </w:rPr>
              <w:t>13</w:t>
            </w:r>
            <w:r w:rsidRPr="00370E70">
              <w:rPr>
                <w:b/>
                <w:sz w:val="18"/>
                <w:szCs w:val="18"/>
              </w:rPr>
              <w:t>C</w:t>
            </w:r>
          </w:p>
        </w:tc>
        <w:tc>
          <w:tcPr>
            <w:tcW w:w="975" w:type="dxa"/>
            <w:tcBorders>
              <w:top w:val="single" w:sz="4" w:space="0" w:color="auto"/>
              <w:bottom w:val="single" w:sz="4" w:space="0" w:color="auto"/>
            </w:tcBorders>
            <w:vAlign w:val="center"/>
          </w:tcPr>
          <w:p w:rsidR="00085EB2" w:rsidRPr="00370E70" w:rsidRDefault="00085EB2" w:rsidP="00DC1772">
            <w:pPr>
              <w:spacing w:before="0" w:after="0"/>
              <w:jc w:val="center"/>
              <w:rPr>
                <w:b/>
                <w:sz w:val="18"/>
                <w:szCs w:val="18"/>
              </w:rPr>
            </w:pPr>
            <w:r w:rsidRPr="00370E70">
              <w:rPr>
                <w:b/>
                <w:i/>
                <w:sz w:val="18"/>
                <w:szCs w:val="18"/>
              </w:rPr>
              <w:t>δ</w:t>
            </w:r>
            <w:r w:rsidRPr="00370E70">
              <w:rPr>
                <w:b/>
                <w:sz w:val="18"/>
                <w:szCs w:val="18"/>
                <w:vertAlign w:val="superscript"/>
              </w:rPr>
              <w:t>15</w:t>
            </w:r>
            <w:r w:rsidRPr="00370E70">
              <w:rPr>
                <w:b/>
                <w:sz w:val="18"/>
                <w:szCs w:val="18"/>
              </w:rPr>
              <w:t>N</w:t>
            </w:r>
          </w:p>
        </w:tc>
        <w:tc>
          <w:tcPr>
            <w:tcW w:w="1026" w:type="dxa"/>
            <w:tcBorders>
              <w:top w:val="single" w:sz="4" w:space="0" w:color="auto"/>
              <w:bottom w:val="single" w:sz="4" w:space="0" w:color="auto"/>
            </w:tcBorders>
            <w:vAlign w:val="center"/>
          </w:tcPr>
          <w:p w:rsidR="00085EB2" w:rsidRPr="00370E70" w:rsidRDefault="00085EB2" w:rsidP="00DC1772">
            <w:pPr>
              <w:spacing w:before="0" w:after="0"/>
              <w:jc w:val="center"/>
              <w:rPr>
                <w:b/>
                <w:sz w:val="18"/>
                <w:szCs w:val="18"/>
              </w:rPr>
            </w:pPr>
            <w:r w:rsidRPr="00370E70">
              <w:rPr>
                <w:b/>
                <w:color w:val="000000"/>
                <w:sz w:val="18"/>
                <w:szCs w:val="18"/>
              </w:rPr>
              <w:t>%C lit median</w:t>
            </w:r>
          </w:p>
        </w:tc>
        <w:tc>
          <w:tcPr>
            <w:tcW w:w="1722" w:type="dxa"/>
            <w:tcBorders>
              <w:top w:val="single" w:sz="4" w:space="0" w:color="auto"/>
              <w:bottom w:val="single" w:sz="4" w:space="0" w:color="auto"/>
            </w:tcBorders>
            <w:vAlign w:val="center"/>
          </w:tcPr>
          <w:p w:rsidR="00085EB2" w:rsidRPr="00370E70" w:rsidRDefault="00085EB2" w:rsidP="00DC1772">
            <w:pPr>
              <w:spacing w:before="0" w:after="0"/>
              <w:jc w:val="center"/>
              <w:rPr>
                <w:b/>
                <w:sz w:val="18"/>
                <w:szCs w:val="18"/>
              </w:rPr>
            </w:pPr>
            <w:r w:rsidRPr="00370E70">
              <w:rPr>
                <w:b/>
                <w:sz w:val="18"/>
                <w:szCs w:val="18"/>
              </w:rPr>
              <w:t xml:space="preserve">Global </w:t>
            </w:r>
            <w:r w:rsidRPr="00370E70">
              <w:rPr>
                <w:b/>
                <w:i/>
                <w:sz w:val="18"/>
                <w:szCs w:val="18"/>
              </w:rPr>
              <w:t>δ</w:t>
            </w:r>
            <w:r w:rsidRPr="00370E70">
              <w:rPr>
                <w:b/>
                <w:sz w:val="18"/>
                <w:szCs w:val="18"/>
                <w:vertAlign w:val="superscript"/>
              </w:rPr>
              <w:t>13</w:t>
            </w:r>
            <w:r w:rsidRPr="00370E70">
              <w:rPr>
                <w:b/>
                <w:sz w:val="18"/>
                <w:szCs w:val="18"/>
              </w:rPr>
              <w:t>C</w:t>
            </w:r>
          </w:p>
        </w:tc>
        <w:tc>
          <w:tcPr>
            <w:tcW w:w="905" w:type="dxa"/>
            <w:tcBorders>
              <w:top w:val="single" w:sz="4" w:space="0" w:color="auto"/>
              <w:bottom w:val="single" w:sz="4" w:space="0" w:color="auto"/>
            </w:tcBorders>
            <w:vAlign w:val="center"/>
          </w:tcPr>
          <w:p w:rsidR="00085EB2" w:rsidRPr="00370E70" w:rsidRDefault="00085EB2" w:rsidP="00085EB2">
            <w:pPr>
              <w:spacing w:before="0" w:after="0"/>
              <w:jc w:val="center"/>
              <w:rPr>
                <w:b/>
                <w:sz w:val="18"/>
                <w:szCs w:val="18"/>
              </w:rPr>
            </w:pPr>
            <w:r w:rsidRPr="00370E70">
              <w:rPr>
                <w:b/>
                <w:sz w:val="18"/>
                <w:szCs w:val="18"/>
              </w:rPr>
              <w:t>season</w:t>
            </w:r>
          </w:p>
        </w:tc>
      </w:tr>
      <w:tr w:rsidR="00085EB2" w:rsidRPr="00370E70" w:rsidTr="00085EB2">
        <w:trPr>
          <w:trHeight w:val="276"/>
          <w:jc w:val="center"/>
        </w:trPr>
        <w:tc>
          <w:tcPr>
            <w:tcW w:w="1455" w:type="dxa"/>
            <w:noWrap/>
            <w:vAlign w:val="center"/>
          </w:tcPr>
          <w:p w:rsidR="00085EB2" w:rsidRPr="00370E70" w:rsidRDefault="00085EB2" w:rsidP="008C585C">
            <w:pPr>
              <w:spacing w:before="0" w:after="0"/>
              <w:rPr>
                <w:sz w:val="18"/>
                <w:szCs w:val="18"/>
              </w:rPr>
            </w:pPr>
            <w:r w:rsidRPr="00370E70">
              <w:rPr>
                <w:sz w:val="18"/>
                <w:szCs w:val="18"/>
              </w:rPr>
              <w:t>Magnetic Is</w:t>
            </w:r>
          </w:p>
        </w:tc>
        <w:tc>
          <w:tcPr>
            <w:tcW w:w="850" w:type="dxa"/>
            <w:noWrap/>
            <w:vAlign w:val="center"/>
          </w:tcPr>
          <w:p w:rsidR="00085EB2" w:rsidRPr="00370E70" w:rsidRDefault="00085EB2" w:rsidP="008C585C">
            <w:pPr>
              <w:spacing w:before="0" w:after="0"/>
              <w:rPr>
                <w:sz w:val="18"/>
                <w:szCs w:val="18"/>
              </w:rPr>
            </w:pPr>
            <w:r w:rsidRPr="00370E70">
              <w:rPr>
                <w:sz w:val="18"/>
                <w:szCs w:val="18"/>
              </w:rPr>
              <w:t>HO</w:t>
            </w:r>
          </w:p>
        </w:tc>
        <w:tc>
          <w:tcPr>
            <w:tcW w:w="744" w:type="dxa"/>
            <w:vAlign w:val="center"/>
          </w:tcPr>
          <w:p w:rsidR="00085EB2" w:rsidRPr="00370E70" w:rsidRDefault="00085EB2" w:rsidP="008F7331">
            <w:pPr>
              <w:spacing w:before="0" w:after="0"/>
              <w:jc w:val="center"/>
              <w:rPr>
                <w:sz w:val="18"/>
                <w:szCs w:val="18"/>
              </w:rPr>
            </w:pPr>
            <w:r w:rsidRPr="00370E70">
              <w:rPr>
                <w:sz w:val="18"/>
                <w:szCs w:val="18"/>
              </w:rPr>
              <w:t>39.5</w:t>
            </w:r>
          </w:p>
        </w:tc>
        <w:tc>
          <w:tcPr>
            <w:tcW w:w="653" w:type="dxa"/>
            <w:shd w:val="clear" w:color="auto" w:fill="E6E6E6"/>
            <w:vAlign w:val="center"/>
          </w:tcPr>
          <w:p w:rsidR="00085EB2" w:rsidRPr="00370E70" w:rsidRDefault="00085EB2" w:rsidP="008F7331">
            <w:pPr>
              <w:spacing w:before="0" w:after="0"/>
              <w:jc w:val="center"/>
              <w:rPr>
                <w:sz w:val="18"/>
                <w:szCs w:val="18"/>
              </w:rPr>
            </w:pPr>
            <w:r w:rsidRPr="00370E70">
              <w:rPr>
                <w:sz w:val="18"/>
                <w:szCs w:val="18"/>
              </w:rPr>
              <w:t>13.44</w:t>
            </w:r>
          </w:p>
        </w:tc>
        <w:tc>
          <w:tcPr>
            <w:tcW w:w="954" w:type="dxa"/>
            <w:shd w:val="clear" w:color="auto" w:fill="E6E6E6"/>
            <w:noWrap/>
            <w:vAlign w:val="center"/>
          </w:tcPr>
          <w:p w:rsidR="00085EB2" w:rsidRPr="00370E70" w:rsidRDefault="00085EB2" w:rsidP="008F7331">
            <w:pPr>
              <w:spacing w:before="0" w:after="0"/>
              <w:jc w:val="center"/>
              <w:rPr>
                <w:sz w:val="18"/>
                <w:szCs w:val="18"/>
              </w:rPr>
            </w:pPr>
            <w:r w:rsidRPr="00370E70">
              <w:rPr>
                <w:sz w:val="18"/>
                <w:szCs w:val="18"/>
              </w:rPr>
              <w:t>-10.8</w:t>
            </w:r>
          </w:p>
        </w:tc>
        <w:tc>
          <w:tcPr>
            <w:tcW w:w="975" w:type="dxa"/>
            <w:vAlign w:val="center"/>
          </w:tcPr>
          <w:p w:rsidR="00085EB2" w:rsidRPr="00370E70" w:rsidRDefault="00085EB2" w:rsidP="00DC1772">
            <w:pPr>
              <w:spacing w:before="0" w:after="0"/>
              <w:jc w:val="center"/>
              <w:rPr>
                <w:sz w:val="18"/>
                <w:szCs w:val="18"/>
              </w:rPr>
            </w:pPr>
            <w:r w:rsidRPr="00370E70">
              <w:rPr>
                <w:sz w:val="18"/>
                <w:szCs w:val="18"/>
              </w:rPr>
              <w:t>1.88</w:t>
            </w:r>
          </w:p>
        </w:tc>
        <w:tc>
          <w:tcPr>
            <w:tcW w:w="1026" w:type="dxa"/>
            <w:vAlign w:val="center"/>
          </w:tcPr>
          <w:p w:rsidR="00085EB2" w:rsidRPr="00370E70" w:rsidRDefault="00085EB2" w:rsidP="00DC1772">
            <w:pPr>
              <w:spacing w:before="0" w:after="0"/>
              <w:jc w:val="center"/>
              <w:rPr>
                <w:i/>
                <w:sz w:val="18"/>
                <w:szCs w:val="18"/>
              </w:rPr>
            </w:pPr>
            <w:r w:rsidRPr="00370E70">
              <w:rPr>
                <w:i/>
                <w:color w:val="000000"/>
                <w:sz w:val="18"/>
                <w:szCs w:val="18"/>
              </w:rPr>
              <w:t>30.5</w:t>
            </w:r>
          </w:p>
        </w:tc>
        <w:tc>
          <w:tcPr>
            <w:tcW w:w="1722" w:type="dxa"/>
            <w:vAlign w:val="center"/>
          </w:tcPr>
          <w:p w:rsidR="00085EB2" w:rsidRPr="00370E70" w:rsidRDefault="00085EB2" w:rsidP="00DC1772">
            <w:pPr>
              <w:spacing w:before="0" w:after="0"/>
              <w:jc w:val="center"/>
              <w:rPr>
                <w:i/>
                <w:sz w:val="18"/>
                <w:szCs w:val="18"/>
              </w:rPr>
            </w:pPr>
            <w:r w:rsidRPr="00370E70">
              <w:rPr>
                <w:i/>
                <w:sz w:val="18"/>
                <w:szCs w:val="18"/>
              </w:rPr>
              <w:t>-10 (-15.5 to -6.4)</w:t>
            </w:r>
          </w:p>
        </w:tc>
        <w:tc>
          <w:tcPr>
            <w:tcW w:w="905" w:type="dxa"/>
          </w:tcPr>
          <w:p w:rsidR="00085EB2" w:rsidRPr="00370E70" w:rsidRDefault="00085EB2" w:rsidP="008F7331">
            <w:pPr>
              <w:spacing w:before="0" w:after="0"/>
              <w:jc w:val="center"/>
              <w:rPr>
                <w:i/>
                <w:sz w:val="18"/>
                <w:szCs w:val="18"/>
              </w:rPr>
            </w:pPr>
            <w:r w:rsidRPr="00370E70">
              <w:rPr>
                <w:color w:val="000000"/>
                <w:sz w:val="18"/>
                <w:szCs w:val="18"/>
              </w:rPr>
              <w:t>late dry</w:t>
            </w:r>
          </w:p>
        </w:tc>
      </w:tr>
      <w:tr w:rsidR="00085EB2" w:rsidRPr="00370E70" w:rsidTr="00085EB2">
        <w:trPr>
          <w:trHeight w:val="276"/>
          <w:jc w:val="center"/>
        </w:trPr>
        <w:tc>
          <w:tcPr>
            <w:tcW w:w="1455" w:type="dxa"/>
            <w:tcBorders>
              <w:bottom w:val="single" w:sz="4" w:space="0" w:color="auto"/>
            </w:tcBorders>
            <w:noWrap/>
            <w:vAlign w:val="center"/>
          </w:tcPr>
          <w:p w:rsidR="00085EB2" w:rsidRPr="00370E70" w:rsidRDefault="00085EB2" w:rsidP="008C585C">
            <w:pPr>
              <w:spacing w:before="0" w:after="0"/>
              <w:rPr>
                <w:sz w:val="18"/>
                <w:szCs w:val="18"/>
              </w:rPr>
            </w:pPr>
            <w:r w:rsidRPr="00370E70">
              <w:rPr>
                <w:sz w:val="18"/>
                <w:szCs w:val="18"/>
              </w:rPr>
              <w:t>Magnetic Is</w:t>
            </w:r>
          </w:p>
        </w:tc>
        <w:tc>
          <w:tcPr>
            <w:tcW w:w="850" w:type="dxa"/>
            <w:tcBorders>
              <w:bottom w:val="single" w:sz="4" w:space="0" w:color="auto"/>
            </w:tcBorders>
            <w:noWrap/>
            <w:vAlign w:val="center"/>
          </w:tcPr>
          <w:p w:rsidR="00085EB2" w:rsidRPr="00370E70" w:rsidRDefault="00085EB2" w:rsidP="008C585C">
            <w:pPr>
              <w:spacing w:before="0" w:after="0"/>
              <w:rPr>
                <w:sz w:val="18"/>
                <w:szCs w:val="18"/>
              </w:rPr>
            </w:pPr>
            <w:r w:rsidRPr="00370E70">
              <w:rPr>
                <w:sz w:val="18"/>
                <w:szCs w:val="18"/>
              </w:rPr>
              <w:t>HU</w:t>
            </w:r>
          </w:p>
        </w:tc>
        <w:tc>
          <w:tcPr>
            <w:tcW w:w="744" w:type="dxa"/>
            <w:tcBorders>
              <w:bottom w:val="single" w:sz="4" w:space="0" w:color="auto"/>
            </w:tcBorders>
            <w:vAlign w:val="center"/>
          </w:tcPr>
          <w:p w:rsidR="00085EB2" w:rsidRPr="00370E70" w:rsidRDefault="00085EB2" w:rsidP="008F7331">
            <w:pPr>
              <w:spacing w:before="0" w:after="0"/>
              <w:jc w:val="center"/>
              <w:rPr>
                <w:sz w:val="18"/>
                <w:szCs w:val="18"/>
              </w:rPr>
            </w:pPr>
            <w:r w:rsidRPr="00370E70">
              <w:rPr>
                <w:sz w:val="18"/>
                <w:szCs w:val="18"/>
              </w:rPr>
              <w:t>44.567</w:t>
            </w:r>
          </w:p>
        </w:tc>
        <w:tc>
          <w:tcPr>
            <w:tcW w:w="653" w:type="dxa"/>
            <w:tcBorders>
              <w:bottom w:val="single" w:sz="4" w:space="0" w:color="auto"/>
            </w:tcBorders>
            <w:shd w:val="clear" w:color="auto" w:fill="E6E6E6"/>
            <w:vAlign w:val="center"/>
          </w:tcPr>
          <w:p w:rsidR="00085EB2" w:rsidRPr="00370E70" w:rsidRDefault="00085EB2" w:rsidP="008F7331">
            <w:pPr>
              <w:spacing w:before="0" w:after="0"/>
              <w:jc w:val="center"/>
              <w:rPr>
                <w:sz w:val="18"/>
                <w:szCs w:val="18"/>
              </w:rPr>
            </w:pPr>
            <w:r w:rsidRPr="00370E70">
              <w:rPr>
                <w:sz w:val="18"/>
                <w:szCs w:val="18"/>
              </w:rPr>
              <w:t>12.62</w:t>
            </w:r>
          </w:p>
        </w:tc>
        <w:tc>
          <w:tcPr>
            <w:tcW w:w="954" w:type="dxa"/>
            <w:tcBorders>
              <w:bottom w:val="single" w:sz="4" w:space="0" w:color="auto"/>
            </w:tcBorders>
            <w:noWrap/>
            <w:vAlign w:val="center"/>
          </w:tcPr>
          <w:p w:rsidR="00085EB2" w:rsidRPr="00370E70" w:rsidRDefault="00085EB2" w:rsidP="008F7331">
            <w:pPr>
              <w:spacing w:before="0" w:after="0"/>
              <w:jc w:val="center"/>
              <w:rPr>
                <w:sz w:val="18"/>
                <w:szCs w:val="18"/>
              </w:rPr>
            </w:pPr>
            <w:r w:rsidRPr="00370E70">
              <w:rPr>
                <w:sz w:val="18"/>
                <w:szCs w:val="18"/>
              </w:rPr>
              <w:t>-9.8±0.2</w:t>
            </w:r>
          </w:p>
        </w:tc>
        <w:tc>
          <w:tcPr>
            <w:tcW w:w="975" w:type="dxa"/>
            <w:tcBorders>
              <w:bottom w:val="single" w:sz="4" w:space="0" w:color="auto"/>
            </w:tcBorders>
            <w:vAlign w:val="center"/>
          </w:tcPr>
          <w:p w:rsidR="00085EB2" w:rsidRPr="00370E70" w:rsidRDefault="00085EB2" w:rsidP="00DC1772">
            <w:pPr>
              <w:spacing w:before="0" w:after="0"/>
              <w:jc w:val="center"/>
              <w:rPr>
                <w:sz w:val="18"/>
                <w:szCs w:val="18"/>
              </w:rPr>
            </w:pPr>
            <w:r w:rsidRPr="00370E70">
              <w:rPr>
                <w:sz w:val="18"/>
                <w:szCs w:val="18"/>
              </w:rPr>
              <w:t>0.96±0.04</w:t>
            </w:r>
          </w:p>
        </w:tc>
        <w:tc>
          <w:tcPr>
            <w:tcW w:w="1026" w:type="dxa"/>
            <w:tcBorders>
              <w:bottom w:val="single" w:sz="4" w:space="0" w:color="auto"/>
            </w:tcBorders>
            <w:vAlign w:val="center"/>
          </w:tcPr>
          <w:p w:rsidR="00085EB2" w:rsidRPr="00370E70" w:rsidRDefault="00085EB2" w:rsidP="00DC1772">
            <w:pPr>
              <w:spacing w:before="0" w:after="0"/>
              <w:jc w:val="center"/>
              <w:rPr>
                <w:i/>
                <w:sz w:val="18"/>
                <w:szCs w:val="18"/>
              </w:rPr>
            </w:pPr>
            <w:r w:rsidRPr="00370E70">
              <w:rPr>
                <w:i/>
                <w:color w:val="000000"/>
                <w:sz w:val="18"/>
                <w:szCs w:val="18"/>
              </w:rPr>
              <w:t>38.5</w:t>
            </w:r>
          </w:p>
        </w:tc>
        <w:tc>
          <w:tcPr>
            <w:tcW w:w="1722" w:type="dxa"/>
            <w:tcBorders>
              <w:bottom w:val="single" w:sz="4" w:space="0" w:color="auto"/>
            </w:tcBorders>
            <w:vAlign w:val="center"/>
          </w:tcPr>
          <w:p w:rsidR="00085EB2" w:rsidRPr="00370E70" w:rsidRDefault="00085EB2" w:rsidP="00DC1772">
            <w:pPr>
              <w:spacing w:before="0" w:after="0"/>
              <w:jc w:val="center"/>
              <w:rPr>
                <w:i/>
                <w:sz w:val="18"/>
                <w:szCs w:val="18"/>
              </w:rPr>
            </w:pPr>
            <w:r w:rsidRPr="00370E70">
              <w:rPr>
                <w:i/>
                <w:sz w:val="18"/>
                <w:szCs w:val="18"/>
              </w:rPr>
              <w:t>-11.2 (-13.0 to -7.8)</w:t>
            </w:r>
          </w:p>
        </w:tc>
        <w:tc>
          <w:tcPr>
            <w:tcW w:w="905" w:type="dxa"/>
            <w:tcBorders>
              <w:bottom w:val="single" w:sz="4" w:space="0" w:color="auto"/>
            </w:tcBorders>
          </w:tcPr>
          <w:p w:rsidR="00085EB2" w:rsidRPr="00370E70" w:rsidRDefault="00085EB2" w:rsidP="008F7331">
            <w:pPr>
              <w:spacing w:before="0" w:after="0"/>
              <w:jc w:val="center"/>
              <w:rPr>
                <w:i/>
                <w:sz w:val="18"/>
                <w:szCs w:val="18"/>
              </w:rPr>
            </w:pPr>
            <w:r w:rsidRPr="00370E70">
              <w:rPr>
                <w:color w:val="000000"/>
                <w:sz w:val="18"/>
                <w:szCs w:val="18"/>
              </w:rPr>
              <w:t>late dry</w:t>
            </w:r>
          </w:p>
        </w:tc>
      </w:tr>
      <w:tr w:rsidR="00085EB2" w:rsidRPr="00370E70" w:rsidTr="00085EB2">
        <w:trPr>
          <w:trHeight w:val="276"/>
          <w:jc w:val="center"/>
        </w:trPr>
        <w:tc>
          <w:tcPr>
            <w:tcW w:w="1455" w:type="dxa"/>
            <w:tcBorders>
              <w:top w:val="single" w:sz="4" w:space="0" w:color="auto"/>
              <w:bottom w:val="single" w:sz="4" w:space="0" w:color="auto"/>
            </w:tcBorders>
            <w:noWrap/>
            <w:vAlign w:val="center"/>
          </w:tcPr>
          <w:p w:rsidR="00085EB2" w:rsidRPr="00370E70" w:rsidRDefault="00085EB2" w:rsidP="008C585C">
            <w:pPr>
              <w:spacing w:before="0" w:after="0"/>
              <w:rPr>
                <w:sz w:val="18"/>
                <w:szCs w:val="18"/>
              </w:rPr>
            </w:pPr>
            <w:r w:rsidRPr="00370E70">
              <w:rPr>
                <w:sz w:val="18"/>
                <w:szCs w:val="18"/>
              </w:rPr>
              <w:t>Jerona</w:t>
            </w:r>
          </w:p>
        </w:tc>
        <w:tc>
          <w:tcPr>
            <w:tcW w:w="850" w:type="dxa"/>
            <w:tcBorders>
              <w:top w:val="single" w:sz="4" w:space="0" w:color="auto"/>
              <w:bottom w:val="single" w:sz="4" w:space="0" w:color="auto"/>
            </w:tcBorders>
            <w:noWrap/>
            <w:vAlign w:val="center"/>
          </w:tcPr>
          <w:p w:rsidR="00085EB2" w:rsidRPr="00370E70" w:rsidRDefault="00A46CDE" w:rsidP="008C585C">
            <w:pPr>
              <w:spacing w:before="0" w:after="0"/>
              <w:rPr>
                <w:sz w:val="18"/>
                <w:szCs w:val="18"/>
              </w:rPr>
            </w:pPr>
            <w:r w:rsidRPr="00370E70">
              <w:rPr>
                <w:sz w:val="18"/>
                <w:szCs w:val="18"/>
              </w:rPr>
              <w:t>ZM</w:t>
            </w:r>
          </w:p>
        </w:tc>
        <w:tc>
          <w:tcPr>
            <w:tcW w:w="744" w:type="dxa"/>
            <w:tcBorders>
              <w:top w:val="single" w:sz="4" w:space="0" w:color="auto"/>
              <w:bottom w:val="single" w:sz="4" w:space="0" w:color="auto"/>
            </w:tcBorders>
            <w:vAlign w:val="center"/>
          </w:tcPr>
          <w:p w:rsidR="00085EB2" w:rsidRPr="00370E70" w:rsidRDefault="00085EB2" w:rsidP="008F7331">
            <w:pPr>
              <w:spacing w:before="0" w:after="0"/>
              <w:jc w:val="center"/>
              <w:rPr>
                <w:sz w:val="18"/>
                <w:szCs w:val="18"/>
              </w:rPr>
            </w:pPr>
            <w:r w:rsidRPr="00370E70">
              <w:rPr>
                <w:sz w:val="18"/>
                <w:szCs w:val="18"/>
              </w:rPr>
              <w:t>39.7</w:t>
            </w:r>
          </w:p>
        </w:tc>
        <w:tc>
          <w:tcPr>
            <w:tcW w:w="653" w:type="dxa"/>
            <w:tcBorders>
              <w:top w:val="single" w:sz="4" w:space="0" w:color="auto"/>
              <w:bottom w:val="single" w:sz="4" w:space="0" w:color="auto"/>
            </w:tcBorders>
            <w:shd w:val="clear" w:color="auto" w:fill="E6E6E6"/>
            <w:vAlign w:val="center"/>
          </w:tcPr>
          <w:p w:rsidR="00085EB2" w:rsidRPr="00370E70" w:rsidRDefault="00085EB2" w:rsidP="008F7331">
            <w:pPr>
              <w:spacing w:before="0" w:after="0"/>
              <w:jc w:val="center"/>
              <w:rPr>
                <w:sz w:val="18"/>
                <w:szCs w:val="18"/>
              </w:rPr>
            </w:pPr>
            <w:r w:rsidRPr="00370E70">
              <w:rPr>
                <w:sz w:val="18"/>
                <w:szCs w:val="18"/>
              </w:rPr>
              <w:t>14.90</w:t>
            </w:r>
          </w:p>
        </w:tc>
        <w:tc>
          <w:tcPr>
            <w:tcW w:w="954" w:type="dxa"/>
            <w:tcBorders>
              <w:top w:val="single" w:sz="4" w:space="0" w:color="auto"/>
              <w:bottom w:val="single" w:sz="4" w:space="0" w:color="auto"/>
            </w:tcBorders>
            <w:shd w:val="clear" w:color="auto" w:fill="E6E6E6"/>
            <w:noWrap/>
            <w:vAlign w:val="center"/>
          </w:tcPr>
          <w:p w:rsidR="00085EB2" w:rsidRPr="00370E70" w:rsidRDefault="00085EB2" w:rsidP="008F7331">
            <w:pPr>
              <w:spacing w:before="0" w:after="0"/>
              <w:jc w:val="center"/>
              <w:rPr>
                <w:sz w:val="18"/>
                <w:szCs w:val="18"/>
              </w:rPr>
            </w:pPr>
            <w:r w:rsidRPr="00370E70">
              <w:rPr>
                <w:sz w:val="18"/>
                <w:szCs w:val="18"/>
              </w:rPr>
              <w:t>-13.9</w:t>
            </w:r>
          </w:p>
        </w:tc>
        <w:tc>
          <w:tcPr>
            <w:tcW w:w="975" w:type="dxa"/>
            <w:tcBorders>
              <w:top w:val="single" w:sz="4" w:space="0" w:color="auto"/>
              <w:bottom w:val="single" w:sz="4" w:space="0" w:color="auto"/>
            </w:tcBorders>
            <w:vAlign w:val="center"/>
          </w:tcPr>
          <w:p w:rsidR="00085EB2" w:rsidRPr="00370E70" w:rsidRDefault="00085EB2" w:rsidP="00DC1772">
            <w:pPr>
              <w:spacing w:before="0" w:after="0"/>
              <w:jc w:val="center"/>
              <w:rPr>
                <w:sz w:val="18"/>
                <w:szCs w:val="18"/>
              </w:rPr>
            </w:pPr>
            <w:r w:rsidRPr="00370E70">
              <w:rPr>
                <w:sz w:val="18"/>
                <w:szCs w:val="18"/>
              </w:rPr>
              <w:t>-4.87</w:t>
            </w:r>
          </w:p>
        </w:tc>
        <w:tc>
          <w:tcPr>
            <w:tcW w:w="1026" w:type="dxa"/>
            <w:tcBorders>
              <w:top w:val="single" w:sz="4" w:space="0" w:color="auto"/>
              <w:bottom w:val="single" w:sz="4" w:space="0" w:color="auto"/>
            </w:tcBorders>
            <w:vAlign w:val="center"/>
          </w:tcPr>
          <w:p w:rsidR="00085EB2" w:rsidRPr="00370E70" w:rsidRDefault="00085EB2" w:rsidP="00DC1772">
            <w:pPr>
              <w:spacing w:before="0" w:after="0"/>
              <w:jc w:val="center"/>
              <w:rPr>
                <w:i/>
                <w:sz w:val="18"/>
                <w:szCs w:val="18"/>
              </w:rPr>
            </w:pPr>
            <w:r w:rsidRPr="00370E70">
              <w:rPr>
                <w:i/>
                <w:color w:val="000000"/>
                <w:sz w:val="18"/>
                <w:szCs w:val="18"/>
              </w:rPr>
              <w:t>32</w:t>
            </w:r>
          </w:p>
        </w:tc>
        <w:tc>
          <w:tcPr>
            <w:tcW w:w="1722" w:type="dxa"/>
            <w:tcBorders>
              <w:top w:val="single" w:sz="4" w:space="0" w:color="auto"/>
              <w:bottom w:val="single" w:sz="4" w:space="0" w:color="auto"/>
            </w:tcBorders>
            <w:vAlign w:val="center"/>
          </w:tcPr>
          <w:p w:rsidR="00085EB2" w:rsidRPr="00370E70" w:rsidRDefault="00085EB2" w:rsidP="00DC1772">
            <w:pPr>
              <w:spacing w:before="0" w:after="0"/>
              <w:jc w:val="center"/>
              <w:rPr>
                <w:i/>
                <w:sz w:val="18"/>
                <w:szCs w:val="18"/>
              </w:rPr>
            </w:pPr>
            <w:r w:rsidRPr="00370E70">
              <w:rPr>
                <w:i/>
                <w:sz w:val="18"/>
                <w:szCs w:val="18"/>
              </w:rPr>
              <w:t>-10.8 (-12.4 to -9.2)</w:t>
            </w:r>
          </w:p>
        </w:tc>
        <w:tc>
          <w:tcPr>
            <w:tcW w:w="905" w:type="dxa"/>
            <w:tcBorders>
              <w:top w:val="single" w:sz="4" w:space="0" w:color="auto"/>
              <w:bottom w:val="single" w:sz="4" w:space="0" w:color="auto"/>
            </w:tcBorders>
          </w:tcPr>
          <w:p w:rsidR="00085EB2" w:rsidRPr="00370E70" w:rsidRDefault="00085EB2" w:rsidP="008F7331">
            <w:pPr>
              <w:spacing w:before="0" w:after="0"/>
              <w:jc w:val="center"/>
              <w:rPr>
                <w:i/>
                <w:sz w:val="18"/>
                <w:szCs w:val="18"/>
              </w:rPr>
            </w:pPr>
            <w:r w:rsidRPr="00370E70">
              <w:rPr>
                <w:color w:val="000000"/>
                <w:sz w:val="18"/>
                <w:szCs w:val="18"/>
              </w:rPr>
              <w:t>late wet</w:t>
            </w:r>
          </w:p>
        </w:tc>
      </w:tr>
    </w:tbl>
    <w:p w:rsidR="00085EB2" w:rsidRPr="00370E70" w:rsidRDefault="00085EB2" w:rsidP="00085EB2">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 xml:space="preserve">C values for foundation species were below the global average at Jerona in the late wet season. This would be expected, as it may be a consequence of reduced growth during the onset of the senescent season, when light availability is naturally low (from the monsoon) and temperatures are declining. </w:t>
      </w:r>
    </w:p>
    <w:p w:rsidR="005132EF" w:rsidRPr="00370E70" w:rsidRDefault="00C610E4" w:rsidP="00034AD4">
      <w:pPr>
        <w:pStyle w:val="Heading4"/>
        <w:rPr>
          <w:b/>
          <w:iCs/>
          <w:color w:val="000000"/>
        </w:rPr>
      </w:pPr>
      <w:r w:rsidRPr="00370E70">
        <w:rPr>
          <w:b/>
          <w:iCs/>
          <w:color w:val="000000"/>
        </w:rPr>
        <w:t>Epiphytes and macro</w:t>
      </w:r>
      <w:r w:rsidR="005132EF" w:rsidRPr="00370E70">
        <w:rPr>
          <w:b/>
          <w:iCs/>
          <w:color w:val="000000"/>
        </w:rPr>
        <w:t>algae</w:t>
      </w:r>
      <w:bookmarkEnd w:id="484"/>
      <w:bookmarkEnd w:id="485"/>
    </w:p>
    <w:p w:rsidR="005132EF" w:rsidRPr="00370E70" w:rsidRDefault="005132EF" w:rsidP="00034AD4">
      <w:pPr>
        <w:rPr>
          <w:color w:val="000000"/>
          <w:szCs w:val="22"/>
        </w:rPr>
      </w:pPr>
      <w:r w:rsidRPr="00370E70">
        <w:rPr>
          <w:color w:val="000000"/>
          <w:szCs w:val="22"/>
        </w:rPr>
        <w:t>Epiphyte cover on seagrass leaf blades at coastal sites was highly variable (</w:t>
      </w:r>
      <w:r w:rsidRPr="00370E70">
        <w:fldChar w:fldCharType="begin"/>
      </w:r>
      <w:r w:rsidRPr="00370E70">
        <w:instrText xml:space="preserve"> REF _Ref211930918 \h  \* MERGEFORMAT </w:instrText>
      </w:r>
      <w:r w:rsidRPr="00370E70">
        <w:fldChar w:fldCharType="separate"/>
      </w:r>
      <w:r w:rsidR="005B5FD6" w:rsidRPr="005B5FD6">
        <w:rPr>
          <w:szCs w:val="22"/>
        </w:rPr>
        <w:t xml:space="preserve">Figure </w:t>
      </w:r>
      <w:r w:rsidR="005B5FD6" w:rsidRPr="005B5FD6">
        <w:rPr>
          <w:noProof/>
          <w:color w:val="000000"/>
          <w:szCs w:val="22"/>
        </w:rPr>
        <w:t>98</w:t>
      </w:r>
      <w:r w:rsidRPr="00370E70">
        <w:fldChar w:fldCharType="end"/>
      </w:r>
      <w:r w:rsidRPr="00370E70">
        <w:rPr>
          <w:color w:val="000000"/>
          <w:szCs w:val="22"/>
        </w:rPr>
        <w:t>) and was similar over the 2011/12 monitoring period (above GBR long-term average) compared to the previous two monitoring periods, regardless of the extremely low seagrass cover. Percentage cover of macro-algae at coastal sites has remained low over the past couple of years (</w:t>
      </w:r>
      <w:r w:rsidRPr="00370E70">
        <w:fldChar w:fldCharType="begin"/>
      </w:r>
      <w:r w:rsidRPr="00370E70">
        <w:instrText xml:space="preserve"> REF _Ref211930918 \h  \* MERGEFORMAT </w:instrText>
      </w:r>
      <w:r w:rsidRPr="00370E70">
        <w:fldChar w:fldCharType="separate"/>
      </w:r>
      <w:r w:rsidR="005B5FD6" w:rsidRPr="005B5FD6">
        <w:rPr>
          <w:szCs w:val="22"/>
        </w:rPr>
        <w:t xml:space="preserve">Figure </w:t>
      </w:r>
      <w:r w:rsidR="005B5FD6" w:rsidRPr="005B5FD6">
        <w:rPr>
          <w:noProof/>
          <w:color w:val="000000"/>
          <w:szCs w:val="22"/>
        </w:rPr>
        <w:t>98</w:t>
      </w:r>
      <w:r w:rsidRPr="00370E70">
        <w:fldChar w:fldCharType="end"/>
      </w:r>
      <w:r w:rsidRPr="00370E70">
        <w:rPr>
          <w:color w:val="000000"/>
          <w:szCs w:val="22"/>
        </w:rPr>
        <w:t xml:space="preserve">), below the GBR long-term average. </w:t>
      </w:r>
    </w:p>
    <w:p w:rsidR="005132EF" w:rsidRPr="00370E70" w:rsidRDefault="007B15AB" w:rsidP="00536F8F">
      <w:pPr>
        <w:keepNext/>
        <w:jc w:val="center"/>
        <w:rPr>
          <w:szCs w:val="22"/>
        </w:rPr>
      </w:pPr>
      <w:r>
        <w:rPr>
          <w:noProof/>
          <w:lang w:eastAsia="en-AU"/>
        </w:rPr>
        <w:drawing>
          <wp:inline distT="0" distB="0" distL="0" distR="0">
            <wp:extent cx="4327525" cy="1584325"/>
            <wp:effectExtent l="0" t="0" r="0" b="0"/>
            <wp:docPr id="134" name="Picture 141" descr="Graph of long-term trend in mean abundance (% cover) of epiphytes and macro-algae at coastal intertidal seagrass monitoring locations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Graph of long-term trend in mean abundance (% cover) of epiphytes and macro-algae at coastal intertidal seagrass monitoring locations (sites pooled)."/>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4327525" cy="1584325"/>
                    </a:xfrm>
                    <a:prstGeom prst="rect">
                      <a:avLst/>
                    </a:prstGeom>
                    <a:noFill/>
                    <a:ln>
                      <a:noFill/>
                    </a:ln>
                  </pic:spPr>
                </pic:pic>
              </a:graphicData>
            </a:graphic>
          </wp:inline>
        </w:drawing>
      </w:r>
    </w:p>
    <w:p w:rsidR="00C610E4" w:rsidRPr="00370E70" w:rsidRDefault="005132EF" w:rsidP="00C610E4">
      <w:pPr>
        <w:pStyle w:val="Caption"/>
        <w:spacing w:before="0"/>
        <w:ind w:right="233"/>
        <w:rPr>
          <w:i/>
          <w:vanish/>
          <w:color w:val="000000"/>
          <w:szCs w:val="22"/>
          <w:lang w:val="en-AU"/>
          <w:specVanish/>
        </w:rPr>
      </w:pPr>
      <w:bookmarkStart w:id="488" w:name="_Ref211930918"/>
      <w:bookmarkStart w:id="489" w:name="_Toc384196445"/>
      <w:bookmarkStart w:id="490" w:name="_Toc23284598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98</w:t>
      </w:r>
      <w:r w:rsidRPr="00370E70">
        <w:rPr>
          <w:lang w:val="en-AU"/>
        </w:rPr>
        <w:fldChar w:fldCharType="end"/>
      </w:r>
      <w:bookmarkEnd w:id="488"/>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C702ED">
        <w:rPr>
          <w:i/>
          <w:lang w:val="en-AU"/>
        </w:rPr>
        <w:t xml:space="preserve">inshore </w:t>
      </w:r>
      <w:r w:rsidR="00C702ED" w:rsidRPr="00370E70">
        <w:rPr>
          <w:i/>
          <w:lang w:val="en-AU"/>
        </w:rPr>
        <w:t xml:space="preserve">intertidal </w:t>
      </w:r>
      <w:r w:rsidRPr="00370E70">
        <w:rPr>
          <w:i/>
          <w:lang w:val="en-AU"/>
        </w:rPr>
        <w:t xml:space="preserve">coastal </w:t>
      </w:r>
      <w:r w:rsidR="00C702ED">
        <w:rPr>
          <w:i/>
          <w:lang w:val="en-AU"/>
        </w:rPr>
        <w:t>habitats in the Burdekin region</w:t>
      </w:r>
      <w:r w:rsidRPr="00370E70">
        <w:rPr>
          <w:i/>
          <w:lang w:val="en-AU"/>
        </w:rPr>
        <w:t xml:space="preserve"> (sites pooled).</w:t>
      </w:r>
      <w:bookmarkEnd w:id="489"/>
      <w:r w:rsidRPr="00370E70">
        <w:rPr>
          <w:i/>
          <w:lang w:val="en-AU"/>
        </w:rPr>
        <w:t xml:space="preserve"> </w:t>
      </w:r>
      <w:bookmarkEnd w:id="490"/>
    </w:p>
    <w:p w:rsidR="00C610E4" w:rsidRPr="00370E70" w:rsidRDefault="005132EF" w:rsidP="00C610E4">
      <w:pPr>
        <w:pStyle w:val="Caption"/>
        <w:spacing w:before="0"/>
        <w:ind w:right="233"/>
        <w:rPr>
          <w:lang w:val="en-AU"/>
        </w:rPr>
      </w:pPr>
      <w:r w:rsidRPr="00370E70">
        <w:rPr>
          <w:i/>
          <w:lang w:val="en-AU"/>
        </w:rPr>
        <w:t>Red line = GBR long-term average; epiphytes=17%, macro-algae=4.7%.</w:t>
      </w:r>
      <w:r w:rsidR="00C610E4" w:rsidRPr="00370E70">
        <w:rPr>
          <w:lang w:val="en-AU"/>
        </w:rPr>
        <w:t xml:space="preserve"> </w:t>
      </w:r>
    </w:p>
    <w:p w:rsidR="005132EF" w:rsidRPr="00370E70" w:rsidRDefault="005132EF" w:rsidP="00034AD4">
      <w:pPr>
        <w:rPr>
          <w:color w:val="000000"/>
          <w:szCs w:val="22"/>
        </w:rPr>
      </w:pPr>
      <w:r w:rsidRPr="00370E70">
        <w:rPr>
          <w:color w:val="000000"/>
          <w:szCs w:val="22"/>
        </w:rPr>
        <w:t>Epiphyte cover at reef habitats was similar over the 2011/12 monitoring period to the previous monitoring period, however it was slightly higher during the late dry-</w:t>
      </w:r>
      <w:r w:rsidR="002C6536" w:rsidRPr="00370E70">
        <w:rPr>
          <w:color w:val="000000"/>
          <w:szCs w:val="22"/>
        </w:rPr>
        <w:t>monsoon</w:t>
      </w:r>
      <w:r w:rsidRPr="00370E70">
        <w:rPr>
          <w:color w:val="000000"/>
          <w:szCs w:val="22"/>
        </w:rPr>
        <w:t>. Macro-algae increased above the GBR average fort he first time in 2 years. There does not appear to be any clear long-term trend in abundance (</w:t>
      </w:r>
      <w:r w:rsidRPr="00370E70">
        <w:fldChar w:fldCharType="begin"/>
      </w:r>
      <w:r w:rsidRPr="00370E70">
        <w:instrText xml:space="preserve"> REF _Ref211931079 \h  \* MERGEFORMAT </w:instrText>
      </w:r>
      <w:r w:rsidRPr="00370E70">
        <w:fldChar w:fldCharType="separate"/>
      </w:r>
      <w:r w:rsidR="005B5FD6" w:rsidRPr="005B5FD6">
        <w:rPr>
          <w:szCs w:val="22"/>
        </w:rPr>
        <w:t xml:space="preserve">Figure </w:t>
      </w:r>
      <w:r w:rsidR="005B5FD6" w:rsidRPr="005B5FD6">
        <w:rPr>
          <w:noProof/>
          <w:color w:val="000000"/>
          <w:szCs w:val="22"/>
        </w:rPr>
        <w:t>99</w:t>
      </w:r>
      <w:r w:rsidRPr="00370E70">
        <w:fldChar w:fldCharType="end"/>
      </w:r>
      <w:r w:rsidRPr="00370E70">
        <w:rPr>
          <w:color w:val="000000"/>
          <w:szCs w:val="22"/>
        </w:rPr>
        <w:t>).</w:t>
      </w:r>
    </w:p>
    <w:p w:rsidR="005132EF" w:rsidRPr="00370E70" w:rsidRDefault="007B15AB" w:rsidP="00536F8F">
      <w:pPr>
        <w:keepNext/>
        <w:jc w:val="center"/>
        <w:rPr>
          <w:szCs w:val="22"/>
        </w:rPr>
      </w:pPr>
      <w:r>
        <w:rPr>
          <w:noProof/>
          <w:lang w:eastAsia="en-AU"/>
        </w:rPr>
        <w:lastRenderedPageBreak/>
        <w:drawing>
          <wp:inline distT="0" distB="0" distL="0" distR="0">
            <wp:extent cx="4314190" cy="1609725"/>
            <wp:effectExtent l="0" t="0" r="0" b="9525"/>
            <wp:docPr id="135" name="Picture 142" descr="Graph of long-term trend in mean abundance (% cover) of epiphytes and macro-algae at reef intertidal seagrass monitoring locations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Graph of long-term trend in mean abundance (% cover) of epiphytes and macro-algae at reef intertidal seagrass monitoring locations (sites pooled)."/>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C610E4" w:rsidRPr="00370E70" w:rsidRDefault="005132EF" w:rsidP="00C610E4">
      <w:pPr>
        <w:pStyle w:val="Caption"/>
        <w:spacing w:before="0"/>
        <w:ind w:right="233"/>
        <w:rPr>
          <w:i/>
          <w:vanish/>
          <w:color w:val="000000"/>
          <w:szCs w:val="22"/>
          <w:lang w:val="en-AU"/>
          <w:specVanish/>
        </w:rPr>
      </w:pPr>
      <w:bookmarkStart w:id="491" w:name="_Ref211931079"/>
      <w:bookmarkStart w:id="492" w:name="_Toc384196446"/>
      <w:bookmarkStart w:id="493" w:name="_Toc23284598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99</w:t>
      </w:r>
      <w:r w:rsidRPr="00370E70">
        <w:rPr>
          <w:lang w:val="en-AU"/>
        </w:rPr>
        <w:fldChar w:fldCharType="end"/>
      </w:r>
      <w:bookmarkEnd w:id="491"/>
      <w:r w:rsidRPr="00370E70">
        <w:rPr>
          <w:rStyle w:val="StyleCaptionCaptionCharCharLatinCalibri11ptBlackChar"/>
          <w:lang w:val="en-AU"/>
        </w:rPr>
        <w:t xml:space="preserve">. </w:t>
      </w:r>
      <w:bookmarkStart w:id="494" w:name="OLE_LINK14"/>
      <w:r w:rsidRPr="00370E70">
        <w:rPr>
          <w:i/>
          <w:lang w:val="en-AU"/>
        </w:rPr>
        <w:t>Mean abundance (% cover) (± Standar</w:t>
      </w:r>
      <w:r w:rsidR="00C610E4" w:rsidRPr="00370E70">
        <w:rPr>
          <w:i/>
          <w:lang w:val="en-AU"/>
        </w:rPr>
        <w:t>d Error) of epiphytes and macro</w:t>
      </w:r>
      <w:r w:rsidRPr="00370E70">
        <w:rPr>
          <w:i/>
          <w:lang w:val="en-AU"/>
        </w:rPr>
        <w:t xml:space="preserve">algae at </w:t>
      </w:r>
      <w:r w:rsidR="00C702ED">
        <w:rPr>
          <w:i/>
          <w:lang w:val="en-AU"/>
        </w:rPr>
        <w:t xml:space="preserve">inshore </w:t>
      </w:r>
      <w:r w:rsidRPr="00370E70">
        <w:rPr>
          <w:i/>
          <w:lang w:val="en-AU"/>
        </w:rPr>
        <w:t xml:space="preserve">intertidal reef </w:t>
      </w:r>
      <w:r w:rsidR="00C702ED">
        <w:rPr>
          <w:i/>
          <w:lang w:val="en-AU"/>
        </w:rPr>
        <w:t>habitats in the Burdekin region</w:t>
      </w:r>
      <w:r w:rsidRPr="00370E70">
        <w:rPr>
          <w:i/>
          <w:lang w:val="en-AU"/>
        </w:rPr>
        <w:t>.</w:t>
      </w:r>
      <w:bookmarkEnd w:id="492"/>
      <w:r w:rsidRPr="00370E70">
        <w:rPr>
          <w:i/>
          <w:lang w:val="en-AU"/>
        </w:rPr>
        <w:t xml:space="preserve"> </w:t>
      </w:r>
    </w:p>
    <w:p w:rsidR="00C610E4" w:rsidRPr="00370E70" w:rsidRDefault="005132EF" w:rsidP="00C610E4">
      <w:pPr>
        <w:pStyle w:val="Caption"/>
        <w:spacing w:before="0"/>
        <w:ind w:right="233"/>
        <w:rPr>
          <w:lang w:val="en-AU"/>
        </w:rPr>
      </w:pPr>
      <w:r w:rsidRPr="00370E70">
        <w:rPr>
          <w:i/>
          <w:lang w:val="en-AU"/>
        </w:rPr>
        <w:t>Red line = GBR long-term average; epiphytes=28%, macro-algae=6.2%.</w:t>
      </w:r>
      <w:bookmarkEnd w:id="493"/>
      <w:bookmarkEnd w:id="494"/>
      <w:r w:rsidR="00C610E4" w:rsidRPr="00370E70">
        <w:rPr>
          <w:lang w:val="en-AU"/>
        </w:rPr>
        <w:t xml:space="preserve"> </w:t>
      </w:r>
    </w:p>
    <w:p w:rsidR="005132EF" w:rsidRPr="00370E70" w:rsidRDefault="007B15AB" w:rsidP="00AD3289">
      <w:pPr>
        <w:keepNext/>
        <w:jc w:val="center"/>
      </w:pPr>
      <w:r>
        <w:rPr>
          <w:noProof/>
          <w:lang w:eastAsia="en-AU"/>
        </w:rPr>
        <w:drawing>
          <wp:inline distT="0" distB="0" distL="0" distR="0">
            <wp:extent cx="2163445" cy="1687195"/>
            <wp:effectExtent l="0" t="0" r="8255" b="0"/>
            <wp:docPr id="136" name="Picture 5" descr="Graph of long-term trend in mean abundance (% cover) of epiphytes at reef subtidal seagrass monitoring locations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aph of long-term trend in mean abundance (% cover) of epiphytes at reef subtidal seagrass monitoring locations (sites pooled)."/>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2163445" cy="1687195"/>
                    </a:xfrm>
                    <a:prstGeom prst="rect">
                      <a:avLst/>
                    </a:prstGeom>
                    <a:noFill/>
                    <a:ln>
                      <a:noFill/>
                    </a:ln>
                  </pic:spPr>
                </pic:pic>
              </a:graphicData>
            </a:graphic>
          </wp:inline>
        </w:drawing>
      </w:r>
      <w:r>
        <w:rPr>
          <w:noProof/>
          <w:lang w:eastAsia="en-AU"/>
        </w:rPr>
        <w:drawing>
          <wp:inline distT="0" distB="0" distL="0" distR="0">
            <wp:extent cx="2163445" cy="1687195"/>
            <wp:effectExtent l="0" t="0" r="8255" b="0"/>
            <wp:docPr id="137" name="Picture 9" descr="Graph of long-term trend in mean abundance (% cover) of macro-algae at reef subtidal seagrass monitoring locations (site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aph of long-term trend in mean abundance (% cover) of macro-algae at reef subtidal seagrass monitoring locations (sites pooled)."/>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2163445" cy="1687195"/>
                    </a:xfrm>
                    <a:prstGeom prst="rect">
                      <a:avLst/>
                    </a:prstGeom>
                    <a:noFill/>
                    <a:ln>
                      <a:noFill/>
                    </a:ln>
                  </pic:spPr>
                </pic:pic>
              </a:graphicData>
            </a:graphic>
          </wp:inline>
        </w:drawing>
      </w:r>
    </w:p>
    <w:p w:rsidR="00DA6C70" w:rsidRPr="00370E70" w:rsidRDefault="005132EF" w:rsidP="00DA6C70">
      <w:pPr>
        <w:pStyle w:val="Caption"/>
        <w:spacing w:before="0"/>
        <w:ind w:right="233"/>
        <w:rPr>
          <w:i/>
          <w:vanish/>
          <w:lang w:val="en-AU"/>
          <w:specVanish/>
        </w:rPr>
      </w:pPr>
      <w:bookmarkStart w:id="495" w:name="_Toc38419644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100</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C702ED">
        <w:rPr>
          <w:i/>
          <w:lang w:val="en-AU"/>
        </w:rPr>
        <w:t xml:space="preserve">inshore </w:t>
      </w:r>
      <w:r w:rsidRPr="00370E70">
        <w:rPr>
          <w:i/>
          <w:lang w:val="en-AU"/>
        </w:rPr>
        <w:t xml:space="preserve">subtidal reef </w:t>
      </w:r>
      <w:r w:rsidR="00C702ED">
        <w:rPr>
          <w:i/>
          <w:lang w:val="en-AU"/>
        </w:rPr>
        <w:t>habitats in the Burdekin region</w:t>
      </w:r>
      <w:r w:rsidRPr="00370E70">
        <w:rPr>
          <w:i/>
          <w:lang w:val="en-AU"/>
        </w:rPr>
        <w:t>.</w:t>
      </w:r>
      <w:bookmarkEnd w:id="495"/>
      <w:r w:rsidR="00C610E4" w:rsidRPr="00370E70">
        <w:rPr>
          <w:i/>
          <w:vanish/>
          <w:color w:val="000000"/>
          <w:szCs w:val="22"/>
          <w:lang w:val="en-AU"/>
          <w:specVanish/>
        </w:rPr>
        <w:t xml:space="preserve"> </w:t>
      </w:r>
      <w:r w:rsidRPr="00370E70">
        <w:rPr>
          <w:i/>
          <w:lang w:val="en-AU"/>
        </w:rPr>
        <w:t xml:space="preserve"> </w:t>
      </w:r>
    </w:p>
    <w:p w:rsidR="00DA6C70" w:rsidRPr="00370E70" w:rsidRDefault="005132EF" w:rsidP="00DA6C70">
      <w:pPr>
        <w:pStyle w:val="Caption"/>
        <w:spacing w:before="0"/>
        <w:ind w:right="233"/>
        <w:rPr>
          <w:lang w:val="en-AU"/>
        </w:rPr>
      </w:pPr>
      <w:r w:rsidRPr="00370E70">
        <w:rPr>
          <w:i/>
          <w:lang w:val="en-AU"/>
        </w:rPr>
        <w:t>Red line = GBR long-term average; epiphytes=17%, macro-algae=4.7%.</w:t>
      </w:r>
      <w:r w:rsidR="00C610E4" w:rsidRPr="00370E70">
        <w:rPr>
          <w:lang w:val="en-AU"/>
        </w:rPr>
        <w:t xml:space="preserve"> </w:t>
      </w:r>
      <w:r w:rsidR="00DA6C70" w:rsidRPr="00370E70">
        <w:rPr>
          <w:lang w:val="en-AU"/>
        </w:rPr>
        <w:t xml:space="preserve"> </w:t>
      </w:r>
    </w:p>
    <w:p w:rsidR="005132EF" w:rsidRPr="00370E70" w:rsidRDefault="005132EF" w:rsidP="00034AD4">
      <w:pPr>
        <w:pStyle w:val="Heading4"/>
        <w:rPr>
          <w:b/>
          <w:color w:val="000000"/>
        </w:rPr>
      </w:pPr>
      <w:bookmarkStart w:id="496" w:name="_Toc184102004"/>
      <w:bookmarkStart w:id="497" w:name="_Toc175991080"/>
      <w:bookmarkStart w:id="498" w:name="_Toc232845922"/>
      <w:r w:rsidRPr="00370E70">
        <w:rPr>
          <w:b/>
          <w:color w:val="000000"/>
        </w:rPr>
        <w:t>Rhizosphere sediment herbicides</w:t>
      </w:r>
      <w:bookmarkEnd w:id="496"/>
      <w:r w:rsidRPr="00370E70">
        <w:rPr>
          <w:b/>
          <w:color w:val="000000"/>
        </w:rPr>
        <w:t xml:space="preserve"> </w:t>
      </w:r>
    </w:p>
    <w:p w:rsidR="005132EF" w:rsidRPr="00370E70" w:rsidRDefault="005132EF" w:rsidP="00034AD4">
      <w:pPr>
        <w:rPr>
          <w:color w:val="000000"/>
          <w:szCs w:val="22"/>
        </w:rPr>
      </w:pPr>
      <w:r w:rsidRPr="00370E70">
        <w:rPr>
          <w:color w:val="000000"/>
          <w:szCs w:val="22"/>
        </w:rPr>
        <w:t xml:space="preserve">No herbicides were found above detectable limits in the sediments of the seagrass meadows in </w:t>
      </w:r>
      <w:smartTag w:uri="urn:schemas-microsoft-com:office:smarttags" w:element="place">
        <w:smartTag w:uri="urn:schemas-microsoft-com:office:smarttags" w:element="PlaceName">
          <w:r w:rsidRPr="00370E70">
            <w:rPr>
              <w:color w:val="000000"/>
              <w:szCs w:val="22"/>
            </w:rPr>
            <w:t>Bowling Green</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on the 7th April 2012 (</w:t>
      </w:r>
      <w:r w:rsidRPr="00370E70">
        <w:fldChar w:fldCharType="begin"/>
      </w:r>
      <w:r w:rsidRPr="00370E70">
        <w:instrText xml:space="preserve"> REF _Ref304552821 \h  \* MERGEFORMAT </w:instrText>
      </w:r>
      <w:r w:rsidRPr="00370E70">
        <w:fldChar w:fldCharType="separate"/>
      </w:r>
      <w:r w:rsidR="005B5FD6" w:rsidRPr="005B5FD6">
        <w:rPr>
          <w:szCs w:val="22"/>
        </w:rPr>
        <w:t xml:space="preserve">Table </w:t>
      </w:r>
      <w:r w:rsidR="005B5FD6" w:rsidRPr="005B5FD6">
        <w:rPr>
          <w:noProof/>
          <w:color w:val="000000"/>
          <w:szCs w:val="22"/>
        </w:rPr>
        <w:t>26</w:t>
      </w:r>
      <w:r w:rsidRPr="00370E70">
        <w:fldChar w:fldCharType="end"/>
      </w:r>
      <w:r w:rsidRPr="00370E70">
        <w:rPr>
          <w:color w:val="000000"/>
          <w:szCs w:val="22"/>
        </w:rPr>
        <w:t>).</w:t>
      </w:r>
    </w:p>
    <w:p w:rsidR="00C610E4" w:rsidRPr="00370E70" w:rsidRDefault="005132EF" w:rsidP="00C610E4">
      <w:pPr>
        <w:pStyle w:val="Caption"/>
        <w:keepNext/>
        <w:jc w:val="center"/>
        <w:rPr>
          <w:i/>
          <w:vanish/>
          <w:color w:val="000000"/>
          <w:szCs w:val="22"/>
          <w:lang w:val="en-AU"/>
          <w:specVanish/>
        </w:rPr>
      </w:pPr>
      <w:bookmarkStart w:id="499" w:name="_Ref304552821"/>
      <w:bookmarkStart w:id="500" w:name="_Toc384196562"/>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26</w:t>
      </w:r>
      <w:r w:rsidRPr="00370E70">
        <w:rPr>
          <w:lang w:val="en-AU"/>
        </w:rPr>
        <w:fldChar w:fldCharType="end"/>
      </w:r>
      <w:bookmarkEnd w:id="499"/>
      <w:r w:rsidRPr="00370E70">
        <w:rPr>
          <w:rStyle w:val="StyleCaptionCaptionCharCharLatinCalibri11ptBlackChar"/>
          <w:lang w:val="en-AU"/>
        </w:rPr>
        <w:t xml:space="preserve">. </w:t>
      </w:r>
      <w:r w:rsidRPr="00370E70">
        <w:rPr>
          <w:i/>
          <w:lang w:val="en-AU"/>
        </w:rPr>
        <w:t>Concentration of herbicides (mg kg</w:t>
      </w:r>
      <w:r w:rsidRPr="00370E70">
        <w:rPr>
          <w:i/>
          <w:vertAlign w:val="superscript"/>
          <w:lang w:val="en-AU"/>
        </w:rPr>
        <w:t>-1</w:t>
      </w:r>
      <w:r w:rsidRPr="00370E70">
        <w:rPr>
          <w:i/>
          <w:lang w:val="en-AU"/>
        </w:rPr>
        <w:t xml:space="preserve">) in sediments of </w:t>
      </w:r>
      <w:smartTag w:uri="urn:schemas-microsoft-com:office:smarttags" w:element="place">
        <w:smartTag w:uri="urn:schemas-microsoft-com:office:smarttags" w:element="PlaceName">
          <w:r w:rsidRPr="00370E70">
            <w:rPr>
              <w:i/>
              <w:lang w:val="en-AU"/>
            </w:rPr>
            <w:t>Bowling Green</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xml:space="preserve"> </w:t>
      </w:r>
      <w:r w:rsidR="00C702ED">
        <w:rPr>
          <w:i/>
          <w:lang w:val="en-AU"/>
        </w:rPr>
        <w:t xml:space="preserve">(Barratta Creek) </w:t>
      </w:r>
      <w:r w:rsidRPr="00370E70">
        <w:rPr>
          <w:i/>
          <w:lang w:val="en-AU"/>
        </w:rPr>
        <w:t>seagrass monitoring sites in late monsoon 2012.</w:t>
      </w:r>
      <w:bookmarkEnd w:id="500"/>
    </w:p>
    <w:p w:rsidR="00C610E4" w:rsidRPr="00370E70" w:rsidRDefault="005132EF" w:rsidP="00C610E4">
      <w:pPr>
        <w:pStyle w:val="Caption"/>
        <w:keepNext/>
        <w:jc w:val="center"/>
        <w:rPr>
          <w:lang w:val="en-AU"/>
        </w:rPr>
      </w:pPr>
      <w:r w:rsidRPr="00370E70">
        <w:rPr>
          <w:i/>
          <w:lang w:val="en-AU"/>
        </w:rPr>
        <w:t>ND=not detectable above limit of 0.001 mg kg</w:t>
      </w:r>
      <w:r w:rsidRPr="00370E70">
        <w:rPr>
          <w:i/>
          <w:vertAlign w:val="superscript"/>
          <w:lang w:val="en-AU"/>
        </w:rPr>
        <w:t>-1</w:t>
      </w:r>
      <w:r w:rsidR="00C610E4" w:rsidRPr="00370E70">
        <w:rPr>
          <w:i/>
          <w:lang w:val="en-AU"/>
        </w:rPr>
        <w:t>.</w:t>
      </w:r>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5132EF" w:rsidRPr="00370E70">
        <w:trPr>
          <w:cantSplit/>
          <w:trHeight w:val="1701"/>
        </w:trPr>
        <w:tc>
          <w:tcPr>
            <w:tcW w:w="666" w:type="dxa"/>
            <w:tcBorders>
              <w:top w:val="single" w:sz="4" w:space="0" w:color="auto"/>
              <w:bottom w:val="single" w:sz="4" w:space="0" w:color="auto"/>
            </w:tcBorders>
            <w:vAlign w:val="center"/>
          </w:tcPr>
          <w:p w:rsidR="005132EF" w:rsidRPr="00370E70" w:rsidRDefault="005132EF" w:rsidP="00034AD4">
            <w:pPr>
              <w:spacing w:before="0" w:after="0"/>
              <w:jc w:val="center"/>
            </w:pPr>
            <w:r w:rsidRPr="00370E70">
              <w:rPr>
                <w:szCs w:val="22"/>
              </w:rPr>
              <w:t>Site</w:t>
            </w:r>
          </w:p>
        </w:tc>
        <w:tc>
          <w:tcPr>
            <w:tcW w:w="611"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Flumeturon</w:t>
            </w:r>
          </w:p>
        </w:tc>
        <w:tc>
          <w:tcPr>
            <w:tcW w:w="612"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Diuron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Simazine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Atrazine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Desethyl Atrzine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Desisopropyl Atrzine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Hexazinone</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Tebuthiuron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Ametryn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Prometryn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Bromacil</w:t>
            </w:r>
          </w:p>
        </w:tc>
        <w:tc>
          <w:tcPr>
            <w:tcW w:w="546" w:type="dxa"/>
            <w:tcBorders>
              <w:top w:val="single" w:sz="4" w:space="0" w:color="auto"/>
              <w:bottom w:val="single" w:sz="4" w:space="0" w:color="auto"/>
            </w:tcBorders>
            <w:textDirection w:val="btLr"/>
          </w:tcPr>
          <w:p w:rsidR="005132EF" w:rsidRPr="00370E70" w:rsidRDefault="005132EF" w:rsidP="00034AD4">
            <w:pPr>
              <w:spacing w:before="0" w:after="0"/>
              <w:ind w:left="113" w:right="113"/>
            </w:pPr>
            <w:r w:rsidRPr="00370E70">
              <w:rPr>
                <w:szCs w:val="22"/>
              </w:rPr>
              <w:t>Imidacloprid</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Terbutryn</w:t>
            </w:r>
          </w:p>
        </w:tc>
        <w:tc>
          <w:tcPr>
            <w:tcW w:w="613" w:type="dxa"/>
            <w:tcBorders>
              <w:top w:val="single" w:sz="4" w:space="0" w:color="auto"/>
              <w:bottom w:val="single" w:sz="4" w:space="0" w:color="auto"/>
            </w:tcBorders>
            <w:textDirection w:val="btLr"/>
            <w:vAlign w:val="center"/>
          </w:tcPr>
          <w:p w:rsidR="005132EF" w:rsidRPr="00370E70" w:rsidRDefault="005132EF" w:rsidP="00034AD4">
            <w:pPr>
              <w:spacing w:before="0" w:after="0"/>
              <w:ind w:left="113" w:right="113"/>
            </w:pPr>
            <w:r w:rsidRPr="00370E70">
              <w:rPr>
                <w:szCs w:val="22"/>
              </w:rPr>
              <w:t>Metolachlor</w:t>
            </w:r>
          </w:p>
        </w:tc>
      </w:tr>
      <w:tr w:rsidR="005132EF" w:rsidRPr="00370E70">
        <w:tc>
          <w:tcPr>
            <w:tcW w:w="666" w:type="dxa"/>
            <w:tcBorders>
              <w:top w:val="single" w:sz="4" w:space="0" w:color="auto"/>
            </w:tcBorders>
          </w:tcPr>
          <w:p w:rsidR="005132EF" w:rsidRPr="00370E70" w:rsidRDefault="005132EF" w:rsidP="00034AD4">
            <w:pPr>
              <w:spacing w:before="0" w:after="0"/>
              <w:rPr>
                <w:b/>
              </w:rPr>
            </w:pPr>
            <w:r w:rsidRPr="00370E70">
              <w:rPr>
                <w:b/>
                <w:szCs w:val="22"/>
              </w:rPr>
              <w:t>JR1</w:t>
            </w:r>
          </w:p>
        </w:tc>
        <w:tc>
          <w:tcPr>
            <w:tcW w:w="611"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2"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546"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c>
          <w:tcPr>
            <w:tcW w:w="613" w:type="dxa"/>
            <w:tcBorders>
              <w:top w:val="single" w:sz="4" w:space="0" w:color="auto"/>
            </w:tcBorders>
          </w:tcPr>
          <w:p w:rsidR="005132EF" w:rsidRPr="00370E70" w:rsidRDefault="005132EF" w:rsidP="00034AD4">
            <w:pPr>
              <w:spacing w:before="0" w:after="0"/>
              <w:rPr>
                <w:i/>
              </w:rPr>
            </w:pPr>
            <w:r w:rsidRPr="00370E70">
              <w:rPr>
                <w:i/>
                <w:szCs w:val="22"/>
              </w:rPr>
              <w:t>ND</w:t>
            </w:r>
          </w:p>
        </w:tc>
      </w:tr>
      <w:tr w:rsidR="005132EF" w:rsidRPr="00370E70">
        <w:tc>
          <w:tcPr>
            <w:tcW w:w="666" w:type="dxa"/>
            <w:tcBorders>
              <w:bottom w:val="single" w:sz="4" w:space="0" w:color="auto"/>
            </w:tcBorders>
          </w:tcPr>
          <w:p w:rsidR="005132EF" w:rsidRPr="00370E70" w:rsidRDefault="005132EF" w:rsidP="00034AD4">
            <w:pPr>
              <w:spacing w:before="0" w:after="0"/>
              <w:rPr>
                <w:b/>
              </w:rPr>
            </w:pPr>
            <w:r w:rsidRPr="00370E70">
              <w:rPr>
                <w:b/>
                <w:szCs w:val="22"/>
              </w:rPr>
              <w:t>JR2</w:t>
            </w:r>
          </w:p>
        </w:tc>
        <w:tc>
          <w:tcPr>
            <w:tcW w:w="611"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2"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546"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c>
          <w:tcPr>
            <w:tcW w:w="613" w:type="dxa"/>
            <w:tcBorders>
              <w:bottom w:val="single" w:sz="4" w:space="0" w:color="auto"/>
            </w:tcBorders>
          </w:tcPr>
          <w:p w:rsidR="005132EF" w:rsidRPr="00370E70" w:rsidRDefault="005132EF" w:rsidP="00034AD4">
            <w:pPr>
              <w:spacing w:before="0" w:after="0"/>
              <w:rPr>
                <w:i/>
              </w:rPr>
            </w:pPr>
            <w:r w:rsidRPr="00370E70">
              <w:rPr>
                <w:i/>
                <w:szCs w:val="22"/>
              </w:rPr>
              <w:t>ND</w:t>
            </w:r>
          </w:p>
        </w:tc>
      </w:tr>
    </w:tbl>
    <w:p w:rsidR="005132EF" w:rsidRPr="00370E70" w:rsidRDefault="005132EF" w:rsidP="00034AD4">
      <w:pPr>
        <w:pStyle w:val="Heading4"/>
        <w:rPr>
          <w:b/>
          <w:iCs/>
          <w:color w:val="000000"/>
        </w:rPr>
      </w:pPr>
      <w:bookmarkStart w:id="501" w:name="_Toc184102005"/>
      <w:r w:rsidRPr="00370E70">
        <w:rPr>
          <w:b/>
          <w:iCs/>
          <w:color w:val="000000"/>
        </w:rPr>
        <w:t>Within meadow canopy temperature</w:t>
      </w:r>
      <w:bookmarkEnd w:id="497"/>
      <w:bookmarkEnd w:id="498"/>
      <w:bookmarkEnd w:id="501"/>
    </w:p>
    <w:p w:rsidR="005132EF" w:rsidRPr="00370E70" w:rsidRDefault="005132EF" w:rsidP="00034AD4">
      <w:pPr>
        <w:rPr>
          <w:color w:val="000000"/>
          <w:szCs w:val="22"/>
        </w:rPr>
      </w:pPr>
      <w:r w:rsidRPr="00370E70">
        <w:rPr>
          <w:color w:val="000000"/>
          <w:szCs w:val="22"/>
        </w:rPr>
        <w:t>Within canopy water temperature was monitored at all coastal and reef-platform sites over the monitoring period (</w:t>
      </w:r>
      <w:r w:rsidRPr="00370E70">
        <w:rPr>
          <w:color w:val="000000"/>
        </w:rPr>
        <w:fldChar w:fldCharType="begin"/>
      </w:r>
      <w:r w:rsidRPr="00370E70">
        <w:rPr>
          <w:color w:val="000000"/>
        </w:rPr>
        <w:instrText xml:space="preserve"> REF _Ref179450279 \h  \* MERGEFORMAT </w:instrText>
      </w:r>
      <w:r w:rsidRPr="00370E70">
        <w:rPr>
          <w:color w:val="000000"/>
        </w:rPr>
      </w:r>
      <w:r w:rsidRPr="00370E70">
        <w:rPr>
          <w:color w:val="000000"/>
        </w:rPr>
        <w:fldChar w:fldCharType="separate"/>
      </w:r>
      <w:r w:rsidR="005B5FD6" w:rsidRPr="005B5FD6">
        <w:rPr>
          <w:szCs w:val="22"/>
        </w:rPr>
        <w:t xml:space="preserve">Figure </w:t>
      </w:r>
      <w:r w:rsidR="005B5FD6">
        <w:rPr>
          <w:noProof/>
          <w:color w:val="000000"/>
          <w:szCs w:val="22"/>
        </w:rPr>
        <w:t>101</w:t>
      </w:r>
      <w:r w:rsidRPr="00370E70">
        <w:rPr>
          <w:color w:val="000000"/>
        </w:rPr>
        <w:fldChar w:fldCharType="end"/>
      </w:r>
      <w:r w:rsidRPr="00370E70">
        <w:rPr>
          <w:color w:val="000000"/>
          <w:szCs w:val="22"/>
        </w:rPr>
        <w:t>). Extreme temperatures (&gt;40°C) were recorded at Picnic Bay on the 3rd April 2012 when the water temperatures remained at 41.1°C for at least 30min between 2-3 pm. Mean temperatures were mostly within the 21 – 31°C range, with highest mean temperatures in February 2012 (</w:t>
      </w:r>
      <w:r w:rsidRPr="00370E70">
        <w:rPr>
          <w:color w:val="000000"/>
        </w:rPr>
        <w:fldChar w:fldCharType="begin"/>
      </w:r>
      <w:r w:rsidRPr="00370E70">
        <w:rPr>
          <w:color w:val="000000"/>
        </w:rPr>
        <w:instrText xml:space="preserve"> REF _Ref179450328 \h  \* MERGEFORMAT </w:instrText>
      </w:r>
      <w:r w:rsidRPr="00370E70">
        <w:rPr>
          <w:color w:val="000000"/>
        </w:rPr>
      </w:r>
      <w:r w:rsidRPr="00370E70">
        <w:rPr>
          <w:color w:val="000000"/>
        </w:rPr>
        <w:fldChar w:fldCharType="separate"/>
      </w:r>
      <w:r w:rsidR="005B5FD6" w:rsidRPr="005B5FD6">
        <w:rPr>
          <w:szCs w:val="22"/>
        </w:rPr>
        <w:t xml:space="preserve">Figure </w:t>
      </w:r>
      <w:r w:rsidR="005B5FD6">
        <w:rPr>
          <w:noProof/>
          <w:color w:val="000000"/>
          <w:szCs w:val="22"/>
        </w:rPr>
        <w:t>102</w:t>
      </w:r>
      <w:r w:rsidRPr="00370E70">
        <w:rPr>
          <w:color w:val="000000"/>
        </w:rPr>
        <w:fldChar w:fldCharType="end"/>
      </w:r>
      <w:r w:rsidRPr="00370E70">
        <w:rPr>
          <w:color w:val="000000"/>
          <w:szCs w:val="22"/>
        </w:rPr>
        <w:t>). At the reef subtidal site, average temperatures are almost identical to the adjacent intertidal site; however, variability is considerably less, with mixing ensuring that water temperature remains relatively constant. The 2011/12 monitoring period was 0.2-0.3</w:t>
      </w:r>
      <w:r w:rsidRPr="00370E70">
        <w:rPr>
          <w:color w:val="000000"/>
          <w:szCs w:val="22"/>
        </w:rPr>
        <w:sym w:font="Symbol" w:char="F0B0"/>
      </w:r>
      <w:r w:rsidRPr="00370E70">
        <w:rPr>
          <w:color w:val="000000"/>
          <w:szCs w:val="22"/>
        </w:rPr>
        <w:t xml:space="preserve">C warmer at </w:t>
      </w:r>
      <w:r w:rsidRPr="00370E70">
        <w:rPr>
          <w:color w:val="000000"/>
          <w:szCs w:val="22"/>
        </w:rPr>
        <w:lastRenderedPageBreak/>
        <w:t>reef habitats than the previous monitoring period and long-term average. Temperatures at coastal habitats were 0.5 deg warmer than the previous monitoring period and the long-term average.</w:t>
      </w:r>
    </w:p>
    <w:p w:rsidR="005132EF" w:rsidRPr="00370E70" w:rsidRDefault="007B15AB" w:rsidP="00034AD4">
      <w:pPr>
        <w:keepNext/>
        <w:spacing w:after="0"/>
        <w:jc w:val="center"/>
      </w:pPr>
      <w:r>
        <w:rPr>
          <w:noProof/>
          <w:lang w:eastAsia="en-AU"/>
        </w:rPr>
        <w:drawing>
          <wp:inline distT="0" distB="0" distL="0" distR="0">
            <wp:extent cx="4327525" cy="3091180"/>
            <wp:effectExtent l="0" t="0" r="0" b="0"/>
            <wp:docPr id="138" name="Picture 138" descr="Graph shwoing within seagrass canopy temperature (°C) at coastal (Bushland Beach and Shelley Beach) and inshore fringing-reef (Picnic Bay and Cockle Bay, Magnetic Island) meadows within the Burdekin region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Graph shwoing within seagrass canopy temperature (°C) at coastal (Bushland Beach and Shelley Beach) and inshore fringing-reef (Picnic Bay and Cockle Bay, Magnetic Island) meadows within the Burdekin region over the 2011/12 monitoring period."/>
                    <pic:cNvPicPr>
                      <a:picLocks noChangeAspect="1" noChangeArrowheads="1"/>
                    </pic:cNvPicPr>
                  </pic:nvPicPr>
                  <pic:blipFill>
                    <a:blip r:embed="rId164">
                      <a:extLst>
                        <a:ext uri="{28A0092B-C50C-407E-A947-70E740481C1C}">
                          <a14:useLocalDpi xmlns:a14="http://schemas.microsoft.com/office/drawing/2010/main" val="0"/>
                        </a:ext>
                      </a:extLst>
                    </a:blip>
                    <a:srcRect b="2757"/>
                    <a:stretch>
                      <a:fillRect/>
                    </a:stretch>
                  </pic:blipFill>
                  <pic:spPr bwMode="auto">
                    <a:xfrm>
                      <a:off x="0" y="0"/>
                      <a:ext cx="4327525" cy="309118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502" w:name="_Ref179450279"/>
      <w:bookmarkStart w:id="503" w:name="_Toc176158893"/>
      <w:bookmarkStart w:id="504" w:name="_Toc232845990"/>
      <w:bookmarkStart w:id="505" w:name="_Toc384196448"/>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101</w:t>
      </w:r>
      <w:r w:rsidRPr="00370E70">
        <w:rPr>
          <w:color w:val="000000"/>
          <w:szCs w:val="22"/>
          <w:lang w:val="en-AU"/>
        </w:rPr>
        <w:fldChar w:fldCharType="end"/>
      </w:r>
      <w:bookmarkEnd w:id="502"/>
      <w:r w:rsidRPr="00370E70">
        <w:rPr>
          <w:rStyle w:val="StyleCaptionCaptionCharCharLatinCalibri11ptBlackChar"/>
          <w:lang w:val="en-AU"/>
        </w:rPr>
        <w:t>.</w:t>
      </w:r>
      <w:r w:rsidRPr="00370E70">
        <w:rPr>
          <w:i/>
          <w:color w:val="000000"/>
          <w:szCs w:val="22"/>
          <w:lang w:val="en-AU"/>
        </w:rPr>
        <w:t xml:space="preserve"> Within seagrass canopy temperature (°C) at </w:t>
      </w:r>
      <w:r w:rsidR="00C702ED">
        <w:rPr>
          <w:i/>
          <w:color w:val="000000"/>
          <w:szCs w:val="22"/>
          <w:lang w:val="en-AU"/>
        </w:rPr>
        <w:t xml:space="preserve">inshore intertidal </w:t>
      </w:r>
      <w:r w:rsidRPr="00370E70">
        <w:rPr>
          <w:i/>
          <w:color w:val="000000"/>
          <w:szCs w:val="22"/>
          <w:lang w:val="en-AU"/>
        </w:rPr>
        <w:t>coastal (</w:t>
      </w:r>
      <w:smartTag w:uri="urn:schemas-microsoft-com:office:smarttags" w:element="PlaceName">
        <w:r w:rsidRPr="00370E70">
          <w:rPr>
            <w:i/>
            <w:color w:val="000000"/>
            <w:szCs w:val="22"/>
            <w:lang w:val="en-AU"/>
          </w:rPr>
          <w:t>Bushland</w:t>
        </w:r>
      </w:smartTag>
      <w:r w:rsidRPr="00370E70">
        <w:rPr>
          <w:i/>
          <w:color w:val="000000"/>
          <w:szCs w:val="22"/>
          <w:lang w:val="en-AU"/>
        </w:rPr>
        <w:t xml:space="preserve"> </w:t>
      </w:r>
      <w:smartTag w:uri="urn:schemas-microsoft-com:office:smarttags" w:element="PlaceType">
        <w:r w:rsidRPr="00370E70">
          <w:rPr>
            <w:i/>
            <w:color w:val="000000"/>
            <w:szCs w:val="22"/>
            <w:lang w:val="en-AU"/>
          </w:rPr>
          <w:t>Beach</w:t>
        </w:r>
      </w:smartTag>
      <w:r w:rsidRPr="00370E70">
        <w:rPr>
          <w:i/>
          <w:color w:val="000000"/>
          <w:szCs w:val="22"/>
          <w:lang w:val="en-AU"/>
        </w:rPr>
        <w:t xml:space="preserve"> and Shelley Beach) and reef (</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and </w:t>
      </w:r>
      <w:smartTag w:uri="urn:schemas-microsoft-com:office:smarttags" w:element="PlaceName">
        <w:r w:rsidRPr="00370E70">
          <w:rPr>
            <w:i/>
            <w:color w:val="000000"/>
            <w:szCs w:val="22"/>
            <w:lang w:val="en-AU"/>
          </w:rPr>
          <w:t>Cockle</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w:t>
      </w:r>
      <w:r w:rsidR="00C702ED">
        <w:rPr>
          <w:i/>
          <w:color w:val="000000"/>
          <w:szCs w:val="22"/>
          <w:lang w:val="en-AU"/>
        </w:rPr>
        <w:t xml:space="preserve">habitats </w:t>
      </w:r>
      <w:r w:rsidRPr="00370E70">
        <w:rPr>
          <w:i/>
          <w:color w:val="000000"/>
          <w:szCs w:val="22"/>
          <w:lang w:val="en-AU"/>
        </w:rPr>
        <w:t>within the Burdekin region over the 2011/12 monitoring period.</w:t>
      </w:r>
      <w:bookmarkEnd w:id="503"/>
      <w:bookmarkEnd w:id="504"/>
      <w:bookmarkEnd w:id="505"/>
    </w:p>
    <w:p w:rsidR="005132EF" w:rsidRPr="00370E70" w:rsidRDefault="007B15AB" w:rsidP="00034AD4">
      <w:pPr>
        <w:keepNext/>
        <w:jc w:val="center"/>
      </w:pPr>
      <w:r>
        <w:rPr>
          <w:noProof/>
          <w:lang w:eastAsia="en-AU"/>
        </w:rPr>
        <w:drawing>
          <wp:inline distT="0" distB="0" distL="0" distR="0">
            <wp:extent cx="4327525" cy="2459990"/>
            <wp:effectExtent l="0" t="0" r="0" b="0"/>
            <wp:docPr id="139" name="Picture 145" descr="Graph of the monthly mean and maximum within seagrass canopy temperature (°C) at intertidal meadows in coastal (Bushland Beach and Shelly Beach) and offshore fringing-reef (Picnic Bay and Cockle Bay, Magnetic Island) habitats with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Graph of the monthly mean and maximum within seagrass canopy temperature (°C) at intertidal meadows in coastal (Bushland Beach and Shelly Beach) and offshore fringing-reef (Picnic Bay and Cockle Bay, Magnetic Island) habitats within the Burdekin region."/>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4327525" cy="245999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506" w:name="_Ref179450328"/>
      <w:bookmarkStart w:id="507" w:name="_Toc176158894"/>
      <w:bookmarkStart w:id="508" w:name="_Toc232845991"/>
      <w:bookmarkStart w:id="509" w:name="_Toc38419644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102</w:t>
      </w:r>
      <w:r w:rsidRPr="00370E70">
        <w:rPr>
          <w:color w:val="000000"/>
          <w:szCs w:val="22"/>
          <w:lang w:val="en-AU"/>
        </w:rPr>
        <w:fldChar w:fldCharType="end"/>
      </w:r>
      <w:bookmarkEnd w:id="506"/>
      <w:r w:rsidRPr="00370E70">
        <w:rPr>
          <w:i/>
          <w:color w:val="000000"/>
          <w:szCs w:val="22"/>
          <w:lang w:val="en-AU"/>
        </w:rPr>
        <w:t xml:space="preserve">. </w:t>
      </w:r>
      <w:r w:rsidR="002C6536" w:rsidRPr="00370E70">
        <w:rPr>
          <w:i/>
          <w:color w:val="000000"/>
          <w:szCs w:val="22"/>
          <w:lang w:val="en-AU"/>
        </w:rPr>
        <w:t>Monthly</w:t>
      </w:r>
      <w:r w:rsidRPr="00370E70">
        <w:rPr>
          <w:i/>
          <w:color w:val="000000"/>
          <w:szCs w:val="22"/>
          <w:lang w:val="en-AU"/>
        </w:rPr>
        <w:t xml:space="preserve"> mean and maximum within seagrass canopy temperature (°C) at </w:t>
      </w:r>
      <w:r w:rsidR="00C702ED">
        <w:rPr>
          <w:i/>
          <w:color w:val="000000"/>
          <w:szCs w:val="22"/>
          <w:lang w:val="en-AU"/>
        </w:rPr>
        <w:t xml:space="preserve">inshore </w:t>
      </w:r>
      <w:r w:rsidRPr="00370E70">
        <w:rPr>
          <w:i/>
          <w:color w:val="000000"/>
          <w:szCs w:val="22"/>
          <w:lang w:val="en-AU"/>
        </w:rPr>
        <w:t>intertidal coastal (</w:t>
      </w:r>
      <w:smartTag w:uri="urn:schemas-microsoft-com:office:smarttags" w:element="PlaceName">
        <w:r w:rsidRPr="00370E70">
          <w:rPr>
            <w:i/>
            <w:color w:val="000000"/>
            <w:szCs w:val="22"/>
            <w:lang w:val="en-AU"/>
          </w:rPr>
          <w:t>Bushland</w:t>
        </w:r>
      </w:smartTag>
      <w:r w:rsidRPr="00370E70">
        <w:rPr>
          <w:i/>
          <w:color w:val="000000"/>
          <w:szCs w:val="22"/>
          <w:lang w:val="en-AU"/>
        </w:rPr>
        <w:t xml:space="preserve"> </w:t>
      </w:r>
      <w:smartTag w:uri="urn:schemas-microsoft-com:office:smarttags" w:element="PlaceType">
        <w:r w:rsidRPr="00370E70">
          <w:rPr>
            <w:i/>
            <w:color w:val="000000"/>
            <w:szCs w:val="22"/>
            <w:lang w:val="en-AU"/>
          </w:rPr>
          <w:t>Beach</w:t>
        </w:r>
      </w:smartTag>
      <w:r w:rsidRPr="00370E70">
        <w:rPr>
          <w:i/>
          <w:color w:val="000000"/>
          <w:szCs w:val="22"/>
          <w:lang w:val="en-AU"/>
        </w:rPr>
        <w:t xml:space="preserve"> and Shelly Beach) and reef (</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and </w:t>
      </w:r>
      <w:smartTag w:uri="urn:schemas-microsoft-com:office:smarttags" w:element="PlaceName">
        <w:r w:rsidRPr="00370E70">
          <w:rPr>
            <w:i/>
            <w:color w:val="000000"/>
            <w:szCs w:val="22"/>
            <w:lang w:val="en-AU"/>
          </w:rPr>
          <w:t>Cockle</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habitats </w:t>
      </w:r>
      <w:r w:rsidR="00C702ED">
        <w:rPr>
          <w:i/>
          <w:color w:val="000000"/>
          <w:szCs w:val="22"/>
          <w:lang w:val="en-AU"/>
        </w:rPr>
        <w:t>in</w:t>
      </w:r>
      <w:r w:rsidRPr="00370E70">
        <w:rPr>
          <w:i/>
          <w:color w:val="000000"/>
          <w:szCs w:val="22"/>
          <w:lang w:val="en-AU"/>
        </w:rPr>
        <w:t xml:space="preserve"> the Burdekin region.</w:t>
      </w:r>
      <w:bookmarkEnd w:id="507"/>
      <w:bookmarkEnd w:id="508"/>
      <w:bookmarkEnd w:id="509"/>
    </w:p>
    <w:p w:rsidR="005132EF" w:rsidRPr="00370E70" w:rsidRDefault="005132EF" w:rsidP="00361273"/>
    <w:p w:rsidR="005132EF" w:rsidRPr="00370E70" w:rsidRDefault="007B15AB" w:rsidP="00361273">
      <w:pPr>
        <w:keepNext/>
        <w:jc w:val="center"/>
      </w:pPr>
      <w:r>
        <w:rPr>
          <w:noProof/>
          <w:lang w:eastAsia="en-AU"/>
        </w:rPr>
        <w:lastRenderedPageBreak/>
        <w:drawing>
          <wp:inline distT="0" distB="0" distL="0" distR="0">
            <wp:extent cx="4314190" cy="1738630"/>
            <wp:effectExtent l="0" t="0" r="0" b="0"/>
            <wp:docPr id="140" name="Picture 3" descr="Graph of within seagrass canopy temperature (°C) at subtidal reef (Picnic Bay, Magnetic Island) meadow within the Burdekin region over the 2011/12 monitoring perio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 of within seagrass canopy temperature (°C) at subtidal reef (Picnic Bay, Magnetic Island) meadow within the Burdekin region over the 2011/12 monitoring period. "/>
                    <pic:cNvPicPr>
                      <a:picLocks noChangeAspect="1" noChangeArrowheads="1"/>
                    </pic:cNvPicPr>
                  </pic:nvPicPr>
                  <pic:blipFill>
                    <a:blip r:embed="rId166">
                      <a:extLst>
                        <a:ext uri="{28A0092B-C50C-407E-A947-70E740481C1C}">
                          <a14:useLocalDpi xmlns:a14="http://schemas.microsoft.com/office/drawing/2010/main" val="0"/>
                        </a:ext>
                      </a:extLst>
                    </a:blip>
                    <a:srcRect b="7446"/>
                    <a:stretch>
                      <a:fillRect/>
                    </a:stretch>
                  </pic:blipFill>
                  <pic:spPr bwMode="auto">
                    <a:xfrm>
                      <a:off x="0" y="0"/>
                      <a:ext cx="4314190" cy="1738630"/>
                    </a:xfrm>
                    <a:prstGeom prst="rect">
                      <a:avLst/>
                    </a:prstGeom>
                    <a:noFill/>
                    <a:ln>
                      <a:noFill/>
                    </a:ln>
                  </pic:spPr>
                </pic:pic>
              </a:graphicData>
            </a:graphic>
          </wp:inline>
        </w:drawing>
      </w:r>
    </w:p>
    <w:p w:rsidR="005132EF" w:rsidRPr="00370E70" w:rsidRDefault="005132EF" w:rsidP="00361273">
      <w:pPr>
        <w:pStyle w:val="Caption"/>
        <w:rPr>
          <w:i/>
          <w:color w:val="000000"/>
          <w:szCs w:val="22"/>
          <w:lang w:val="en-AU"/>
        </w:rPr>
      </w:pPr>
      <w:bookmarkStart w:id="510" w:name="_Toc384196450"/>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103</w:t>
      </w:r>
      <w:r w:rsidRPr="00370E70">
        <w:rPr>
          <w:color w:val="000000"/>
          <w:szCs w:val="22"/>
          <w:lang w:val="en-AU"/>
        </w:rPr>
        <w:fldChar w:fldCharType="end"/>
      </w:r>
      <w:r w:rsidRPr="00370E70">
        <w:rPr>
          <w:rStyle w:val="StyleCaptionCaptionCharCharLatinCalibri11ptBlackChar"/>
          <w:lang w:val="en-AU"/>
        </w:rPr>
        <w:t xml:space="preserve">. </w:t>
      </w:r>
      <w:r w:rsidRPr="00370E70">
        <w:rPr>
          <w:i/>
          <w:color w:val="000000"/>
          <w:szCs w:val="22"/>
          <w:lang w:val="en-AU"/>
        </w:rPr>
        <w:t xml:space="preserve">Within seagrass canopy temperature (°C) at </w:t>
      </w:r>
      <w:r w:rsidR="00C702ED">
        <w:rPr>
          <w:i/>
          <w:color w:val="000000"/>
          <w:szCs w:val="22"/>
          <w:lang w:val="en-AU"/>
        </w:rPr>
        <w:t xml:space="preserve">inshore </w:t>
      </w:r>
      <w:r w:rsidRPr="00370E70">
        <w:rPr>
          <w:i/>
          <w:color w:val="000000"/>
          <w:szCs w:val="22"/>
          <w:lang w:val="en-AU"/>
        </w:rPr>
        <w:t xml:space="preserve">subtidal reef </w:t>
      </w:r>
      <w:r w:rsidR="00C702ED">
        <w:rPr>
          <w:i/>
          <w:color w:val="000000"/>
          <w:szCs w:val="22"/>
          <w:lang w:val="en-AU"/>
        </w:rPr>
        <w:t xml:space="preserve">habitats </w:t>
      </w:r>
      <w:r w:rsidRPr="00370E70">
        <w:rPr>
          <w:i/>
          <w:color w:val="000000"/>
          <w:szCs w:val="22"/>
          <w:lang w:val="en-AU"/>
        </w:rPr>
        <w:t>(</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within the Burdekin region over the 2011/12 monitoring period.</w:t>
      </w:r>
      <w:bookmarkEnd w:id="510"/>
      <w:r w:rsidRPr="00370E70">
        <w:rPr>
          <w:i/>
          <w:color w:val="000000"/>
          <w:szCs w:val="22"/>
          <w:lang w:val="en-AU"/>
        </w:rPr>
        <w:t xml:space="preserve"> </w:t>
      </w:r>
    </w:p>
    <w:p w:rsidR="005132EF" w:rsidRPr="00370E70" w:rsidRDefault="007B15AB" w:rsidP="00361273">
      <w:pPr>
        <w:keepNext/>
        <w:jc w:val="center"/>
      </w:pPr>
      <w:r>
        <w:rPr>
          <w:noProof/>
          <w:lang w:eastAsia="en-AU"/>
        </w:rPr>
        <w:drawing>
          <wp:inline distT="0" distB="0" distL="0" distR="0">
            <wp:extent cx="4314190" cy="1609725"/>
            <wp:effectExtent l="0" t="0" r="0" b="0"/>
            <wp:docPr id="141" name="Picture 6" descr="Graph of monthly mean, maximum and minimum temperature at subtidal reef (Picnic Bay, Magnetic Island) meadow with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aph of monthly mean, maximum and minimum temperature at subtidal reef (Picnic Bay, Magnetic Island) meadow within the Burdekin region. "/>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5132EF" w:rsidRPr="00370E70" w:rsidRDefault="005132EF" w:rsidP="00361273">
      <w:pPr>
        <w:pStyle w:val="Caption"/>
        <w:rPr>
          <w:i/>
          <w:color w:val="000000"/>
          <w:szCs w:val="22"/>
          <w:lang w:val="en-AU"/>
        </w:rPr>
      </w:pPr>
      <w:bookmarkStart w:id="511" w:name="_Toc384196451"/>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104</w:t>
      </w:r>
      <w:r w:rsidRPr="00370E70">
        <w:rPr>
          <w:color w:val="000000"/>
          <w:szCs w:val="22"/>
          <w:lang w:val="en-AU"/>
        </w:rPr>
        <w:fldChar w:fldCharType="end"/>
      </w:r>
      <w:r w:rsidRPr="00370E70">
        <w:rPr>
          <w:rStyle w:val="StyleCaptionCaptionCharCharLatinCalibri11ptBlackChar"/>
          <w:lang w:val="en-AU"/>
        </w:rPr>
        <w:t xml:space="preserve">. </w:t>
      </w:r>
      <w:r w:rsidRPr="00370E70">
        <w:rPr>
          <w:i/>
          <w:color w:val="000000"/>
          <w:szCs w:val="22"/>
          <w:lang w:val="en-AU"/>
        </w:rPr>
        <w:t xml:space="preserve">Monthly mean, maximum and minimum temperature at </w:t>
      </w:r>
      <w:r w:rsidR="00C702ED">
        <w:rPr>
          <w:i/>
          <w:color w:val="000000"/>
          <w:szCs w:val="22"/>
          <w:lang w:val="en-AU"/>
        </w:rPr>
        <w:t xml:space="preserve">inshore </w:t>
      </w:r>
      <w:r w:rsidRPr="00370E70">
        <w:rPr>
          <w:i/>
          <w:color w:val="000000"/>
          <w:szCs w:val="22"/>
          <w:lang w:val="en-AU"/>
        </w:rPr>
        <w:t xml:space="preserve">subtidal reef </w:t>
      </w:r>
      <w:r w:rsidR="00C702ED">
        <w:rPr>
          <w:i/>
          <w:color w:val="000000"/>
          <w:szCs w:val="22"/>
          <w:lang w:val="en-AU"/>
        </w:rPr>
        <w:t xml:space="preserve">habitats </w:t>
      </w:r>
      <w:r w:rsidRPr="00370E70">
        <w:rPr>
          <w:i/>
          <w:color w:val="000000"/>
          <w:szCs w:val="22"/>
          <w:lang w:val="en-AU"/>
        </w:rPr>
        <w:t>(</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within the Burdekin region.</w:t>
      </w:r>
      <w:bookmarkEnd w:id="511"/>
      <w:r w:rsidRPr="00370E70">
        <w:rPr>
          <w:i/>
          <w:color w:val="000000"/>
          <w:szCs w:val="22"/>
          <w:lang w:val="en-AU"/>
        </w:rPr>
        <w:t xml:space="preserve"> </w:t>
      </w:r>
    </w:p>
    <w:p w:rsidR="005132EF" w:rsidRPr="00370E70" w:rsidRDefault="005132EF" w:rsidP="00034AD4">
      <w:pPr>
        <w:pStyle w:val="Heading4"/>
        <w:rPr>
          <w:b/>
          <w:iCs/>
          <w:color w:val="000000"/>
        </w:rPr>
      </w:pPr>
      <w:bookmarkStart w:id="512" w:name="_Toc184102006"/>
      <w:r w:rsidRPr="00370E70">
        <w:rPr>
          <w:b/>
          <w:iCs/>
          <w:color w:val="000000"/>
        </w:rPr>
        <w:t>Canopy incident light</w:t>
      </w:r>
      <w:bookmarkEnd w:id="512"/>
      <w:r w:rsidRPr="00370E70">
        <w:rPr>
          <w:b/>
          <w:iCs/>
          <w:color w:val="000000"/>
        </w:rPr>
        <w:t xml:space="preserve"> and turbidity</w:t>
      </w:r>
    </w:p>
    <w:p w:rsidR="005132EF" w:rsidRPr="00370E70" w:rsidRDefault="005132EF" w:rsidP="00034AD4">
      <w:pPr>
        <w:rPr>
          <w:color w:val="000000"/>
          <w:szCs w:val="22"/>
        </w:rPr>
      </w:pPr>
      <w:bookmarkStart w:id="513" w:name="_Ref145422345"/>
      <w:r w:rsidRPr="00370E70">
        <w:rPr>
          <w:color w:val="000000"/>
          <w:szCs w:val="22"/>
        </w:rPr>
        <w:t>Light data from the coastal sites in the BDT are very patchy, due to ongoing logger and/or wiper failure. Daily irradiance (I</w:t>
      </w:r>
      <w:r w:rsidRPr="00370E70">
        <w:rPr>
          <w:color w:val="000000"/>
          <w:szCs w:val="22"/>
          <w:vertAlign w:val="subscript"/>
        </w:rPr>
        <w:t>d</w:t>
      </w:r>
      <w:r w:rsidRPr="00370E70">
        <w:rPr>
          <w:color w:val="000000"/>
          <w:szCs w:val="22"/>
        </w:rPr>
        <w:t>,</w:t>
      </w:r>
      <w:r w:rsidRPr="00370E70">
        <w:rPr>
          <w:color w:val="000000"/>
          <w:szCs w:val="22"/>
          <w:vertAlign w:val="subscript"/>
        </w:rPr>
        <w:t xml:space="preserve"> </w:t>
      </w:r>
      <w:r w:rsidRPr="00370E70">
        <w:rPr>
          <w:color w:val="000000"/>
          <w:szCs w:val="22"/>
        </w:rPr>
        <w:t>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at </w:t>
      </w:r>
      <w:smartTag w:uri="urn:schemas-microsoft-com:office:smarttags" w:element="place">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xml:space="preserve"> has been 5.1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on average and was exactly the same in 2011/12. I</w:t>
      </w:r>
      <w:r w:rsidRPr="00370E70">
        <w:rPr>
          <w:color w:val="000000"/>
          <w:szCs w:val="22"/>
          <w:vertAlign w:val="subscript"/>
        </w:rPr>
        <w:t>d</w:t>
      </w:r>
      <w:r w:rsidRPr="00370E70">
        <w:rPr>
          <w:color w:val="000000"/>
          <w:szCs w:val="22"/>
        </w:rPr>
        <w:t xml:space="preserve"> frequently falls below the threshold values for extended periods of time, and this was repeated in the early months of 2012 when I</w:t>
      </w:r>
      <w:r w:rsidRPr="00370E70">
        <w:rPr>
          <w:color w:val="000000"/>
          <w:szCs w:val="22"/>
          <w:vertAlign w:val="subscript"/>
        </w:rPr>
        <w:t>d</w:t>
      </w:r>
      <w:r w:rsidRPr="00370E70">
        <w:rPr>
          <w:color w:val="000000"/>
          <w:szCs w:val="22"/>
        </w:rPr>
        <w:t xml:space="preserve"> was &lt;5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 xml:space="preserve">-1 </w:t>
      </w:r>
      <w:r w:rsidRPr="00370E70">
        <w:rPr>
          <w:color w:val="000000"/>
          <w:szCs w:val="22"/>
        </w:rPr>
        <w:t>for more than 3 months. I</w:t>
      </w:r>
      <w:r w:rsidRPr="00370E70">
        <w:rPr>
          <w:color w:val="000000"/>
          <w:szCs w:val="22"/>
          <w:vertAlign w:val="subscript"/>
        </w:rPr>
        <w:t>d</w:t>
      </w:r>
      <w:r w:rsidRPr="00370E70">
        <w:rPr>
          <w:color w:val="000000"/>
          <w:szCs w:val="22"/>
        </w:rPr>
        <w:t xml:space="preserve"> is generally higher at Shelley Beach (8.3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w:t>
      </w:r>
      <w:r w:rsidRPr="00370E70">
        <w:rPr>
          <w:color w:val="000000"/>
          <w:szCs w:val="22"/>
        </w:rPr>
        <w:t>1, based on very few data) but falls well below the GBR average for intertidal sites (14.5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As for </w:t>
      </w:r>
      <w:smartTag w:uri="urn:schemas-microsoft-com:office:smarttags" w:element="place">
        <w:smartTag w:uri="urn:schemas-microsoft-com:office:smarttags" w:element="PlaceName">
          <w:r w:rsidRPr="00370E70">
            <w:rPr>
              <w:color w:val="000000"/>
              <w:szCs w:val="22"/>
            </w:rPr>
            <w:t>Bushland</w:t>
          </w:r>
        </w:smartTag>
        <w:r w:rsidRPr="00370E70">
          <w:rPr>
            <w:color w:val="000000"/>
            <w:szCs w:val="22"/>
          </w:rPr>
          <w:t xml:space="preserve"> </w:t>
        </w:r>
        <w:smartTag w:uri="urn:schemas-microsoft-com:office:smarttags" w:element="PlaceType">
          <w:r w:rsidRPr="00370E70">
            <w:rPr>
              <w:color w:val="000000"/>
              <w:szCs w:val="22"/>
            </w:rPr>
            <w:t>Beach</w:t>
          </w:r>
        </w:smartTag>
      </w:smartTag>
      <w:r w:rsidRPr="00370E70">
        <w:rPr>
          <w:color w:val="000000"/>
          <w:szCs w:val="22"/>
        </w:rPr>
        <w:t>, light conditions were not considerably improved in 2011/12 (8.7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and there has been almost no indication of seagrass recovery at these sites. </w:t>
      </w:r>
    </w:p>
    <w:p w:rsidR="005132EF" w:rsidRPr="00370E70" w:rsidRDefault="005132EF" w:rsidP="00034AD4">
      <w:pPr>
        <w:rPr>
          <w:color w:val="000000"/>
          <w:szCs w:val="22"/>
        </w:rPr>
      </w:pPr>
      <w:r w:rsidRPr="00370E70">
        <w:rPr>
          <w:color w:val="000000"/>
          <w:szCs w:val="22"/>
        </w:rPr>
        <w:t>At reef sites, I</w:t>
      </w:r>
      <w:r w:rsidRPr="00370E70">
        <w:rPr>
          <w:color w:val="000000"/>
          <w:szCs w:val="22"/>
          <w:vertAlign w:val="subscript"/>
        </w:rPr>
        <w:t>d</w:t>
      </w:r>
      <w:r w:rsidRPr="00370E70">
        <w:rPr>
          <w:color w:val="000000"/>
          <w:szCs w:val="22"/>
        </w:rPr>
        <w:t xml:space="preserve"> was considerably higher in 2011/12 compared to previous years. At the </w:t>
      </w:r>
      <w:smartTag w:uri="urn:schemas-microsoft-com:office:smarttags" w:element="place">
        <w:smartTag w:uri="urn:schemas-microsoft-com:office:smarttags" w:element="PlaceName">
          <w:r w:rsidRPr="00370E70">
            <w:rPr>
              <w:color w:val="000000"/>
              <w:szCs w:val="22"/>
            </w:rPr>
            <w:t>Picnic</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intertidal site, long-term I</w:t>
      </w:r>
      <w:r w:rsidRPr="00370E70">
        <w:rPr>
          <w:color w:val="000000"/>
          <w:szCs w:val="22"/>
          <w:vertAlign w:val="subscript"/>
        </w:rPr>
        <w:t>d</w:t>
      </w:r>
      <w:r w:rsidRPr="00370E70">
        <w:rPr>
          <w:color w:val="000000"/>
          <w:szCs w:val="22"/>
        </w:rPr>
        <w:t xml:space="preserve"> (is 15.6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is on par with the GBR long-term average (14.5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but it was higher in 2011/12 (19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w:t>
      </w:r>
      <w:r w:rsidRPr="00370E70">
        <w:rPr>
          <w:color w:val="000000"/>
          <w:szCs w:val="22"/>
          <w:vertAlign w:val="superscript"/>
        </w:rPr>
        <w:t xml:space="preserve">. </w:t>
      </w:r>
      <w:r w:rsidRPr="00370E70">
        <w:rPr>
          <w:color w:val="000000"/>
          <w:szCs w:val="22"/>
        </w:rPr>
        <w:t xml:space="preserve">Similarly, at the </w:t>
      </w:r>
      <w:smartTag w:uri="urn:schemas-microsoft-com:office:smarttags" w:element="place">
        <w:smartTag w:uri="urn:schemas-microsoft-com:office:smarttags" w:element="PlaceName">
          <w:r w:rsidRPr="00370E70">
            <w:rPr>
              <w:color w:val="000000"/>
              <w:szCs w:val="22"/>
            </w:rPr>
            <w:t>Cockle</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intertidal site,</w:t>
      </w:r>
      <w:r w:rsidRPr="00370E70">
        <w:rPr>
          <w:color w:val="000000"/>
          <w:szCs w:val="22"/>
          <w:vertAlign w:val="superscript"/>
        </w:rPr>
        <w:t xml:space="preserve"> </w:t>
      </w:r>
      <w:r w:rsidRPr="00370E70">
        <w:rPr>
          <w:color w:val="000000"/>
          <w:szCs w:val="22"/>
        </w:rPr>
        <w:t>I</w:t>
      </w:r>
      <w:r w:rsidRPr="00370E70">
        <w:rPr>
          <w:color w:val="000000"/>
          <w:szCs w:val="22"/>
          <w:vertAlign w:val="subscript"/>
        </w:rPr>
        <w:t>d</w:t>
      </w:r>
      <w:r w:rsidRPr="00370E70">
        <w:rPr>
          <w:color w:val="000000"/>
          <w:szCs w:val="22"/>
        </w:rPr>
        <w:t xml:space="preserve"> in 2011/12 (19.8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was higher than the long-term average for this site (17.1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At both sites, I</w:t>
      </w:r>
      <w:r w:rsidRPr="00370E70">
        <w:rPr>
          <w:color w:val="000000"/>
          <w:szCs w:val="22"/>
          <w:vertAlign w:val="subscript"/>
        </w:rPr>
        <w:t>d</w:t>
      </w:r>
      <w:r w:rsidRPr="00370E70">
        <w:rPr>
          <w:color w:val="000000"/>
          <w:szCs w:val="22"/>
        </w:rPr>
        <w:t xml:space="preserve"> fell below the 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threshold for only very brief periods, and the 28-day average did not exceed the threshold at all during 2011/12. Elevated I</w:t>
      </w:r>
      <w:r w:rsidRPr="00370E70">
        <w:rPr>
          <w:color w:val="000000"/>
          <w:szCs w:val="22"/>
          <w:vertAlign w:val="subscript"/>
        </w:rPr>
        <w:t>d</w:t>
      </w:r>
      <w:r w:rsidRPr="00370E70">
        <w:rPr>
          <w:color w:val="000000"/>
          <w:szCs w:val="22"/>
        </w:rPr>
        <w:t xml:space="preserve"> in 2011/12 has </w:t>
      </w:r>
      <w:r w:rsidR="002C6536" w:rsidRPr="00370E70">
        <w:rPr>
          <w:color w:val="000000"/>
          <w:szCs w:val="22"/>
        </w:rPr>
        <w:t>coincided</w:t>
      </w:r>
      <w:r w:rsidRPr="00370E70">
        <w:rPr>
          <w:color w:val="000000"/>
          <w:szCs w:val="22"/>
        </w:rPr>
        <w:t xml:space="preserve"> with increasing seagrass cover at these sites, however I</w:t>
      </w:r>
      <w:r w:rsidRPr="00370E70">
        <w:rPr>
          <w:color w:val="000000"/>
          <w:szCs w:val="22"/>
          <w:vertAlign w:val="subscript"/>
        </w:rPr>
        <w:t>d</w:t>
      </w:r>
      <w:r w:rsidRPr="00370E70">
        <w:rPr>
          <w:color w:val="000000"/>
          <w:szCs w:val="22"/>
        </w:rPr>
        <w:t xml:space="preserve"> alone – being well above thresholds, on average –cannot explain the changes in seagrass abundance including loss in previous years.  </w:t>
      </w:r>
    </w:p>
    <w:p w:rsidR="005132EF" w:rsidRPr="00370E70" w:rsidRDefault="005132EF" w:rsidP="00034AD4">
      <w:pPr>
        <w:rPr>
          <w:color w:val="000000"/>
          <w:szCs w:val="22"/>
        </w:rPr>
      </w:pPr>
      <w:r w:rsidRPr="00370E70">
        <w:rPr>
          <w:color w:val="000000"/>
          <w:szCs w:val="22"/>
        </w:rPr>
        <w:t>In contrast I</w:t>
      </w:r>
      <w:r w:rsidRPr="00370E70">
        <w:rPr>
          <w:color w:val="000000"/>
          <w:szCs w:val="22"/>
          <w:vertAlign w:val="subscript"/>
        </w:rPr>
        <w:t>d</w:t>
      </w:r>
      <w:r w:rsidRPr="00370E70">
        <w:rPr>
          <w:color w:val="000000"/>
          <w:szCs w:val="22"/>
        </w:rPr>
        <w:t xml:space="preserve"> at the reef subtidal site has been low since monitoring </w:t>
      </w:r>
      <w:r w:rsidR="002C6536" w:rsidRPr="00370E70">
        <w:rPr>
          <w:color w:val="000000"/>
          <w:szCs w:val="22"/>
        </w:rPr>
        <w:t>began</w:t>
      </w:r>
      <w:r w:rsidRPr="00370E70">
        <w:rPr>
          <w:color w:val="000000"/>
          <w:szCs w:val="22"/>
        </w:rPr>
        <w:t>, and generally hovers around the light threshold with the long-term average being 5.8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Lowest I</w:t>
      </w:r>
      <w:r w:rsidRPr="00370E70">
        <w:rPr>
          <w:color w:val="000000"/>
          <w:szCs w:val="22"/>
          <w:vertAlign w:val="subscript"/>
        </w:rPr>
        <w:t>d</w:t>
      </w:r>
      <w:r w:rsidRPr="00370E70">
        <w:rPr>
          <w:color w:val="000000"/>
          <w:szCs w:val="22"/>
        </w:rPr>
        <w:t xml:space="preserve"> has typically occurred during the wet season months. Changes in seagrass abundance, including complete seagrass loss has correlated with I</w:t>
      </w:r>
      <w:r w:rsidRPr="00370E70">
        <w:rPr>
          <w:color w:val="000000"/>
          <w:szCs w:val="22"/>
          <w:vertAlign w:val="subscript"/>
        </w:rPr>
        <w:t>d</w:t>
      </w:r>
      <w:r w:rsidRPr="00370E70">
        <w:rPr>
          <w:color w:val="000000"/>
          <w:szCs w:val="22"/>
        </w:rPr>
        <w:t xml:space="preserve"> </w:t>
      </w:r>
      <w:r w:rsidR="00BE3D72" w:rsidRPr="00370E70">
        <w:rPr>
          <w:color w:val="000000"/>
          <w:szCs w:val="22"/>
        </w:rPr>
        <w:t>(</w:t>
      </w:r>
      <w:hyperlink w:anchor="_ENREF_45" w:tooltip="Collier, 2012 #9288" w:history="1">
        <w:r w:rsidR="00964A70" w:rsidRPr="00370E70">
          <w:rPr>
            <w:color w:val="000000"/>
            <w:szCs w:val="22"/>
          </w:rPr>
          <w:fldChar w:fldCharType="begin"/>
        </w:r>
        <w:r w:rsidR="00964A70" w:rsidRPr="00370E70">
          <w:rPr>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color w:val="000000"/>
            <w:szCs w:val="22"/>
          </w:rPr>
          <w:fldChar w:fldCharType="separate"/>
        </w:r>
        <w:r w:rsidR="00964A70" w:rsidRPr="00370E70">
          <w:rPr>
            <w:noProof/>
            <w:color w:val="000000"/>
            <w:szCs w:val="22"/>
          </w:rPr>
          <w:t>Collier</w:t>
        </w:r>
        <w:r w:rsidR="00964A70" w:rsidRPr="00370E70">
          <w:rPr>
            <w:i/>
            <w:noProof/>
            <w:color w:val="000000"/>
            <w:szCs w:val="22"/>
          </w:rPr>
          <w:t>, et al.</w:t>
        </w:r>
        <w:r w:rsidR="00964A70" w:rsidRPr="00370E70">
          <w:rPr>
            <w:noProof/>
            <w:color w:val="000000"/>
            <w:szCs w:val="22"/>
          </w:rPr>
          <w:t xml:space="preserve"> 2012b</w:t>
        </w:r>
        <w:r w:rsidR="00964A70" w:rsidRPr="00370E70">
          <w:rPr>
            <w:color w:val="000000"/>
            <w:szCs w:val="22"/>
          </w:rPr>
          <w:fldChar w:fldCharType="end"/>
        </w:r>
      </w:hyperlink>
      <w:r w:rsidR="00BE3D72" w:rsidRPr="00370E70">
        <w:rPr>
          <w:color w:val="000000"/>
          <w:szCs w:val="22"/>
        </w:rPr>
        <w:t>)</w:t>
      </w:r>
      <w:r w:rsidRPr="00370E70">
        <w:rPr>
          <w:color w:val="000000"/>
          <w:szCs w:val="22"/>
        </w:rPr>
        <w:t>. However in 2011/12, I</w:t>
      </w:r>
      <w:r w:rsidRPr="00370E70">
        <w:rPr>
          <w:color w:val="000000"/>
          <w:szCs w:val="22"/>
          <w:vertAlign w:val="subscript"/>
        </w:rPr>
        <w:t>d</w:t>
      </w:r>
      <w:r w:rsidRPr="00370E70">
        <w:rPr>
          <w:color w:val="000000"/>
          <w:szCs w:val="22"/>
        </w:rPr>
        <w:t xml:space="preserve"> was higher (7.5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and the 28-day average fell below the threshold for just periods in 2012, particularly in May 2012. This has coincided with the return of seagrass to the site, albeit at very low densities (2% compared to 0% in previous year). </w:t>
      </w:r>
    </w:p>
    <w:p w:rsidR="005132EF" w:rsidRPr="00370E70" w:rsidRDefault="005132EF" w:rsidP="00034AD4">
      <w:pPr>
        <w:rPr>
          <w:color w:val="000000"/>
          <w:szCs w:val="22"/>
        </w:rPr>
      </w:pPr>
      <w:r w:rsidRPr="00370E70">
        <w:rPr>
          <w:color w:val="000000"/>
          <w:szCs w:val="22"/>
        </w:rPr>
        <w:lastRenderedPageBreak/>
        <w:t>Turbidity at the Picnic Bay subtidal site frequently exceeds the water quality guideline value (1.54 NTU) with large increases in turbidity occurring throughout the year, and often in association with increased river discharge, but also due to wind or tidally-driven resuspension</w:t>
      </w:r>
      <w:r w:rsidR="00BE3D72" w:rsidRPr="00370E70">
        <w:rPr>
          <w:color w:val="000000"/>
          <w:szCs w:val="22"/>
        </w:rPr>
        <w:t xml:space="preserve"> (</w:t>
      </w:r>
      <w:hyperlink w:anchor="_ENREF_74" w:tooltip="Fabricius, 2012 #9294" w:history="1">
        <w:r w:rsidR="00964A70" w:rsidRPr="00370E70">
          <w:rPr>
            <w:color w:val="000000"/>
            <w:szCs w:val="22"/>
          </w:rPr>
          <w:fldChar w:fldCharType="begin"/>
        </w:r>
        <w:r w:rsidR="00964A70" w:rsidRPr="00370E70">
          <w:rPr>
            <w:color w:val="000000"/>
            <w:szCs w:val="22"/>
          </w:rPr>
          <w:instrText xml:space="preserve"> ADDIN EN.CITE &lt;EndNote&gt;&lt;Cite&gt;&lt;Author&gt;Fabricius&lt;/Author&gt;&lt;Year&gt;2012&lt;/Year&gt;&lt;RecNum&gt;9294&lt;/RecNum&gt;&lt;DisplayText&gt;Fabricius&lt;style face="italic"&gt; et al.&lt;/style&gt; 2012a&lt;/DisplayText&gt;&lt;record&gt;&lt;rec-number&gt;9294&lt;/rec-number&gt;&lt;foreign-keys&gt;&lt;key app="EN" db-id="0eve55x9y5vfd6e9dacxtew4eatve2dzds9a"&gt;9294&lt;/key&gt;&lt;/foreign-keys&gt;&lt;ref-type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00964A70" w:rsidRPr="00370E70">
          <w:rPr>
            <w:color w:val="000000"/>
            <w:szCs w:val="22"/>
          </w:rPr>
          <w:fldChar w:fldCharType="separate"/>
        </w:r>
        <w:r w:rsidR="00964A70" w:rsidRPr="00370E70">
          <w:rPr>
            <w:noProof/>
            <w:color w:val="000000"/>
            <w:szCs w:val="22"/>
          </w:rPr>
          <w:t>Fabricius</w:t>
        </w:r>
        <w:r w:rsidR="00964A70" w:rsidRPr="00370E70">
          <w:rPr>
            <w:i/>
            <w:noProof/>
            <w:color w:val="000000"/>
            <w:szCs w:val="22"/>
          </w:rPr>
          <w:t xml:space="preserve"> et al.</w:t>
        </w:r>
        <w:r w:rsidR="00964A70" w:rsidRPr="00370E70">
          <w:rPr>
            <w:noProof/>
            <w:color w:val="000000"/>
            <w:szCs w:val="22"/>
          </w:rPr>
          <w:t xml:space="preserve"> 2012a</w:t>
        </w:r>
        <w:r w:rsidR="00964A70" w:rsidRPr="00370E70">
          <w:rPr>
            <w:color w:val="000000"/>
            <w:szCs w:val="22"/>
          </w:rPr>
          <w:fldChar w:fldCharType="end"/>
        </w:r>
      </w:hyperlink>
      <w:r w:rsidR="00BE3D72" w:rsidRPr="00370E70">
        <w:rPr>
          <w:color w:val="000000"/>
          <w:szCs w:val="22"/>
        </w:rPr>
        <w:t>)</w:t>
      </w:r>
      <w:r w:rsidRPr="00370E70">
        <w:rPr>
          <w:color w:val="000000"/>
          <w:szCs w:val="22"/>
        </w:rPr>
        <w:t xml:space="preserve">. In contrast, chlorophyll concentration generally sits below the guideline value (0.54 </w:t>
      </w:r>
      <w:r w:rsidRPr="00370E70">
        <w:rPr>
          <w:color w:val="000000"/>
          <w:szCs w:val="22"/>
        </w:rPr>
        <w:sym w:font="Symbol" w:char="F06D"/>
      </w:r>
      <w:r w:rsidRPr="00370E70">
        <w:rPr>
          <w:color w:val="000000"/>
          <w:szCs w:val="22"/>
        </w:rPr>
        <w:t>g L</w:t>
      </w:r>
      <w:r w:rsidRPr="00370E70">
        <w:rPr>
          <w:color w:val="000000"/>
          <w:szCs w:val="22"/>
          <w:vertAlign w:val="superscript"/>
        </w:rPr>
        <w:t>-1</w:t>
      </w:r>
      <w:r w:rsidRPr="00370E70">
        <w:rPr>
          <w:color w:val="000000"/>
          <w:szCs w:val="22"/>
        </w:rPr>
        <w:t>), but it does exceed the guideline for short periods, often associated with riverine discharge.</w:t>
      </w:r>
    </w:p>
    <w:p w:rsidR="005132EF" w:rsidRPr="00370E70" w:rsidRDefault="007B15AB" w:rsidP="00BE3D72">
      <w:pPr>
        <w:keepNext/>
        <w:spacing w:before="0" w:after="0"/>
        <w:jc w:val="center"/>
        <w:rPr>
          <w:color w:val="000000"/>
          <w:szCs w:val="22"/>
        </w:rPr>
      </w:pPr>
      <w:r>
        <w:rPr>
          <w:noProof/>
          <w:color w:val="000000"/>
          <w:szCs w:val="22"/>
          <w:lang w:eastAsia="en-AU"/>
        </w:rPr>
        <w:drawing>
          <wp:inline distT="0" distB="0" distL="0" distR="0">
            <wp:extent cx="4314190" cy="1635760"/>
            <wp:effectExtent l="0" t="0" r="0" b="2540"/>
            <wp:docPr id="142" name="Picture 142" descr="Graph of daily light (28 day rolling average) at reef intertidal (Picnic Bay, Magnetic Island) meadows, also showing approximate light threshold required for positive growth in Halodule uninervis dominated communities in the northern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Graph of daily light (28 day rolling average) at reef intertidal (Picnic Bay, Magnetic Island) meadows, also showing approximate light threshold required for positive growth in Halodule uninervis dominated communities in the northern GBR "/>
                    <pic:cNvPicPr>
                      <a:picLocks noChangeAspect="1" noChangeArrowheads="1"/>
                    </pic:cNvPicPr>
                  </pic:nvPicPr>
                  <pic:blipFill>
                    <a:blip r:embed="rId168">
                      <a:extLst>
                        <a:ext uri="{28A0092B-C50C-407E-A947-70E740481C1C}">
                          <a14:useLocalDpi xmlns:a14="http://schemas.microsoft.com/office/drawing/2010/main" val="0"/>
                        </a:ext>
                      </a:extLst>
                    </a:blip>
                    <a:srcRect b="11194"/>
                    <a:stretch>
                      <a:fillRect/>
                    </a:stretch>
                  </pic:blipFill>
                  <pic:spPr bwMode="auto">
                    <a:xfrm>
                      <a:off x="0" y="0"/>
                      <a:ext cx="4314190" cy="1635760"/>
                    </a:xfrm>
                    <a:prstGeom prst="rect">
                      <a:avLst/>
                    </a:prstGeom>
                    <a:noFill/>
                    <a:ln>
                      <a:noFill/>
                    </a:ln>
                  </pic:spPr>
                </pic:pic>
              </a:graphicData>
            </a:graphic>
          </wp:inline>
        </w:drawing>
      </w:r>
      <w:r>
        <w:rPr>
          <w:noProof/>
          <w:color w:val="000000"/>
          <w:szCs w:val="22"/>
          <w:lang w:eastAsia="en-AU"/>
        </w:rPr>
        <w:drawing>
          <wp:inline distT="0" distB="0" distL="0" distR="0">
            <wp:extent cx="4314190" cy="1712595"/>
            <wp:effectExtent l="0" t="0" r="0" b="0"/>
            <wp:docPr id="143" name="Picture 143" descr="Graph of daily light (28 day rolling average) at reef intertidal (Cockle Bay, Magnetic Island) meadows, also showing approximate light threshold required for positive growth in Halodule uninervis dominated communities in the northern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Graph of daily light (28 day rolling average) at reef intertidal (Cockle Bay, Magnetic Island) meadows, also showing approximate light threshold required for positive growth in Halodule uninervis dominated communities in the northern GBR "/>
                    <pic:cNvPicPr>
                      <a:picLocks noChangeAspect="1" noChangeArrowheads="1"/>
                    </pic:cNvPicPr>
                  </pic:nvPicPr>
                  <pic:blipFill>
                    <a:blip r:embed="rId169">
                      <a:extLst>
                        <a:ext uri="{28A0092B-C50C-407E-A947-70E740481C1C}">
                          <a14:useLocalDpi xmlns:a14="http://schemas.microsoft.com/office/drawing/2010/main" val="0"/>
                        </a:ext>
                      </a:extLst>
                    </a:blip>
                    <a:srcRect t="2238"/>
                    <a:stretch>
                      <a:fillRect/>
                    </a:stretch>
                  </pic:blipFill>
                  <pic:spPr bwMode="auto">
                    <a:xfrm>
                      <a:off x="0" y="0"/>
                      <a:ext cx="4314190" cy="1712595"/>
                    </a:xfrm>
                    <a:prstGeom prst="rect">
                      <a:avLst/>
                    </a:prstGeom>
                    <a:noFill/>
                    <a:ln>
                      <a:noFill/>
                    </a:ln>
                  </pic:spPr>
                </pic:pic>
              </a:graphicData>
            </a:graphic>
          </wp:inline>
        </w:drawing>
      </w:r>
    </w:p>
    <w:p w:rsidR="00A91077" w:rsidRPr="00370E70" w:rsidRDefault="005132EF" w:rsidP="00A91077">
      <w:pPr>
        <w:pStyle w:val="Caption"/>
        <w:rPr>
          <w:i/>
          <w:vanish/>
          <w:color w:val="000000"/>
          <w:szCs w:val="22"/>
          <w:lang w:val="en-AU"/>
          <w:specVanish/>
        </w:rPr>
      </w:pPr>
      <w:bookmarkStart w:id="514" w:name="_Toc38419645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105</w:t>
      </w:r>
      <w:r w:rsidRPr="00370E70">
        <w:rPr>
          <w:lang w:val="en-AU"/>
        </w:rPr>
        <w:fldChar w:fldCharType="end"/>
      </w:r>
      <w:r w:rsidRPr="00370E70">
        <w:rPr>
          <w:rStyle w:val="StyleCaptionCaptionCharCharLatinCalibri11ptBlackChar"/>
          <w:lang w:val="en-AU"/>
        </w:rPr>
        <w:t xml:space="preserve">. </w:t>
      </w:r>
      <w:r w:rsidR="00BE3D72" w:rsidRPr="00370E70">
        <w:rPr>
          <w:i/>
          <w:lang w:val="en-AU"/>
        </w:rPr>
        <w:t xml:space="preserve">Daily light (28 </w:t>
      </w:r>
      <w:r w:rsidRPr="00370E70">
        <w:rPr>
          <w:i/>
          <w:lang w:val="en-AU"/>
        </w:rPr>
        <w:t xml:space="preserve">day rolling average) at </w:t>
      </w:r>
      <w:r w:rsidR="00C702ED">
        <w:rPr>
          <w:i/>
          <w:lang w:val="en-AU"/>
        </w:rPr>
        <w:t xml:space="preserve">inshore intertidal </w:t>
      </w:r>
      <w:r w:rsidRPr="00370E70">
        <w:rPr>
          <w:i/>
          <w:lang w:val="en-AU"/>
        </w:rPr>
        <w:t xml:space="preserve">reef </w:t>
      </w:r>
      <w:r w:rsidR="00C702ED">
        <w:rPr>
          <w:i/>
          <w:lang w:val="en-AU"/>
        </w:rPr>
        <w:t xml:space="preserve">habitats </w:t>
      </w:r>
      <w:r w:rsidRPr="00370E70">
        <w:rPr>
          <w:i/>
          <w:lang w:val="en-AU"/>
        </w:rPr>
        <w:t>(</w:t>
      </w:r>
      <w:smartTag w:uri="urn:schemas-microsoft-com:office:smarttags" w:element="PlaceName">
        <w:r w:rsidRPr="00370E70">
          <w:rPr>
            <w:i/>
            <w:lang w:val="en-AU"/>
          </w:rPr>
          <w:t>Picnic</w:t>
        </w:r>
      </w:smartTag>
      <w:r w:rsidRPr="00370E70">
        <w:rPr>
          <w:i/>
          <w:lang w:val="en-AU"/>
        </w:rPr>
        <w:t xml:space="preserve"> </w:t>
      </w:r>
      <w:smartTag w:uri="urn:schemas-microsoft-com:office:smarttags" w:element="PlaceType">
        <w:r w:rsidRPr="00370E70">
          <w:rPr>
            <w:i/>
            <w:lang w:val="en-AU"/>
          </w:rPr>
          <w:t>Bay</w:t>
        </w:r>
      </w:smartTag>
      <w:r w:rsidRPr="00370E70">
        <w:rPr>
          <w:i/>
          <w:lang w:val="en-AU"/>
        </w:rPr>
        <w:t xml:space="preserve"> and </w:t>
      </w:r>
      <w:smartTag w:uri="urn:schemas-microsoft-com:office:smarttags" w:element="PlaceName">
        <w:r w:rsidRPr="00370E70">
          <w:rPr>
            <w:i/>
            <w:lang w:val="en-AU"/>
          </w:rPr>
          <w:t>Cockle</w:t>
        </w:r>
      </w:smartTag>
      <w:r w:rsidRPr="00370E70">
        <w:rPr>
          <w:i/>
          <w:lang w:val="en-AU"/>
        </w:rPr>
        <w:t xml:space="preserve"> </w:t>
      </w:r>
      <w:smartTag w:uri="urn:schemas-microsoft-com:office:smarttags" w:element="PlaceType">
        <w:r w:rsidRPr="00370E70">
          <w:rPr>
            <w:i/>
            <w:lang w:val="en-AU"/>
          </w:rPr>
          <w:t>Bay</w:t>
        </w:r>
      </w:smartTag>
      <w:r w:rsidRPr="00370E70">
        <w:rPr>
          <w:i/>
          <w:lang w:val="en-AU"/>
        </w:rPr>
        <w:t xml:space="preserve">, </w:t>
      </w:r>
      <w:smartTag w:uri="urn:schemas-microsoft-com:office:smarttags" w:element="place">
        <w:smartTag w:uri="urn:schemas-microsoft-com:office:smarttags" w:element="PlaceName">
          <w:r w:rsidRPr="00370E70">
            <w:rPr>
              <w:i/>
              <w:lang w:val="en-AU"/>
            </w:rPr>
            <w:t>Magnetic</w:t>
          </w:r>
        </w:smartTag>
        <w:r w:rsidRPr="00370E70">
          <w:rPr>
            <w:i/>
            <w:lang w:val="en-AU"/>
          </w:rPr>
          <w:t xml:space="preserve"> </w:t>
        </w:r>
        <w:smartTag w:uri="urn:schemas-microsoft-com:office:smarttags" w:element="PlaceType">
          <w:r w:rsidRPr="00370E70">
            <w:rPr>
              <w:i/>
              <w:lang w:val="en-AU"/>
            </w:rPr>
            <w:t>Island</w:t>
          </w:r>
        </w:smartTag>
      </w:smartTag>
      <w:r w:rsidRPr="00370E70">
        <w:rPr>
          <w:i/>
          <w:lang w:val="en-AU"/>
        </w:rPr>
        <w:t xml:space="preserve">) </w:t>
      </w:r>
      <w:r w:rsidR="00C702ED">
        <w:rPr>
          <w:i/>
          <w:lang w:val="en-AU"/>
        </w:rPr>
        <w:t>in the Burdekin region</w:t>
      </w:r>
      <w:bookmarkEnd w:id="514"/>
    </w:p>
    <w:p w:rsidR="00BE3D72" w:rsidRPr="00370E70" w:rsidRDefault="005132EF" w:rsidP="00BE3D72">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w:t>
      </w:r>
      <w:r w:rsidR="00BE3D72"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BE3D72" w:rsidRPr="00370E70">
        <w:rPr>
          <w:i/>
          <w:lang w:val="en-AU"/>
        </w:rPr>
        <w:t>)</w:t>
      </w:r>
      <w:r w:rsidRPr="00370E70">
        <w:rPr>
          <w:i/>
          <w:lang w:val="en-AU"/>
        </w:rPr>
        <w:t>. NB threshold is based on 90-day average.</w:t>
      </w:r>
      <w:r w:rsidR="00BE3D72" w:rsidRPr="00370E70">
        <w:rPr>
          <w:lang w:val="en-AU"/>
        </w:rPr>
        <w:t xml:space="preserve"> </w:t>
      </w:r>
    </w:p>
    <w:p w:rsidR="005132EF" w:rsidRPr="00370E70" w:rsidRDefault="005132EF" w:rsidP="00BE54AE">
      <w:pPr>
        <w:rPr>
          <w:color w:val="000000"/>
        </w:rPr>
      </w:pPr>
    </w:p>
    <w:p w:rsidR="005132EF" w:rsidRPr="00370E70" w:rsidRDefault="007B15AB" w:rsidP="00BE3D72">
      <w:pPr>
        <w:keepNext/>
        <w:spacing w:after="0"/>
        <w:jc w:val="center"/>
        <w:rPr>
          <w:color w:val="000000"/>
          <w:szCs w:val="22"/>
        </w:rPr>
      </w:pPr>
      <w:r>
        <w:rPr>
          <w:noProof/>
          <w:color w:val="000000"/>
          <w:szCs w:val="22"/>
          <w:lang w:eastAsia="en-AU"/>
        </w:rPr>
        <w:lastRenderedPageBreak/>
        <w:drawing>
          <wp:inline distT="0" distB="0" distL="0" distR="0">
            <wp:extent cx="4314190" cy="1635760"/>
            <wp:effectExtent l="0" t="0" r="0" b="2540"/>
            <wp:docPr id="144" name="Picture 144" descr="Graph of daily light (28 day rolling average) at coastal intertidal (Bushland Beach) meadows, also showing approximate light threshold required for positive growth in Halodule uninervis dominated communities in the northern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Graph of daily light (28 day rolling average) at coastal intertidal (Bushland Beach) meadows, also showing approximate light threshold required for positive growth in Halodule uninervis dominated communities in the northern GBR "/>
                    <pic:cNvPicPr>
                      <a:picLocks noChangeAspect="1" noChangeArrowheads="1"/>
                    </pic:cNvPicPr>
                  </pic:nvPicPr>
                  <pic:blipFill>
                    <a:blip r:embed="rId170">
                      <a:extLst>
                        <a:ext uri="{28A0092B-C50C-407E-A947-70E740481C1C}">
                          <a14:useLocalDpi xmlns:a14="http://schemas.microsoft.com/office/drawing/2010/main" val="0"/>
                        </a:ext>
                      </a:extLst>
                    </a:blip>
                    <a:srcRect b="11327"/>
                    <a:stretch>
                      <a:fillRect/>
                    </a:stretch>
                  </pic:blipFill>
                  <pic:spPr bwMode="auto">
                    <a:xfrm>
                      <a:off x="0" y="0"/>
                      <a:ext cx="4314190" cy="1635760"/>
                    </a:xfrm>
                    <a:prstGeom prst="rect">
                      <a:avLst/>
                    </a:prstGeom>
                    <a:noFill/>
                    <a:ln>
                      <a:noFill/>
                    </a:ln>
                  </pic:spPr>
                </pic:pic>
              </a:graphicData>
            </a:graphic>
          </wp:inline>
        </w:drawing>
      </w:r>
    </w:p>
    <w:p w:rsidR="005132EF" w:rsidRPr="00370E70" w:rsidRDefault="007B15AB" w:rsidP="00BE3D72">
      <w:pPr>
        <w:keepNext/>
        <w:spacing w:before="0" w:after="0"/>
        <w:jc w:val="center"/>
        <w:rPr>
          <w:color w:val="000000"/>
          <w:szCs w:val="22"/>
        </w:rPr>
      </w:pPr>
      <w:r>
        <w:rPr>
          <w:noProof/>
          <w:color w:val="000000"/>
          <w:szCs w:val="22"/>
          <w:lang w:eastAsia="en-AU"/>
        </w:rPr>
        <w:drawing>
          <wp:inline distT="0" distB="0" distL="0" distR="0">
            <wp:extent cx="4314190" cy="1699895"/>
            <wp:effectExtent l="0" t="0" r="0" b="0"/>
            <wp:docPr id="145" name="Picture 145" descr="Graph of daily light (28 day rolling average) at coastal intertidal (Shelley Beach) meadows, also showing approximate light threshold required for positive growth in Halodule uninervis dominated communities in the northern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Graph of daily light (28 day rolling average) at coastal intertidal (Shelley Beach) meadows, also showing approximate light threshold required for positive growth in Halodule uninervis dominated communities in the northern GBR "/>
                    <pic:cNvPicPr>
                      <a:picLocks noChangeAspect="1" noChangeArrowheads="1"/>
                    </pic:cNvPicPr>
                  </pic:nvPicPr>
                  <pic:blipFill>
                    <a:blip r:embed="rId171">
                      <a:extLst>
                        <a:ext uri="{28A0092B-C50C-407E-A947-70E740481C1C}">
                          <a14:useLocalDpi xmlns:a14="http://schemas.microsoft.com/office/drawing/2010/main" val="0"/>
                        </a:ext>
                      </a:extLst>
                    </a:blip>
                    <a:srcRect t="2634"/>
                    <a:stretch>
                      <a:fillRect/>
                    </a:stretch>
                  </pic:blipFill>
                  <pic:spPr bwMode="auto">
                    <a:xfrm>
                      <a:off x="0" y="0"/>
                      <a:ext cx="4314190" cy="1699895"/>
                    </a:xfrm>
                    <a:prstGeom prst="rect">
                      <a:avLst/>
                    </a:prstGeom>
                    <a:noFill/>
                    <a:ln>
                      <a:noFill/>
                    </a:ln>
                  </pic:spPr>
                </pic:pic>
              </a:graphicData>
            </a:graphic>
          </wp:inline>
        </w:drawing>
      </w:r>
    </w:p>
    <w:p w:rsidR="00A91077" w:rsidRPr="00370E70" w:rsidRDefault="005132EF" w:rsidP="00A91077">
      <w:pPr>
        <w:pStyle w:val="Caption"/>
        <w:rPr>
          <w:i/>
          <w:vanish/>
          <w:color w:val="000000"/>
          <w:szCs w:val="22"/>
          <w:lang w:val="en-AU"/>
          <w:specVanish/>
        </w:rPr>
      </w:pPr>
      <w:bookmarkStart w:id="515" w:name="_Toc38419645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106</w:t>
      </w:r>
      <w:r w:rsidRPr="00370E70">
        <w:rPr>
          <w:lang w:val="en-AU"/>
        </w:rPr>
        <w:fldChar w:fldCharType="end"/>
      </w:r>
      <w:r w:rsidRPr="00370E70">
        <w:rPr>
          <w:rStyle w:val="StyleCaptionCaptionCharCharLatinCalibri11ptBlackChar"/>
          <w:lang w:val="en-AU"/>
        </w:rPr>
        <w:t xml:space="preserve">. </w:t>
      </w:r>
      <w:r w:rsidR="00BE3D72" w:rsidRPr="00370E70">
        <w:rPr>
          <w:i/>
          <w:lang w:val="en-AU"/>
        </w:rPr>
        <w:t xml:space="preserve">Daily light (28 </w:t>
      </w:r>
      <w:r w:rsidRPr="00370E70">
        <w:rPr>
          <w:i/>
          <w:lang w:val="en-AU"/>
        </w:rPr>
        <w:t xml:space="preserve">day rolling average) at </w:t>
      </w:r>
      <w:r w:rsidR="00724799">
        <w:rPr>
          <w:i/>
          <w:lang w:val="en-AU"/>
        </w:rPr>
        <w:t xml:space="preserve">inshore </w:t>
      </w:r>
      <w:r w:rsidR="00724799" w:rsidRPr="00370E70">
        <w:rPr>
          <w:i/>
          <w:lang w:val="en-AU"/>
        </w:rPr>
        <w:t xml:space="preserve">intertidal </w:t>
      </w:r>
      <w:r w:rsidRPr="00370E70">
        <w:rPr>
          <w:i/>
          <w:lang w:val="en-AU"/>
        </w:rPr>
        <w:t xml:space="preserve">coastal </w:t>
      </w:r>
      <w:r w:rsidR="00724799">
        <w:rPr>
          <w:i/>
          <w:lang w:val="en-AU"/>
        </w:rPr>
        <w:t xml:space="preserve">habitats </w:t>
      </w:r>
      <w:r w:rsidRPr="00370E70">
        <w:rPr>
          <w:i/>
          <w:lang w:val="en-AU"/>
        </w:rPr>
        <w:t>(</w:t>
      </w:r>
      <w:smartTag w:uri="urn:schemas-microsoft-com:office:smarttags" w:element="place">
        <w:smartTag w:uri="urn:schemas-microsoft-com:office:smarttags" w:element="PlaceName">
          <w:r w:rsidRPr="00370E70">
            <w:rPr>
              <w:i/>
              <w:lang w:val="en-AU"/>
            </w:rPr>
            <w:t>Bushland</w:t>
          </w:r>
        </w:smartTag>
        <w:r w:rsidRPr="00370E70">
          <w:rPr>
            <w:i/>
            <w:lang w:val="en-AU"/>
          </w:rPr>
          <w:t xml:space="preserve"> </w:t>
        </w:r>
        <w:smartTag w:uri="urn:schemas-microsoft-com:office:smarttags" w:element="PlaceType">
          <w:r w:rsidRPr="00370E70">
            <w:rPr>
              <w:i/>
              <w:lang w:val="en-AU"/>
            </w:rPr>
            <w:t>Beach</w:t>
          </w:r>
        </w:smartTag>
      </w:smartTag>
      <w:r w:rsidRPr="00370E70">
        <w:rPr>
          <w:i/>
          <w:lang w:val="en-AU"/>
        </w:rPr>
        <w:t xml:space="preserve"> and Shelley Beach) </w:t>
      </w:r>
      <w:r w:rsidR="00724799">
        <w:rPr>
          <w:i/>
          <w:lang w:val="en-AU"/>
        </w:rPr>
        <w:t>in the Burdekin region</w:t>
      </w:r>
      <w:bookmarkEnd w:id="515"/>
    </w:p>
    <w:p w:rsidR="00BE3D72" w:rsidRPr="00370E70" w:rsidRDefault="005132EF" w:rsidP="00BE3D72">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w:t>
      </w:r>
      <w:r w:rsidR="00BE3D72"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BE3D72" w:rsidRPr="00370E70">
        <w:rPr>
          <w:i/>
          <w:lang w:val="en-AU"/>
        </w:rPr>
        <w:t>)</w:t>
      </w:r>
      <w:r w:rsidRPr="00370E70">
        <w:rPr>
          <w:i/>
          <w:lang w:val="en-AU"/>
        </w:rPr>
        <w:t>. NB threshold is based on 90-day average.</w:t>
      </w:r>
      <w:r w:rsidR="00BE3D72" w:rsidRPr="00370E70">
        <w:rPr>
          <w:lang w:val="en-AU"/>
        </w:rPr>
        <w:t xml:space="preserve"> </w:t>
      </w:r>
    </w:p>
    <w:p w:rsidR="005132EF" w:rsidRPr="00370E70" w:rsidRDefault="007B15AB" w:rsidP="00BE3D72">
      <w:pPr>
        <w:keepNext/>
        <w:spacing w:after="0"/>
        <w:jc w:val="center"/>
        <w:rPr>
          <w:color w:val="000000"/>
          <w:szCs w:val="22"/>
        </w:rPr>
      </w:pPr>
      <w:r>
        <w:rPr>
          <w:noProof/>
          <w:color w:val="000000"/>
          <w:szCs w:val="22"/>
          <w:lang w:eastAsia="en-AU"/>
        </w:rPr>
        <w:drawing>
          <wp:inline distT="0" distB="0" distL="0" distR="0">
            <wp:extent cx="4314190" cy="1854835"/>
            <wp:effectExtent l="0" t="0" r="0" b="0"/>
            <wp:docPr id="146" name="Picture 146" descr="Graph of daily light (28 day rolling average) at reef subtidal (Picnic Bay) meadows, also showing approximate light threshold required for positive growth in Halodule uninervis dominated communities in the northern GB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Graph of daily light (28 day rolling average) at reef subtidal (Picnic Bay) meadows, also showing approximate light threshold required for positive growth in Halodule uninervis dominated communities in the northern GBR "/>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314190" cy="1854835"/>
                    </a:xfrm>
                    <a:prstGeom prst="rect">
                      <a:avLst/>
                    </a:prstGeom>
                    <a:noFill/>
                    <a:ln>
                      <a:noFill/>
                    </a:ln>
                  </pic:spPr>
                </pic:pic>
              </a:graphicData>
            </a:graphic>
          </wp:inline>
        </w:drawing>
      </w:r>
    </w:p>
    <w:p w:rsidR="00A91077" w:rsidRPr="00370E70" w:rsidRDefault="005132EF" w:rsidP="00A91077">
      <w:pPr>
        <w:pStyle w:val="Caption"/>
        <w:rPr>
          <w:i/>
          <w:vanish/>
          <w:color w:val="000000"/>
          <w:szCs w:val="22"/>
          <w:lang w:val="en-AU"/>
          <w:specVanish/>
        </w:rPr>
      </w:pPr>
      <w:bookmarkStart w:id="516" w:name="_Toc38419645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107</w:t>
      </w:r>
      <w:r w:rsidRPr="00370E70">
        <w:rPr>
          <w:lang w:val="en-AU"/>
        </w:rPr>
        <w:fldChar w:fldCharType="end"/>
      </w:r>
      <w:r w:rsidRPr="00370E70">
        <w:rPr>
          <w:rStyle w:val="StyleCaptionCaptionCharCharLatinCalibri11ptBlackChar"/>
          <w:lang w:val="en-AU"/>
        </w:rPr>
        <w:t>.</w:t>
      </w:r>
      <w:r w:rsidR="00BE3D72" w:rsidRPr="00370E70">
        <w:rPr>
          <w:lang w:val="en-AU"/>
        </w:rPr>
        <w:t xml:space="preserve"> </w:t>
      </w:r>
      <w:r w:rsidR="00BE3D72" w:rsidRPr="00370E70">
        <w:rPr>
          <w:i/>
          <w:lang w:val="en-AU"/>
        </w:rPr>
        <w:t xml:space="preserve">Daily light (28 </w:t>
      </w:r>
      <w:r w:rsidRPr="00370E70">
        <w:rPr>
          <w:i/>
          <w:lang w:val="en-AU"/>
        </w:rPr>
        <w:t xml:space="preserve">day rolling average) at </w:t>
      </w:r>
      <w:r w:rsidR="00724799">
        <w:rPr>
          <w:i/>
          <w:lang w:val="en-AU"/>
        </w:rPr>
        <w:t xml:space="preserve">inshore </w:t>
      </w:r>
      <w:r w:rsidR="00724799" w:rsidRPr="00370E70">
        <w:rPr>
          <w:i/>
          <w:lang w:val="en-AU"/>
        </w:rPr>
        <w:t xml:space="preserve">subtidal </w:t>
      </w:r>
      <w:r w:rsidRPr="00370E70">
        <w:rPr>
          <w:i/>
          <w:lang w:val="en-AU"/>
        </w:rPr>
        <w:t xml:space="preserve">reef </w:t>
      </w:r>
      <w:r w:rsidR="00724799">
        <w:rPr>
          <w:i/>
          <w:lang w:val="en-AU"/>
        </w:rPr>
        <w:t xml:space="preserve">habitat </w:t>
      </w:r>
      <w:r w:rsidRPr="00370E70">
        <w:rPr>
          <w:i/>
          <w:lang w:val="en-AU"/>
        </w:rPr>
        <w:t>(</w:t>
      </w:r>
      <w:smartTag w:uri="urn:schemas-microsoft-com:office:smarttags" w:element="PlaceName">
        <w:r w:rsidRPr="00370E70">
          <w:rPr>
            <w:i/>
            <w:lang w:val="en-AU"/>
          </w:rPr>
          <w:t>Picnic</w:t>
        </w:r>
      </w:smartTag>
      <w:r w:rsidRPr="00370E70">
        <w:rPr>
          <w:i/>
          <w:lang w:val="en-AU"/>
        </w:rPr>
        <w:t xml:space="preserve"> </w:t>
      </w:r>
      <w:smartTag w:uri="urn:schemas-microsoft-com:office:smarttags" w:element="PlaceType">
        <w:r w:rsidR="002C6536" w:rsidRPr="00370E70">
          <w:rPr>
            <w:i/>
            <w:lang w:val="en-AU"/>
          </w:rPr>
          <w:t>Bay</w:t>
        </w:r>
      </w:smartTag>
      <w:r w:rsidR="002C6536" w:rsidRPr="00370E70">
        <w:rPr>
          <w:i/>
          <w:lang w:val="en-AU"/>
        </w:rPr>
        <w:t xml:space="preserve">, </w:t>
      </w:r>
      <w:smartTag w:uri="urn:schemas-microsoft-com:office:smarttags" w:element="place">
        <w:smartTag w:uri="urn:schemas-microsoft-com:office:smarttags" w:element="PlaceName">
          <w:r w:rsidR="002C6536" w:rsidRPr="00370E70">
            <w:rPr>
              <w:i/>
              <w:lang w:val="en-AU"/>
            </w:rPr>
            <w:t>Magnetic</w:t>
          </w:r>
        </w:smartTag>
        <w:r w:rsidRPr="00370E70">
          <w:rPr>
            <w:i/>
            <w:lang w:val="en-AU"/>
          </w:rPr>
          <w:t xml:space="preserve"> </w:t>
        </w:r>
        <w:smartTag w:uri="urn:schemas-microsoft-com:office:smarttags" w:element="PlaceType">
          <w:r w:rsidRPr="00370E70">
            <w:rPr>
              <w:i/>
              <w:lang w:val="en-AU"/>
            </w:rPr>
            <w:t>Island</w:t>
          </w:r>
        </w:smartTag>
      </w:smartTag>
      <w:r w:rsidRPr="00370E70">
        <w:rPr>
          <w:i/>
          <w:lang w:val="en-AU"/>
        </w:rPr>
        <w:t xml:space="preserve">) </w:t>
      </w:r>
      <w:r w:rsidR="00724799">
        <w:rPr>
          <w:i/>
          <w:lang w:val="en-AU"/>
        </w:rPr>
        <w:t>in the Burdekin region</w:t>
      </w:r>
      <w:bookmarkEnd w:id="516"/>
    </w:p>
    <w:p w:rsidR="00BE3D72" w:rsidRPr="00370E70" w:rsidRDefault="005132EF" w:rsidP="00BE3D72">
      <w:pPr>
        <w:pStyle w:val="Caption"/>
        <w:rPr>
          <w:lang w:val="en-AU"/>
        </w:rPr>
      </w:pPr>
      <w:r w:rsidRPr="00370E70">
        <w:rPr>
          <w:i/>
          <w:lang w:val="en-AU"/>
        </w:rPr>
        <w:t>, also showing approximate light threshold required for positive growth in Halodule uninervis dominated communities in the northern GBR (5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w:t>
      </w:r>
      <w:r w:rsidR="00BE3D72" w:rsidRPr="00370E70">
        <w:rPr>
          <w:i/>
          <w:lang w:val="en-AU"/>
        </w:rPr>
        <w:t>(</w:t>
      </w:r>
      <w:hyperlink w:anchor="_ENREF_45" w:tooltip="Collier, 2012 #9288" w:history="1">
        <w:r w:rsidR="00964A70" w:rsidRPr="00370E70">
          <w:rPr>
            <w:i/>
            <w:lang w:val="en-AU"/>
          </w:rPr>
          <w:fldChar w:fldCharType="begin"/>
        </w:r>
        <w:r w:rsidR="00964A70" w:rsidRPr="00370E70">
          <w:rPr>
            <w:i/>
            <w:lang w:val="en-AU"/>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lang w:val="en-AU"/>
          </w:rPr>
          <w:fldChar w:fldCharType="separate"/>
        </w:r>
        <w:r w:rsidR="00964A70" w:rsidRPr="00370E70">
          <w:rPr>
            <w:i/>
            <w:noProof/>
            <w:lang w:val="en-AU"/>
          </w:rPr>
          <w:t>Collier, et al. 2012b</w:t>
        </w:r>
        <w:r w:rsidR="00964A70" w:rsidRPr="00370E70">
          <w:rPr>
            <w:i/>
            <w:lang w:val="en-AU"/>
          </w:rPr>
          <w:fldChar w:fldCharType="end"/>
        </w:r>
      </w:hyperlink>
      <w:r w:rsidR="00BE3D72" w:rsidRPr="00370E70">
        <w:rPr>
          <w:i/>
          <w:lang w:val="en-AU"/>
        </w:rPr>
        <w:t>)</w:t>
      </w:r>
      <w:r w:rsidRPr="00370E70">
        <w:rPr>
          <w:i/>
          <w:lang w:val="en-AU"/>
        </w:rPr>
        <w:t xml:space="preserve">. </w:t>
      </w:r>
      <w:r w:rsidR="00BE3D72" w:rsidRPr="00370E70">
        <w:rPr>
          <w:i/>
          <w:lang w:val="en-AU"/>
        </w:rPr>
        <w:t xml:space="preserve">NB threshold is based on 90 </w:t>
      </w:r>
      <w:r w:rsidRPr="00370E70">
        <w:rPr>
          <w:i/>
          <w:lang w:val="en-AU"/>
        </w:rPr>
        <w:t>day average.</w:t>
      </w:r>
      <w:r w:rsidR="00BE3D72" w:rsidRPr="00370E70">
        <w:rPr>
          <w:i/>
          <w:lang w:val="en-AU"/>
        </w:rPr>
        <w:t xml:space="preserve"> </w:t>
      </w:r>
    </w:p>
    <w:p w:rsidR="00BE3D72" w:rsidRPr="00370E70" w:rsidRDefault="00BE3D72" w:rsidP="00BE3D72"/>
    <w:p w:rsidR="005132EF" w:rsidRPr="00370E70" w:rsidRDefault="005132EF" w:rsidP="00BE54AE">
      <w:pPr>
        <w:rPr>
          <w:color w:val="000000"/>
        </w:rPr>
      </w:pPr>
    </w:p>
    <w:p w:rsidR="005132EF" w:rsidRPr="00370E70" w:rsidRDefault="005132EF" w:rsidP="00BE54AE">
      <w:pPr>
        <w:rPr>
          <w:color w:val="000000"/>
        </w:rPr>
      </w:pPr>
    </w:p>
    <w:p w:rsidR="005132EF" w:rsidRPr="00370E70" w:rsidRDefault="007B15AB" w:rsidP="00BE3D72">
      <w:pPr>
        <w:keepNext/>
        <w:spacing w:after="0"/>
        <w:jc w:val="center"/>
        <w:rPr>
          <w:color w:val="000000"/>
          <w:szCs w:val="22"/>
        </w:rPr>
      </w:pPr>
      <w:r>
        <w:rPr>
          <w:noProof/>
          <w:color w:val="000000"/>
          <w:szCs w:val="22"/>
          <w:lang w:eastAsia="en-AU"/>
        </w:rPr>
        <w:lastRenderedPageBreak/>
        <w:drawing>
          <wp:inline distT="0" distB="0" distL="0" distR="0">
            <wp:extent cx="3644900" cy="2730500"/>
            <wp:effectExtent l="0" t="0" r="0" b="0"/>
            <wp:docPr id="147" name="Picture 147" descr="Graph of relationship between turbidity and light at Picnic Bay, Magnetic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Graph of relationship between turbidity and light at Picnic Bay, Magnetic Island. "/>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644900" cy="2730500"/>
                    </a:xfrm>
                    <a:prstGeom prst="rect">
                      <a:avLst/>
                    </a:prstGeom>
                    <a:noFill/>
                    <a:ln>
                      <a:noFill/>
                    </a:ln>
                  </pic:spPr>
                </pic:pic>
              </a:graphicData>
            </a:graphic>
          </wp:inline>
        </w:drawing>
      </w:r>
    </w:p>
    <w:p w:rsidR="005132EF" w:rsidRPr="00370E70" w:rsidRDefault="005132EF" w:rsidP="00BE54AE">
      <w:pPr>
        <w:pStyle w:val="Caption"/>
        <w:rPr>
          <w:i/>
          <w:color w:val="000000"/>
          <w:szCs w:val="22"/>
          <w:lang w:val="en-AU"/>
        </w:rPr>
      </w:pPr>
      <w:bookmarkStart w:id="517" w:name="_Toc384196455"/>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108</w:t>
      </w:r>
      <w:r w:rsidRPr="00370E70">
        <w:rPr>
          <w:color w:val="000000"/>
          <w:szCs w:val="22"/>
          <w:lang w:val="en-AU"/>
        </w:rPr>
        <w:fldChar w:fldCharType="end"/>
      </w:r>
      <w:r w:rsidRPr="00370E70">
        <w:rPr>
          <w:rStyle w:val="StyleCaptionCaptionCharCharLatinCalibri11ptBlackChar"/>
          <w:lang w:val="en-AU"/>
        </w:rPr>
        <w:t xml:space="preserve">. </w:t>
      </w:r>
      <w:r w:rsidRPr="00370E70">
        <w:rPr>
          <w:i/>
          <w:color w:val="000000"/>
          <w:szCs w:val="22"/>
          <w:lang w:val="en-AU"/>
        </w:rPr>
        <w:t>Turbidity (NTU, daily av</w:t>
      </w:r>
      <w:r w:rsidR="00724799">
        <w:rPr>
          <w:i/>
          <w:color w:val="000000"/>
          <w:szCs w:val="22"/>
          <w:lang w:val="en-AU"/>
        </w:rPr>
        <w:t>erage</w:t>
      </w:r>
      <w:r w:rsidRPr="00370E70">
        <w:rPr>
          <w:i/>
          <w:color w:val="000000"/>
          <w:szCs w:val="22"/>
          <w:lang w:val="en-AU"/>
        </w:rPr>
        <w:t>) and light (daily sum, mol m</w:t>
      </w:r>
      <w:r w:rsidRPr="00370E70">
        <w:rPr>
          <w:i/>
          <w:color w:val="000000"/>
          <w:szCs w:val="22"/>
          <w:vertAlign w:val="superscript"/>
          <w:lang w:val="en-AU"/>
        </w:rPr>
        <w:t>-2</w:t>
      </w:r>
      <w:r w:rsidRPr="00370E70">
        <w:rPr>
          <w:i/>
          <w:color w:val="000000"/>
          <w:szCs w:val="22"/>
          <w:lang w:val="en-AU"/>
        </w:rPr>
        <w:t xml:space="preserve"> d</w:t>
      </w:r>
      <w:r w:rsidRPr="00370E70">
        <w:rPr>
          <w:i/>
          <w:color w:val="000000"/>
          <w:szCs w:val="22"/>
          <w:vertAlign w:val="superscript"/>
          <w:lang w:val="en-AU"/>
        </w:rPr>
        <w:t>-1</w:t>
      </w:r>
      <w:r w:rsidRPr="00370E70">
        <w:rPr>
          <w:i/>
          <w:color w:val="000000"/>
          <w:szCs w:val="22"/>
          <w:lang w:val="en-AU"/>
        </w:rPr>
        <w:t xml:space="preserve">) at </w:t>
      </w:r>
      <w:r w:rsidR="00724799">
        <w:rPr>
          <w:i/>
          <w:color w:val="000000"/>
          <w:szCs w:val="22"/>
          <w:lang w:val="en-AU"/>
        </w:rPr>
        <w:t>inshore subtidal reef habitats (</w:t>
      </w:r>
      <w:smartTag w:uri="urn:schemas-microsoft-com:office:smarttags" w:element="PlaceName">
        <w:r w:rsidRPr="00370E70">
          <w:rPr>
            <w:i/>
            <w:color w:val="000000"/>
            <w:szCs w:val="22"/>
            <w:lang w:val="en-AU"/>
          </w:rPr>
          <w:t>Picnic</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Magnetic</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00724799">
        <w:rPr>
          <w:i/>
          <w:color w:val="000000"/>
          <w:szCs w:val="22"/>
          <w:lang w:val="en-AU"/>
        </w:rPr>
        <w:t>) in the Burdekin region</w:t>
      </w:r>
      <w:r w:rsidRPr="00370E70">
        <w:rPr>
          <w:i/>
          <w:color w:val="000000"/>
          <w:szCs w:val="22"/>
          <w:lang w:val="en-AU"/>
        </w:rPr>
        <w:t>.</w:t>
      </w:r>
      <w:bookmarkEnd w:id="517"/>
      <w:r w:rsidRPr="00370E70">
        <w:rPr>
          <w:i/>
          <w:color w:val="000000"/>
          <w:szCs w:val="22"/>
          <w:lang w:val="en-AU"/>
        </w:rPr>
        <w:t xml:space="preserve"> </w:t>
      </w:r>
    </w:p>
    <w:p w:rsidR="005132EF" w:rsidRPr="00370E70" w:rsidRDefault="007B15AB" w:rsidP="00BE3D72">
      <w:pPr>
        <w:spacing w:after="0"/>
        <w:jc w:val="center"/>
        <w:rPr>
          <w:color w:val="000000"/>
        </w:rPr>
      </w:pPr>
      <w:r>
        <w:rPr>
          <w:noProof/>
          <w:color w:val="000000"/>
          <w:lang w:eastAsia="en-AU"/>
        </w:rPr>
        <w:drawing>
          <wp:inline distT="0" distB="0" distL="0" distR="0">
            <wp:extent cx="4314190" cy="3515995"/>
            <wp:effectExtent l="0" t="0" r="0" b="8255"/>
            <wp:docPr id="148" name="Picture 148" descr="Graph of daily mean chlorophyll concentration, turbidity at Picnic Bay on Magnetic Island in the Burdekin NRM Region. Additional panels are daily discharge (Burdekin River) and daily wind speed (Townsville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Graph of daily mean chlorophyll concentration, turbidity at Picnic Bay on Magnetic Island in the Burdekin NRM Region. Additional panels are daily discharge (Burdekin River) and daily wind speed (Townsville airport). "/>
                    <pic:cNvPicPr>
                      <a:picLocks noChangeAspect="1" noChangeArrowheads="1"/>
                    </pic:cNvPicPr>
                  </pic:nvPicPr>
                  <pic:blipFill>
                    <a:blip r:embed="rId174">
                      <a:extLst>
                        <a:ext uri="{28A0092B-C50C-407E-A947-70E740481C1C}">
                          <a14:useLocalDpi xmlns:a14="http://schemas.microsoft.com/office/drawing/2010/main" val="0"/>
                        </a:ext>
                      </a:extLst>
                    </a:blip>
                    <a:srcRect b="3813"/>
                    <a:stretch>
                      <a:fillRect/>
                    </a:stretch>
                  </pic:blipFill>
                  <pic:spPr bwMode="auto">
                    <a:xfrm>
                      <a:off x="0" y="0"/>
                      <a:ext cx="4314190" cy="3515995"/>
                    </a:xfrm>
                    <a:prstGeom prst="rect">
                      <a:avLst/>
                    </a:prstGeom>
                    <a:noFill/>
                    <a:ln>
                      <a:noFill/>
                    </a:ln>
                  </pic:spPr>
                </pic:pic>
              </a:graphicData>
            </a:graphic>
          </wp:inline>
        </w:drawing>
      </w:r>
    </w:p>
    <w:p w:rsidR="006849AA" w:rsidRPr="006849AA" w:rsidRDefault="005132EF" w:rsidP="006849AA">
      <w:pPr>
        <w:pStyle w:val="Caption"/>
        <w:rPr>
          <w:i/>
          <w:vanish/>
          <w:lang w:val="en-AU"/>
          <w:specVanish/>
        </w:rPr>
      </w:pPr>
      <w:bookmarkStart w:id="518" w:name="_Toc384196456"/>
      <w:r w:rsidRPr="00370E70">
        <w:rPr>
          <w:rStyle w:val="StyleCaptionCaptionCharCharLatinCalibri11ptBlackChar"/>
          <w:lang w:val="en-AU"/>
        </w:rPr>
        <w:t xml:space="preserve">Figure </w:t>
      </w:r>
      <w:r w:rsidRPr="00370E70">
        <w:fldChar w:fldCharType="begin"/>
      </w:r>
      <w:r w:rsidRPr="00370E70">
        <w:instrText xml:space="preserve"> SEQ Figure \* ARABIC </w:instrText>
      </w:r>
      <w:r w:rsidRPr="00370E70">
        <w:fldChar w:fldCharType="separate"/>
      </w:r>
      <w:r w:rsidR="005B5FD6">
        <w:rPr>
          <w:noProof/>
        </w:rPr>
        <w:t>109</w:t>
      </w:r>
      <w:r w:rsidRPr="00370E70">
        <w:fldChar w:fldCharType="end"/>
      </w:r>
      <w:r w:rsidRPr="00370E70">
        <w:rPr>
          <w:rStyle w:val="StyleCaptionCaptionCharCharLatinCalibri11ptBlackChar"/>
          <w:lang w:val="en-AU"/>
        </w:rPr>
        <w:t xml:space="preserve">. </w:t>
      </w:r>
      <w:r w:rsidRPr="006849AA">
        <w:rPr>
          <w:i/>
        </w:rPr>
        <w:t>Daily mean chlorophyll concentration (green line, ɥg L</w:t>
      </w:r>
      <w:r w:rsidRPr="006849AA">
        <w:rPr>
          <w:i/>
          <w:vertAlign w:val="superscript"/>
        </w:rPr>
        <w:t>-1</w:t>
      </w:r>
      <w:r w:rsidRPr="006849AA">
        <w:rPr>
          <w:i/>
        </w:rPr>
        <w:t xml:space="preserve">), turbidity (brown line, NTU) </w:t>
      </w:r>
      <w:r w:rsidR="00724799">
        <w:rPr>
          <w:i/>
          <w:color w:val="000000"/>
          <w:szCs w:val="22"/>
          <w:lang w:val="en-AU"/>
        </w:rPr>
        <w:t>inshore subtidal reef habitats (</w:t>
      </w:r>
      <w:smartTag w:uri="urn:schemas-microsoft-com:office:smarttags" w:element="PlaceName">
        <w:r w:rsidR="00724799" w:rsidRPr="00370E70">
          <w:rPr>
            <w:i/>
            <w:color w:val="000000"/>
            <w:szCs w:val="22"/>
            <w:lang w:val="en-AU"/>
          </w:rPr>
          <w:t>Picnic</w:t>
        </w:r>
      </w:smartTag>
      <w:r w:rsidR="00724799" w:rsidRPr="00370E70">
        <w:rPr>
          <w:i/>
          <w:color w:val="000000"/>
          <w:szCs w:val="22"/>
          <w:lang w:val="en-AU"/>
        </w:rPr>
        <w:t xml:space="preserve"> </w:t>
      </w:r>
      <w:smartTag w:uri="urn:schemas-microsoft-com:office:smarttags" w:element="PlaceType">
        <w:r w:rsidR="00724799" w:rsidRPr="00370E70">
          <w:rPr>
            <w:i/>
            <w:color w:val="000000"/>
            <w:szCs w:val="22"/>
            <w:lang w:val="en-AU"/>
          </w:rPr>
          <w:t>Bay</w:t>
        </w:r>
      </w:smartTag>
      <w:r w:rsidR="00724799" w:rsidRPr="00370E70">
        <w:rPr>
          <w:i/>
          <w:color w:val="000000"/>
          <w:szCs w:val="22"/>
          <w:lang w:val="en-AU"/>
        </w:rPr>
        <w:t xml:space="preserve">, </w:t>
      </w:r>
      <w:smartTag w:uri="urn:schemas-microsoft-com:office:smarttags" w:element="place">
        <w:smartTag w:uri="urn:schemas-microsoft-com:office:smarttags" w:element="PlaceName">
          <w:r w:rsidR="00724799" w:rsidRPr="00370E70">
            <w:rPr>
              <w:i/>
              <w:color w:val="000000"/>
              <w:szCs w:val="22"/>
              <w:lang w:val="en-AU"/>
            </w:rPr>
            <w:t>Magnetic</w:t>
          </w:r>
        </w:smartTag>
        <w:r w:rsidR="00724799" w:rsidRPr="00370E70">
          <w:rPr>
            <w:i/>
            <w:color w:val="000000"/>
            <w:szCs w:val="22"/>
            <w:lang w:val="en-AU"/>
          </w:rPr>
          <w:t xml:space="preserve"> </w:t>
        </w:r>
        <w:smartTag w:uri="urn:schemas-microsoft-com:office:smarttags" w:element="PlaceType">
          <w:r w:rsidR="00724799" w:rsidRPr="00370E70">
            <w:rPr>
              <w:i/>
              <w:color w:val="000000"/>
              <w:szCs w:val="22"/>
              <w:lang w:val="en-AU"/>
            </w:rPr>
            <w:t>Island</w:t>
          </w:r>
        </w:smartTag>
      </w:smartTag>
      <w:r w:rsidR="00724799">
        <w:rPr>
          <w:i/>
          <w:color w:val="000000"/>
          <w:szCs w:val="22"/>
          <w:lang w:val="en-AU"/>
        </w:rPr>
        <w:t>) in the Burdekin region</w:t>
      </w:r>
      <w:r w:rsidRPr="006849AA">
        <w:rPr>
          <w:i/>
        </w:rPr>
        <w:t>.</w:t>
      </w:r>
      <w:bookmarkEnd w:id="518"/>
    </w:p>
    <w:p w:rsidR="006849AA" w:rsidRPr="006849AA" w:rsidRDefault="005132EF" w:rsidP="006849AA">
      <w:pPr>
        <w:pStyle w:val="Caption"/>
      </w:pPr>
      <w:r w:rsidRPr="006849AA">
        <w:rPr>
          <w:i/>
        </w:rPr>
        <w:t xml:space="preserve"> Additional panels are daily discharge (</w:t>
      </w:r>
      <w:smartTag w:uri="urn:schemas-microsoft-com:office:smarttags" w:element="place">
        <w:smartTag w:uri="urn:schemas-microsoft-com:office:smarttags" w:element="PlaceName">
          <w:r w:rsidRPr="006849AA">
            <w:rPr>
              <w:i/>
            </w:rPr>
            <w:t>Burdekin</w:t>
          </w:r>
        </w:smartTag>
        <w:r w:rsidRPr="006849AA">
          <w:rPr>
            <w:i/>
          </w:rPr>
          <w:t xml:space="preserve"> </w:t>
        </w:r>
        <w:smartTag w:uri="urn:schemas-microsoft-com:office:smarttags" w:element="PlaceType">
          <w:r w:rsidRPr="006849AA">
            <w:rPr>
              <w:i/>
            </w:rPr>
            <w:t>River</w:t>
          </w:r>
        </w:smartTag>
      </w:smartTag>
      <w:r w:rsidRPr="006849AA">
        <w:rPr>
          <w:i/>
        </w:rPr>
        <w:t>, ML d</w:t>
      </w:r>
      <w:r w:rsidRPr="006849AA">
        <w:rPr>
          <w:i/>
          <w:vertAlign w:val="superscript"/>
        </w:rPr>
        <w:t>-1</w:t>
      </w:r>
      <w:r w:rsidRPr="006849AA">
        <w:rPr>
          <w:i/>
        </w:rPr>
        <w:t xml:space="preserve"> x10</w:t>
      </w:r>
      <w:r w:rsidRPr="006849AA">
        <w:rPr>
          <w:i/>
          <w:vertAlign w:val="superscript"/>
        </w:rPr>
        <w:t>-5</w:t>
      </w:r>
      <w:r w:rsidRPr="006849AA">
        <w:rPr>
          <w:i/>
        </w:rPr>
        <w:t>) and daily wind speed (Townsville airport). Horizontal green and red lines are the GBR Water Quality Guidelines values (</w:t>
      </w:r>
      <w:hyperlink w:anchor="_ENREF_89" w:tooltip="Great Barrier Reef Marine Park Authority, 2009 #9789" w:history="1">
        <w:r w:rsidR="00964A70" w:rsidRPr="006849AA">
          <w:rPr>
            <w:i/>
          </w:rPr>
          <w:fldChar w:fldCharType="begin"/>
        </w:r>
        <w:r w:rsidR="00964A70" w:rsidRPr="006849AA">
          <w:rPr>
            <w:i/>
          </w:rPr>
          <w:instrText xml:space="preserve"> ADDIN EN.CITE &lt;EndNote&gt;&lt;Cite&gt;&lt;Author&gt;Great Barrier Reef Marine Park Authority&lt;/Author&gt;&lt;Year&gt;2009&lt;/Year&gt;&lt;RecNum&gt;9789&lt;/RecNum&gt;&lt;DisplayText&gt;Great Barrier Reef Marine Park Authority 2009&lt;/DisplayText&gt;&lt;record&gt;&lt;rec-number&gt;9789&lt;/rec-number&gt;&lt;foreign-keys&gt;&lt;key app="EN" db-id="0eve55x9y5vfd6e9dacxtew4eatve2dzds9a"&gt;9789&lt;/key&gt;&lt;/foreign-keys&gt;&lt;ref-type name="Book"&gt;6&lt;/ref-type&gt;&lt;contributors&gt;&lt;authors&gt;&lt;author&gt;Great Barrier Reef Marine Park Authority,&lt;/author&gt;&lt;/authors&gt;&lt;/contributors&gt;&lt;titles&gt;&lt;title&gt;Water quality guidelines for the Great Barrier Reef Marine Park. Revised edition 2010&lt;/title&gt;&lt;/titles&gt;&lt;section&gt;100&lt;/section&gt;&lt;dates&gt;&lt;year&gt;2009&lt;/year&gt;&lt;/dates&gt;&lt;pub-location&gt;Townsville &lt;/pub-location&gt;&lt;publisher&gt;Great Barrier Reef Marine Park Authority&lt;/publisher&gt;&lt;urls&gt;&lt;/urls&gt;&lt;/record&gt;&lt;/Cite&gt;&lt;/EndNote&gt;</w:instrText>
        </w:r>
        <w:r w:rsidR="00964A70" w:rsidRPr="006849AA">
          <w:rPr>
            <w:i/>
          </w:rPr>
          <w:fldChar w:fldCharType="separate"/>
        </w:r>
        <w:r w:rsidR="00964A70" w:rsidRPr="006849AA">
          <w:rPr>
            <w:i/>
            <w:noProof/>
          </w:rPr>
          <w:t>Great Barrier Reef Marine Park Authority 2009</w:t>
        </w:r>
        <w:r w:rsidR="00964A70" w:rsidRPr="006849AA">
          <w:rPr>
            <w:i/>
          </w:rPr>
          <w:fldChar w:fldCharType="end"/>
        </w:r>
      </w:hyperlink>
      <w:r w:rsidRPr="006849AA">
        <w:rPr>
          <w:i/>
        </w:rPr>
        <w:t xml:space="preserve">). Turbidity trigger value (1.54 NTU red line) was derived by transforming the suspended solids trigger value (see </w:t>
      </w:r>
      <w:hyperlink w:anchor="_ENREF_170" w:tooltip="Schaffelke, 2009 #9788" w:history="1">
        <w:r w:rsidR="00964A70" w:rsidRPr="006849AA">
          <w:rPr>
            <w:i/>
          </w:rPr>
          <w:fldChar w:fldCharType="begin"/>
        </w:r>
        <w:r w:rsidR="00964A70" w:rsidRPr="006849AA">
          <w:rPr>
            <w:i/>
          </w:rPr>
          <w:instrText xml:space="preserve"> ADDIN EN.CITE &lt;EndNote&gt;&lt;Cite&gt;&lt;Author&gt;Schaffelke&lt;/Author&gt;&lt;Year&gt;2009&lt;/Year&gt;&lt;RecNum&gt;9788&lt;/RecNum&gt;&lt;DisplayText&gt;Schaffelke&lt;style face="italic"&gt;, et al.&lt;/style&gt; 2009&lt;/DisplayText&gt;&lt;record&gt;&lt;rec-number&gt;9788&lt;/rec-number&gt;&lt;foreign-keys&gt;&lt;key app="EN" db-id="0eve55x9y5vfd6e9dacxtew4eatve2dzds9a"&gt;9788&lt;/key&gt;&lt;/foreign-keys&gt;&lt;ref-type name="Book"&gt;6&lt;/ref-type&gt;&lt;contributors&gt;&lt;authors&gt;&lt;author&gt;Schaffelke, Britta&lt;/author&gt;&lt;author&gt;Thompson, Angus&lt;/author&gt;&lt;author&gt;Carleton, J&lt;/author&gt;&lt;author&gt;Davidson,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2008/09. Report for Reef and Rainforest Research Centre. &lt;/title&gt;&lt;/titles&gt;&lt;section&gt;146&lt;/section&gt;&lt;dates&gt;&lt;year&gt;2009&lt;/year&gt;&lt;/dates&gt;&lt;pub-location&gt;Townsville&lt;/pub-location&gt;&lt;publisher&gt;Australian Institute of Marine Science&lt;/publisher&gt;&lt;urls&gt;&lt;/urls&gt;&lt;/record&gt;&lt;/Cite&gt;&lt;/EndNote&gt;</w:instrText>
        </w:r>
        <w:r w:rsidR="00964A70" w:rsidRPr="006849AA">
          <w:rPr>
            <w:i/>
          </w:rPr>
          <w:fldChar w:fldCharType="separate"/>
        </w:r>
        <w:r w:rsidR="00964A70" w:rsidRPr="006849AA">
          <w:rPr>
            <w:i/>
            <w:noProof/>
          </w:rPr>
          <w:t>Schaffelke, et al. 2009</w:t>
        </w:r>
        <w:r w:rsidR="00964A70" w:rsidRPr="006849AA">
          <w:rPr>
            <w:i/>
          </w:rPr>
          <w:fldChar w:fldCharType="end"/>
        </w:r>
      </w:hyperlink>
      <w:r w:rsidRPr="006849AA">
        <w:rPr>
          <w:i/>
        </w:rPr>
        <w:t>).</w:t>
      </w:r>
      <w:r w:rsidR="00BE3D72" w:rsidRPr="00370E70">
        <w:t xml:space="preserve"> </w:t>
      </w:r>
    </w:p>
    <w:p w:rsidR="005132EF" w:rsidRPr="00370E70" w:rsidRDefault="005132EF" w:rsidP="00034AD4">
      <w:pPr>
        <w:pStyle w:val="Heading4"/>
        <w:rPr>
          <w:b/>
          <w:iCs/>
          <w:color w:val="000000"/>
        </w:rPr>
      </w:pPr>
      <w:bookmarkStart w:id="519" w:name="_Toc232845923"/>
      <w:bookmarkStart w:id="520" w:name="_Toc184102007"/>
      <w:bookmarkEnd w:id="513"/>
      <w:r w:rsidRPr="00370E70">
        <w:rPr>
          <w:b/>
          <w:iCs/>
          <w:color w:val="000000"/>
        </w:rPr>
        <w:t>Regional Climate</w:t>
      </w:r>
      <w:bookmarkEnd w:id="519"/>
      <w:bookmarkEnd w:id="520"/>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Climate across the Burdekin region (Townsville and </w:t>
      </w:r>
      <w:smartTag w:uri="urn:schemas-microsoft-com:office:smarttags" w:element="place">
        <w:smartTag w:uri="urn:schemas-microsoft-com:office:smarttags" w:element="PlaceName">
          <w:r w:rsidRPr="00370E70">
            <w:rPr>
              <w:rFonts w:cs="TimesNewRoman"/>
              <w:color w:val="000000"/>
              <w:szCs w:val="22"/>
            </w:rPr>
            <w:t>Magnetic</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smartTag>
      <w:r w:rsidRPr="00370E70">
        <w:rPr>
          <w:rFonts w:cs="TimesNewRoman"/>
          <w:color w:val="000000"/>
          <w:szCs w:val="22"/>
        </w:rPr>
        <w:t xml:space="preserve">) in 2011/12 was cooler, wetter, and slightly calmer the previous decade.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lastRenderedPageBreak/>
        <w:t xml:space="preserve">The mean maximum daily air temperature recorded in Townsville during 2011/12 was 28.9°C; this was </w:t>
      </w:r>
      <w:r w:rsidR="002C6536" w:rsidRPr="00370E70">
        <w:rPr>
          <w:rFonts w:cs="TimesNewRoman"/>
          <w:color w:val="000000"/>
          <w:szCs w:val="22"/>
        </w:rPr>
        <w:t>similar</w:t>
      </w:r>
      <w:r w:rsidRPr="00370E70">
        <w:rPr>
          <w:rFonts w:cs="TimesNewRoman"/>
          <w:color w:val="000000"/>
          <w:szCs w:val="22"/>
        </w:rPr>
        <w:t xml:space="preserve"> to the long-term (72 year) average and 0.5°C cooler than the decade average (</w:t>
      </w:r>
      <w:r w:rsidRPr="00370E70">
        <w:fldChar w:fldCharType="begin"/>
      </w:r>
      <w:r w:rsidRPr="00370E70">
        <w:instrText xml:space="preserve"> REF _Ref276117626 \h  \* MERGEFORMAT </w:instrText>
      </w:r>
      <w:r w:rsidRPr="00370E70">
        <w:fldChar w:fldCharType="separate"/>
      </w:r>
      <w:r w:rsidR="005B5FD6" w:rsidRPr="005B5FD6">
        <w:rPr>
          <w:szCs w:val="22"/>
        </w:rPr>
        <w:t xml:space="preserve">Figure </w:t>
      </w:r>
      <w:r w:rsidR="005B5FD6" w:rsidRPr="005B5FD6">
        <w:rPr>
          <w:noProof/>
          <w:color w:val="000000"/>
          <w:szCs w:val="22"/>
        </w:rPr>
        <w:t>110</w:t>
      </w:r>
      <w:r w:rsidRPr="00370E70">
        <w:fldChar w:fldCharType="end"/>
      </w:r>
      <w:r w:rsidRPr="00370E70">
        <w:rPr>
          <w:rFonts w:cs="TimesNewRoman"/>
          <w:color w:val="000000"/>
          <w:szCs w:val="22"/>
        </w:rPr>
        <w:t xml:space="preserve">). The highest recorded daily maximum temperature in 2011/12 was 35.4°C.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Although the annual rainfall for 2011/12 was lower than the previous 3 years, it remained a wet year relative to both the last decade and the long-term (73 year) average with approximately 34% and 22% more rain, respectively (</w:t>
      </w:r>
      <w:r w:rsidRPr="00370E70">
        <w:fldChar w:fldCharType="begin"/>
      </w:r>
      <w:r w:rsidRPr="00370E70">
        <w:instrText xml:space="preserve"> REF _Ref276117626 \h  \* MERGEFORMAT </w:instrText>
      </w:r>
      <w:r w:rsidRPr="00370E70">
        <w:fldChar w:fldCharType="separate"/>
      </w:r>
      <w:r w:rsidR="005B5FD6" w:rsidRPr="005B5FD6">
        <w:rPr>
          <w:szCs w:val="22"/>
        </w:rPr>
        <w:t xml:space="preserve">Figure </w:t>
      </w:r>
      <w:r w:rsidR="005B5FD6" w:rsidRPr="005B5FD6">
        <w:rPr>
          <w:noProof/>
          <w:color w:val="000000"/>
          <w:szCs w:val="22"/>
        </w:rPr>
        <w:t>110</w:t>
      </w:r>
      <w:r w:rsidRPr="00370E70">
        <w:fldChar w:fldCharType="end"/>
      </w:r>
      <w:r w:rsidRPr="00370E70">
        <w:rPr>
          <w:rFonts w:cs="TimesNewRoman"/>
          <w:color w:val="000000"/>
          <w:szCs w:val="22"/>
        </w:rPr>
        <w:t>). Cloud was 12% higher than long-term (70 year) but similar to the decadal average (</w:t>
      </w:r>
      <w:r w:rsidRPr="00370E70">
        <w:fldChar w:fldCharType="begin"/>
      </w:r>
      <w:r w:rsidRPr="00370E70">
        <w:instrText xml:space="preserve"> REF _Ref276117626 \h  \* MERGEFORMAT </w:instrText>
      </w:r>
      <w:r w:rsidRPr="00370E70">
        <w:fldChar w:fldCharType="separate"/>
      </w:r>
      <w:r w:rsidR="005B5FD6" w:rsidRPr="005B5FD6">
        <w:rPr>
          <w:szCs w:val="22"/>
        </w:rPr>
        <w:t xml:space="preserve">Figure </w:t>
      </w:r>
      <w:r w:rsidR="005B5FD6" w:rsidRPr="005B5FD6">
        <w:rPr>
          <w:noProof/>
          <w:color w:val="000000"/>
          <w:szCs w:val="22"/>
        </w:rPr>
        <w:t>110</w:t>
      </w:r>
      <w:r w:rsidRPr="00370E70">
        <w:fldChar w:fldCharType="end"/>
      </w:r>
      <w:r w:rsidRPr="00370E70">
        <w:rPr>
          <w:rFonts w:cs="TimesNewRoman"/>
          <w:color w:val="000000"/>
          <w:szCs w:val="22"/>
        </w:rPr>
        <w:t>). Mean wind speed in 2011/12 was 23.8 km.hr</w:t>
      </w:r>
      <w:r w:rsidRPr="00370E70">
        <w:rPr>
          <w:rFonts w:cs="TimesNewRoman"/>
          <w:color w:val="000000"/>
          <w:szCs w:val="22"/>
          <w:vertAlign w:val="superscript"/>
        </w:rPr>
        <w:t>-1</w:t>
      </w:r>
      <w:r w:rsidRPr="00370E70">
        <w:rPr>
          <w:rFonts w:cs="TimesNewRoman"/>
          <w:color w:val="000000"/>
          <w:szCs w:val="22"/>
        </w:rPr>
        <w:t>, this was higher than 2010/11, 14% higher than the long-term, but slightly lower than the decade average (</w:t>
      </w:r>
      <w:r w:rsidRPr="00370E70">
        <w:fldChar w:fldCharType="begin"/>
      </w:r>
      <w:r w:rsidRPr="00370E70">
        <w:instrText xml:space="preserve"> REF _Ref276117626 \h  \* MERGEFORMAT </w:instrText>
      </w:r>
      <w:r w:rsidRPr="00370E70">
        <w:fldChar w:fldCharType="separate"/>
      </w:r>
      <w:r w:rsidR="005B5FD6" w:rsidRPr="005B5FD6">
        <w:rPr>
          <w:szCs w:val="22"/>
        </w:rPr>
        <w:t xml:space="preserve">Figure </w:t>
      </w:r>
      <w:r w:rsidR="005B5FD6" w:rsidRPr="005B5FD6">
        <w:rPr>
          <w:noProof/>
          <w:color w:val="000000"/>
          <w:szCs w:val="22"/>
        </w:rPr>
        <w:t>110</w:t>
      </w:r>
      <w:r w:rsidRPr="00370E70">
        <w:fldChar w:fldCharType="end"/>
      </w:r>
      <w:r w:rsidRPr="00370E70">
        <w:rPr>
          <w:rFonts w:cs="TimesNewRoman"/>
          <w:color w:val="000000"/>
          <w:szCs w:val="22"/>
        </w:rPr>
        <w:t>).</w:t>
      </w:r>
    </w:p>
    <w:p w:rsidR="005132EF" w:rsidRPr="00370E70" w:rsidRDefault="007B15AB" w:rsidP="00034AD4">
      <w:pPr>
        <w:autoSpaceDE w:val="0"/>
        <w:autoSpaceDN w:val="0"/>
        <w:adjustRightInd w:val="0"/>
        <w:jc w:val="center"/>
        <w:rPr>
          <w:color w:val="000000"/>
        </w:rPr>
      </w:pPr>
      <w:r>
        <w:rPr>
          <w:noProof/>
          <w:lang w:eastAsia="en-AU"/>
        </w:rPr>
        <w:drawing>
          <wp:inline distT="0" distB="0" distL="0" distR="0">
            <wp:extent cx="4276090" cy="3489960"/>
            <wp:effectExtent l="0" t="0" r="0" b="0"/>
            <wp:docPr id="149" name="Picture 149" descr="Graph of mean monthly daily maximum temperature, total monthly rainfall, mean monthly cloud cover, and mean monthly 3pm wind speed recorded at Townsville Air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Graph of mean monthly daily maximum temperature, total monthly rainfall, mean monthly cloud cover, and mean monthly 3pm wind speed recorded at Townsville Airport."/>
                    <pic:cNvPicPr>
                      <a:picLocks noChangeAspect="1" noChangeArrowheads="1"/>
                    </pic:cNvPicPr>
                  </pic:nvPicPr>
                  <pic:blipFill>
                    <a:blip r:embed="rId175" cstate="print">
                      <a:extLst>
                        <a:ext uri="{28A0092B-C50C-407E-A947-70E740481C1C}">
                          <a14:useLocalDpi xmlns:a14="http://schemas.microsoft.com/office/drawing/2010/main" val="0"/>
                        </a:ext>
                      </a:extLst>
                    </a:blip>
                    <a:srcRect t="6885" b="1671"/>
                    <a:stretch>
                      <a:fillRect/>
                    </a:stretch>
                  </pic:blipFill>
                  <pic:spPr bwMode="auto">
                    <a:xfrm>
                      <a:off x="0" y="0"/>
                      <a:ext cx="4276090" cy="3489960"/>
                    </a:xfrm>
                    <a:prstGeom prst="rect">
                      <a:avLst/>
                    </a:prstGeom>
                    <a:noFill/>
                    <a:ln>
                      <a:noFill/>
                    </a:ln>
                  </pic:spPr>
                </pic:pic>
              </a:graphicData>
            </a:graphic>
          </wp:inline>
        </w:drawing>
      </w:r>
    </w:p>
    <w:p w:rsidR="00BE3D72" w:rsidRPr="00370E70" w:rsidRDefault="005132EF" w:rsidP="00BE3D72">
      <w:pPr>
        <w:pStyle w:val="Caption"/>
        <w:rPr>
          <w:i/>
          <w:vanish/>
          <w:color w:val="000000"/>
          <w:szCs w:val="22"/>
          <w:lang w:val="en-AU"/>
          <w:specVanish/>
        </w:rPr>
      </w:pPr>
      <w:bookmarkStart w:id="521" w:name="_Ref276117626"/>
      <w:bookmarkStart w:id="522" w:name="_Toc38419645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110</w:t>
      </w:r>
      <w:r w:rsidRPr="00370E70">
        <w:rPr>
          <w:lang w:val="en-AU"/>
        </w:rPr>
        <w:fldChar w:fldCharType="end"/>
      </w:r>
      <w:bookmarkEnd w:id="521"/>
      <w:r w:rsidRPr="00370E70">
        <w:rPr>
          <w:rStyle w:val="StyleCaptionCaptionCharCharLatinCalibri11ptBlackChar"/>
          <w:lang w:val="en-AU"/>
        </w:rPr>
        <w:t xml:space="preserve">. </w:t>
      </w:r>
      <w:r w:rsidRPr="00370E70">
        <w:rPr>
          <w:i/>
          <w:lang w:val="en-AU"/>
        </w:rPr>
        <w:t xml:space="preserve">Mean monthly daily maximum temperature (line), total monthly rainfall (grey bars), mean monthly cloud cover (black line), and mean monthly 3pm wind speed (grey line) recorded at </w:t>
      </w:r>
      <w:smartTag w:uri="urn:schemas-microsoft-com:office:smarttags" w:element="place">
        <w:smartTag w:uri="urn:schemas-microsoft-com:office:smarttags" w:element="PlaceName">
          <w:r w:rsidRPr="00370E70">
            <w:rPr>
              <w:i/>
              <w:lang w:val="en-AU"/>
            </w:rPr>
            <w:t>Townsville</w:t>
          </w:r>
        </w:smartTag>
        <w:r w:rsidRPr="00370E70">
          <w:rPr>
            <w:i/>
            <w:lang w:val="en-AU"/>
          </w:rPr>
          <w:t xml:space="preserve"> </w:t>
        </w:r>
        <w:smartTag w:uri="urn:schemas-microsoft-com:office:smarttags" w:element="PlaceType">
          <w:r w:rsidRPr="00370E70">
            <w:rPr>
              <w:i/>
              <w:lang w:val="en-AU"/>
            </w:rPr>
            <w:t>Airport</w:t>
          </w:r>
        </w:smartTag>
      </w:smartTag>
      <w:r w:rsidRPr="00370E70">
        <w:rPr>
          <w:i/>
          <w:lang w:val="en-AU"/>
        </w:rPr>
        <w:t>.</w:t>
      </w:r>
      <w:bookmarkEnd w:id="522"/>
      <w:r w:rsidRPr="00370E70">
        <w:rPr>
          <w:i/>
          <w:lang w:val="en-AU"/>
        </w:rPr>
        <w:t xml:space="preserve"> </w:t>
      </w:r>
    </w:p>
    <w:p w:rsidR="00BE3D72" w:rsidRPr="00370E70" w:rsidRDefault="005132EF" w:rsidP="00BE3D72">
      <w:pPr>
        <w:pStyle w:val="Caption"/>
        <w:rPr>
          <w:lang w:val="en-AU"/>
        </w:rPr>
      </w:pPr>
      <w:smartTag w:uri="urn:schemas-microsoft-com:office:smarttags" w:element="PlaceName">
        <w:r w:rsidRPr="00370E70">
          <w:rPr>
            <w:i/>
            <w:lang w:val="en-AU"/>
          </w:rPr>
          <w:t>Townsville</w:t>
        </w:r>
      </w:smartTag>
      <w:r w:rsidRPr="00370E70">
        <w:rPr>
          <w:i/>
          <w:lang w:val="en-AU"/>
        </w:rPr>
        <w:t xml:space="preserve"> </w:t>
      </w:r>
      <w:smartTag w:uri="urn:schemas-microsoft-com:office:smarttags" w:element="PlaceType">
        <w:r w:rsidRPr="00370E70">
          <w:rPr>
            <w:i/>
            <w:lang w:val="en-AU"/>
          </w:rPr>
          <w:t>Airport</w:t>
        </w:r>
      </w:smartTag>
      <w:r w:rsidRPr="00370E70">
        <w:rPr>
          <w:i/>
          <w:lang w:val="en-AU"/>
        </w:rPr>
        <w:t xml:space="preserve"> </w:t>
      </w:r>
      <w:r w:rsidR="00BE3D72" w:rsidRPr="00370E70">
        <w:rPr>
          <w:i/>
          <w:lang w:val="en-AU"/>
        </w:rPr>
        <w:t xml:space="preserve">(BOM station 032040, source www.bom.gov.au) </w:t>
      </w:r>
      <w:r w:rsidRPr="00370E70">
        <w:rPr>
          <w:i/>
          <w:lang w:val="en-AU"/>
        </w:rPr>
        <w:t>is located approximately 11km from coastal (Townsville) and reef (</w:t>
      </w:r>
      <w:smartTag w:uri="urn:schemas-microsoft-com:office:smarttags" w:element="PlaceName">
        <w:r w:rsidRPr="00370E70">
          <w:rPr>
            <w:i/>
            <w:lang w:val="en-AU"/>
          </w:rPr>
          <w:t>Magnetic</w:t>
        </w:r>
      </w:smartTag>
      <w:r w:rsidRPr="00370E70">
        <w:rPr>
          <w:i/>
          <w:lang w:val="en-AU"/>
        </w:rPr>
        <w:t xml:space="preserve"> </w:t>
      </w:r>
      <w:smartTag w:uri="urn:schemas-microsoft-com:office:smarttags" w:element="PlaceType">
        <w:r w:rsidRPr="00370E70">
          <w:rPr>
            <w:i/>
            <w:lang w:val="en-AU"/>
          </w:rPr>
          <w:t>Island</w:t>
        </w:r>
      </w:smartTag>
      <w:r w:rsidRPr="00370E70">
        <w:rPr>
          <w:i/>
          <w:lang w:val="en-AU"/>
        </w:rPr>
        <w:t>) monitoring sites, and 53km from Jerona (</w:t>
      </w:r>
      <w:smartTag w:uri="urn:schemas-microsoft-com:office:smarttags" w:element="place">
        <w:smartTag w:uri="urn:schemas-microsoft-com:office:smarttags" w:element="PlaceName">
          <w:r w:rsidRPr="00370E70">
            <w:rPr>
              <w:i/>
              <w:lang w:val="en-AU"/>
            </w:rPr>
            <w:t>Bowling Green</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monitoring sites.</w:t>
      </w:r>
      <w:r w:rsidR="00BE3D72" w:rsidRPr="00370E70">
        <w:rPr>
          <w:i/>
          <w:lang w:val="en-AU"/>
        </w:rPr>
        <w:t xml:space="preserve"> </w:t>
      </w:r>
    </w:p>
    <w:p w:rsidR="005132EF" w:rsidRPr="00370E70" w:rsidRDefault="005132EF" w:rsidP="00034AD4">
      <w:pPr>
        <w:autoSpaceDE w:val="0"/>
        <w:autoSpaceDN w:val="0"/>
        <w:adjustRightInd w:val="0"/>
        <w:rPr>
          <w:rFonts w:ascii="TimesNewRoman" w:hAnsi="TimesNewRoman" w:cs="TimesNewRoman"/>
          <w:color w:val="000000"/>
        </w:rPr>
      </w:pPr>
    </w:p>
    <w:p w:rsidR="005132EF" w:rsidRPr="00370E70" w:rsidRDefault="005132EF" w:rsidP="00034AD4">
      <w:pPr>
        <w:pStyle w:val="Heading4"/>
        <w:rPr>
          <w:b/>
          <w:iCs/>
          <w:color w:val="000000"/>
        </w:rPr>
      </w:pPr>
      <w:bookmarkStart w:id="523" w:name="_Toc184102008"/>
      <w:r w:rsidRPr="00370E70">
        <w:rPr>
          <w:b/>
          <w:iCs/>
          <w:color w:val="000000"/>
        </w:rPr>
        <w:t>River discharge</w:t>
      </w:r>
      <w:bookmarkEnd w:id="523"/>
    </w:p>
    <w:p w:rsidR="005132EF" w:rsidRPr="00370E70" w:rsidRDefault="005132EF" w:rsidP="00034AD4">
      <w:pPr>
        <w:rPr>
          <w:color w:val="000000"/>
          <w:szCs w:val="22"/>
        </w:rPr>
      </w:pPr>
      <w:r w:rsidRPr="00370E70">
        <w:rPr>
          <w:color w:val="000000"/>
          <w:szCs w:val="22"/>
        </w:rPr>
        <w:t xml:space="preserve">In the Burdekin region, the most significant river impacting seagrass meadows adjacent to Townsville is the </w:t>
      </w:r>
      <w:smartTag w:uri="urn:schemas-microsoft-com:office:smarttags" w:element="place">
        <w:smartTag w:uri="urn:schemas-microsoft-com:office:smarttags" w:element="PlaceName">
          <w:r w:rsidRPr="00370E70">
            <w:rPr>
              <w:color w:val="000000"/>
              <w:szCs w:val="22"/>
            </w:rPr>
            <w:t>Burdekin</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Modelling of the plumes associated with specific weather conditions has demonstrated that inshore areas between Townsville and Cooktown regularly experience extreme conditions associated with plumes. However, inshore areas north of the Burdekin River (including Magnetic Island) receive riverine waters on a less frequent basis, perhaps every two to three years (</w:t>
      </w:r>
      <w:r w:rsidR="00BE3D72" w:rsidRPr="00370E70">
        <w:rPr>
          <w:color w:val="000000"/>
          <w:szCs w:val="22"/>
        </w:rPr>
        <w:fldChar w:fldCharType="begin"/>
      </w:r>
      <w:r w:rsidR="00126051" w:rsidRPr="00370E70">
        <w:rPr>
          <w:color w:val="000000"/>
          <w:szCs w:val="22"/>
        </w:rPr>
        <w:instrText xml:space="preserve"> ADDIN EN.CITE &lt;EndNote&gt;&lt;Cite&gt;&lt;Author&gt;Wolanski&lt;/Author&gt;&lt;Year&gt;1981&lt;/Year&gt;&lt;RecNum&gt;7450&lt;/RecNum&gt;&lt;DisplayText&gt;Wolanski and Jones 1981; Maughan&lt;style face="italic"&gt; et al.&lt;/style&gt; 2008&lt;/DisplayText&gt;&lt;record&gt;&lt;rec-number&gt;7450&lt;/rec-number&gt;&lt;foreign-keys&gt;&lt;key app="EN" db-id="0eve55x9y5vfd6e9dacxtew4eatve2dzds9a"&gt;7450&lt;/key&gt;&lt;/foreign-keys&gt;&lt;ref-type name="Journal Article"&gt;17&lt;/ref-type&gt;&lt;contributors&gt;&lt;authors&gt;&lt;author&gt;Wolanski, E&lt;/author&gt;&lt;author&gt;Jones, M.&lt;/author&gt;&lt;/authors&gt;&lt;/contributors&gt;&lt;titles&gt;&lt;title&gt;Physical properties of Great Barrier Reef lagoon waters near Townsville. I. Effects of Burdekin River floods&amp;#xD;&lt;/title&gt;&lt;secondary-title&gt;Australian Journal of Marine and Freshwater Research&lt;/secondary-title&gt;&lt;/titles&gt;&lt;periodical&gt;&lt;full-title&gt;Australian Journal of Marine and Freshwater Research&lt;/full-title&gt;&lt;abbr-1&gt;Australian Journal of Marine and Freshwater Research&lt;/abbr-1&gt;&lt;/periodical&gt;&lt;pages&gt;305-319&lt;/pages&gt;&lt;volume&gt;32&lt;/volume&gt;&lt;number&gt;3&lt;/number&gt;&lt;dates&gt;&lt;year&gt;1981&lt;/year&gt;&lt;/dates&gt;&lt;urls&gt;&lt;/urls&gt;&lt;/record&gt;&lt;/Cite&gt;&lt;Cite&gt;&lt;Author&gt;Maughan&lt;/Author&gt;&lt;Year&gt;2008&lt;/Year&gt;&lt;RecNum&gt;9797&lt;/RecNum&gt;&lt;record&gt;&lt;rec-number&gt;9797&lt;/rec-number&gt;&lt;foreign-keys&gt;&lt;key app="EN" db-id="0eve55x9y5vfd6e9dacxtew4eatve2dzds9a"&gt;9797&lt;/key&gt;&lt;/foreign-keys&gt;&lt;ref-type name="Conference Proceedings"&gt;10&lt;/ref-type&gt;&lt;contributors&gt;&lt;authors&gt;&lt;author&gt;Maughan, M&lt;/author&gt;&lt;author&gt;Brodie, Jon&lt;/author&gt;&lt;author&gt;Waterhouse, Jane&lt;/author&gt;&lt;/authors&gt;&lt;secondary-authors&gt;&lt;author&gt;M.Lambert, T.Daniell and M. Leonard,&lt;/author&gt;&lt;/secondary-authors&gt;&lt;/contributors&gt;&lt;titles&gt;&lt;title&gt;What river impacts this reef? A simple exposure model&lt;/title&gt;&lt;secondary-title&gt;Proceedings of Water Down Under 2008, incorporating 31st Hydrology and Water Resources Symposium and 4th International Conference on Water Resources and Environment Research, 14-17 April 2008&lt;/secondary-title&gt;&lt;/titles&gt;&lt;pages&gt;1912-1923&lt;/pages&gt;&lt;dates&gt;&lt;year&gt;2008&lt;/year&gt;&lt;/dates&gt;&lt;pub-location&gt;Adelaide&lt;/pub-location&gt;&lt;urls&gt;&lt;/urls&gt;&lt;/record&gt;&lt;/Cite&gt;&lt;/EndNote&gt;</w:instrText>
      </w:r>
      <w:r w:rsidR="00BE3D72" w:rsidRPr="00370E70">
        <w:rPr>
          <w:color w:val="000000"/>
          <w:szCs w:val="22"/>
        </w:rPr>
        <w:fldChar w:fldCharType="separate"/>
      </w:r>
      <w:hyperlink w:anchor="_ENREF_199" w:tooltip="Wolanski, 1981 #7450" w:history="1">
        <w:r w:rsidR="00964A70" w:rsidRPr="00370E70">
          <w:rPr>
            <w:noProof/>
            <w:color w:val="000000"/>
            <w:szCs w:val="22"/>
          </w:rPr>
          <w:t>Wolanski and Jones 1981</w:t>
        </w:r>
      </w:hyperlink>
      <w:r w:rsidR="00126051" w:rsidRPr="00370E70">
        <w:rPr>
          <w:noProof/>
          <w:color w:val="000000"/>
          <w:szCs w:val="22"/>
        </w:rPr>
        <w:t xml:space="preserve">; </w:t>
      </w:r>
      <w:hyperlink w:anchor="_ENREF_127" w:tooltip="Maughan, 2008 #9797" w:history="1">
        <w:r w:rsidR="00964A70" w:rsidRPr="00370E70">
          <w:rPr>
            <w:noProof/>
            <w:color w:val="000000"/>
            <w:szCs w:val="22"/>
          </w:rPr>
          <w:t>Maughan</w:t>
        </w:r>
        <w:r w:rsidR="00964A70" w:rsidRPr="00370E70">
          <w:rPr>
            <w:i/>
            <w:noProof/>
            <w:color w:val="000000"/>
            <w:szCs w:val="22"/>
          </w:rPr>
          <w:t xml:space="preserve"> et al.</w:t>
        </w:r>
        <w:r w:rsidR="00964A70" w:rsidRPr="00370E70">
          <w:rPr>
            <w:noProof/>
            <w:color w:val="000000"/>
            <w:szCs w:val="22"/>
          </w:rPr>
          <w:t xml:space="preserve"> 2008</w:t>
        </w:r>
      </w:hyperlink>
      <w:r w:rsidR="00BE3D72" w:rsidRPr="00370E70">
        <w:rPr>
          <w:color w:val="000000"/>
          <w:szCs w:val="22"/>
        </w:rPr>
        <w:fldChar w:fldCharType="end"/>
      </w:r>
      <w:r w:rsidRPr="00370E70">
        <w:rPr>
          <w:color w:val="000000"/>
          <w:szCs w:val="22"/>
        </w:rPr>
        <w:t>). The Burdekin River has the largest annual exports of sediment, phosphorus and nitrogen of any catchment in the GBR, with an annual discharge of 4.6x10</w:t>
      </w:r>
      <w:r w:rsidRPr="00370E70">
        <w:rPr>
          <w:color w:val="000000"/>
          <w:szCs w:val="22"/>
          <w:vertAlign w:val="superscript"/>
        </w:rPr>
        <w:t>6</w:t>
      </w:r>
      <w:r w:rsidRPr="00370E70">
        <w:rPr>
          <w:color w:val="000000"/>
          <w:szCs w:val="22"/>
        </w:rPr>
        <w:t xml:space="preserve"> tonnes of fine sediment, 2,030 tonnes of phosphorus and 12,100 tonnes of nitrogen (</w:t>
      </w:r>
      <w:hyperlink w:anchor="_ENREF_22" w:tooltip="Brodie, 2009 #9790"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&lt;EndNote&gt;&lt;Cite&gt;&lt;Author&gt;Brodie&lt;/Author&gt;&lt;Year&gt;2009&lt;/Year&gt;&lt;RecNum&gt;9790&lt;/RecNum&gt;&lt;DisplayText&gt;Brodie&lt;style face="italic"&gt;, et al.&lt;/style&gt; 2009&lt;/DisplayText&gt;&lt;record&gt;&lt;rec-number&gt;9790&lt;/rec-number&gt;&lt;foreign-keys&gt;&lt;key app="EN" db-id="0eve55x9y5vfd6e9dacxtew4eatve2dzds9a"&gt;9790&lt;/key&gt;&lt;/foreign-keys&gt;&lt;ref-type name="Book"&gt;6&lt;/ref-type&gt;&lt;contributors&gt;&lt;authors&gt;&lt;author&gt;Brodie, Jon&lt;/author&gt;&lt;author&gt;Waterhouse, Jane&lt;/author&gt;&lt;author&gt;Lewis, Stephen E.&lt;/author&gt;&lt;author&gt;Bainbridge, Zoë T.&lt;/author&gt;&lt;author&gt;Johnson, Johanna&lt;/author&gt;&lt;/authors&gt;&lt;/contributors&gt;&lt;titles&gt;&lt;title&gt;Current loads of priority pollutants discharged from Great Barrier Reef Catchments to the Great Barrier Reef. ACTFR Report Number 09/02&lt;/title&gt;&lt;/titles&gt;&lt;section&gt;125&lt;/section&gt;&lt;dates&gt;&lt;year&gt;2009&lt;/year&gt;&lt;/dates&gt;&lt;pub-location&gt;Townsville&lt;/pub-location&gt;&lt;publisher&gt;Australian Centre for Tropical Freshwater Research&lt;/publisher&gt;&lt;urls&gt;&lt;/urls&gt;&lt;/record&gt;&lt;/Cite&gt;&lt;/EndNote&gt;</w:instrText>
        </w:r>
        <w:r w:rsidR="00964A70" w:rsidRPr="00370E70">
          <w:rPr>
            <w:color w:val="000000"/>
            <w:szCs w:val="22"/>
          </w:rPr>
          <w:fldChar w:fldCharType="separate"/>
        </w:r>
        <w:r w:rsidR="00964A70" w:rsidRPr="00370E70">
          <w:rPr>
            <w:noProof/>
            <w:color w:val="000000"/>
            <w:szCs w:val="22"/>
          </w:rPr>
          <w:t>Brodie</w:t>
        </w:r>
        <w:r w:rsidR="00964A70" w:rsidRPr="00370E70">
          <w:rPr>
            <w:i/>
            <w:noProof/>
            <w:color w:val="000000"/>
            <w:szCs w:val="22"/>
          </w:rPr>
          <w:t>, et al.</w:t>
        </w:r>
        <w:r w:rsidR="00964A70" w:rsidRPr="00370E70">
          <w:rPr>
            <w:noProof/>
            <w:color w:val="000000"/>
            <w:szCs w:val="22"/>
          </w:rPr>
          <w:t xml:space="preserve"> 2009</w:t>
        </w:r>
        <w:r w:rsidR="00964A70" w:rsidRPr="00370E70">
          <w:rPr>
            <w:color w:val="000000"/>
            <w:szCs w:val="22"/>
          </w:rPr>
          <w:fldChar w:fldCharType="end"/>
        </w:r>
      </w:hyperlink>
      <w:r w:rsidRPr="00370E70">
        <w:rPr>
          <w:color w:val="000000"/>
          <w:szCs w:val="22"/>
        </w:rPr>
        <w:t>). During episodic flooding, high concentrations of dissolved nutrients are experienced off Townsville and in Bowling Green Bay, up to 50 km north of the Burdekin River mouth, for periods of up to three weeks (</w:t>
      </w:r>
      <w:hyperlink w:anchor="_ENREF_127" w:tooltip="Maughan, 2008 #9797" w:history="1">
        <w:r w:rsidR="00964A70" w:rsidRPr="00370E70">
          <w:rPr>
            <w:color w:val="000000"/>
            <w:szCs w:val="22"/>
          </w:rPr>
          <w:fldChar w:fldCharType="begin"/>
        </w:r>
        <w:r w:rsidR="00964A70" w:rsidRPr="00370E70">
          <w:rPr>
            <w:color w:val="000000"/>
            <w:szCs w:val="22"/>
          </w:rPr>
          <w:instrText xml:space="preserve"> ADDIN EN.CITE &lt;EndNote&gt;&lt;Cite&gt;&lt;Author&gt;Maughan&lt;/Author&gt;&lt;Year&gt;2008&lt;/Year&gt;&lt;RecNum&gt;9797&lt;/RecNum&gt;&lt;DisplayText&gt;Maughan&lt;style face="italic"&gt;, et al.&lt;/style&gt; 2008&lt;/DisplayText&gt;&lt;record&gt;&lt;rec-number&gt;9797&lt;/rec-number&gt;&lt;foreign-keys&gt;&lt;key app="EN" db-id="0eve55x9y5vfd6e9dacxtew4eatve2dzds9a"&gt;9797&lt;/key&gt;&lt;/foreign-keys&gt;&lt;ref-type name="Conference Proceedings"&gt;10&lt;/ref-type&gt;&lt;contributors&gt;&lt;authors&gt;&lt;author&gt;Maughan, M&lt;/author&gt;&lt;author&gt;Brodie, Jon&lt;/author&gt;&lt;author&gt;Waterhouse, Jane&lt;/author&gt;&lt;/authors&gt;&lt;secondary-authors&gt;&lt;author&gt;M.Lambert, T.Daniell and M. Leonard,&lt;/author&gt;&lt;/secondary-authors&gt;&lt;/contributors&gt;&lt;titles&gt;&lt;title&gt;What river impacts this reef? A simple exposure model&lt;/title&gt;&lt;secondary-title&gt;Proceedings of Water Down Under 2008, incorporating 31st Hydrology and Water Resources Symposium and 4th International Conference on Water Resources and Environment Research, 14-17 April 2008&lt;/secondary-title&gt;&lt;/titles&gt;&lt;pages&gt;1912-1923&lt;/pages&gt;&lt;dates&gt;&lt;year&gt;2008&lt;/year&gt;&lt;/dates&gt;&lt;pub-location&gt;Adelaide&lt;/pub-location&gt;&lt;urls&gt;&lt;/urls&gt;&lt;/record&gt;&lt;/Cite&gt;&lt;/EndNote&gt;</w:instrText>
        </w:r>
        <w:r w:rsidR="00964A70" w:rsidRPr="00370E70">
          <w:rPr>
            <w:color w:val="000000"/>
            <w:szCs w:val="22"/>
          </w:rPr>
          <w:fldChar w:fldCharType="separate"/>
        </w:r>
        <w:r w:rsidR="00964A70" w:rsidRPr="00370E70">
          <w:rPr>
            <w:noProof/>
            <w:color w:val="000000"/>
            <w:szCs w:val="22"/>
          </w:rPr>
          <w:t>Maughan</w:t>
        </w:r>
        <w:r w:rsidR="00964A70" w:rsidRPr="00370E70">
          <w:rPr>
            <w:i/>
            <w:noProof/>
            <w:color w:val="000000"/>
            <w:szCs w:val="22"/>
          </w:rPr>
          <w:t>, et al.</w:t>
        </w:r>
        <w:r w:rsidR="00964A70" w:rsidRPr="00370E70">
          <w:rPr>
            <w:noProof/>
            <w:color w:val="000000"/>
            <w:szCs w:val="22"/>
          </w:rPr>
          <w:t xml:space="preserve"> 2008</w:t>
        </w:r>
        <w:r w:rsidR="00964A70" w:rsidRPr="00370E70">
          <w:rPr>
            <w:color w:val="000000"/>
            <w:szCs w:val="22"/>
          </w:rPr>
          <w:fldChar w:fldCharType="end"/>
        </w:r>
      </w:hyperlink>
      <w:r w:rsidRPr="00370E70">
        <w:rPr>
          <w:color w:val="000000"/>
          <w:szCs w:val="22"/>
        </w:rPr>
        <w:t>).</w:t>
      </w:r>
    </w:p>
    <w:p w:rsidR="005132EF" w:rsidRPr="00370E70" w:rsidRDefault="005132EF" w:rsidP="00034AD4">
      <w:pPr>
        <w:rPr>
          <w:rFonts w:cs="TimesNewRoman"/>
          <w:color w:val="000000"/>
          <w:szCs w:val="22"/>
        </w:rPr>
      </w:pPr>
      <w:r w:rsidRPr="00370E70">
        <w:rPr>
          <w:rFonts w:cs="TimesNewRoman"/>
          <w:color w:val="000000"/>
          <w:szCs w:val="22"/>
        </w:rPr>
        <w:lastRenderedPageBreak/>
        <w:t>The exposure of the seagrass monitoring sites adjacent to Townsville and Magnetic Island to elevated Total Suspended Solids and Chlorophyll-</w:t>
      </w:r>
      <w:r w:rsidRPr="00370E70">
        <w:rPr>
          <w:rFonts w:cs="TimesNewRoman"/>
          <w:i/>
          <w:color w:val="000000"/>
          <w:szCs w:val="22"/>
        </w:rPr>
        <w:t>a</w:t>
      </w:r>
      <w:r w:rsidRPr="00370E70">
        <w:rPr>
          <w:rFonts w:cs="TimesNewRoman"/>
          <w:color w:val="000000"/>
          <w:szCs w:val="22"/>
        </w:rPr>
        <w:t xml:space="preserve"> was rated as high, whereas PSII herbicides were rated as low. Overall, coastal sites had a medium to high probability of exceeding the GBR WQ Guidelines in 2010 (pers. comm. Michelle Devlin, JCU).</w:t>
      </w:r>
    </w:p>
    <w:p w:rsidR="005132EF" w:rsidRPr="00370E70" w:rsidRDefault="005132EF" w:rsidP="00FC236F">
      <w:pPr>
        <w:autoSpaceDE w:val="0"/>
        <w:autoSpaceDN w:val="0"/>
        <w:adjustRightInd w:val="0"/>
        <w:rPr>
          <w:rFonts w:cs="TimesNewRoman"/>
          <w:color w:val="000000"/>
          <w:szCs w:val="22"/>
        </w:rPr>
      </w:pPr>
      <w:r w:rsidRPr="00370E70">
        <w:rPr>
          <w:rFonts w:cs="TimesNewRoman"/>
          <w:color w:val="000000"/>
          <w:szCs w:val="22"/>
        </w:rPr>
        <w:t xml:space="preserve">2011/12 was the 6th consecutive year that the discharge from the </w:t>
      </w:r>
      <w:smartTag w:uri="urn:schemas-microsoft-com:office:smarttags" w:element="place">
        <w:smartTag w:uri="urn:schemas-microsoft-com:office:smarttags" w:element="PlaceName">
          <w:r w:rsidRPr="00370E70">
            <w:rPr>
              <w:rFonts w:cs="TimesNewRoman"/>
              <w:color w:val="000000"/>
              <w:szCs w:val="22"/>
            </w:rPr>
            <w:t>Burdekin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was above median flow. Approximately 90% of the annual discharge occurred from February to April 2012, with peak discharge in March 2012 (8,965,451 ML</w:t>
      </w:r>
      <w:proofErr w:type="gramStart"/>
      <w:r w:rsidRPr="00370E70">
        <w:rPr>
          <w:rFonts w:cs="TimesNewRoman"/>
          <w:color w:val="000000"/>
          <w:szCs w:val="22"/>
        </w:rPr>
        <w:t>)(</w:t>
      </w:r>
      <w:proofErr w:type="gramEnd"/>
      <w:r w:rsidRPr="00370E70">
        <w:rPr>
          <w:rFonts w:cs="TimesNewRoman"/>
          <w:color w:val="000000"/>
          <w:szCs w:val="22"/>
        </w:rPr>
        <w:t xml:space="preserve"> </w:t>
      </w:r>
      <w:r w:rsidRPr="00370E70">
        <w:fldChar w:fldCharType="begin"/>
      </w:r>
      <w:r w:rsidRPr="00370E70">
        <w:instrText xml:space="preserve"> REF _Ref305151317 \h  \* MERGEFORMAT </w:instrText>
      </w:r>
      <w:r w:rsidRPr="00370E70">
        <w:fldChar w:fldCharType="separate"/>
      </w:r>
      <w:r w:rsidR="005B5FD6" w:rsidRPr="005B5FD6">
        <w:rPr>
          <w:color w:val="000000"/>
          <w:szCs w:val="22"/>
        </w:rPr>
        <w:t xml:space="preserve">Figure </w:t>
      </w:r>
      <w:r w:rsidR="005B5FD6" w:rsidRPr="005B5FD6">
        <w:rPr>
          <w:noProof/>
          <w:color w:val="000000"/>
          <w:szCs w:val="22"/>
        </w:rPr>
        <w:t>111</w:t>
      </w:r>
      <w:r w:rsidRPr="00370E70">
        <w:fldChar w:fldCharType="end"/>
      </w:r>
      <w:r w:rsidRPr="00370E70">
        <w:rPr>
          <w:rFonts w:cs="TimesNewRoman"/>
          <w:color w:val="000000"/>
          <w:szCs w:val="22"/>
        </w:rPr>
        <w:t>).</w:t>
      </w:r>
    </w:p>
    <w:p w:rsidR="005132EF" w:rsidRPr="00370E70" w:rsidRDefault="007B15AB" w:rsidP="00833519">
      <w:pPr>
        <w:keepNext/>
        <w:jc w:val="center"/>
        <w:rPr>
          <w:color w:val="000000"/>
          <w:szCs w:val="22"/>
        </w:rPr>
      </w:pPr>
      <w:r>
        <w:rPr>
          <w:noProof/>
          <w:lang w:eastAsia="en-AU"/>
        </w:rPr>
        <w:drawing>
          <wp:inline distT="0" distB="0" distL="0" distR="0">
            <wp:extent cx="4314190" cy="1661160"/>
            <wp:effectExtent l="0" t="0" r="0" b="0"/>
            <wp:docPr id="150" name="Picture 150" descr="Graph of average daily flow (ML day-1) per month from the Burdekin River impacting the seagrass monitoring sites in the Burdekin region, 2000 to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Graph of average daily flow (ML day-1) per month from the Burdekin River impacting the seagrass monitoring sites in the Burdekin region, 2000 to 2012. "/>
                    <pic:cNvPicPr>
                      <a:picLocks noChangeAspect="1" noChangeArrowheads="1"/>
                    </pic:cNvPicPr>
                  </pic:nvPicPr>
                  <pic:blipFill>
                    <a:blip r:embed="rId176">
                      <a:extLst>
                        <a:ext uri="{28A0092B-C50C-407E-A947-70E740481C1C}">
                          <a14:useLocalDpi xmlns:a14="http://schemas.microsoft.com/office/drawing/2010/main" val="0"/>
                        </a:ext>
                      </a:extLst>
                    </a:blip>
                    <a:srcRect b="5356"/>
                    <a:stretch>
                      <a:fillRect/>
                    </a:stretch>
                  </pic:blipFill>
                  <pic:spPr bwMode="auto">
                    <a:xfrm>
                      <a:off x="0" y="0"/>
                      <a:ext cx="4314190" cy="1661160"/>
                    </a:xfrm>
                    <a:prstGeom prst="rect">
                      <a:avLst/>
                    </a:prstGeom>
                    <a:noFill/>
                    <a:ln>
                      <a:noFill/>
                    </a:ln>
                  </pic:spPr>
                </pic:pic>
              </a:graphicData>
            </a:graphic>
          </wp:inline>
        </w:drawing>
      </w:r>
    </w:p>
    <w:p w:rsidR="006849AA" w:rsidRPr="006849AA" w:rsidRDefault="005132EF" w:rsidP="006849AA">
      <w:pPr>
        <w:rPr>
          <w:i/>
          <w:vanish/>
          <w:color w:val="000000"/>
          <w:szCs w:val="22"/>
          <w:specVanish/>
        </w:rPr>
      </w:pPr>
      <w:bookmarkStart w:id="524" w:name="_Ref305151317"/>
      <w:bookmarkStart w:id="525" w:name="_Toc384196458"/>
      <w:r w:rsidRPr="00370E70">
        <w:t xml:space="preserve">Figure </w:t>
      </w:r>
      <w:r w:rsidR="009A14B8">
        <w:fldChar w:fldCharType="begin"/>
      </w:r>
      <w:r w:rsidR="009A14B8">
        <w:instrText xml:space="preserve"> SEQ Figure \* ARABIC </w:instrText>
      </w:r>
      <w:r w:rsidR="009A14B8">
        <w:fldChar w:fldCharType="separate"/>
      </w:r>
      <w:r w:rsidR="005B5FD6">
        <w:rPr>
          <w:noProof/>
        </w:rPr>
        <w:t>111</w:t>
      </w:r>
      <w:r w:rsidR="009A14B8">
        <w:rPr>
          <w:noProof/>
        </w:rPr>
        <w:fldChar w:fldCharType="end"/>
      </w:r>
      <w:bookmarkEnd w:id="524"/>
      <w:r w:rsidRPr="00370E70">
        <w:t xml:space="preserve">. </w:t>
      </w:r>
      <w:r w:rsidRPr="006849AA">
        <w:rPr>
          <w:i/>
        </w:rPr>
        <w:t>Average daily flow (ML day</w:t>
      </w:r>
      <w:r w:rsidRPr="006849AA">
        <w:rPr>
          <w:i/>
          <w:vertAlign w:val="superscript"/>
        </w:rPr>
        <w:t>-1</w:t>
      </w:r>
      <w:r w:rsidRPr="006849AA">
        <w:rPr>
          <w:i/>
        </w:rPr>
        <w:t xml:space="preserve">) per month from the </w:t>
      </w:r>
      <w:smartTag w:uri="urn:schemas-microsoft-com:office:smarttags" w:element="place">
        <w:smartTag w:uri="urn:schemas-microsoft-com:office:smarttags" w:element="PlaceName">
          <w:r w:rsidRPr="006849AA">
            <w:rPr>
              <w:i/>
            </w:rPr>
            <w:t>Burdekin</w:t>
          </w:r>
        </w:smartTag>
        <w:r w:rsidRPr="006849AA">
          <w:rPr>
            <w:i/>
          </w:rPr>
          <w:t xml:space="preserve"> </w:t>
        </w:r>
        <w:smartTag w:uri="urn:schemas-microsoft-com:office:smarttags" w:element="PlaceType">
          <w:r w:rsidRPr="006849AA">
            <w:rPr>
              <w:i/>
            </w:rPr>
            <w:t>River</w:t>
          </w:r>
        </w:smartTag>
      </w:smartTag>
      <w:r w:rsidRPr="006849AA">
        <w:rPr>
          <w:i/>
        </w:rPr>
        <w:t xml:space="preserve"> impacting the seagrass monitoring sites in the Burdekin region</w:t>
      </w:r>
      <w:r w:rsidR="00833519" w:rsidRPr="006849AA">
        <w:rPr>
          <w:i/>
        </w:rPr>
        <w:t>.</w:t>
      </w:r>
      <w:bookmarkEnd w:id="525"/>
      <w:r w:rsidR="00833519" w:rsidRPr="006849AA">
        <w:rPr>
          <w:i/>
          <w:vanish/>
          <w:specVanish/>
        </w:rPr>
        <w:t xml:space="preserve"> </w:t>
      </w:r>
      <w:r w:rsidR="00833519" w:rsidRPr="006849AA">
        <w:rPr>
          <w:i/>
        </w:rPr>
        <w:t xml:space="preserve"> </w:t>
      </w:r>
    </w:p>
    <w:p w:rsidR="005132EF" w:rsidRPr="00370E70" w:rsidRDefault="006849AA" w:rsidP="006849AA">
      <w:r w:rsidRPr="006849AA">
        <w:rPr>
          <w:i/>
        </w:rPr>
        <w:t xml:space="preserve"> </w:t>
      </w:r>
      <w:r w:rsidR="005132EF" w:rsidRPr="006849AA">
        <w:rPr>
          <w:i/>
        </w:rPr>
        <w:t xml:space="preserve">(DERM station </w:t>
      </w:r>
      <w:r w:rsidR="005132EF" w:rsidRPr="006849AA">
        <w:rPr>
          <w:rFonts w:cs="TimesNewRoman"/>
          <w:i/>
        </w:rPr>
        <w:t>120006B - Burdekin River at Clare, 19.75856°S 147.24362°E, Elev 29m</w:t>
      </w:r>
      <w:r w:rsidR="005132EF" w:rsidRPr="006849AA">
        <w:rPr>
          <w:i/>
        </w:rPr>
        <w:t xml:space="preserve">) (source The State of </w:t>
      </w:r>
      <w:smartTag w:uri="urn:schemas-microsoft-com:office:smarttags" w:element="place">
        <w:smartTag w:uri="urn:schemas-microsoft-com:office:smarttags" w:element="State">
          <w:r w:rsidR="005132EF" w:rsidRPr="006849AA">
            <w:rPr>
              <w:i/>
            </w:rPr>
            <w:t>Queensland Department</w:t>
          </w:r>
        </w:smartTag>
      </w:smartTag>
      <w:r w:rsidR="005132EF" w:rsidRPr="006849AA">
        <w:rPr>
          <w:i/>
        </w:rPr>
        <w:t xml:space="preserve"> of Environment and Resource Management 2012, watermonitoring.derm.qld.gov.au). </w:t>
      </w:r>
    </w:p>
    <w:p w:rsidR="005132EF" w:rsidRPr="00370E70" w:rsidRDefault="005132EF" w:rsidP="00034AD4">
      <w:pPr>
        <w:rPr>
          <w:rFonts w:cs="TimesNewRoman"/>
          <w:color w:val="000000"/>
          <w:szCs w:val="22"/>
        </w:rPr>
      </w:pPr>
    </w:p>
    <w:p w:rsidR="005132EF" w:rsidRPr="00370E70" w:rsidRDefault="005132EF" w:rsidP="00034AD4">
      <w:pPr>
        <w:autoSpaceDE w:val="0"/>
        <w:autoSpaceDN w:val="0"/>
        <w:adjustRightInd w:val="0"/>
        <w:rPr>
          <w:rFonts w:cs="TimesNewRoman"/>
          <w:color w:val="000000"/>
          <w:szCs w:val="22"/>
        </w:rPr>
      </w:pPr>
    </w:p>
    <w:p w:rsidR="005132EF" w:rsidRPr="00370E70" w:rsidRDefault="005132EF" w:rsidP="00034AD4">
      <w:pPr>
        <w:autoSpaceDE w:val="0"/>
        <w:autoSpaceDN w:val="0"/>
        <w:adjustRightInd w:val="0"/>
        <w:rPr>
          <w:rFonts w:ascii="TimesNewRoman" w:hAnsi="TimesNewRoman" w:cs="TimesNewRoman"/>
          <w:color w:val="000000"/>
        </w:rPr>
      </w:pPr>
    </w:p>
    <w:p w:rsidR="005132EF" w:rsidRPr="00370E70" w:rsidRDefault="005132EF" w:rsidP="00D1729B">
      <w:pPr>
        <w:rPr>
          <w:color w:val="000000"/>
        </w:rPr>
      </w:pPr>
      <w:r w:rsidRPr="00370E70">
        <w:rPr>
          <w:color w:val="000080"/>
        </w:rPr>
        <w:br w:type="page"/>
      </w:r>
      <w:r w:rsidR="007B15AB">
        <w:rPr>
          <w:noProof/>
          <w:color w:val="000000"/>
          <w:lang w:eastAsia="en-AU"/>
        </w:rPr>
        <w:lastRenderedPageBreak/>
        <w:drawing>
          <wp:inline distT="0" distB="0" distL="0" distR="0">
            <wp:extent cx="5756910" cy="1983105"/>
            <wp:effectExtent l="0" t="0" r="0" b="0"/>
            <wp:docPr id="151" name="Picture 151" descr="Photograph of dugong grazing trails in the seagrass meadow at Cannonvale, Airlie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Photograph of dugong grazing trails in the seagrass meadow at Cannonvale, Airlie Beach"/>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756910" cy="198310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526" w:name="_Toc175991081"/>
      <w:bookmarkStart w:id="527" w:name="_Toc232845924"/>
      <w:bookmarkStart w:id="528" w:name="_Toc184102009"/>
      <w:bookmarkStart w:id="529" w:name="_Toc384196141"/>
      <w:bookmarkStart w:id="530" w:name="_Toc170191638"/>
      <w:bookmarkStart w:id="531" w:name="OLE_LINK38"/>
      <w:bookmarkStart w:id="532" w:name="OLE_LINK39"/>
      <w:r w:rsidRPr="00370E70">
        <w:rPr>
          <w:rFonts w:ascii="Century Gothic" w:hAnsi="Century Gothic"/>
          <w:color w:val="000000"/>
        </w:rPr>
        <w:t>Mackay Whitsunday</w:t>
      </w:r>
      <w:bookmarkEnd w:id="526"/>
      <w:bookmarkEnd w:id="527"/>
      <w:bookmarkEnd w:id="528"/>
      <w:bookmarkEnd w:id="529"/>
    </w:p>
    <w:p w:rsidR="005132EF" w:rsidRPr="00370E70" w:rsidRDefault="005132EF" w:rsidP="00034AD4">
      <w:pPr>
        <w:pStyle w:val="Heading3"/>
        <w:rPr>
          <w:color w:val="000000"/>
        </w:rPr>
      </w:pPr>
      <w:bookmarkStart w:id="533" w:name="_Toc184102010"/>
      <w:bookmarkStart w:id="534" w:name="_Toc384196142"/>
      <w:bookmarkEnd w:id="530"/>
      <w:r w:rsidRPr="00370E70">
        <w:rPr>
          <w:color w:val="000000"/>
        </w:rPr>
        <w:t>2011/12 Summary</w:t>
      </w:r>
      <w:bookmarkEnd w:id="533"/>
      <w:bookmarkEnd w:id="534"/>
    </w:p>
    <w:p w:rsidR="0073295B" w:rsidRPr="00370E70" w:rsidRDefault="005132EF" w:rsidP="00034AD4">
      <w:pPr>
        <w:rPr>
          <w:color w:val="000000"/>
          <w:szCs w:val="22"/>
        </w:rPr>
      </w:pPr>
      <w:r w:rsidRPr="00370E70">
        <w:rPr>
          <w:color w:val="000000"/>
          <w:szCs w:val="22"/>
        </w:rPr>
        <w:t xml:space="preserve">Intertidal seagrass meadows are found on the large sand/mud banks of sheltered </w:t>
      </w:r>
      <w:r w:rsidR="00F924FD" w:rsidRPr="00370E70">
        <w:rPr>
          <w:color w:val="000000"/>
          <w:szCs w:val="22"/>
        </w:rPr>
        <w:t>bays</w:t>
      </w:r>
      <w:r w:rsidRPr="00370E70">
        <w:rPr>
          <w:color w:val="000000"/>
          <w:szCs w:val="22"/>
        </w:rPr>
        <w:t xml:space="preserve"> and coastal fringes of the Mackay Whitsunday region; they are also present on top of the offshore fringing reefs. Key environmental drivers include exposure, desiccation and variable flood runoff during the wet season. Seagrass meadows are monitored at reef, coastal and estuarine locations in the Mackay Whitsunday region. </w:t>
      </w:r>
    </w:p>
    <w:p w:rsidR="00F05F4B" w:rsidRPr="00370E70" w:rsidRDefault="00F924FD" w:rsidP="00F05F4B">
      <w:pPr>
        <w:rPr>
          <w:color w:val="000000"/>
          <w:szCs w:val="22"/>
        </w:rPr>
      </w:pPr>
      <w:r w:rsidRPr="00370E70">
        <w:rPr>
          <w:color w:val="000000"/>
          <w:szCs w:val="22"/>
        </w:rPr>
        <w:t xml:space="preserve">Seagrass abundances in coastal habitats declined throughout much of 2011, however </w:t>
      </w:r>
      <w:r w:rsidR="00F05F4B" w:rsidRPr="00370E70">
        <w:rPr>
          <w:color w:val="000000"/>
          <w:szCs w:val="22"/>
        </w:rPr>
        <w:t xml:space="preserve">seagrass abundance in </w:t>
      </w:r>
      <w:r w:rsidRPr="00370E70">
        <w:rPr>
          <w:color w:val="000000"/>
          <w:szCs w:val="22"/>
        </w:rPr>
        <w:t>reef and estuary</w:t>
      </w:r>
      <w:r w:rsidR="00F05F4B" w:rsidRPr="00370E70">
        <w:rPr>
          <w:color w:val="000000"/>
          <w:szCs w:val="22"/>
        </w:rPr>
        <w:t xml:space="preserve"> habitats</w:t>
      </w:r>
      <w:r w:rsidRPr="00370E70">
        <w:rPr>
          <w:color w:val="000000"/>
          <w:szCs w:val="22"/>
        </w:rPr>
        <w:t xml:space="preserve"> remained mostly unchanged at very low levels with </w:t>
      </w:r>
      <w:r w:rsidR="00F05F4B" w:rsidRPr="00370E70">
        <w:rPr>
          <w:color w:val="000000"/>
          <w:szCs w:val="22"/>
        </w:rPr>
        <w:t xml:space="preserve">only </w:t>
      </w:r>
      <w:r w:rsidRPr="00370E70">
        <w:rPr>
          <w:color w:val="000000"/>
          <w:szCs w:val="22"/>
        </w:rPr>
        <w:t>marginal increases in early 2012.</w:t>
      </w:r>
      <w:r w:rsidR="00F05F4B" w:rsidRPr="00370E70">
        <w:rPr>
          <w:color w:val="000000"/>
          <w:szCs w:val="22"/>
        </w:rPr>
        <w:t xml:space="preserve"> Although seagrass reproductive status declined across the region in 2011/12, seagrass meadow extent increased in early 2012. This was primarily the result of seedlings - evident from the presence of larger numbers of germinated seeds. The increased seed banks also suggested the meadows are in a colonising mode and recovery is expected to continue.</w:t>
      </w:r>
    </w:p>
    <w:p w:rsidR="001F3162" w:rsidRPr="00370E70" w:rsidRDefault="001F3162" w:rsidP="00DD73CA">
      <w:pPr>
        <w:rPr>
          <w:color w:val="000000"/>
          <w:szCs w:val="22"/>
        </w:rPr>
      </w:pPr>
      <w:r w:rsidRPr="00370E70">
        <w:rPr>
          <w:szCs w:val="22"/>
        </w:rPr>
        <w:t xml:space="preserve">Seagrass tissue nutrients in late 2011 were similar across habitats, suggesting P and N surplus to C requirements. The nutrient ratios indicated elevated nitrogen, </w:t>
      </w:r>
      <w:r w:rsidR="001001C9" w:rsidRPr="00370E70">
        <w:rPr>
          <w:szCs w:val="22"/>
        </w:rPr>
        <w:t>suggesting anthropogenic N influences such as fertiliser,</w:t>
      </w:r>
      <w:r w:rsidRPr="00370E70">
        <w:rPr>
          <w:szCs w:val="22"/>
        </w:rPr>
        <w:t xml:space="preserve"> although there appeared some sewage influence at the site adjacent to the storm water drain on </w:t>
      </w:r>
      <w:smartTag w:uri="urn:schemas-microsoft-com:office:smarttags" w:element="place">
        <w:smartTag w:uri="urn:schemas-microsoft-com:office:smarttags" w:element="PlaceName">
          <w:r w:rsidRPr="00370E70">
            <w:rPr>
              <w:szCs w:val="22"/>
            </w:rPr>
            <w:t>Hamilton</w:t>
          </w:r>
        </w:smartTag>
        <w:r w:rsidRPr="00370E70">
          <w:rPr>
            <w:szCs w:val="22"/>
          </w:rPr>
          <w:t xml:space="preserve"> </w:t>
        </w:r>
        <w:smartTag w:uri="urn:schemas-microsoft-com:office:smarttags" w:element="PlaceType">
          <w:r w:rsidRPr="00370E70">
            <w:rPr>
              <w:szCs w:val="22"/>
            </w:rPr>
            <w:t>Island</w:t>
          </w:r>
        </w:smartTag>
      </w:smartTag>
      <w:r w:rsidRPr="00370E70">
        <w:rPr>
          <w:szCs w:val="22"/>
        </w:rPr>
        <w:t>. This was also reflected in the increased epiphyte loading across the region.</w:t>
      </w:r>
    </w:p>
    <w:p w:rsidR="00DF4740" w:rsidRPr="00370E70" w:rsidRDefault="00EC2E0B" w:rsidP="00DF4740">
      <w:pPr>
        <w:rPr>
          <w:szCs w:val="22"/>
        </w:rPr>
      </w:pPr>
      <w:r w:rsidRPr="00370E70">
        <w:rPr>
          <w:szCs w:val="22"/>
        </w:rPr>
        <w:t xml:space="preserve">No extreme water temperatures were </w:t>
      </w:r>
      <w:r w:rsidRPr="00370E70">
        <w:rPr>
          <w:rFonts w:cs="Calibri"/>
          <w:szCs w:val="22"/>
        </w:rPr>
        <w:t xml:space="preserve">recorded </w:t>
      </w:r>
      <w:r w:rsidRPr="00370E70">
        <w:rPr>
          <w:szCs w:val="22"/>
        </w:rPr>
        <w:t>within the seagrass canopy over the monitoring period, and temperatures overall were cooler than both the previous period and the long-term average.</w:t>
      </w:r>
      <w:r w:rsidR="00DF4740" w:rsidRPr="00370E70">
        <w:rPr>
          <w:szCs w:val="22"/>
        </w:rPr>
        <w:t xml:space="preserve"> The canopy incident light environment was either similar or improved in 2011/12.</w:t>
      </w:r>
      <w:r w:rsidR="0066793A" w:rsidRPr="00370E70">
        <w:rPr>
          <w:szCs w:val="22"/>
        </w:rPr>
        <w:t xml:space="preserve"> </w:t>
      </w:r>
      <w:r w:rsidR="00DF4740" w:rsidRPr="00370E70">
        <w:rPr>
          <w:rFonts w:cs="TimesNewRoman"/>
          <w:color w:val="000000"/>
          <w:szCs w:val="22"/>
        </w:rPr>
        <w:t xml:space="preserve">Climate across the region was on average wetter and cloudier than the previous decade in the north, and </w:t>
      </w:r>
      <w:r w:rsidR="00DF4740" w:rsidRPr="00370E70">
        <w:rPr>
          <w:color w:val="000000"/>
          <w:szCs w:val="22"/>
        </w:rPr>
        <w:t>windier in the south.</w:t>
      </w:r>
      <w:r w:rsidR="00DF4740" w:rsidRPr="00370E70">
        <w:rPr>
          <w:rFonts w:cs="TimesNewRoman"/>
          <w:color w:val="000000"/>
          <w:szCs w:val="22"/>
        </w:rPr>
        <w:t xml:space="preserve"> </w:t>
      </w:r>
      <w:r w:rsidR="00DF4740" w:rsidRPr="00370E70">
        <w:rPr>
          <w:rFonts w:cs="TimesNewRoman"/>
          <w:szCs w:val="22"/>
        </w:rPr>
        <w:t>The high rainfall resulted in the 6th consecutive year that the discharge from the major rivers in the region w</w:t>
      </w:r>
      <w:r w:rsidR="0066793A" w:rsidRPr="00370E70">
        <w:rPr>
          <w:rFonts w:cs="TimesNewRoman"/>
          <w:szCs w:val="22"/>
        </w:rPr>
        <w:t>ere</w:t>
      </w:r>
      <w:r w:rsidR="00DF4740" w:rsidRPr="00370E70">
        <w:rPr>
          <w:rFonts w:cs="TimesNewRoman"/>
          <w:szCs w:val="22"/>
        </w:rPr>
        <w:t xml:space="preserve"> above median flow. </w:t>
      </w:r>
      <w:r w:rsidR="00DF4740" w:rsidRPr="00370E70">
        <w:rPr>
          <w:szCs w:val="22"/>
        </w:rPr>
        <w:t xml:space="preserve">Overall the status of seagrass condition in the </w:t>
      </w:r>
      <w:r w:rsidR="0066793A" w:rsidRPr="00370E70">
        <w:rPr>
          <w:szCs w:val="22"/>
        </w:rPr>
        <w:t>Mackay Whitsunday</w:t>
      </w:r>
      <w:r w:rsidR="00DF4740" w:rsidRPr="00370E70">
        <w:rPr>
          <w:szCs w:val="22"/>
        </w:rPr>
        <w:t xml:space="preserve"> region improved slightly in 2011/12, but still remained </w:t>
      </w:r>
      <w:r w:rsidR="00DF4740" w:rsidRPr="00370E70">
        <w:rPr>
          <w:b/>
          <w:szCs w:val="22"/>
        </w:rPr>
        <w:t>very</w:t>
      </w:r>
      <w:r w:rsidR="00DF4740" w:rsidRPr="00370E70">
        <w:rPr>
          <w:szCs w:val="22"/>
        </w:rPr>
        <w:t xml:space="preserve"> </w:t>
      </w:r>
      <w:r w:rsidR="00DF4740" w:rsidRPr="00370E70">
        <w:rPr>
          <w:b/>
          <w:szCs w:val="22"/>
        </w:rPr>
        <w:t>poor</w:t>
      </w:r>
      <w:r w:rsidR="00DF4740" w:rsidRPr="00370E70">
        <w:rPr>
          <w:szCs w:val="22"/>
        </w:rPr>
        <w:t xml:space="preserve"> (</w:t>
      </w:r>
      <w:r w:rsidR="0066793A" w:rsidRPr="00370E70">
        <w:rPr>
          <w:szCs w:val="22"/>
        </w:rPr>
        <w:fldChar w:fldCharType="begin"/>
      </w:r>
      <w:r w:rsidR="0066793A" w:rsidRPr="00370E70">
        <w:rPr>
          <w:szCs w:val="22"/>
        </w:rPr>
        <w:instrText xml:space="preserve"> REF _Ref354737966 \h </w:instrText>
      </w:r>
      <w:r w:rsidR="0066793A" w:rsidRPr="00370E70">
        <w:rPr>
          <w:szCs w:val="22"/>
        </w:rPr>
      </w:r>
      <w:r w:rsidR="0066793A" w:rsidRPr="00370E70">
        <w:rPr>
          <w:szCs w:val="22"/>
        </w:rPr>
        <w:fldChar w:fldCharType="separate"/>
      </w:r>
      <w:r w:rsidR="005B5FD6" w:rsidRPr="00370E70">
        <w:rPr>
          <w:color w:val="000000"/>
          <w:szCs w:val="22"/>
        </w:rPr>
        <w:t xml:space="preserve">Table </w:t>
      </w:r>
      <w:r w:rsidR="005B5FD6">
        <w:rPr>
          <w:noProof/>
          <w:color w:val="000000"/>
          <w:szCs w:val="22"/>
        </w:rPr>
        <w:t>27</w:t>
      </w:r>
      <w:r w:rsidR="0066793A" w:rsidRPr="00370E70">
        <w:rPr>
          <w:szCs w:val="22"/>
        </w:rPr>
        <w:fldChar w:fldCharType="end"/>
      </w:r>
      <w:r w:rsidR="00DF4740" w:rsidRPr="00370E70">
        <w:rPr>
          <w:szCs w:val="22"/>
        </w:rPr>
        <w:t xml:space="preserve">). </w:t>
      </w:r>
    </w:p>
    <w:p w:rsidR="004E2700" w:rsidRPr="00370E70" w:rsidRDefault="005132EF" w:rsidP="004E2700">
      <w:pPr>
        <w:jc w:val="center"/>
        <w:rPr>
          <w:i/>
          <w:vanish/>
          <w:szCs w:val="22"/>
          <w:specVanish/>
        </w:rPr>
      </w:pPr>
      <w:bookmarkStart w:id="535" w:name="_Ref354737966"/>
      <w:bookmarkStart w:id="536" w:name="_Toc384196563"/>
      <w:bookmarkEnd w:id="531"/>
      <w:bookmarkEnd w:id="532"/>
      <w:r w:rsidRPr="00370E70">
        <w:rPr>
          <w:color w:val="000000"/>
          <w:szCs w:val="22"/>
        </w:rPr>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27</w:t>
      </w:r>
      <w:r w:rsidRPr="00370E70">
        <w:rPr>
          <w:color w:val="000000"/>
          <w:szCs w:val="22"/>
        </w:rPr>
        <w:fldChar w:fldCharType="end"/>
      </w:r>
      <w:bookmarkEnd w:id="535"/>
      <w:r w:rsidRPr="00370E70">
        <w:rPr>
          <w:color w:val="000000"/>
          <w:szCs w:val="22"/>
        </w:rPr>
        <w:t>.</w:t>
      </w:r>
      <w:r w:rsidRPr="00370E70">
        <w:rPr>
          <w:i/>
          <w:color w:val="000000"/>
          <w:szCs w:val="22"/>
        </w:rPr>
        <w:t xml:space="preserve"> Report card for seagrass status (community &amp; environment) for the Mackay Whitsunday region: July 2011 – May 2012.</w:t>
      </w:r>
      <w:bookmarkEnd w:id="536"/>
      <w:r w:rsidRPr="00370E70">
        <w:rPr>
          <w:i/>
          <w:color w:val="000000"/>
          <w:szCs w:val="22"/>
        </w:rPr>
        <w:t xml:space="preserve"> </w:t>
      </w:r>
    </w:p>
    <w:p w:rsidR="004E2700" w:rsidRPr="00370E70" w:rsidRDefault="005132EF" w:rsidP="00A674BD">
      <w:pPr>
        <w:jc w:val="center"/>
        <w:rPr>
          <w:i/>
          <w:szCs w:val="22"/>
        </w:rPr>
      </w:pPr>
      <w:r w:rsidRPr="00370E70">
        <w:rPr>
          <w:i/>
          <w:color w:val="000000"/>
          <w:szCs w:val="22"/>
        </w:rPr>
        <w:t>Values</w:t>
      </w:r>
      <w:r w:rsidRPr="00370E70">
        <w:rPr>
          <w:i/>
          <w:szCs w:val="22"/>
        </w:rPr>
        <w:t xml:space="preserve"> are indexed scores scaled from 0-100; </w:t>
      </w:r>
      <w:r w:rsidRPr="00370E70">
        <w:rPr>
          <w:rFonts w:ascii="Arial" w:hAnsi="Arial" w:cs="Arial"/>
          <w:i/>
          <w:color w:val="008000"/>
          <w:szCs w:val="22"/>
        </w:rPr>
        <w:t>■ </w:t>
      </w:r>
      <w:r w:rsidRPr="00370E70">
        <w:rPr>
          <w:i/>
          <w:szCs w:val="22"/>
        </w:rPr>
        <w:t xml:space="preserve">= very good (80-100), </w:t>
      </w:r>
      <w:r w:rsidRPr="00370E70">
        <w:rPr>
          <w:rFonts w:ascii="Arial" w:hAnsi="Arial" w:cs="Arial"/>
          <w:i/>
          <w:color w:val="92D050"/>
          <w:szCs w:val="22"/>
        </w:rPr>
        <w:t>■</w:t>
      </w:r>
      <w:r w:rsidRPr="00370E70">
        <w:rPr>
          <w:i/>
          <w:szCs w:val="22"/>
        </w:rPr>
        <w:t xml:space="preserve"> = good (60 - &lt;80), </w:t>
      </w:r>
      <w:r w:rsidRPr="00370E70">
        <w:rPr>
          <w:rFonts w:ascii="Arial" w:hAnsi="Arial" w:cs="Arial"/>
          <w:i/>
          <w:color w:val="FFFF00"/>
          <w:szCs w:val="22"/>
        </w:rPr>
        <w:t>■</w:t>
      </w:r>
      <w:r w:rsidRPr="00370E70">
        <w:rPr>
          <w:i/>
          <w:szCs w:val="22"/>
        </w:rPr>
        <w:t xml:space="preserve"> = moderate (40 - &lt;60), </w:t>
      </w:r>
      <w:r w:rsidRPr="00370E70">
        <w:rPr>
          <w:rFonts w:ascii="Arial" w:hAnsi="Arial" w:cs="Arial"/>
          <w:i/>
          <w:color w:val="FFC000"/>
          <w:szCs w:val="22"/>
        </w:rPr>
        <w:t>■</w:t>
      </w:r>
      <w:r w:rsidRPr="00370E70">
        <w:rPr>
          <w:i/>
          <w:szCs w:val="22"/>
        </w:rPr>
        <w:t xml:space="preserve"> = poor (20 - &lt;40), </w:t>
      </w:r>
      <w:r w:rsidRPr="00370E70">
        <w:rPr>
          <w:rFonts w:ascii="Arial" w:hAnsi="Arial" w:cs="Arial"/>
          <w:i/>
          <w:color w:val="FF0000"/>
          <w:szCs w:val="22"/>
        </w:rPr>
        <w:t>■</w:t>
      </w:r>
      <w:r w:rsidRPr="00370E70">
        <w:rPr>
          <w:i/>
          <w:szCs w:val="22"/>
        </w:rPr>
        <w:t> = very poor (0 - &lt;20).</w:t>
      </w:r>
      <w:r w:rsidR="004E2700" w:rsidRPr="00370E70">
        <w:rPr>
          <w:i/>
          <w:szCs w:val="22"/>
        </w:rPr>
        <w:t xml:space="preserve"> </w:t>
      </w:r>
    </w:p>
    <w:tbl>
      <w:tblPr>
        <w:tblW w:w="8505" w:type="dxa"/>
        <w:jc w:val="center"/>
        <w:tblLayout w:type="fixed"/>
        <w:tblLook w:val="0000" w:firstRow="0" w:lastRow="0" w:firstColumn="0" w:lastColumn="0" w:noHBand="0" w:noVBand="0"/>
      </w:tblPr>
      <w:tblGrid>
        <w:gridCol w:w="2141"/>
        <w:gridCol w:w="1339"/>
        <w:gridCol w:w="1540"/>
        <w:gridCol w:w="2083"/>
        <w:gridCol w:w="1402"/>
      </w:tblGrid>
      <w:tr w:rsidR="005132EF" w:rsidRPr="00370E70" w:rsidTr="0034068E">
        <w:trPr>
          <w:trHeight w:val="437"/>
          <w:jc w:val="center"/>
        </w:trPr>
        <w:tc>
          <w:tcPr>
            <w:tcW w:w="2141"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 w:val="20"/>
                <w:szCs w:val="20"/>
              </w:rPr>
              <w:t>Habitat</w:t>
            </w:r>
          </w:p>
        </w:tc>
        <w:tc>
          <w:tcPr>
            <w:tcW w:w="1339"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Abundance</w:t>
            </w:r>
          </w:p>
        </w:tc>
        <w:tc>
          <w:tcPr>
            <w:tcW w:w="15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Reproductive</w:t>
            </w:r>
          </w:p>
          <w:p w:rsidR="005132EF" w:rsidRPr="00370E70" w:rsidRDefault="005132EF" w:rsidP="00034AD4">
            <w:pPr>
              <w:spacing w:before="0" w:after="0"/>
              <w:jc w:val="center"/>
              <w:rPr>
                <w:color w:val="000000"/>
              </w:rPr>
            </w:pPr>
            <w:r w:rsidRPr="00370E70">
              <w:rPr>
                <w:color w:val="000000"/>
                <w:szCs w:val="22"/>
              </w:rPr>
              <w:t>Effort</w:t>
            </w:r>
          </w:p>
        </w:tc>
        <w:tc>
          <w:tcPr>
            <w:tcW w:w="2083"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color w:val="000000"/>
              </w:rPr>
            </w:pPr>
            <w:r w:rsidRPr="00370E70">
              <w:rPr>
                <w:color w:val="000000"/>
                <w:szCs w:val="22"/>
              </w:rPr>
              <w:t>Nutrient status</w:t>
            </w:r>
          </w:p>
          <w:p w:rsidR="005132EF" w:rsidRPr="00370E70" w:rsidRDefault="005132EF" w:rsidP="00034AD4">
            <w:pPr>
              <w:spacing w:before="0" w:after="0"/>
              <w:jc w:val="center"/>
              <w:rPr>
                <w:color w:val="000000"/>
              </w:rPr>
            </w:pPr>
            <w:r w:rsidRPr="00370E70">
              <w:rPr>
                <w:color w:val="000000"/>
                <w:szCs w:val="22"/>
              </w:rPr>
              <w:t>(C:N ratio)</w:t>
            </w:r>
          </w:p>
        </w:tc>
        <w:tc>
          <w:tcPr>
            <w:tcW w:w="1402" w:type="dxa"/>
            <w:tcBorders>
              <w:top w:val="single" w:sz="4" w:space="0" w:color="000000"/>
              <w:left w:val="nil"/>
              <w:bottom w:val="single" w:sz="4" w:space="0" w:color="000000"/>
              <w:right w:val="nil"/>
            </w:tcBorders>
            <w:vAlign w:val="center"/>
          </w:tcPr>
          <w:p w:rsidR="005132EF" w:rsidRPr="00370E70" w:rsidRDefault="005132EF" w:rsidP="00034AD4">
            <w:pPr>
              <w:spacing w:before="0" w:after="0"/>
              <w:jc w:val="center"/>
              <w:rPr>
                <w:b/>
                <w:bCs/>
                <w:color w:val="000000"/>
              </w:rPr>
            </w:pPr>
            <w:r w:rsidRPr="00370E70">
              <w:rPr>
                <w:b/>
                <w:bCs/>
                <w:color w:val="000000"/>
                <w:szCs w:val="22"/>
              </w:rPr>
              <w:t>Seagrass</w:t>
            </w:r>
          </w:p>
          <w:p w:rsidR="005132EF" w:rsidRPr="00370E70" w:rsidRDefault="005132EF" w:rsidP="00034AD4">
            <w:pPr>
              <w:spacing w:before="0" w:after="0"/>
              <w:jc w:val="center"/>
              <w:rPr>
                <w:b/>
                <w:bCs/>
                <w:color w:val="000000"/>
              </w:rPr>
            </w:pPr>
            <w:r w:rsidRPr="00370E70">
              <w:rPr>
                <w:b/>
                <w:bCs/>
                <w:color w:val="000000"/>
                <w:szCs w:val="22"/>
              </w:rPr>
              <w:t>Index^</w:t>
            </w:r>
          </w:p>
        </w:tc>
      </w:tr>
      <w:tr w:rsidR="005132EF" w:rsidRPr="00370E70" w:rsidTr="003357B3">
        <w:trPr>
          <w:trHeight w:val="315"/>
          <w:jc w:val="center"/>
        </w:trPr>
        <w:tc>
          <w:tcPr>
            <w:tcW w:w="2141" w:type="dxa"/>
            <w:tcBorders>
              <w:top w:val="single" w:sz="4" w:space="0" w:color="000000"/>
              <w:left w:val="single" w:sz="4" w:space="0" w:color="FFFFFF"/>
              <w:bottom w:val="single" w:sz="4" w:space="0" w:color="FFFFFF"/>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13</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2083"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11</w:t>
            </w:r>
          </w:p>
        </w:tc>
        <w:tc>
          <w:tcPr>
            <w:tcW w:w="1402"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8</w:t>
            </w:r>
          </w:p>
        </w:tc>
      </w:tr>
      <w:tr w:rsidR="005132EF" w:rsidRPr="00370E70" w:rsidTr="0034068E">
        <w:trPr>
          <w:trHeight w:val="315"/>
          <w:jc w:val="center"/>
        </w:trPr>
        <w:tc>
          <w:tcPr>
            <w:tcW w:w="2141"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17</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2083"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14</w:t>
            </w:r>
          </w:p>
        </w:tc>
        <w:tc>
          <w:tcPr>
            <w:tcW w:w="140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10</w:t>
            </w:r>
          </w:p>
        </w:tc>
      </w:tr>
      <w:tr w:rsidR="005132EF" w:rsidRPr="00370E70" w:rsidTr="0034068E">
        <w:trPr>
          <w:trHeight w:val="315"/>
          <w:jc w:val="center"/>
        </w:trPr>
        <w:tc>
          <w:tcPr>
            <w:tcW w:w="2141" w:type="dxa"/>
            <w:tcBorders>
              <w:top w:val="single" w:sz="4" w:space="0" w:color="FFFFFF"/>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estuarine intertidal</w:t>
            </w:r>
          </w:p>
        </w:tc>
        <w:tc>
          <w:tcPr>
            <w:tcW w:w="1339"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13</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2083"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12</w:t>
            </w:r>
          </w:p>
        </w:tc>
        <w:tc>
          <w:tcPr>
            <w:tcW w:w="140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8</w:t>
            </w:r>
          </w:p>
        </w:tc>
      </w:tr>
      <w:tr w:rsidR="005132EF" w:rsidRPr="00370E70" w:rsidTr="0034068E">
        <w:trPr>
          <w:trHeight w:val="315"/>
          <w:jc w:val="center"/>
        </w:trPr>
        <w:tc>
          <w:tcPr>
            <w:tcW w:w="2141"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Mackay Whitsunday</w:t>
            </w:r>
          </w:p>
        </w:tc>
        <w:tc>
          <w:tcPr>
            <w:tcW w:w="133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14</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2083"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13</w:t>
            </w:r>
          </w:p>
        </w:tc>
        <w:tc>
          <w:tcPr>
            <w:tcW w:w="140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color w:val="000000"/>
                <w:sz w:val="20"/>
                <w:szCs w:val="20"/>
              </w:rPr>
            </w:pPr>
            <w:r w:rsidRPr="00370E70">
              <w:rPr>
                <w:b/>
                <w:color w:val="000000"/>
                <w:sz w:val="20"/>
                <w:szCs w:val="20"/>
              </w:rPr>
              <w:t>9</w:t>
            </w:r>
          </w:p>
        </w:tc>
      </w:tr>
    </w:tbl>
    <w:p w:rsidR="008552FE" w:rsidRPr="00370E70" w:rsidRDefault="008552FE" w:rsidP="008552FE">
      <w:pPr>
        <w:pStyle w:val="Heading3"/>
        <w:rPr>
          <w:color w:val="000000"/>
        </w:rPr>
      </w:pPr>
      <w:bookmarkStart w:id="537" w:name="_Toc184102011"/>
      <w:bookmarkStart w:id="538" w:name="_Toc384196143"/>
      <w:r w:rsidRPr="00370E70">
        <w:rPr>
          <w:color w:val="000000"/>
        </w:rPr>
        <w:lastRenderedPageBreak/>
        <w:t>Background</w:t>
      </w:r>
      <w:bookmarkEnd w:id="537"/>
      <w:bookmarkEnd w:id="538"/>
    </w:p>
    <w:p w:rsidR="005132EF" w:rsidRPr="00370E70" w:rsidRDefault="005132EF" w:rsidP="00034AD4">
      <w:pPr>
        <w:rPr>
          <w:color w:val="000000"/>
          <w:szCs w:val="22"/>
        </w:rPr>
      </w:pPr>
      <w:r w:rsidRPr="00370E70">
        <w:rPr>
          <w:color w:val="000000"/>
          <w:szCs w:val="22"/>
        </w:rPr>
        <w:t>The Mackay Whitsunday region comprises an area of almost 940,000 ha and includes the major population centres of Mackay, Proserpine, Airlie Beach and Sarina; encompassing the Proserpine, O’Connell, Pioneer and Plane Creek river systems (</w:t>
      </w:r>
      <w:hyperlink w:anchor="_ENREF_49" w:tooltip="Commonwealth of Australia, 2013 #9679" w:history="1">
        <w:r w:rsidR="00964A70" w:rsidRPr="00370E70">
          <w:rPr>
            <w:color w:val="000000"/>
          </w:rPr>
          <w:fldChar w:fldCharType="begin"/>
        </w:r>
        <w:r w:rsidR="00964A70" w:rsidRPr="00370E70">
          <w:rPr>
            <w:color w:val="000000"/>
          </w:rPr>
          <w:instrText xml:space="preserve"> ADDIN EN.CITE &lt;EndNote&gt;&lt;Cite&gt;&lt;Author&gt;Commonwealth of Australia&lt;/Author&gt;&lt;Year&gt;2013&lt;/Year&gt;&lt;RecNum&gt;9679&lt;/RecNum&gt;&lt;DisplayText&gt;Commonwealth of Australia 2013d&lt;/DisplayText&gt;&lt;record&gt;&lt;rec-number&gt;9679&lt;/rec-number&gt;&lt;foreign-keys&gt;&lt;key app="EN" db-id="0eve55x9y5vfd6e9dacxtew4eatve2dzds9a"&gt;9679&lt;/key&gt;&lt;/foreign-keys&gt;&lt;ref-type name="Web Page"&gt;12&lt;/ref-type&gt;&lt;contributors&gt;&lt;authors&gt;&lt;author&gt;Commonwealth of Australia,&lt;/author&gt;&lt;/authors&gt;&lt;/contributors&gt;&lt;titles&gt;&lt;title&gt;Mackay Whitsunday Natural Resource Management region, http://www.nrm.gov.au/about/nrm/regions/qld-mwhs.html&lt;/title&gt;&lt;/titles&gt;&lt;number&gt;18 February 2014&lt;/number&gt;&lt;dates&gt;&lt;year&gt;2013&lt;/year&gt;&lt;/dates&gt;&lt;urls&gt;&lt;related-urls&gt;&lt;url&gt;http://www.nrm.gov.au/about/nrm/regions/qld-mwhs.html&lt;/url&gt;&lt;/related-urls&gt;&lt;/urls&gt;&lt;/record&gt;&lt;/Cite&gt;&lt;/EndNote&gt;</w:instrText>
        </w:r>
        <w:r w:rsidR="00964A70" w:rsidRPr="00370E70">
          <w:rPr>
            <w:color w:val="000000"/>
          </w:rPr>
          <w:fldChar w:fldCharType="separate"/>
        </w:r>
        <w:r w:rsidR="00964A70" w:rsidRPr="00370E70">
          <w:rPr>
            <w:noProof/>
            <w:color w:val="000000"/>
          </w:rPr>
          <w:t>Commonwealth of Australia 2013d</w:t>
        </w:r>
        <w:r w:rsidR="00964A70" w:rsidRPr="00370E70">
          <w:rPr>
            <w:color w:val="000000"/>
          </w:rPr>
          <w:fldChar w:fldCharType="end"/>
        </w:r>
      </w:hyperlink>
      <w:r w:rsidRPr="00370E70">
        <w:rPr>
          <w:color w:val="000000"/>
          <w:szCs w:val="22"/>
        </w:rPr>
        <w:t>). The region’s climate is humid and tropical with hot wet summers and cool dry winters. Annual rainfall varies significantly with as much as 3000 mm a year in elevated sections of the coastal ranges. Most (~70%) of the region’s rainfall occurs between December and March. Average daily temperatures for Mackay range between 23° and 31°C in January and 11° and 22°C in July. The south-easterly trades are the prevailing winds, with occasional gale force winds occurring during cyclonic and other storm events (</w:t>
      </w:r>
      <w:hyperlink w:anchor="_ENREF_126" w:tooltip="Mackay Whitsunday Natural Resource Management Group Inc, 2005 #9680" w:history="1">
        <w:r w:rsidR="00964A70" w:rsidRPr="00370E70">
          <w:rPr>
            <w:color w:val="000000"/>
            <w:szCs w:val="22"/>
          </w:rPr>
          <w:fldChar w:fldCharType="begin"/>
        </w:r>
        <w:r w:rsidR="00964A70" w:rsidRPr="00370E70">
          <w:rPr>
            <w:color w:val="000000"/>
            <w:szCs w:val="22"/>
          </w:rPr>
          <w:instrText xml:space="preserve"> ADDIN EN.CITE &lt;EndNote&gt;&lt;Cite&gt;&lt;Author&gt;Mackay Whitsunday Natural Resource Management Group Inc&lt;/Author&gt;&lt;Year&gt;2005&lt;/Year&gt;&lt;RecNum&gt;9680&lt;/RecNum&gt;&lt;DisplayText&gt;Mackay Whitsunday Natural Resource Management Group Inc 2005&lt;/DisplayText&gt;&lt;record&gt;&lt;rec-number&gt;9680&lt;/rec-number&gt;&lt;foreign-keys&gt;&lt;key app="EN" db-id="0eve55x9y5vfd6e9dacxtew4eatve2dzds9a"&gt;9680&lt;/key&gt;&lt;/foreign-keys&gt;&lt;ref-type name="Web Page"&gt;12&lt;/ref-type&gt;&lt;contributors&gt;&lt;authors&gt;&lt;author&gt;Mackay Whitsunday Natural Resource Management Group Inc,&lt;/author&gt;&lt;/authors&gt;&lt;/contributors&gt;&lt;titles&gt;&lt;title&gt;Mackay Whitsunday Natural Resource Management Plan. http://nrmonline.nrm.gov.au/catalog/mql:2229&lt;/title&gt;&lt;/titles&gt;&lt;number&gt;18 February 2014&lt;/number&gt;&lt;dates&gt;&lt;year&gt;2005&lt;/year&gt;&lt;/dates&gt;&lt;urls&gt;&lt;/urls&gt;&lt;/record&gt;&lt;/Cite&gt;&lt;/EndNote&gt;</w:instrText>
        </w:r>
        <w:r w:rsidR="00964A70" w:rsidRPr="00370E70">
          <w:rPr>
            <w:color w:val="000000"/>
            <w:szCs w:val="22"/>
          </w:rPr>
          <w:fldChar w:fldCharType="separate"/>
        </w:r>
        <w:r w:rsidR="00964A70" w:rsidRPr="00370E70">
          <w:rPr>
            <w:noProof/>
            <w:color w:val="000000"/>
            <w:szCs w:val="22"/>
          </w:rPr>
          <w:t>Mackay Whitsunday Natural Resource Management Group Inc 2005</w:t>
        </w:r>
        <w:r w:rsidR="00964A70" w:rsidRPr="00370E70">
          <w:rPr>
            <w:color w:val="000000"/>
            <w:szCs w:val="22"/>
          </w:rPr>
          <w:fldChar w:fldCharType="end"/>
        </w:r>
      </w:hyperlink>
      <w:r w:rsidRPr="00370E70">
        <w:rPr>
          <w:color w:val="000000"/>
          <w:szCs w:val="22"/>
        </w:rPr>
        <w:t xml:space="preserve">). The major industries in the Mackay Whitsunday region are agriculture and grazing, tourism, and fishing and aquaculture. Reef Plan monitoring sites are located on three of the generalised seagrass habitats represented in the region, including estuarine, coastal and reef. </w:t>
      </w:r>
    </w:p>
    <w:p w:rsidR="005132EF" w:rsidRPr="00370E70" w:rsidRDefault="005132EF" w:rsidP="00034AD4">
      <w:pPr>
        <w:rPr>
          <w:color w:val="000000"/>
          <w:szCs w:val="22"/>
        </w:rPr>
      </w:pPr>
      <w:r w:rsidRPr="00370E70">
        <w:rPr>
          <w:color w:val="000000"/>
          <w:szCs w:val="22"/>
        </w:rPr>
        <w:t xml:space="preserve">Estuarine seagrass habitats in the Mackay Whitsunday region tend to be on the large </w:t>
      </w:r>
      <w:r w:rsidR="004E2700" w:rsidRPr="00370E70">
        <w:rPr>
          <w:color w:val="000000"/>
          <w:szCs w:val="22"/>
        </w:rPr>
        <w:t xml:space="preserve">shallow </w:t>
      </w:r>
      <w:r w:rsidRPr="00370E70">
        <w:rPr>
          <w:color w:val="000000"/>
          <w:szCs w:val="22"/>
        </w:rPr>
        <w:t>sand/mud banks of sheltered estuaries. Runoff through the catchments connected to these estuaries is variable, though the degrees of variability is moderate compared to the high variability of the Burdekin and the low variability of the Tully (</w:t>
      </w:r>
      <w:hyperlink w:anchor="_ENREF_21" w:tooltip="Brodie, 2004 #9682" w:history="1">
        <w:r w:rsidR="00964A70" w:rsidRPr="00370E70">
          <w:rPr>
            <w:color w:val="000000"/>
            <w:szCs w:val="22"/>
          </w:rPr>
          <w:fldChar w:fldCharType="begin"/>
        </w:r>
        <w:r w:rsidR="00964A70" w:rsidRPr="00370E70">
          <w:rPr>
            <w:color w:val="000000"/>
            <w:szCs w:val="22"/>
          </w:rPr>
          <w:instrText xml:space="preserve"> ADDIN EN.CITE &lt;EndNote&gt;&lt;Cite&gt;&lt;Author&gt;Brodie&lt;/Author&gt;&lt;Year&gt;2004&lt;/Year&gt;&lt;RecNum&gt;9682&lt;/RecNum&gt;&lt;DisplayText&gt;Brodie 2004&lt;/DisplayText&gt;&lt;record&gt;&lt;rec-number&gt;9682&lt;/rec-number&gt;&lt;foreign-keys&gt;&lt;key app="EN" db-id="0eve55x9y5vfd6e9dacxtew4eatve2dzds9a"&gt;9682&lt;/key&gt;&lt;/foreign-keys&gt;&lt;ref-type name="Book"&gt;6&lt;/ref-type&gt;&lt;contributors&gt;&lt;authors&gt;&lt;author&gt;Brodie, Jon&lt;/author&gt;&lt;/authors&gt;&lt;/contributors&gt;&lt;titles&gt;&lt;title&gt;Mackay Whitsunday Region: State of the Waterways Report 2004 ACTFR Report No. 02/03 for the Mackay Whitsunday Natural Resource Management Group&lt;/title&gt;&lt;/titles&gt;&lt;dates&gt;&lt;year&gt;2004&lt;/year&gt;&lt;/dates&gt;&lt;pub-location&gt;Yownsville&lt;/pub-location&gt;&lt;publisher&gt;ACTFR, James Cook University&lt;/publisher&gt;&lt;urls&gt;&lt;related-urls&gt;&lt;url&gt;http://wwwpublic.jcu.edu.au/idc/groups/public/documents/technical_report/jcudev_015439.pdf &lt;/url&gt;&lt;/related-urls&gt;&lt;/urls&gt;&lt;/record&gt;&lt;/Cite&gt;&lt;/EndNote&gt;</w:instrText>
        </w:r>
        <w:r w:rsidR="00964A70" w:rsidRPr="00370E70">
          <w:rPr>
            <w:color w:val="000000"/>
            <w:szCs w:val="22"/>
          </w:rPr>
          <w:fldChar w:fldCharType="separate"/>
        </w:r>
        <w:r w:rsidR="00964A70" w:rsidRPr="00370E70">
          <w:rPr>
            <w:noProof/>
            <w:color w:val="000000"/>
            <w:szCs w:val="22"/>
          </w:rPr>
          <w:t>Brodie 2004</w:t>
        </w:r>
        <w:r w:rsidR="00964A70" w:rsidRPr="00370E70">
          <w:rPr>
            <w:color w:val="000000"/>
            <w:szCs w:val="22"/>
          </w:rPr>
          <w:fldChar w:fldCharType="end"/>
        </w:r>
      </w:hyperlink>
      <w:r w:rsidRPr="00370E70">
        <w:rPr>
          <w:color w:val="000000"/>
          <w:szCs w:val="22"/>
        </w:rPr>
        <w:t>). Seagrass in this habitat must cope with extremes of flow, associated sediment and freshwater loads from December to April when 80% of the annual discharge occurs (</w:t>
      </w:r>
      <w:r w:rsidRPr="00370E70">
        <w:rPr>
          <w:color w:val="000000"/>
        </w:rPr>
        <w:fldChar w:fldCharType="begin"/>
      </w:r>
      <w:r w:rsidRPr="00370E70">
        <w:rPr>
          <w:color w:val="000000"/>
        </w:rPr>
        <w:instrText xml:space="preserve"> REF _Ref179440386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112</w:t>
      </w:r>
      <w:r w:rsidRPr="00370E70">
        <w:rPr>
          <w:color w:val="000000"/>
        </w:rPr>
        <w:fldChar w:fldCharType="end"/>
      </w:r>
      <w:r w:rsidRPr="00370E70">
        <w:rPr>
          <w:color w:val="000000"/>
          <w:szCs w:val="22"/>
        </w:rPr>
        <w:t>).</w:t>
      </w:r>
    </w:p>
    <w:p w:rsidR="005132EF" w:rsidRPr="00370E70" w:rsidRDefault="007B15AB" w:rsidP="00034AD4">
      <w:pPr>
        <w:rPr>
          <w:color w:val="000000"/>
          <w:szCs w:val="22"/>
        </w:rPr>
      </w:pPr>
      <w:r>
        <w:rPr>
          <w:noProof/>
          <w:color w:val="000000"/>
          <w:szCs w:val="22"/>
          <w:lang w:eastAsia="en-AU"/>
        </w:rPr>
        <w:drawing>
          <wp:inline distT="0" distB="0" distL="0" distR="0">
            <wp:extent cx="5756910" cy="2176780"/>
            <wp:effectExtent l="0" t="0" r="0" b="0"/>
            <wp:docPr id="152" name="Picture 152" descr="Conceptual diagram of estuary habitat in the Mackay Whitsunday region: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onceptual diagram of estuary habitat in the Mackay Whitsunday region: general habitat and seagrass meadow processes "/>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5756910" cy="2176780"/>
                    </a:xfrm>
                    <a:prstGeom prst="rect">
                      <a:avLst/>
                    </a:prstGeom>
                    <a:noFill/>
                    <a:ln>
                      <a:noFill/>
                    </a:ln>
                  </pic:spPr>
                </pic:pic>
              </a:graphicData>
            </a:graphic>
          </wp:inline>
        </w:drawing>
      </w:r>
    </w:p>
    <w:p w:rsidR="004E2700" w:rsidRPr="00370E70" w:rsidRDefault="005132EF" w:rsidP="004E2700">
      <w:pPr>
        <w:pStyle w:val="Caption"/>
        <w:rPr>
          <w:i/>
          <w:vanish/>
          <w:color w:val="000000"/>
          <w:szCs w:val="22"/>
          <w:lang w:val="en-AU"/>
          <w:specVanish/>
        </w:rPr>
      </w:pPr>
      <w:bookmarkStart w:id="539" w:name="_Ref179440386"/>
      <w:bookmarkStart w:id="540" w:name="_Toc384196459"/>
      <w:bookmarkStart w:id="541" w:name="_Toc176158895"/>
      <w:bookmarkStart w:id="542" w:name="_Toc23284599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112</w:t>
      </w:r>
      <w:r w:rsidRPr="00370E70">
        <w:rPr>
          <w:lang w:val="en-AU"/>
        </w:rPr>
        <w:fldChar w:fldCharType="end"/>
      </w:r>
      <w:bookmarkEnd w:id="539"/>
      <w:r w:rsidRPr="00370E70">
        <w:rPr>
          <w:rStyle w:val="StyleCaptionCaptionCharCharLatinCalibri11ptBlackChar"/>
          <w:lang w:val="en-AU"/>
        </w:rPr>
        <w:t>.</w:t>
      </w:r>
      <w:r w:rsidRPr="00370E70">
        <w:rPr>
          <w:lang w:val="en-AU"/>
        </w:rPr>
        <w:t xml:space="preserve"> </w:t>
      </w:r>
      <w:r w:rsidRPr="00370E70">
        <w:rPr>
          <w:i/>
          <w:lang w:val="en-AU"/>
        </w:rPr>
        <w:t>Conceptual diagram of estuary habitat in the Mackay Whitsunday region</w:t>
      </w:r>
      <w:bookmarkEnd w:id="540"/>
    </w:p>
    <w:p w:rsidR="004E2700" w:rsidRPr="00370E70" w:rsidRDefault="005132EF" w:rsidP="004E2700">
      <w:pPr>
        <w:pStyle w:val="Caption"/>
        <w:rPr>
          <w:lang w:val="en-AU"/>
        </w:rPr>
      </w:pPr>
      <w:r w:rsidRPr="00370E70">
        <w:rPr>
          <w:i/>
          <w:lang w:val="en-AU"/>
        </w:rPr>
        <w:t xml:space="preserve">: </w:t>
      </w:r>
      <w:proofErr w:type="gramStart"/>
      <w:r w:rsidRPr="00370E70">
        <w:rPr>
          <w:i/>
          <w:lang w:val="en-AU"/>
        </w:rPr>
        <w:t>general</w:t>
      </w:r>
      <w:proofErr w:type="gramEnd"/>
      <w:r w:rsidRPr="00370E70">
        <w:rPr>
          <w:i/>
          <w:lang w:val="en-AU"/>
        </w:rPr>
        <w:t xml:space="preserve"> habitat and seagrass meadow processes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541"/>
      <w:bookmarkEnd w:id="542"/>
      <w:r w:rsidR="004E2700" w:rsidRPr="00370E70">
        <w:rPr>
          <w:i/>
          <w:lang w:val="en-AU"/>
        </w:rPr>
        <w:t xml:space="preserve"> </w:t>
      </w:r>
    </w:p>
    <w:p w:rsidR="005132EF" w:rsidRPr="00370E70" w:rsidRDefault="005132EF" w:rsidP="00034AD4">
      <w:pPr>
        <w:spacing w:before="240"/>
        <w:rPr>
          <w:color w:val="000000"/>
          <w:szCs w:val="22"/>
          <w:lang w:eastAsia="en-AU"/>
        </w:rPr>
      </w:pPr>
      <w:r w:rsidRPr="00370E70">
        <w:rPr>
          <w:color w:val="000000"/>
          <w:szCs w:val="22"/>
          <w:lang w:eastAsia="en-AU"/>
        </w:rPr>
        <w:t>Coastal seagrass habitats are found in areas such as the leeward side of inshore continental islands and in north opening bays. These areas offer protection from the south-easterly trades. Potential impacts to these habitats are issues of water quality associated with urban, marina development and agricultural land use (</w:t>
      </w:r>
      <w:r w:rsidRPr="00370E70">
        <w:rPr>
          <w:color w:val="000000"/>
        </w:rPr>
        <w:fldChar w:fldCharType="begin"/>
      </w:r>
      <w:r w:rsidRPr="00370E70">
        <w:rPr>
          <w:color w:val="000000"/>
        </w:rPr>
        <w:instrText xml:space="preserve"> REF _Ref179444564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114</w:t>
      </w:r>
      <w:r w:rsidRPr="00370E70">
        <w:rPr>
          <w:color w:val="000000"/>
        </w:rPr>
        <w:fldChar w:fldCharType="end"/>
      </w:r>
      <w:r w:rsidRPr="00370E70">
        <w:rPr>
          <w:color w:val="000000"/>
          <w:szCs w:val="22"/>
          <w:lang w:eastAsia="en-AU"/>
        </w:rPr>
        <w:t xml:space="preserve">). Monitoring sites of intertidal coastal seagrass habitat were located on the sand/mud flats adjacent to Cannonvale in southern </w:t>
      </w:r>
      <w:smartTag w:uri="urn:schemas-microsoft-com:office:smarttags" w:element="place">
        <w:smartTag w:uri="urn:schemas-microsoft-com:office:smarttags" w:element="PlaceName">
          <w:r w:rsidRPr="00370E70">
            <w:rPr>
              <w:color w:val="000000"/>
              <w:szCs w:val="22"/>
              <w:lang w:eastAsia="en-AU"/>
            </w:rPr>
            <w:t>Pioneer</w:t>
          </w:r>
        </w:smartTag>
        <w:r w:rsidRPr="00370E70">
          <w:rPr>
            <w:color w:val="000000"/>
            <w:szCs w:val="22"/>
            <w:lang w:eastAsia="en-AU"/>
          </w:rPr>
          <w:t xml:space="preserve"> </w:t>
        </w:r>
        <w:smartTag w:uri="urn:schemas-microsoft-com:office:smarttags" w:element="PlaceType">
          <w:r w:rsidRPr="00370E70">
            <w:rPr>
              <w:color w:val="000000"/>
              <w:szCs w:val="22"/>
              <w:lang w:eastAsia="en-AU"/>
            </w:rPr>
            <w:t>Bay</w:t>
          </w:r>
        </w:smartTag>
      </w:smartTag>
      <w:r w:rsidR="001001C9" w:rsidRPr="00370E70">
        <w:rPr>
          <w:color w:val="000000"/>
          <w:szCs w:val="22"/>
          <w:lang w:eastAsia="en-AU"/>
        </w:rPr>
        <w:t xml:space="preserve"> (</w:t>
      </w:r>
      <w:r w:rsidR="001001C9" w:rsidRPr="00370E70">
        <w:rPr>
          <w:color w:val="000000"/>
          <w:szCs w:val="22"/>
          <w:lang w:eastAsia="en-AU"/>
        </w:rPr>
        <w:fldChar w:fldCharType="begin"/>
      </w:r>
      <w:r w:rsidR="001001C9" w:rsidRPr="00370E70">
        <w:rPr>
          <w:color w:val="000000"/>
          <w:szCs w:val="22"/>
          <w:lang w:eastAsia="en-AU"/>
        </w:rPr>
        <w:instrText xml:space="preserve"> REF _Ref179444954 \h </w:instrText>
      </w:r>
      <w:r w:rsidR="001001C9" w:rsidRPr="00370E70">
        <w:rPr>
          <w:color w:val="000000"/>
          <w:szCs w:val="22"/>
          <w:lang w:eastAsia="en-AU"/>
        </w:rPr>
      </w:r>
      <w:r w:rsidR="001001C9" w:rsidRPr="00370E70">
        <w:rPr>
          <w:color w:val="000000"/>
          <w:szCs w:val="22"/>
          <w:lang w:eastAsia="en-AU"/>
        </w:rPr>
        <w:fldChar w:fldCharType="separate"/>
      </w:r>
      <w:r w:rsidR="005B5FD6" w:rsidRPr="00370E70">
        <w:rPr>
          <w:rStyle w:val="StyleCaptionCaptionCharCharLatinCalibri11ptBlackChar"/>
          <w:lang w:val="en-AU"/>
        </w:rPr>
        <w:t xml:space="preserve">Figure </w:t>
      </w:r>
      <w:r w:rsidR="005B5FD6">
        <w:rPr>
          <w:noProof/>
        </w:rPr>
        <w:t>113</w:t>
      </w:r>
      <w:r w:rsidR="001001C9" w:rsidRPr="00370E70">
        <w:rPr>
          <w:color w:val="000000"/>
          <w:szCs w:val="22"/>
          <w:lang w:eastAsia="en-AU"/>
        </w:rPr>
        <w:fldChar w:fldCharType="end"/>
      </w:r>
      <w:r w:rsidR="001001C9" w:rsidRPr="00370E70">
        <w:rPr>
          <w:color w:val="000000"/>
          <w:szCs w:val="22"/>
          <w:lang w:eastAsia="en-AU"/>
        </w:rPr>
        <w:t>)</w:t>
      </w:r>
      <w:r w:rsidRPr="00370E70">
        <w:rPr>
          <w:color w:val="000000"/>
          <w:szCs w:val="22"/>
          <w:lang w:eastAsia="en-AU"/>
        </w:rPr>
        <w:t>.</w:t>
      </w:r>
    </w:p>
    <w:p w:rsidR="0034367D" w:rsidRPr="00370E70" w:rsidRDefault="007B15AB" w:rsidP="0034367D">
      <w:pPr>
        <w:keepNext/>
        <w:jc w:val="center"/>
        <w:rPr>
          <w:color w:val="000000"/>
        </w:rPr>
      </w:pPr>
      <w:r>
        <w:rPr>
          <w:noProof/>
          <w:color w:val="000000"/>
          <w:lang w:eastAsia="en-AU"/>
        </w:rPr>
        <w:lastRenderedPageBreak/>
        <w:drawing>
          <wp:inline distT="0" distB="0" distL="0" distR="0">
            <wp:extent cx="5756910" cy="7225030"/>
            <wp:effectExtent l="0" t="0" r="0" b="0"/>
            <wp:docPr id="153" name="Picture 153" descr="Map showing location of Mackay Whitsunday region long-term monitoring site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Map showing location of Mackay Whitsunday region long-term monitoring sites and the seagrass species composition at each site"/>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34367D" w:rsidRPr="00370E70" w:rsidRDefault="0034367D" w:rsidP="0034367D">
      <w:pPr>
        <w:pStyle w:val="Caption"/>
        <w:rPr>
          <w:i/>
          <w:vanish/>
          <w:color w:val="000000"/>
          <w:szCs w:val="22"/>
          <w:lang w:val="en-AU"/>
          <w:specVanish/>
        </w:rPr>
      </w:pPr>
      <w:bookmarkStart w:id="543" w:name="_Ref179444954"/>
      <w:bookmarkStart w:id="544" w:name="_Toc176158898"/>
      <w:bookmarkStart w:id="545" w:name="_Toc232845996"/>
      <w:bookmarkStart w:id="546" w:name="_Toc38419646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113</w:t>
      </w:r>
      <w:r w:rsidRPr="00370E70">
        <w:rPr>
          <w:lang w:val="en-AU"/>
        </w:rPr>
        <w:fldChar w:fldCharType="end"/>
      </w:r>
      <w:bookmarkEnd w:id="543"/>
      <w:r w:rsidRPr="00370E70">
        <w:rPr>
          <w:lang w:val="en-AU"/>
        </w:rPr>
        <w:t xml:space="preserve">. </w:t>
      </w:r>
      <w:bookmarkEnd w:id="544"/>
      <w:bookmarkEnd w:id="545"/>
      <w:r w:rsidRPr="00370E70">
        <w:rPr>
          <w:i/>
          <w:lang w:val="en-AU"/>
        </w:rPr>
        <w:t>Location of Mackay Whitsunday region long-term monitoring sites and the seagrass species composition at each site.</w:t>
      </w:r>
      <w:bookmarkEnd w:id="546"/>
      <w:r w:rsidRPr="00370E70">
        <w:rPr>
          <w:i/>
          <w:lang w:val="en-AU"/>
        </w:rPr>
        <w:t xml:space="preserve"> </w:t>
      </w:r>
    </w:p>
    <w:p w:rsidR="0034367D" w:rsidRPr="00370E70" w:rsidRDefault="0034367D" w:rsidP="0034367D">
      <w:pPr>
        <w:pStyle w:val="Caption"/>
        <w:rPr>
          <w:lang w:val="en-AU"/>
        </w:rPr>
      </w:pPr>
      <w:r w:rsidRPr="00370E70">
        <w:rPr>
          <w:i/>
          <w:lang w:val="en-AU"/>
        </w:rPr>
        <w:t>Please note: replicate sites within 500m of each other</w:t>
      </w:r>
      <w:r w:rsidRPr="00370E70">
        <w:rPr>
          <w:lang w:val="en-AU"/>
        </w:rPr>
        <w:t xml:space="preserve">. </w:t>
      </w:r>
    </w:p>
    <w:p w:rsidR="0034367D" w:rsidRPr="00370E70" w:rsidRDefault="0034367D" w:rsidP="0034367D">
      <w:pPr>
        <w:rPr>
          <w:color w:val="000000"/>
          <w:szCs w:val="22"/>
        </w:rPr>
      </w:pPr>
    </w:p>
    <w:p w:rsidR="0034367D" w:rsidRPr="00370E70" w:rsidRDefault="0034367D" w:rsidP="00034AD4">
      <w:pPr>
        <w:spacing w:before="240"/>
        <w:rPr>
          <w:color w:val="000000"/>
          <w:szCs w:val="22"/>
          <w:lang w:eastAsia="en-AU"/>
        </w:rPr>
      </w:pPr>
    </w:p>
    <w:p w:rsidR="005132EF" w:rsidRPr="00370E70" w:rsidRDefault="007B15AB" w:rsidP="00034AD4">
      <w:pPr>
        <w:rPr>
          <w:color w:val="000000"/>
          <w:szCs w:val="22"/>
        </w:rPr>
      </w:pPr>
      <w:r>
        <w:rPr>
          <w:noProof/>
          <w:color w:val="000000"/>
          <w:szCs w:val="22"/>
          <w:lang w:eastAsia="en-AU"/>
        </w:rPr>
        <w:lastRenderedPageBreak/>
        <w:drawing>
          <wp:inline distT="0" distB="0" distL="0" distR="0">
            <wp:extent cx="5756910" cy="2112010"/>
            <wp:effectExtent l="0" t="0" r="0" b="2540"/>
            <wp:docPr id="154" name="Picture 153" descr="Conceptual diagram of coastal habitat in the Mackay Whitsunday region – major control is shelter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Conceptual diagram of coastal habitat in the Mackay Whitsunday region – major control is shelter and temperature extremes: general habitat, seagrass meadow processes and threats/impacts "/>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756910" cy="2112010"/>
                    </a:xfrm>
                    <a:prstGeom prst="rect">
                      <a:avLst/>
                    </a:prstGeom>
                    <a:noFill/>
                    <a:ln>
                      <a:noFill/>
                    </a:ln>
                  </pic:spPr>
                </pic:pic>
              </a:graphicData>
            </a:graphic>
          </wp:inline>
        </w:drawing>
      </w:r>
    </w:p>
    <w:p w:rsidR="004E2700" w:rsidRPr="00370E70" w:rsidRDefault="005132EF" w:rsidP="004E2700">
      <w:pPr>
        <w:pStyle w:val="Caption"/>
        <w:rPr>
          <w:i/>
          <w:vanish/>
          <w:color w:val="000000"/>
          <w:szCs w:val="22"/>
          <w:lang w:val="en-AU"/>
          <w:specVanish/>
        </w:rPr>
      </w:pPr>
      <w:bookmarkStart w:id="547" w:name="_Ref179444564"/>
      <w:bookmarkStart w:id="548" w:name="_Toc384196461"/>
      <w:bookmarkStart w:id="549" w:name="_Toc176158896"/>
      <w:bookmarkStart w:id="550" w:name="_Toc23284599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114</w:t>
      </w:r>
      <w:r w:rsidRPr="00370E70">
        <w:rPr>
          <w:lang w:val="en-AU"/>
        </w:rPr>
        <w:fldChar w:fldCharType="end"/>
      </w:r>
      <w:bookmarkEnd w:id="547"/>
      <w:r w:rsidRPr="00370E70">
        <w:rPr>
          <w:lang w:val="en-AU"/>
        </w:rPr>
        <w:t xml:space="preserve">. </w:t>
      </w:r>
      <w:r w:rsidRPr="00370E70">
        <w:rPr>
          <w:i/>
          <w:lang w:val="en-AU"/>
        </w:rPr>
        <w:t>Conceptual diagram of coastal habitat in the Mackay Whitsunday region</w:t>
      </w:r>
      <w:bookmarkEnd w:id="548"/>
    </w:p>
    <w:p w:rsidR="004E2700" w:rsidRPr="00370E70" w:rsidRDefault="005132EF" w:rsidP="004E2700">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shelter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549"/>
      <w:bookmarkEnd w:id="550"/>
      <w:r w:rsidR="004E2700" w:rsidRPr="00370E70">
        <w:rPr>
          <w:i/>
          <w:lang w:val="en-AU"/>
        </w:rPr>
        <w:t xml:space="preserve">. </w:t>
      </w:r>
    </w:p>
    <w:p w:rsidR="005132EF" w:rsidRPr="00370E70" w:rsidRDefault="005132EF" w:rsidP="00034AD4">
      <w:pPr>
        <w:spacing w:before="240"/>
        <w:rPr>
          <w:color w:val="000000"/>
          <w:szCs w:val="22"/>
        </w:rPr>
      </w:pPr>
      <w:r w:rsidRPr="00370E70">
        <w:rPr>
          <w:color w:val="000000"/>
          <w:szCs w:val="22"/>
          <w:lang w:eastAsia="en-AU"/>
        </w:rPr>
        <w:t xml:space="preserve">Reef habitat seagrass meadows are found intertidally on the top of the coastal fringing reefs or fringing reefs associated with the many islands in this region. The </w:t>
      </w:r>
      <w:proofErr w:type="gramStart"/>
      <w:r w:rsidRPr="00370E70">
        <w:rPr>
          <w:color w:val="000000"/>
          <w:szCs w:val="22"/>
          <w:lang w:eastAsia="en-AU"/>
        </w:rPr>
        <w:t>drivers of these habitats is</w:t>
      </w:r>
      <w:proofErr w:type="gramEnd"/>
      <w:r w:rsidRPr="00370E70">
        <w:rPr>
          <w:color w:val="000000"/>
          <w:szCs w:val="22"/>
          <w:lang w:eastAsia="en-AU"/>
        </w:rPr>
        <w:t xml:space="preserve"> exposure, and desiccation (intertidal meadows) (</w:t>
      </w:r>
      <w:r w:rsidRPr="00370E70">
        <w:rPr>
          <w:color w:val="000000"/>
        </w:rPr>
        <w:fldChar w:fldCharType="begin"/>
      </w:r>
      <w:r w:rsidRPr="00370E70">
        <w:rPr>
          <w:color w:val="000000"/>
        </w:rPr>
        <w:instrText xml:space="preserve"> REF _Ref179444922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115</w:t>
      </w:r>
      <w:r w:rsidRPr="00370E70">
        <w:rPr>
          <w:color w:val="000000"/>
        </w:rPr>
        <w:fldChar w:fldCharType="end"/>
      </w:r>
      <w:r w:rsidRPr="00370E70">
        <w:rPr>
          <w:color w:val="000000"/>
          <w:szCs w:val="22"/>
          <w:lang w:eastAsia="en-AU"/>
        </w:rPr>
        <w:t>). Major threats would be increased tourism activities including marina and coastal developments.</w:t>
      </w:r>
      <w:r w:rsidRPr="00370E70">
        <w:rPr>
          <w:color w:val="000000"/>
          <w:szCs w:val="22"/>
        </w:rPr>
        <w:t xml:space="preserve"> </w:t>
      </w:r>
    </w:p>
    <w:p w:rsidR="005132EF" w:rsidRPr="00370E70" w:rsidRDefault="007B15AB" w:rsidP="00034AD4">
      <w:pPr>
        <w:jc w:val="center"/>
        <w:rPr>
          <w:color w:val="000000"/>
          <w:szCs w:val="22"/>
        </w:rPr>
      </w:pPr>
      <w:r>
        <w:rPr>
          <w:noProof/>
          <w:color w:val="000000"/>
          <w:szCs w:val="22"/>
          <w:lang w:eastAsia="en-AU"/>
        </w:rPr>
        <w:drawing>
          <wp:inline distT="0" distB="0" distL="0" distR="0">
            <wp:extent cx="5692775" cy="2163445"/>
            <wp:effectExtent l="0" t="0" r="3175" b="8255"/>
            <wp:docPr id="155" name="Picture 154" descr="Conceptual diagram of reef habitat in the Mackay Whitsunday region - major control is light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onceptual diagram of reef habitat in the Mackay Whitsunday region - major control is light and temperature extremes: general habitat, seagrass meadow processes and threats/impacts "/>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692775" cy="2163445"/>
                    </a:xfrm>
                    <a:prstGeom prst="rect">
                      <a:avLst/>
                    </a:prstGeom>
                    <a:noFill/>
                    <a:ln>
                      <a:noFill/>
                    </a:ln>
                  </pic:spPr>
                </pic:pic>
              </a:graphicData>
            </a:graphic>
          </wp:inline>
        </w:drawing>
      </w:r>
    </w:p>
    <w:p w:rsidR="004E2700" w:rsidRPr="00370E70" w:rsidRDefault="005132EF" w:rsidP="004E2700">
      <w:pPr>
        <w:pStyle w:val="Caption"/>
        <w:rPr>
          <w:i/>
          <w:vanish/>
          <w:color w:val="000000"/>
          <w:szCs w:val="22"/>
          <w:lang w:val="en-AU"/>
          <w:specVanish/>
        </w:rPr>
      </w:pPr>
      <w:bookmarkStart w:id="551" w:name="_Ref179444922"/>
      <w:bookmarkStart w:id="552" w:name="_Toc384196462"/>
      <w:bookmarkStart w:id="553" w:name="_Toc176158897"/>
      <w:bookmarkStart w:id="554" w:name="_Toc23284599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115</w:t>
      </w:r>
      <w:r w:rsidRPr="00370E70">
        <w:rPr>
          <w:lang w:val="en-AU"/>
        </w:rPr>
        <w:fldChar w:fldCharType="end"/>
      </w:r>
      <w:bookmarkEnd w:id="551"/>
      <w:r w:rsidRPr="00370E70">
        <w:rPr>
          <w:lang w:val="en-AU"/>
        </w:rPr>
        <w:t xml:space="preserve">. </w:t>
      </w:r>
      <w:r w:rsidRPr="00370E70">
        <w:rPr>
          <w:i/>
          <w:lang w:val="en-AU"/>
        </w:rPr>
        <w:t>Conceptual diagram of reef habitat in the Mackay Whitsunday region</w:t>
      </w:r>
      <w:bookmarkEnd w:id="552"/>
    </w:p>
    <w:p w:rsidR="004E2700" w:rsidRPr="00370E70" w:rsidRDefault="005132EF" w:rsidP="004E2700">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light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553"/>
      <w:bookmarkEnd w:id="554"/>
      <w:r w:rsidR="004E2700" w:rsidRPr="00370E70">
        <w:rPr>
          <w:i/>
          <w:lang w:val="en-AU"/>
        </w:rPr>
        <w:t xml:space="preserve"> </w:t>
      </w:r>
    </w:p>
    <w:p w:rsidR="005132EF" w:rsidRPr="00370E70" w:rsidRDefault="005132EF" w:rsidP="00034AD4">
      <w:pPr>
        <w:pStyle w:val="Heading3"/>
        <w:rPr>
          <w:color w:val="000000"/>
        </w:rPr>
      </w:pPr>
      <w:bookmarkStart w:id="555" w:name="_Toc184102012"/>
      <w:bookmarkStart w:id="556" w:name="_Toc384196144"/>
      <w:bookmarkStart w:id="557" w:name="_Toc175991082"/>
      <w:bookmarkStart w:id="558" w:name="_Toc232845925"/>
      <w:r w:rsidRPr="00370E70">
        <w:rPr>
          <w:color w:val="000000"/>
        </w:rPr>
        <w:t>Status of the seagrass community</w:t>
      </w:r>
      <w:bookmarkEnd w:id="555"/>
      <w:bookmarkEnd w:id="556"/>
    </w:p>
    <w:p w:rsidR="004B4D7F" w:rsidRPr="00370E70" w:rsidRDefault="004B4D7F" w:rsidP="004B4D7F">
      <w:pPr>
        <w:rPr>
          <w:lang w:eastAsia="en-AU"/>
        </w:rPr>
      </w:pPr>
      <w:r w:rsidRPr="00370E70">
        <w:rPr>
          <w:lang w:eastAsia="en-AU"/>
        </w:rPr>
        <w:t>The overall condition of inshore seagrass in the Mackay Whitsunday region remained very poor in 2011</w:t>
      </w:r>
      <w:r w:rsidR="0066067C" w:rsidRPr="00370E70">
        <w:rPr>
          <w:lang w:eastAsia="en-AU"/>
        </w:rPr>
        <w:t>/</w:t>
      </w:r>
      <w:r w:rsidRPr="00370E70">
        <w:rPr>
          <w:lang w:eastAsia="en-AU"/>
        </w:rPr>
        <w:t>12, having progressively declined since monitoring began in 2005</w:t>
      </w:r>
      <w:r w:rsidR="0066067C" w:rsidRPr="00370E70">
        <w:rPr>
          <w:lang w:eastAsia="en-AU"/>
        </w:rPr>
        <w:t>/</w:t>
      </w:r>
      <w:r w:rsidRPr="00370E70">
        <w:rPr>
          <w:lang w:eastAsia="en-AU"/>
        </w:rPr>
        <w:t>06</w:t>
      </w:r>
      <w:r w:rsidR="0066067C" w:rsidRPr="00370E70">
        <w:rPr>
          <w:lang w:eastAsia="en-AU"/>
        </w:rPr>
        <w:t xml:space="preserve"> (</w:t>
      </w:r>
      <w:r w:rsidR="0066067C" w:rsidRPr="00370E70">
        <w:rPr>
          <w:lang w:eastAsia="en-AU"/>
        </w:rPr>
        <w:fldChar w:fldCharType="begin"/>
      </w:r>
      <w:r w:rsidR="0066067C" w:rsidRPr="00370E70">
        <w:rPr>
          <w:lang w:eastAsia="en-AU"/>
        </w:rPr>
        <w:instrText xml:space="preserve"> REF _Ref382834716 \h </w:instrText>
      </w:r>
      <w:r w:rsidR="0066067C" w:rsidRPr="00370E70">
        <w:rPr>
          <w:lang w:eastAsia="en-AU"/>
        </w:rPr>
      </w:r>
      <w:r w:rsidR="0066067C" w:rsidRPr="00370E70">
        <w:rPr>
          <w:lang w:eastAsia="en-AU"/>
        </w:rPr>
        <w:fldChar w:fldCharType="separate"/>
      </w:r>
      <w:r w:rsidR="005B5FD6" w:rsidRPr="00370E70">
        <w:t xml:space="preserve">Figure </w:t>
      </w:r>
      <w:r w:rsidR="005B5FD6">
        <w:rPr>
          <w:noProof/>
        </w:rPr>
        <w:t>116</w:t>
      </w:r>
      <w:r w:rsidR="0066067C" w:rsidRPr="00370E70">
        <w:rPr>
          <w:lang w:eastAsia="en-AU"/>
        </w:rPr>
        <w:fldChar w:fldCharType="end"/>
      </w:r>
      <w:r w:rsidR="0066067C" w:rsidRPr="00370E70">
        <w:rPr>
          <w:lang w:eastAsia="en-AU"/>
        </w:rPr>
        <w:t>)</w:t>
      </w:r>
      <w:r w:rsidRPr="00370E70">
        <w:rPr>
          <w:lang w:eastAsia="en-AU"/>
        </w:rPr>
        <w:t xml:space="preserve">. The very poor rating for seagrass overall is a result of very poor reproductive effort and increased nutrient enrichment of seagrass tissue across all habitats. There were modest increases in abundance at </w:t>
      </w:r>
      <w:r w:rsidR="0066067C" w:rsidRPr="00370E70">
        <w:rPr>
          <w:lang w:eastAsia="en-AU"/>
        </w:rPr>
        <w:t>most</w:t>
      </w:r>
      <w:r w:rsidRPr="00370E70">
        <w:rPr>
          <w:lang w:eastAsia="en-AU"/>
        </w:rPr>
        <w:t xml:space="preserve"> sites. However, the very poor nutrient status of seagrass tissue reflected local water quality conditions and together with the very poor rating of </w:t>
      </w:r>
      <w:r w:rsidR="0066067C" w:rsidRPr="00370E70">
        <w:rPr>
          <w:lang w:eastAsia="en-AU"/>
        </w:rPr>
        <w:t>reproductive effort</w:t>
      </w:r>
      <w:r w:rsidRPr="00370E70">
        <w:rPr>
          <w:lang w:eastAsia="en-AU"/>
        </w:rPr>
        <w:t>, raises concerns about the ability of local seagrass meadows to recover from previous environmental disturbances.</w:t>
      </w:r>
    </w:p>
    <w:p w:rsidR="004B4D7F" w:rsidRPr="00370E70" w:rsidRDefault="007B15AB" w:rsidP="0066067C">
      <w:pPr>
        <w:jc w:val="center"/>
        <w:rPr>
          <w:lang w:eastAsia="en-AU"/>
        </w:rPr>
      </w:pPr>
      <w:r>
        <w:rPr>
          <w:noProof/>
          <w:lang w:eastAsia="en-AU"/>
        </w:rPr>
        <w:lastRenderedPageBreak/>
        <w:drawing>
          <wp:inline distT="0" distB="0" distL="0" distR="0">
            <wp:extent cx="3606165" cy="1880235"/>
            <wp:effectExtent l="0" t="0" r="0" b="5715"/>
            <wp:docPr id="156" name="Picture 156" descr="Figure shoiwng report card of seagrass status indicators and index for the Mackay Whitsunday NRM region (averaged across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Figure shoiwng report card of seagrass status indicators and index for the Mackay Whitsunday NRM region (averaged across sites). "/>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606165" cy="1880235"/>
                    </a:xfrm>
                    <a:prstGeom prst="rect">
                      <a:avLst/>
                    </a:prstGeom>
                    <a:noFill/>
                    <a:ln>
                      <a:noFill/>
                    </a:ln>
                  </pic:spPr>
                </pic:pic>
              </a:graphicData>
            </a:graphic>
          </wp:inline>
        </w:drawing>
      </w:r>
    </w:p>
    <w:p w:rsidR="004B4D7F" w:rsidRPr="00370E70" w:rsidRDefault="004B4D7F" w:rsidP="004B4D7F">
      <w:pPr>
        <w:rPr>
          <w:i/>
          <w:vanish/>
          <w:color w:val="000000"/>
          <w:szCs w:val="22"/>
          <w:specVanish/>
        </w:rPr>
      </w:pPr>
      <w:bookmarkStart w:id="559" w:name="_Ref382834716"/>
      <w:bookmarkStart w:id="560" w:name="_Toc384196463"/>
      <w:r w:rsidRPr="00370E70">
        <w:t xml:space="preserve">Figure </w:t>
      </w:r>
      <w:r w:rsidR="009A14B8">
        <w:fldChar w:fldCharType="begin"/>
      </w:r>
      <w:r w:rsidR="009A14B8">
        <w:instrText xml:space="preserve"> SEQ Figure \* ARABIC </w:instrText>
      </w:r>
      <w:r w:rsidR="009A14B8">
        <w:fldChar w:fldCharType="separate"/>
      </w:r>
      <w:r w:rsidR="005B5FD6">
        <w:rPr>
          <w:noProof/>
        </w:rPr>
        <w:t>116</w:t>
      </w:r>
      <w:r w:rsidR="009A14B8">
        <w:rPr>
          <w:noProof/>
        </w:rPr>
        <w:fldChar w:fldCharType="end"/>
      </w:r>
      <w:bookmarkEnd w:id="559"/>
      <w:r w:rsidRPr="00370E70">
        <w:t xml:space="preserve">. </w:t>
      </w:r>
      <w:r w:rsidRPr="00370E70">
        <w:rPr>
          <w:i/>
          <w:color w:val="000000"/>
          <w:szCs w:val="22"/>
        </w:rPr>
        <w:t>Report card of seagrass status indicators and index for the Mackay Whitsunday NRM region</w:t>
      </w:r>
      <w:bookmarkEnd w:id="560"/>
    </w:p>
    <w:p w:rsidR="004B4D7F" w:rsidRPr="00370E70" w:rsidRDefault="004B4D7F" w:rsidP="004B4D7F">
      <w:pPr>
        <w:pStyle w:val="Caption"/>
        <w:rPr>
          <w:lang w:val="en-AU" w:eastAsia="en-AU"/>
        </w:rPr>
      </w:pPr>
      <w:r w:rsidRPr="00370E70">
        <w:rPr>
          <w:i/>
          <w:color w:val="000000"/>
          <w:szCs w:val="22"/>
          <w:lang w:val="en-AU"/>
        </w:rPr>
        <w:t xml:space="preserve"> (averaged across sites). Values are indexed scores scaled from 0-100; </w:t>
      </w:r>
      <w:r w:rsidRPr="00370E70">
        <w:rPr>
          <w:rFonts w:ascii="Arial" w:hAnsi="Arial" w:cs="Arial"/>
          <w:i/>
          <w:color w:val="008000"/>
          <w:szCs w:val="22"/>
          <w:lang w:val="en-AU"/>
        </w:rPr>
        <w:t>■ </w:t>
      </w:r>
      <w:r w:rsidRPr="00370E70">
        <w:rPr>
          <w:i/>
          <w:szCs w:val="22"/>
          <w:lang w:val="en-AU"/>
        </w:rPr>
        <w:t xml:space="preserve">= very good (80-100), </w:t>
      </w:r>
      <w:r w:rsidRPr="00370E70">
        <w:rPr>
          <w:rFonts w:ascii="Arial" w:hAnsi="Arial" w:cs="Arial"/>
          <w:i/>
          <w:color w:val="92D050"/>
          <w:szCs w:val="22"/>
          <w:lang w:val="en-AU"/>
        </w:rPr>
        <w:t>■</w:t>
      </w:r>
      <w:r w:rsidRPr="00370E70">
        <w:rPr>
          <w:i/>
          <w:szCs w:val="22"/>
          <w:lang w:val="en-AU"/>
        </w:rPr>
        <w:t xml:space="preserve"> = good (60 - &lt;80), </w:t>
      </w:r>
      <w:r w:rsidRPr="00370E70">
        <w:rPr>
          <w:rFonts w:ascii="Arial" w:hAnsi="Arial" w:cs="Arial"/>
          <w:i/>
          <w:color w:val="FFFF00"/>
          <w:szCs w:val="22"/>
          <w:lang w:val="en-AU"/>
        </w:rPr>
        <w:t>■</w:t>
      </w:r>
      <w:r w:rsidRPr="00370E70">
        <w:rPr>
          <w:i/>
          <w:szCs w:val="22"/>
          <w:lang w:val="en-AU"/>
        </w:rPr>
        <w:t xml:space="preserve"> = moderate (40 - &lt;60), </w:t>
      </w:r>
      <w:r w:rsidRPr="00370E70">
        <w:rPr>
          <w:rFonts w:ascii="Arial" w:hAnsi="Arial" w:cs="Arial"/>
          <w:i/>
          <w:color w:val="FFC000"/>
          <w:szCs w:val="22"/>
          <w:lang w:val="en-AU"/>
        </w:rPr>
        <w:t>■</w:t>
      </w:r>
      <w:r w:rsidRPr="00370E70">
        <w:rPr>
          <w:i/>
          <w:szCs w:val="22"/>
          <w:lang w:val="en-AU"/>
        </w:rPr>
        <w:t xml:space="preserve"> = poor (20 - &lt;40), </w:t>
      </w:r>
      <w:r w:rsidRPr="00370E70">
        <w:rPr>
          <w:rFonts w:ascii="Arial" w:hAnsi="Arial" w:cs="Arial"/>
          <w:i/>
          <w:color w:val="FF0000"/>
          <w:szCs w:val="22"/>
          <w:lang w:val="en-AU"/>
        </w:rPr>
        <w:t>■</w:t>
      </w:r>
      <w:r w:rsidRPr="00370E70">
        <w:rPr>
          <w:i/>
          <w:szCs w:val="22"/>
          <w:lang w:val="en-AU"/>
        </w:rPr>
        <w:t> = very poor (0 - &lt;20)</w:t>
      </w:r>
      <w:r w:rsidRPr="00370E70">
        <w:rPr>
          <w:i/>
          <w:color w:val="000000"/>
          <w:szCs w:val="22"/>
          <w:lang w:val="en-AU"/>
        </w:rPr>
        <w:t>.</w:t>
      </w:r>
    </w:p>
    <w:p w:rsidR="005132EF" w:rsidRPr="00370E70" w:rsidRDefault="005132EF" w:rsidP="00034AD4">
      <w:pPr>
        <w:pStyle w:val="Heading4"/>
        <w:rPr>
          <w:b/>
          <w:color w:val="000000"/>
        </w:rPr>
      </w:pPr>
      <w:bookmarkStart w:id="561" w:name="_Toc184102013"/>
      <w:bookmarkEnd w:id="557"/>
      <w:bookmarkEnd w:id="558"/>
      <w:r w:rsidRPr="00370E70">
        <w:rPr>
          <w:b/>
          <w:color w:val="000000"/>
        </w:rPr>
        <w:t>Seagrass abundance and composition</w:t>
      </w:r>
      <w:bookmarkEnd w:id="561"/>
    </w:p>
    <w:p w:rsidR="005132EF" w:rsidRPr="00370E70" w:rsidRDefault="005132EF" w:rsidP="00B21C51">
      <w:pPr>
        <w:pStyle w:val="Heading5"/>
        <w:rPr>
          <w:color w:val="000000"/>
          <w:szCs w:val="22"/>
        </w:rPr>
      </w:pPr>
      <w:r w:rsidRPr="00370E70">
        <w:rPr>
          <w:color w:val="000000"/>
          <w:szCs w:val="22"/>
        </w:rPr>
        <w:t>Coastal habitat</w:t>
      </w:r>
    </w:p>
    <w:p w:rsidR="005132EF" w:rsidRPr="00370E70" w:rsidRDefault="005132EF" w:rsidP="00034AD4">
      <w:pPr>
        <w:rPr>
          <w:color w:val="000000"/>
          <w:szCs w:val="22"/>
        </w:rPr>
      </w:pPr>
      <w:r w:rsidRPr="00370E70">
        <w:rPr>
          <w:color w:val="000000"/>
          <w:szCs w:val="22"/>
        </w:rPr>
        <w:t xml:space="preserve">The coastal seagrass monitoring sites were located on </w:t>
      </w:r>
      <w:r w:rsidR="004C0F4D" w:rsidRPr="00370E70">
        <w:rPr>
          <w:color w:val="000000"/>
          <w:szCs w:val="22"/>
        </w:rPr>
        <w:t>shallow</w:t>
      </w:r>
      <w:r w:rsidRPr="00370E70">
        <w:rPr>
          <w:color w:val="000000"/>
          <w:szCs w:val="22"/>
        </w:rPr>
        <w:t xml:space="preserve"> sand/mud flats adjacent to Cannonvale in southern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Seagrass species and abundance has fluctuated at the coastal sites between and within years indicating disturbance regimes at longer time periods than annually (</w:t>
      </w:r>
      <w:r w:rsidRPr="00370E70">
        <w:rPr>
          <w:color w:val="000000"/>
        </w:rPr>
        <w:fldChar w:fldCharType="begin"/>
      </w:r>
      <w:r w:rsidRPr="00370E70">
        <w:rPr>
          <w:color w:val="000000"/>
        </w:rPr>
        <w:instrText xml:space="preserve"> REF _Ref179444988 \h  \* MERGEFORMAT </w:instrText>
      </w:r>
      <w:r w:rsidRPr="00370E70">
        <w:rPr>
          <w:color w:val="000000"/>
        </w:rPr>
      </w:r>
      <w:r w:rsidRPr="00370E70">
        <w:rPr>
          <w:color w:val="000000"/>
        </w:rPr>
        <w:fldChar w:fldCharType="separate"/>
      </w:r>
      <w:r w:rsidR="005B5FD6" w:rsidRPr="00370E70">
        <w:rPr>
          <w:color w:val="000000"/>
          <w:szCs w:val="22"/>
        </w:rPr>
        <w:t xml:space="preserve">Figure </w:t>
      </w:r>
      <w:r w:rsidR="005B5FD6">
        <w:rPr>
          <w:noProof/>
          <w:color w:val="000000"/>
          <w:szCs w:val="22"/>
        </w:rPr>
        <w:t>117</w:t>
      </w:r>
      <w:r w:rsidRPr="00370E70">
        <w:rPr>
          <w:color w:val="000000"/>
        </w:rPr>
        <w:fldChar w:fldCharType="end"/>
      </w:r>
      <w:r w:rsidRPr="00370E70">
        <w:rPr>
          <w:color w:val="000000"/>
          <w:szCs w:val="22"/>
        </w:rPr>
        <w:t xml:space="preserve">). Abundances during the 2011 calendar year remaining at the lowest levels since 1999, however in early 2012 abundances had increased. The meadows were dominated by </w:t>
      </w:r>
      <w:r w:rsidRPr="00370E70">
        <w:rPr>
          <w:i/>
          <w:color w:val="000000"/>
          <w:szCs w:val="22"/>
        </w:rPr>
        <w:t>Halodule uninervis</w:t>
      </w:r>
      <w:r w:rsidRPr="00370E70">
        <w:rPr>
          <w:color w:val="000000"/>
          <w:szCs w:val="22"/>
        </w:rPr>
        <w:t xml:space="preserve"> and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mixed with </w:t>
      </w:r>
      <w:r w:rsidRPr="00370E70">
        <w:rPr>
          <w:i/>
          <w:color w:val="000000"/>
          <w:szCs w:val="22"/>
        </w:rPr>
        <w:t>Halophila ovalis</w:t>
      </w:r>
      <w:r w:rsidRPr="00370E70">
        <w:rPr>
          <w:color w:val="000000"/>
          <w:szCs w:val="22"/>
        </w:rPr>
        <w:t>. Species composition has changed over the past decade of monitoring (</w:t>
      </w:r>
      <w:r w:rsidRPr="00370E70">
        <w:rPr>
          <w:color w:val="000000"/>
        </w:rPr>
        <w:fldChar w:fldCharType="begin"/>
      </w:r>
      <w:r w:rsidRPr="00370E70">
        <w:rPr>
          <w:color w:val="000000"/>
        </w:rPr>
        <w:instrText xml:space="preserve"> REF _Ref179444954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113</w:t>
      </w:r>
      <w:r w:rsidRPr="00370E70">
        <w:rPr>
          <w:color w:val="000000"/>
        </w:rPr>
        <w:fldChar w:fldCharType="end"/>
      </w:r>
      <w:r w:rsidRPr="00370E70">
        <w:rPr>
          <w:color w:val="000000"/>
          <w:szCs w:val="22"/>
        </w:rPr>
        <w:t xml:space="preserve">), with the composition of </w:t>
      </w:r>
      <w:r w:rsidRPr="00370E70">
        <w:rPr>
          <w:i/>
          <w:color w:val="000000"/>
          <w:szCs w:val="22"/>
        </w:rPr>
        <w:t>Z. </w:t>
      </w:r>
      <w:r w:rsidR="00145BB9" w:rsidRPr="00370E70">
        <w:rPr>
          <w:i/>
          <w:color w:val="000000"/>
          <w:szCs w:val="22"/>
        </w:rPr>
        <w:t>muelleri</w:t>
      </w:r>
      <w:r w:rsidRPr="00370E70">
        <w:rPr>
          <w:color w:val="000000"/>
          <w:szCs w:val="22"/>
        </w:rPr>
        <w:t xml:space="preserve"> in the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site 2 (PI2) fluctuating greatly. Since the late monsoon 2011, the seagrass meadows were predominately </w:t>
      </w:r>
      <w:r w:rsidRPr="00370E70">
        <w:rPr>
          <w:i/>
          <w:color w:val="000000"/>
          <w:szCs w:val="22"/>
        </w:rPr>
        <w:t xml:space="preserve">H. uninervis </w:t>
      </w:r>
      <w:r w:rsidRPr="00370E70">
        <w:rPr>
          <w:color w:val="000000"/>
          <w:szCs w:val="22"/>
        </w:rPr>
        <w:t>(</w:t>
      </w:r>
      <w:r w:rsidRPr="00370E70">
        <w:rPr>
          <w:color w:val="000000"/>
        </w:rPr>
        <w:fldChar w:fldCharType="begin"/>
      </w:r>
      <w:r w:rsidRPr="00370E70">
        <w:rPr>
          <w:color w:val="000000"/>
        </w:rPr>
        <w:instrText xml:space="preserve"> REF _Ref179444954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113</w:t>
      </w:r>
      <w:r w:rsidRPr="00370E70">
        <w:rPr>
          <w:color w:val="000000"/>
        </w:rPr>
        <w:fldChar w:fldCharType="end"/>
      </w:r>
      <w:r w:rsidRPr="00370E70">
        <w:rPr>
          <w:color w:val="000000"/>
          <w:szCs w:val="22"/>
        </w:rPr>
        <w:t xml:space="preserve">). </w:t>
      </w:r>
    </w:p>
    <w:p w:rsidR="005132EF" w:rsidRPr="00370E70" w:rsidRDefault="005132EF" w:rsidP="00034AD4">
      <w:pPr>
        <w:rPr>
          <w:color w:val="000000"/>
          <w:szCs w:val="22"/>
        </w:rPr>
      </w:pPr>
      <w:r w:rsidRPr="00370E70">
        <w:rPr>
          <w:color w:val="000000"/>
          <w:szCs w:val="22"/>
        </w:rPr>
        <w:t xml:space="preserve">A seasonal pattern in abundance has continued to be observed at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with abundances increasing throughout the year to the monsoon (</w:t>
      </w:r>
      <w:r w:rsidRPr="00370E70">
        <w:fldChar w:fldCharType="begin"/>
      </w:r>
      <w:r w:rsidRPr="00370E70">
        <w:instrText xml:space="preserve"> REF _Ref179445010 \h  \* MERGEFORMAT </w:instrText>
      </w:r>
      <w:r w:rsidRPr="00370E70">
        <w:fldChar w:fldCharType="separate"/>
      </w:r>
      <w:r w:rsidR="005B5FD6" w:rsidRPr="005B5FD6">
        <w:rPr>
          <w:szCs w:val="22"/>
        </w:rPr>
        <w:t xml:space="preserve">Figure </w:t>
      </w:r>
      <w:r w:rsidR="005B5FD6" w:rsidRPr="005B5FD6">
        <w:rPr>
          <w:noProof/>
          <w:color w:val="000000"/>
          <w:szCs w:val="22"/>
        </w:rPr>
        <w:t>118</w:t>
      </w:r>
      <w:r w:rsidRPr="00370E70">
        <w:fldChar w:fldCharType="end"/>
      </w:r>
      <w:r w:rsidRPr="00370E70">
        <w:rPr>
          <w:color w:val="000000"/>
          <w:szCs w:val="22"/>
        </w:rPr>
        <w:t>).</w:t>
      </w:r>
    </w:p>
    <w:p w:rsidR="005132EF" w:rsidRPr="00370E70" w:rsidRDefault="007B15AB" w:rsidP="00034AD4">
      <w:pPr>
        <w:keepNext/>
        <w:spacing w:before="0" w:after="0"/>
        <w:jc w:val="center"/>
        <w:rPr>
          <w:color w:val="000000"/>
        </w:rPr>
      </w:pPr>
      <w:r>
        <w:rPr>
          <w:noProof/>
          <w:color w:val="000000"/>
          <w:lang w:eastAsia="en-AU"/>
        </w:rPr>
        <w:drawing>
          <wp:inline distT="0" distB="0" distL="0" distR="0">
            <wp:extent cx="2884805" cy="2047875"/>
            <wp:effectExtent l="0" t="0" r="0" b="9525"/>
            <wp:docPr id="157" name="Picture 156" descr="Graph showing changes in seagrass abundance (% cover) at coastal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Graph showing changes in seagrass abundance (% cover) at coastal meadows in the Mackay Whitsunday region from 1999 to 201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884805" cy="2047875"/>
                    </a:xfrm>
                    <a:prstGeom prst="rect">
                      <a:avLst/>
                    </a:prstGeom>
                    <a:noFill/>
                    <a:ln>
                      <a:noFill/>
                    </a:ln>
                  </pic:spPr>
                </pic:pic>
              </a:graphicData>
            </a:graphic>
          </wp:inline>
        </w:drawing>
      </w:r>
    </w:p>
    <w:p w:rsidR="004E2700" w:rsidRPr="00370E70" w:rsidRDefault="005132EF" w:rsidP="0066067C">
      <w:pPr>
        <w:rPr>
          <w:i/>
          <w:vanish/>
          <w:color w:val="000000"/>
          <w:szCs w:val="22"/>
          <w:specVanish/>
        </w:rPr>
      </w:pPr>
      <w:bookmarkStart w:id="562" w:name="_Ref179444988"/>
      <w:bookmarkStart w:id="563" w:name="_Toc384196464"/>
      <w:bookmarkStart w:id="564" w:name="_Toc176158899"/>
      <w:bookmarkStart w:id="565" w:name="_Toc232845997"/>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117</w:t>
      </w:r>
      <w:r w:rsidRPr="00370E70">
        <w:rPr>
          <w:color w:val="000000"/>
          <w:szCs w:val="22"/>
        </w:rPr>
        <w:fldChar w:fldCharType="end"/>
      </w:r>
      <w:bookmarkEnd w:id="562"/>
      <w:r w:rsidRPr="00370E70">
        <w:rPr>
          <w:i/>
          <w:color w:val="000000"/>
          <w:szCs w:val="22"/>
        </w:rPr>
        <w:t xml:space="preserve">. Changes in seagrass abundance (% cover ±Standard Error) at </w:t>
      </w:r>
      <w:r w:rsidR="008F4EDA">
        <w:rPr>
          <w:i/>
          <w:color w:val="000000"/>
          <w:szCs w:val="22"/>
        </w:rPr>
        <w:t xml:space="preserve">inshore intertidal </w:t>
      </w:r>
      <w:r w:rsidRPr="00370E70">
        <w:rPr>
          <w:i/>
          <w:color w:val="000000"/>
          <w:szCs w:val="22"/>
        </w:rPr>
        <w:t xml:space="preserve">coastal </w:t>
      </w:r>
      <w:r w:rsidR="008F4EDA">
        <w:rPr>
          <w:i/>
          <w:color w:val="000000"/>
          <w:szCs w:val="22"/>
        </w:rPr>
        <w:t>habitats</w:t>
      </w:r>
      <w:r w:rsidRPr="00370E70">
        <w:rPr>
          <w:i/>
          <w:color w:val="000000"/>
          <w:szCs w:val="22"/>
        </w:rPr>
        <w:t xml:space="preserve"> in the Mackay Whitsunday region from 1999 to 201</w:t>
      </w:r>
      <w:r w:rsidR="008F4EDA">
        <w:rPr>
          <w:i/>
          <w:color w:val="000000"/>
          <w:szCs w:val="22"/>
        </w:rPr>
        <w:t>2</w:t>
      </w:r>
      <w:r w:rsidRPr="00370E70">
        <w:rPr>
          <w:i/>
          <w:color w:val="000000"/>
          <w:szCs w:val="22"/>
        </w:rPr>
        <w:t>.</w:t>
      </w:r>
      <w:bookmarkEnd w:id="563"/>
      <w:r w:rsidRPr="00370E70">
        <w:rPr>
          <w:i/>
          <w:color w:val="000000"/>
          <w:szCs w:val="22"/>
        </w:rPr>
        <w:t xml:space="preserve"> </w:t>
      </w:r>
    </w:p>
    <w:p w:rsidR="004E2700" w:rsidRPr="00370E70" w:rsidRDefault="005132EF" w:rsidP="0066067C">
      <w:pPr>
        <w:rPr>
          <w:color w:val="000000"/>
          <w:szCs w:val="22"/>
        </w:rPr>
      </w:pPr>
      <w:r w:rsidRPr="00370E70">
        <w:rPr>
          <w:i/>
          <w:color w:val="000000"/>
          <w:szCs w:val="22"/>
        </w:rPr>
        <w:t>Trendline is 3</w:t>
      </w:r>
      <w:r w:rsidRPr="00370E70">
        <w:rPr>
          <w:i/>
          <w:color w:val="000000"/>
          <w:szCs w:val="22"/>
          <w:vertAlign w:val="superscript"/>
        </w:rPr>
        <w:t>rd</w:t>
      </w:r>
      <w:r w:rsidRPr="00370E70">
        <w:rPr>
          <w:i/>
          <w:color w:val="000000"/>
          <w:szCs w:val="22"/>
        </w:rPr>
        <w:t xml:space="preserve"> order polynomial, 95% confidence intervals displayed, r</w:t>
      </w:r>
      <w:r w:rsidRPr="00370E70">
        <w:rPr>
          <w:i/>
          <w:color w:val="000000"/>
          <w:szCs w:val="22"/>
          <w:vertAlign w:val="superscript"/>
        </w:rPr>
        <w:t>2</w:t>
      </w:r>
      <w:r w:rsidRPr="00370E70">
        <w:rPr>
          <w:i/>
          <w:color w:val="000000"/>
          <w:szCs w:val="22"/>
        </w:rPr>
        <w:t xml:space="preserve"> = 0.418.</w:t>
      </w:r>
      <w:bookmarkEnd w:id="564"/>
      <w:bookmarkEnd w:id="565"/>
      <w:r w:rsidR="004E2700" w:rsidRPr="00370E70">
        <w:rPr>
          <w:color w:val="000000"/>
          <w:szCs w:val="22"/>
        </w:rPr>
        <w:t xml:space="preserve"> </w:t>
      </w:r>
    </w:p>
    <w:p w:rsidR="005132EF" w:rsidRPr="00370E70" w:rsidRDefault="007B15AB" w:rsidP="00034AD4">
      <w:pPr>
        <w:keepNext/>
        <w:spacing w:before="240"/>
        <w:jc w:val="center"/>
      </w:pPr>
      <w:r>
        <w:rPr>
          <w:noProof/>
          <w:lang w:eastAsia="en-AU"/>
        </w:rPr>
        <w:lastRenderedPageBreak/>
        <w:drawing>
          <wp:inline distT="0" distB="0" distL="0" distR="0">
            <wp:extent cx="4327525" cy="1609725"/>
            <wp:effectExtent l="0" t="0" r="0" b="9525"/>
            <wp:docPr id="158" name="Picture 157" descr="Graph showing seasonal mean percentage seagrass cover (all species pooled) at coastal habitat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Graph showing seasonal mean percentage seagrass cover (all species pooled) at coastal habitat long-term monitoring sites at time of year"/>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4327525" cy="1609725"/>
                    </a:xfrm>
                    <a:prstGeom prst="rect">
                      <a:avLst/>
                    </a:prstGeom>
                    <a:noFill/>
                    <a:ln>
                      <a:noFill/>
                    </a:ln>
                  </pic:spPr>
                </pic:pic>
              </a:graphicData>
            </a:graphic>
          </wp:inline>
        </w:drawing>
      </w:r>
    </w:p>
    <w:p w:rsidR="004E2700" w:rsidRPr="00370E70" w:rsidRDefault="005132EF" w:rsidP="004E2700">
      <w:pPr>
        <w:pStyle w:val="Caption"/>
        <w:rPr>
          <w:i/>
          <w:vanish/>
          <w:color w:val="000000"/>
          <w:szCs w:val="22"/>
          <w:lang w:val="en-AU"/>
          <w:specVanish/>
        </w:rPr>
      </w:pPr>
      <w:bookmarkStart w:id="566" w:name="_Ref179445010"/>
      <w:bookmarkStart w:id="567" w:name="_Toc384196465"/>
      <w:bookmarkStart w:id="568" w:name="_Toc176158900"/>
      <w:bookmarkStart w:id="569" w:name="_Toc23284599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118</w:t>
      </w:r>
      <w:r w:rsidRPr="00370E70">
        <w:rPr>
          <w:lang w:val="en-AU"/>
        </w:rPr>
        <w:fldChar w:fldCharType="end"/>
      </w:r>
      <w:bookmarkEnd w:id="566"/>
      <w:r w:rsidRPr="00370E70">
        <w:rPr>
          <w:lang w:val="en-AU"/>
        </w:rPr>
        <w:t xml:space="preserve">. </w:t>
      </w:r>
      <w:r w:rsidRPr="00370E70">
        <w:rPr>
          <w:i/>
          <w:lang w:val="en-AU"/>
        </w:rPr>
        <w:t>Mean percentage seagrass cover (all specie</w:t>
      </w:r>
      <w:r w:rsidR="004E2700" w:rsidRPr="00370E70">
        <w:rPr>
          <w:i/>
          <w:lang w:val="en-AU"/>
        </w:rPr>
        <w:t xml:space="preserve">s pooled) (± Standard Error) at </w:t>
      </w:r>
      <w:r w:rsidR="008F4EDA">
        <w:rPr>
          <w:i/>
          <w:lang w:val="en-AU"/>
        </w:rPr>
        <w:t xml:space="preserve">inshore intertidal </w:t>
      </w:r>
      <w:r w:rsidR="004E2700" w:rsidRPr="00370E70">
        <w:rPr>
          <w:i/>
          <w:lang w:val="en-AU"/>
        </w:rPr>
        <w:t>coastal habitat</w:t>
      </w:r>
      <w:r w:rsidRPr="00370E70">
        <w:rPr>
          <w:i/>
          <w:lang w:val="en-AU"/>
        </w:rPr>
        <w:t xml:space="preserve"> long-term monitoring sites at time of year.</w:t>
      </w:r>
      <w:bookmarkEnd w:id="567"/>
      <w:r w:rsidRPr="00370E70">
        <w:rPr>
          <w:i/>
          <w:lang w:val="en-AU"/>
        </w:rPr>
        <w:t xml:space="preserve"> </w:t>
      </w:r>
    </w:p>
    <w:p w:rsidR="004E2700" w:rsidRPr="00370E70" w:rsidRDefault="005132EF" w:rsidP="004E2700">
      <w:pPr>
        <w:pStyle w:val="Caption"/>
        <w:rPr>
          <w:lang w:val="en-AU"/>
        </w:rPr>
      </w:pPr>
      <w:r w:rsidRPr="00370E70">
        <w:rPr>
          <w:i/>
          <w:lang w:val="en-AU"/>
        </w:rPr>
        <w:t>NB: Polynomial trendline for all years pooled.</w:t>
      </w:r>
      <w:bookmarkEnd w:id="568"/>
      <w:bookmarkEnd w:id="569"/>
      <w:r w:rsidR="004E2700" w:rsidRPr="00370E70">
        <w:rPr>
          <w:i/>
          <w:lang w:val="en-AU"/>
        </w:rPr>
        <w:t xml:space="preserve"> </w:t>
      </w:r>
    </w:p>
    <w:p w:rsidR="005132EF" w:rsidRPr="00370E70" w:rsidRDefault="005132EF" w:rsidP="00B21C51">
      <w:pPr>
        <w:pStyle w:val="Heading5"/>
        <w:rPr>
          <w:szCs w:val="22"/>
        </w:rPr>
      </w:pPr>
      <w:r w:rsidRPr="00370E70">
        <w:rPr>
          <w:szCs w:val="22"/>
        </w:rPr>
        <w:t>Estuary habitat</w:t>
      </w:r>
    </w:p>
    <w:p w:rsidR="005132EF" w:rsidRPr="00370E70" w:rsidRDefault="005132EF" w:rsidP="00034AD4">
      <w:pPr>
        <w:rPr>
          <w:color w:val="000000"/>
          <w:szCs w:val="22"/>
        </w:rPr>
      </w:pPr>
      <w:r w:rsidRPr="00370E70">
        <w:rPr>
          <w:color w:val="000000"/>
          <w:szCs w:val="22"/>
        </w:rPr>
        <w:t xml:space="preserve">The estuarine monitoring sites are located on an intertidal sand/mud bank in Sarina Inlet south of Mackay. These sites are normally dominated by </w:t>
      </w:r>
      <w:r w:rsidRPr="00370E70">
        <w:rPr>
          <w:i/>
          <w:color w:val="000000"/>
          <w:szCs w:val="22"/>
        </w:rPr>
        <w:t xml:space="preserve">Zostera </w:t>
      </w:r>
      <w:r w:rsidR="00145BB9" w:rsidRPr="00370E70">
        <w:rPr>
          <w:i/>
          <w:color w:val="000000"/>
          <w:szCs w:val="22"/>
        </w:rPr>
        <w:t>muelleri</w:t>
      </w:r>
      <w:r w:rsidRPr="00370E70">
        <w:rPr>
          <w:i/>
          <w:color w:val="000000"/>
          <w:szCs w:val="22"/>
        </w:rPr>
        <w:t xml:space="preserve"> </w:t>
      </w:r>
      <w:r w:rsidRPr="00370E70">
        <w:rPr>
          <w:color w:val="000000"/>
          <w:szCs w:val="22"/>
        </w:rPr>
        <w:t xml:space="preserve">with some </w:t>
      </w:r>
      <w:r w:rsidRPr="00370E70">
        <w:rPr>
          <w:i/>
          <w:color w:val="000000"/>
          <w:szCs w:val="22"/>
        </w:rPr>
        <w:t>Halophila ovalis</w:t>
      </w:r>
      <w:r w:rsidRPr="00370E70">
        <w:rPr>
          <w:color w:val="000000"/>
          <w:szCs w:val="22"/>
        </w:rPr>
        <w:t xml:space="preserve"> and </w:t>
      </w:r>
      <w:r w:rsidRPr="00370E70">
        <w:rPr>
          <w:i/>
          <w:color w:val="000000"/>
          <w:szCs w:val="22"/>
        </w:rPr>
        <w:t>Halodule uninervis</w:t>
      </w:r>
      <w:r w:rsidRPr="00370E70">
        <w:rPr>
          <w:color w:val="000000"/>
          <w:szCs w:val="22"/>
        </w:rPr>
        <w:t xml:space="preserve"> (</w:t>
      </w:r>
      <w:r w:rsidRPr="00370E70">
        <w:fldChar w:fldCharType="begin"/>
      </w:r>
      <w:r w:rsidRPr="00370E70">
        <w:instrText xml:space="preserve"> REF _Ref179444954 \h  \* MERGEFORMAT </w:instrText>
      </w:r>
      <w:r w:rsidRPr="00370E70">
        <w:fldChar w:fldCharType="separate"/>
      </w:r>
      <w:r w:rsidR="005B5FD6" w:rsidRPr="005B5FD6">
        <w:rPr>
          <w:szCs w:val="22"/>
        </w:rPr>
        <w:t xml:space="preserve">Figure </w:t>
      </w:r>
      <w:r w:rsidR="005B5FD6" w:rsidRPr="005B5FD6">
        <w:rPr>
          <w:noProof/>
          <w:color w:val="000000"/>
          <w:szCs w:val="22"/>
        </w:rPr>
        <w:t>113</w:t>
      </w:r>
      <w:r w:rsidRPr="00370E70">
        <w:fldChar w:fldCharType="end"/>
      </w:r>
      <w:r w:rsidRPr="00370E70">
        <w:rPr>
          <w:color w:val="000000"/>
          <w:szCs w:val="22"/>
        </w:rPr>
        <w:t>). Seagrass cover has fluctuated greater since monitoring was established in early 2005, with seagrass dramatically declining in the late wet season of 2006, and recovering within 18 months, to only subsequently decline in 2008 (</w:t>
      </w:r>
      <w:r w:rsidRPr="00370E70">
        <w:fldChar w:fldCharType="begin"/>
      </w:r>
      <w:r w:rsidRPr="00370E70">
        <w:instrText xml:space="preserve"> REF _Ref179445126 \h  \* MERGEFORMAT </w:instrText>
      </w:r>
      <w:r w:rsidRPr="00370E70">
        <w:fldChar w:fldCharType="separate"/>
      </w:r>
      <w:r w:rsidR="005B5FD6" w:rsidRPr="00370E70">
        <w:rPr>
          <w:color w:val="000000"/>
          <w:szCs w:val="22"/>
        </w:rPr>
        <w:t xml:space="preserve">Figure </w:t>
      </w:r>
      <w:r w:rsidR="005B5FD6">
        <w:rPr>
          <w:noProof/>
          <w:color w:val="000000"/>
          <w:szCs w:val="22"/>
        </w:rPr>
        <w:t>119</w:t>
      </w:r>
      <w:r w:rsidRPr="00370E70">
        <w:fldChar w:fldCharType="end"/>
      </w:r>
      <w:r w:rsidRPr="00370E70">
        <w:rPr>
          <w:color w:val="000000"/>
          <w:szCs w:val="22"/>
        </w:rPr>
        <w:t>). Seagrass cover increased slightly over the 2011/12 monitoring period, but still remained below 3% on average (</w:t>
      </w:r>
      <w:r w:rsidRPr="00370E70">
        <w:fldChar w:fldCharType="begin"/>
      </w:r>
      <w:r w:rsidRPr="00370E70">
        <w:instrText xml:space="preserve"> REF _Ref179445126 \h  \* MERGEFORMAT </w:instrText>
      </w:r>
      <w:r w:rsidRPr="00370E70">
        <w:fldChar w:fldCharType="separate"/>
      </w:r>
      <w:r w:rsidR="005B5FD6" w:rsidRPr="00370E70">
        <w:rPr>
          <w:color w:val="000000"/>
          <w:szCs w:val="22"/>
        </w:rPr>
        <w:t xml:space="preserve">Figure </w:t>
      </w:r>
      <w:r w:rsidR="005B5FD6">
        <w:rPr>
          <w:noProof/>
          <w:color w:val="000000"/>
          <w:szCs w:val="22"/>
        </w:rPr>
        <w:t>119</w:t>
      </w:r>
      <w:r w:rsidRPr="00370E70">
        <w:fldChar w:fldCharType="end"/>
      </w:r>
      <w:r w:rsidRPr="00370E70">
        <w:rPr>
          <w:color w:val="000000"/>
          <w:szCs w:val="22"/>
        </w:rPr>
        <w:t>). Although there is insufficient spread of sampling across months within years, and the meadow state has fluctuated within and between years, the seagrass abundance appears greater in the late dry than late monsoon (</w:t>
      </w:r>
      <w:r w:rsidRPr="00370E70">
        <w:fldChar w:fldCharType="begin"/>
      </w:r>
      <w:r w:rsidRPr="00370E70">
        <w:instrText xml:space="preserve"> REF _Ref179445195 \h  \* MERGEFORMAT </w:instrText>
      </w:r>
      <w:r w:rsidRPr="00370E70">
        <w:fldChar w:fldCharType="separate"/>
      </w:r>
      <w:r w:rsidR="005B5FD6" w:rsidRPr="005B5FD6">
        <w:rPr>
          <w:szCs w:val="22"/>
        </w:rPr>
        <w:t xml:space="preserve">Figure </w:t>
      </w:r>
      <w:r w:rsidR="005B5FD6" w:rsidRPr="005B5FD6">
        <w:rPr>
          <w:noProof/>
          <w:color w:val="000000"/>
          <w:szCs w:val="22"/>
        </w:rPr>
        <w:t>120</w:t>
      </w:r>
      <w:r w:rsidRPr="00370E70">
        <w:fldChar w:fldCharType="end"/>
      </w:r>
      <w:r w:rsidRPr="00370E70">
        <w:rPr>
          <w:color w:val="000000"/>
          <w:szCs w:val="22"/>
        </w:rPr>
        <w:t xml:space="preserve">). </w:t>
      </w:r>
    </w:p>
    <w:p w:rsidR="005132EF" w:rsidRPr="00370E70" w:rsidRDefault="007B15AB" w:rsidP="00034AD4">
      <w:pPr>
        <w:keepNext/>
        <w:spacing w:before="240"/>
        <w:jc w:val="center"/>
        <w:rPr>
          <w:color w:val="000000"/>
        </w:rPr>
      </w:pPr>
      <w:r>
        <w:rPr>
          <w:noProof/>
          <w:color w:val="000000"/>
          <w:lang w:eastAsia="en-AU"/>
        </w:rPr>
        <w:drawing>
          <wp:inline distT="0" distB="0" distL="0" distR="0">
            <wp:extent cx="2884805" cy="2047875"/>
            <wp:effectExtent l="0" t="0" r="0" b="9525"/>
            <wp:docPr id="159" name="Picture 158" descr="Graph of long-term changes in seagrass abundance (% cover) at estuarine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Graph of long-term changes in seagrass abundance (% cover) at estuarine meadows in the Mackay Whitsunday region from 1999 to 2011"/>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884805" cy="2047875"/>
                    </a:xfrm>
                    <a:prstGeom prst="rect">
                      <a:avLst/>
                    </a:prstGeom>
                    <a:noFill/>
                    <a:ln>
                      <a:noFill/>
                    </a:ln>
                  </pic:spPr>
                </pic:pic>
              </a:graphicData>
            </a:graphic>
          </wp:inline>
        </w:drawing>
      </w:r>
    </w:p>
    <w:p w:rsidR="004E2700" w:rsidRPr="00370E70" w:rsidRDefault="005132EF" w:rsidP="0066067C">
      <w:pPr>
        <w:rPr>
          <w:i/>
          <w:vanish/>
          <w:color w:val="000000"/>
          <w:szCs w:val="22"/>
          <w:specVanish/>
        </w:rPr>
      </w:pPr>
      <w:bookmarkStart w:id="570" w:name="_Ref179445126"/>
      <w:bookmarkStart w:id="571" w:name="_Toc384196466"/>
      <w:bookmarkStart w:id="572" w:name="_Toc176158901"/>
      <w:bookmarkStart w:id="573" w:name="_Toc232845999"/>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119</w:t>
      </w:r>
      <w:r w:rsidRPr="00370E70">
        <w:rPr>
          <w:color w:val="000000"/>
          <w:szCs w:val="22"/>
        </w:rPr>
        <w:fldChar w:fldCharType="end"/>
      </w:r>
      <w:bookmarkEnd w:id="570"/>
      <w:r w:rsidRPr="00370E70">
        <w:rPr>
          <w:i/>
          <w:color w:val="000000"/>
          <w:szCs w:val="22"/>
        </w:rPr>
        <w:t xml:space="preserve">. Changes in seagrass abundance (% cover ±Standard Error) at </w:t>
      </w:r>
      <w:r w:rsidR="008F4EDA">
        <w:rPr>
          <w:i/>
          <w:color w:val="000000"/>
          <w:szCs w:val="22"/>
        </w:rPr>
        <w:t xml:space="preserve">inshore intertidal </w:t>
      </w:r>
      <w:r w:rsidRPr="00370E70">
        <w:rPr>
          <w:i/>
          <w:color w:val="000000"/>
          <w:szCs w:val="22"/>
        </w:rPr>
        <w:t xml:space="preserve">estuarine </w:t>
      </w:r>
      <w:r w:rsidR="008F4EDA">
        <w:rPr>
          <w:i/>
          <w:color w:val="000000"/>
          <w:szCs w:val="22"/>
        </w:rPr>
        <w:t>habitats</w:t>
      </w:r>
      <w:r w:rsidRPr="00370E70">
        <w:rPr>
          <w:i/>
          <w:color w:val="000000"/>
          <w:szCs w:val="22"/>
        </w:rPr>
        <w:t xml:space="preserve"> in the Mackay Whitsunday region from 1999 to 201</w:t>
      </w:r>
      <w:r w:rsidR="008F4EDA">
        <w:rPr>
          <w:i/>
          <w:color w:val="000000"/>
          <w:szCs w:val="22"/>
        </w:rPr>
        <w:t>2</w:t>
      </w:r>
      <w:r w:rsidRPr="00370E70">
        <w:rPr>
          <w:i/>
          <w:color w:val="000000"/>
          <w:szCs w:val="22"/>
        </w:rPr>
        <w:t>.</w:t>
      </w:r>
      <w:bookmarkEnd w:id="571"/>
      <w:r w:rsidRPr="00370E70">
        <w:rPr>
          <w:i/>
          <w:color w:val="000000"/>
          <w:szCs w:val="22"/>
        </w:rPr>
        <w:t xml:space="preserve"> </w:t>
      </w:r>
    </w:p>
    <w:p w:rsidR="004E2700" w:rsidRPr="00370E70" w:rsidRDefault="005132EF" w:rsidP="0066067C">
      <w:pPr>
        <w:rPr>
          <w:i/>
          <w:color w:val="000000"/>
          <w:szCs w:val="22"/>
        </w:rPr>
      </w:pPr>
      <w:r w:rsidRPr="00370E70">
        <w:rPr>
          <w:i/>
          <w:color w:val="000000"/>
          <w:szCs w:val="22"/>
        </w:rPr>
        <w:t>Trendline is 2</w:t>
      </w:r>
      <w:r w:rsidRPr="00370E70">
        <w:rPr>
          <w:i/>
          <w:color w:val="000000"/>
          <w:szCs w:val="22"/>
          <w:vertAlign w:val="superscript"/>
        </w:rPr>
        <w:t>nd</w:t>
      </w:r>
      <w:r w:rsidRPr="00370E70">
        <w:rPr>
          <w:i/>
          <w:color w:val="000000"/>
          <w:szCs w:val="22"/>
        </w:rPr>
        <w:t xml:space="preserve"> order polynomial, 95% confidence intervals displayed, r</w:t>
      </w:r>
      <w:r w:rsidRPr="00370E70">
        <w:rPr>
          <w:i/>
          <w:color w:val="000000"/>
          <w:szCs w:val="22"/>
          <w:vertAlign w:val="superscript"/>
        </w:rPr>
        <w:t>2</w:t>
      </w:r>
      <w:r w:rsidRPr="00370E70">
        <w:rPr>
          <w:i/>
          <w:color w:val="000000"/>
          <w:szCs w:val="22"/>
        </w:rPr>
        <w:t xml:space="preserve"> = 0.211</w:t>
      </w:r>
      <w:bookmarkEnd w:id="572"/>
      <w:bookmarkEnd w:id="573"/>
      <w:r w:rsidRPr="00370E70">
        <w:rPr>
          <w:i/>
          <w:color w:val="000000"/>
          <w:szCs w:val="22"/>
        </w:rPr>
        <w:t>.</w:t>
      </w:r>
      <w:r w:rsidR="004E2700" w:rsidRPr="00370E70">
        <w:rPr>
          <w:i/>
          <w:color w:val="000000"/>
          <w:szCs w:val="22"/>
        </w:rPr>
        <w:t xml:space="preserve"> </w:t>
      </w:r>
    </w:p>
    <w:p w:rsidR="005132EF" w:rsidRPr="00370E70" w:rsidRDefault="007B15AB" w:rsidP="00034AD4">
      <w:pPr>
        <w:keepNext/>
        <w:spacing w:after="0"/>
        <w:jc w:val="center"/>
      </w:pPr>
      <w:r>
        <w:rPr>
          <w:noProof/>
          <w:lang w:eastAsia="en-AU"/>
        </w:rPr>
        <w:lastRenderedPageBreak/>
        <w:drawing>
          <wp:inline distT="0" distB="0" distL="0" distR="0">
            <wp:extent cx="4327525" cy="1609725"/>
            <wp:effectExtent l="0" t="0" r="0" b="9525"/>
            <wp:docPr id="160" name="Picture 159" descr="Graph of seasonal mean percentage seagrass cover (all species pooled) at Sarina Inlet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Graph of seasonal mean percentage seagrass cover (all species pooled) at Sarina Inlet long-term monitoring sites at time of year. "/>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4327525" cy="1609725"/>
                    </a:xfrm>
                    <a:prstGeom prst="rect">
                      <a:avLst/>
                    </a:prstGeom>
                    <a:noFill/>
                    <a:ln>
                      <a:noFill/>
                    </a:ln>
                  </pic:spPr>
                </pic:pic>
              </a:graphicData>
            </a:graphic>
          </wp:inline>
        </w:drawing>
      </w:r>
    </w:p>
    <w:p w:rsidR="004E2700" w:rsidRPr="00370E70" w:rsidRDefault="005132EF" w:rsidP="004E2700">
      <w:pPr>
        <w:pStyle w:val="Caption"/>
        <w:spacing w:before="0"/>
        <w:ind w:right="233"/>
        <w:rPr>
          <w:i/>
          <w:vanish/>
          <w:color w:val="000000"/>
          <w:szCs w:val="22"/>
          <w:lang w:val="en-AU"/>
          <w:specVanish/>
        </w:rPr>
      </w:pPr>
      <w:bookmarkStart w:id="574" w:name="_Ref179445195"/>
      <w:bookmarkStart w:id="575" w:name="_Toc384196467"/>
      <w:bookmarkStart w:id="576" w:name="_Toc23284600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120</w:t>
      </w:r>
      <w:r w:rsidRPr="00370E70">
        <w:rPr>
          <w:lang w:val="en-AU"/>
        </w:rPr>
        <w:fldChar w:fldCharType="end"/>
      </w:r>
      <w:bookmarkEnd w:id="574"/>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8F4EDA">
        <w:rPr>
          <w:i/>
          <w:lang w:val="en-AU"/>
        </w:rPr>
        <w:t>inshore intertidal estuarine habitat (</w:t>
      </w:r>
      <w:r w:rsidRPr="00370E70">
        <w:rPr>
          <w:i/>
          <w:lang w:val="en-AU"/>
        </w:rPr>
        <w:t>Sarina Inlet</w:t>
      </w:r>
      <w:r w:rsidR="008F4EDA">
        <w:rPr>
          <w:i/>
          <w:lang w:val="en-AU"/>
        </w:rPr>
        <w:t>)</w:t>
      </w:r>
      <w:r w:rsidRPr="00370E70">
        <w:rPr>
          <w:i/>
          <w:lang w:val="en-AU"/>
        </w:rPr>
        <w:t xml:space="preserve"> long-term monitoring sites at time of year.</w:t>
      </w:r>
      <w:bookmarkEnd w:id="575"/>
      <w:r w:rsidRPr="00370E70">
        <w:rPr>
          <w:i/>
          <w:lang w:val="en-AU"/>
        </w:rPr>
        <w:t xml:space="preserve"> </w:t>
      </w:r>
    </w:p>
    <w:p w:rsidR="004E2700" w:rsidRPr="00370E70" w:rsidRDefault="005132EF" w:rsidP="004E2700">
      <w:pPr>
        <w:pStyle w:val="Caption"/>
        <w:spacing w:before="0"/>
        <w:ind w:right="233"/>
        <w:rPr>
          <w:lang w:val="en-AU"/>
        </w:rPr>
      </w:pPr>
      <w:r w:rsidRPr="00370E70">
        <w:rPr>
          <w:i/>
          <w:lang w:val="en-AU"/>
        </w:rPr>
        <w:t xml:space="preserve">NB: </w:t>
      </w:r>
      <w:r w:rsidR="004C0F4D" w:rsidRPr="00370E70">
        <w:rPr>
          <w:i/>
          <w:lang w:val="en-AU"/>
        </w:rPr>
        <w:t>T</w:t>
      </w:r>
      <w:r w:rsidRPr="00370E70">
        <w:rPr>
          <w:i/>
          <w:lang w:val="en-AU"/>
        </w:rPr>
        <w:t>rendline for all years pooled.</w:t>
      </w:r>
      <w:bookmarkEnd w:id="576"/>
      <w:r w:rsidR="004E2700" w:rsidRPr="00370E70">
        <w:rPr>
          <w:i/>
          <w:lang w:val="en-AU"/>
        </w:rPr>
        <w:t xml:space="preserve"> </w:t>
      </w:r>
    </w:p>
    <w:p w:rsidR="005132EF" w:rsidRPr="00370E70" w:rsidRDefault="005132EF" w:rsidP="00B21C51">
      <w:pPr>
        <w:pStyle w:val="Heading5"/>
        <w:rPr>
          <w:szCs w:val="22"/>
        </w:rPr>
      </w:pPr>
      <w:r w:rsidRPr="00370E70">
        <w:rPr>
          <w:szCs w:val="22"/>
        </w:rPr>
        <w:t>Inshore reef habitat</w:t>
      </w:r>
    </w:p>
    <w:p w:rsidR="005132EF" w:rsidRPr="00370E70" w:rsidRDefault="005132EF" w:rsidP="0066067C">
      <w:pPr>
        <w:spacing w:after="0"/>
        <w:rPr>
          <w:color w:val="000000"/>
          <w:szCs w:val="22"/>
        </w:rPr>
      </w:pPr>
      <w:r w:rsidRPr="00370E70">
        <w:rPr>
          <w:color w:val="000000"/>
          <w:szCs w:val="22"/>
        </w:rPr>
        <w:t xml:space="preserve">The reef monitoring sites located on a fringing reef at </w:t>
      </w:r>
      <w:smartTag w:uri="urn:schemas-microsoft-com:office:smarttags" w:element="PlaceName">
        <w:r w:rsidRPr="00370E70">
          <w:rPr>
            <w:color w:val="000000"/>
            <w:szCs w:val="22"/>
          </w:rPr>
          <w:t>Catseye</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w:t>
      </w:r>
      <w:smartTag w:uri="urn:schemas-microsoft-com:office:smarttags" w:element="place">
        <w:smartTag w:uri="urn:schemas-microsoft-com:office:smarttags" w:element="PlaceName">
          <w:r w:rsidRPr="00370E70">
            <w:rPr>
              <w:color w:val="000000"/>
              <w:szCs w:val="22"/>
            </w:rPr>
            <w:t>Hamilton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w:t>
      </w:r>
      <w:r w:rsidR="0066067C" w:rsidRPr="00370E70">
        <w:rPr>
          <w:color w:val="000000"/>
          <w:szCs w:val="22"/>
        </w:rPr>
        <w:t xml:space="preserve"> were</w:t>
      </w:r>
      <w:r w:rsidRPr="00370E70">
        <w:rPr>
          <w:color w:val="000000"/>
          <w:szCs w:val="22"/>
        </w:rPr>
        <w:t xml:space="preserve"> dominated by </w:t>
      </w:r>
      <w:r w:rsidRPr="00370E70">
        <w:rPr>
          <w:i/>
          <w:color w:val="000000"/>
          <w:szCs w:val="22"/>
        </w:rPr>
        <w:t>Halodule uninervis</w:t>
      </w:r>
      <w:r w:rsidRPr="00370E70">
        <w:rPr>
          <w:color w:val="000000"/>
          <w:szCs w:val="22"/>
        </w:rPr>
        <w:t xml:space="preserve"> or </w:t>
      </w:r>
      <w:r w:rsidRPr="00370E70">
        <w:rPr>
          <w:i/>
          <w:color w:val="000000"/>
          <w:szCs w:val="22"/>
        </w:rPr>
        <w:t xml:space="preserve">Zostera </w:t>
      </w:r>
      <w:r w:rsidR="00145BB9" w:rsidRPr="00370E70">
        <w:rPr>
          <w:i/>
          <w:color w:val="000000"/>
          <w:szCs w:val="22"/>
        </w:rPr>
        <w:t>muelleri</w:t>
      </w:r>
      <w:r w:rsidRPr="00370E70">
        <w:rPr>
          <w:i/>
          <w:color w:val="000000"/>
          <w:szCs w:val="22"/>
        </w:rPr>
        <w:t xml:space="preserve"> </w:t>
      </w:r>
      <w:r w:rsidRPr="00370E70">
        <w:rPr>
          <w:color w:val="000000"/>
          <w:szCs w:val="22"/>
        </w:rPr>
        <w:t xml:space="preserve">with some </w:t>
      </w:r>
      <w:r w:rsidRPr="00370E70">
        <w:rPr>
          <w:i/>
          <w:color w:val="000000"/>
          <w:szCs w:val="22"/>
        </w:rPr>
        <w:t>Halophila ovalis</w:t>
      </w:r>
      <w:r w:rsidRPr="00370E70">
        <w:rPr>
          <w:color w:val="000000"/>
          <w:szCs w:val="22"/>
        </w:rPr>
        <w:t xml:space="preserve"> (</w:t>
      </w:r>
      <w:r w:rsidRPr="00370E70">
        <w:fldChar w:fldCharType="begin"/>
      </w:r>
      <w:r w:rsidRPr="00370E70">
        <w:instrText xml:space="preserve"> REF _Ref179444954 \h  \* MERGEFORMAT </w:instrText>
      </w:r>
      <w:r w:rsidRPr="00370E70">
        <w:fldChar w:fldCharType="separate"/>
      </w:r>
      <w:r w:rsidR="005B5FD6" w:rsidRPr="005B5FD6">
        <w:rPr>
          <w:szCs w:val="22"/>
        </w:rPr>
        <w:t xml:space="preserve">Figure </w:t>
      </w:r>
      <w:r w:rsidR="005B5FD6" w:rsidRPr="005B5FD6">
        <w:rPr>
          <w:noProof/>
          <w:color w:val="000000"/>
          <w:szCs w:val="22"/>
        </w:rPr>
        <w:t>113</w:t>
      </w:r>
      <w:r w:rsidRPr="00370E70">
        <w:fldChar w:fldCharType="end"/>
      </w:r>
      <w:r w:rsidRPr="00370E70">
        <w:rPr>
          <w:color w:val="000000"/>
          <w:szCs w:val="22"/>
        </w:rPr>
        <w:t xml:space="preserve">). The site at the eastern end of Catseye Bay (HM2) was dominated by </w:t>
      </w:r>
      <w:r w:rsidRPr="00370E70">
        <w:rPr>
          <w:i/>
          <w:color w:val="000000"/>
          <w:szCs w:val="22"/>
        </w:rPr>
        <w:t>Z. </w:t>
      </w:r>
      <w:r w:rsidR="00145BB9" w:rsidRPr="00370E70">
        <w:rPr>
          <w:i/>
          <w:color w:val="000000"/>
          <w:szCs w:val="22"/>
        </w:rPr>
        <w:t>muelleri</w:t>
      </w:r>
      <w:r w:rsidRPr="00370E70">
        <w:rPr>
          <w:i/>
          <w:color w:val="000000"/>
          <w:szCs w:val="22"/>
        </w:rPr>
        <w:t xml:space="preserve"> </w:t>
      </w:r>
      <w:r w:rsidRPr="00370E70">
        <w:rPr>
          <w:color w:val="000000"/>
          <w:szCs w:val="22"/>
        </w:rPr>
        <w:t xml:space="preserve">and the site at the western end (HM1) was dominated by </w:t>
      </w:r>
      <w:r w:rsidRPr="00370E70">
        <w:rPr>
          <w:i/>
          <w:color w:val="000000"/>
          <w:szCs w:val="22"/>
        </w:rPr>
        <w:t>H. uninervis</w:t>
      </w:r>
      <w:r w:rsidRPr="00370E70">
        <w:rPr>
          <w:color w:val="000000"/>
          <w:szCs w:val="22"/>
        </w:rPr>
        <w:t>. Seagrass cover slightly improved over the 2011/12 monitoring period (</w:t>
      </w:r>
      <w:r w:rsidRPr="00370E70">
        <w:fldChar w:fldCharType="begin"/>
      </w:r>
      <w:r w:rsidRPr="00370E70">
        <w:instrText xml:space="preserve"> REF _Ref211930528 \h  \* MERGEFORMAT </w:instrText>
      </w:r>
      <w:r w:rsidRPr="00370E70">
        <w:fldChar w:fldCharType="separate"/>
      </w:r>
      <w:r w:rsidR="005B5FD6" w:rsidRPr="00370E70">
        <w:rPr>
          <w:color w:val="000000"/>
          <w:szCs w:val="22"/>
        </w:rPr>
        <w:t xml:space="preserve">Figure </w:t>
      </w:r>
      <w:r w:rsidR="005B5FD6">
        <w:rPr>
          <w:noProof/>
          <w:color w:val="000000"/>
          <w:szCs w:val="22"/>
        </w:rPr>
        <w:t>121</w:t>
      </w:r>
      <w:r w:rsidRPr="00370E70">
        <w:fldChar w:fldCharType="end"/>
      </w:r>
      <w:r w:rsidRPr="00370E70">
        <w:rPr>
          <w:color w:val="000000"/>
          <w:szCs w:val="22"/>
        </w:rPr>
        <w:t>). Seagrass cover appears to increase during each year until the monsoon, however due to the paucity of data the seasonal pattern cannot be confirmed (</w:t>
      </w:r>
      <w:r w:rsidRPr="00370E70">
        <w:fldChar w:fldCharType="begin"/>
      </w:r>
      <w:r w:rsidRPr="00370E70">
        <w:instrText xml:space="preserve"> REF _Ref233170667 \h  \* MERGEFORMAT </w:instrText>
      </w:r>
      <w:r w:rsidRPr="00370E70">
        <w:fldChar w:fldCharType="separate"/>
      </w:r>
      <w:r w:rsidR="005B5FD6" w:rsidRPr="005B5FD6">
        <w:rPr>
          <w:szCs w:val="22"/>
        </w:rPr>
        <w:t xml:space="preserve">Figure </w:t>
      </w:r>
      <w:r w:rsidR="005B5FD6">
        <w:rPr>
          <w:noProof/>
          <w:color w:val="000000"/>
          <w:szCs w:val="22"/>
        </w:rPr>
        <w:t>122</w:t>
      </w:r>
      <w:r w:rsidRPr="00370E70">
        <w:fldChar w:fldCharType="end"/>
      </w:r>
      <w:r w:rsidRPr="00370E70">
        <w:rPr>
          <w:color w:val="000000"/>
          <w:szCs w:val="22"/>
        </w:rPr>
        <w:t>).</w:t>
      </w:r>
    </w:p>
    <w:p w:rsidR="005132EF" w:rsidRPr="00370E70" w:rsidRDefault="007B15AB" w:rsidP="0066067C">
      <w:pPr>
        <w:keepNext/>
        <w:spacing w:before="0" w:after="0"/>
        <w:jc w:val="center"/>
        <w:rPr>
          <w:color w:val="000000"/>
        </w:rPr>
      </w:pPr>
      <w:r>
        <w:rPr>
          <w:noProof/>
          <w:color w:val="000000"/>
          <w:lang w:eastAsia="en-AU"/>
        </w:rPr>
        <w:drawing>
          <wp:inline distT="0" distB="0" distL="0" distR="0">
            <wp:extent cx="2524125" cy="1777365"/>
            <wp:effectExtent l="0" t="0" r="9525" b="0"/>
            <wp:docPr id="161" name="Picture 160" descr="Graph of long-term changes in seagrass abundance (% cover) at reef intertidal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Graph of long-term changes in seagrass abundance (% cover) at reef intertidal meadows in the Mackay Whitsunday region from 1999 to 201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524125" cy="1777365"/>
                    </a:xfrm>
                    <a:prstGeom prst="rect">
                      <a:avLst/>
                    </a:prstGeom>
                    <a:noFill/>
                    <a:ln>
                      <a:noFill/>
                    </a:ln>
                  </pic:spPr>
                </pic:pic>
              </a:graphicData>
            </a:graphic>
          </wp:inline>
        </w:drawing>
      </w:r>
    </w:p>
    <w:p w:rsidR="004C0F4D" w:rsidRPr="00370E70" w:rsidRDefault="005132EF" w:rsidP="0066067C">
      <w:pPr>
        <w:spacing w:before="0"/>
        <w:rPr>
          <w:i/>
          <w:vanish/>
          <w:color w:val="000000"/>
          <w:szCs w:val="22"/>
          <w:specVanish/>
        </w:rPr>
      </w:pPr>
      <w:bookmarkStart w:id="577" w:name="_Ref211930528"/>
      <w:bookmarkStart w:id="578" w:name="_Toc384196468"/>
      <w:bookmarkStart w:id="579" w:name="_Toc232846001"/>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121</w:t>
      </w:r>
      <w:r w:rsidRPr="00370E70">
        <w:rPr>
          <w:color w:val="000000"/>
          <w:szCs w:val="22"/>
        </w:rPr>
        <w:fldChar w:fldCharType="end"/>
      </w:r>
      <w:bookmarkEnd w:id="577"/>
      <w:r w:rsidRPr="00370E70">
        <w:rPr>
          <w:color w:val="000000"/>
          <w:szCs w:val="22"/>
        </w:rPr>
        <w:t xml:space="preserve">. </w:t>
      </w:r>
      <w:r w:rsidRPr="00370E70">
        <w:rPr>
          <w:i/>
          <w:color w:val="000000"/>
          <w:szCs w:val="22"/>
        </w:rPr>
        <w:t xml:space="preserve">Changes in seagrass abundance (% cover ±Standard Error) at </w:t>
      </w:r>
      <w:r w:rsidR="008F4EDA">
        <w:rPr>
          <w:i/>
          <w:color w:val="000000"/>
          <w:szCs w:val="22"/>
        </w:rPr>
        <w:t xml:space="preserve">inshore </w:t>
      </w:r>
      <w:r w:rsidR="008F4EDA" w:rsidRPr="00370E70">
        <w:rPr>
          <w:i/>
          <w:color w:val="000000"/>
          <w:szCs w:val="22"/>
        </w:rPr>
        <w:t xml:space="preserve">intertidal </w:t>
      </w:r>
      <w:r w:rsidRPr="00370E70">
        <w:rPr>
          <w:i/>
          <w:color w:val="000000"/>
          <w:szCs w:val="22"/>
        </w:rPr>
        <w:t xml:space="preserve">reef </w:t>
      </w:r>
      <w:r w:rsidR="008F4EDA">
        <w:rPr>
          <w:i/>
          <w:color w:val="000000"/>
          <w:szCs w:val="22"/>
        </w:rPr>
        <w:t>habitats</w:t>
      </w:r>
      <w:r w:rsidRPr="00370E70">
        <w:rPr>
          <w:i/>
          <w:color w:val="000000"/>
          <w:szCs w:val="22"/>
        </w:rPr>
        <w:t xml:space="preserve"> in the Mackay Whitsunday region from 1999 to 201</w:t>
      </w:r>
      <w:r w:rsidR="008F4EDA">
        <w:rPr>
          <w:i/>
          <w:color w:val="000000"/>
          <w:szCs w:val="22"/>
        </w:rPr>
        <w:t>2</w:t>
      </w:r>
      <w:r w:rsidRPr="00370E70">
        <w:rPr>
          <w:i/>
          <w:color w:val="000000"/>
          <w:szCs w:val="22"/>
        </w:rPr>
        <w:t>.</w:t>
      </w:r>
      <w:bookmarkEnd w:id="578"/>
      <w:r w:rsidRPr="00370E70">
        <w:rPr>
          <w:i/>
          <w:color w:val="000000"/>
          <w:szCs w:val="22"/>
        </w:rPr>
        <w:t xml:space="preserve"> </w:t>
      </w:r>
    </w:p>
    <w:p w:rsidR="004C0F4D" w:rsidRPr="00370E70" w:rsidRDefault="005132EF" w:rsidP="0066067C">
      <w:pPr>
        <w:rPr>
          <w:color w:val="000000"/>
          <w:szCs w:val="22"/>
        </w:rPr>
      </w:pPr>
      <w:r w:rsidRPr="00370E70">
        <w:rPr>
          <w:i/>
          <w:color w:val="000000"/>
          <w:szCs w:val="22"/>
        </w:rPr>
        <w:t>Trendline is 3</w:t>
      </w:r>
      <w:r w:rsidRPr="00370E70">
        <w:rPr>
          <w:i/>
          <w:color w:val="000000"/>
          <w:szCs w:val="22"/>
          <w:vertAlign w:val="superscript"/>
        </w:rPr>
        <w:t>rd</w:t>
      </w:r>
      <w:r w:rsidRPr="00370E70">
        <w:rPr>
          <w:i/>
          <w:color w:val="000000"/>
          <w:szCs w:val="22"/>
        </w:rPr>
        <w:t xml:space="preserve"> order polynomial, 95% confidence intervals displayed, r</w:t>
      </w:r>
      <w:r w:rsidRPr="00370E70">
        <w:rPr>
          <w:i/>
          <w:color w:val="000000"/>
          <w:szCs w:val="22"/>
          <w:vertAlign w:val="superscript"/>
        </w:rPr>
        <w:t>2</w:t>
      </w:r>
      <w:r w:rsidRPr="00370E70">
        <w:rPr>
          <w:i/>
          <w:color w:val="000000"/>
          <w:szCs w:val="22"/>
        </w:rPr>
        <w:t xml:space="preserve"> = 0.683</w:t>
      </w:r>
      <w:bookmarkEnd w:id="579"/>
      <w:r w:rsidRPr="00370E70">
        <w:rPr>
          <w:i/>
          <w:color w:val="000000"/>
          <w:szCs w:val="22"/>
        </w:rPr>
        <w:t>.</w:t>
      </w:r>
      <w:r w:rsidR="004C0F4D" w:rsidRPr="00370E70">
        <w:rPr>
          <w:color w:val="000000"/>
          <w:szCs w:val="22"/>
        </w:rPr>
        <w:t xml:space="preserve"> </w:t>
      </w:r>
    </w:p>
    <w:p w:rsidR="005132EF" w:rsidRPr="00370E70" w:rsidRDefault="007B15AB" w:rsidP="004C0F4D">
      <w:pPr>
        <w:keepNext/>
        <w:jc w:val="center"/>
        <w:rPr>
          <w:color w:val="000000"/>
        </w:rPr>
      </w:pPr>
      <w:r>
        <w:rPr>
          <w:noProof/>
          <w:lang w:eastAsia="en-AU"/>
        </w:rPr>
        <w:drawing>
          <wp:inline distT="0" distB="0" distL="0" distR="0">
            <wp:extent cx="4327525" cy="1609725"/>
            <wp:effectExtent l="0" t="0" r="0" b="9525"/>
            <wp:docPr id="162" name="Picture 161" descr="Graph of seasonal mean percentage seagrass cover (all species pooled) at Hamilton Island long-term monitoring sites at time of year (year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Graph of seasonal mean percentage seagrass cover (all species pooled) at Hamilton Island long-term monitoring sites at time of year (years pooled)."/>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4327525" cy="160972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580" w:name="_Ref233170667"/>
      <w:bookmarkStart w:id="581" w:name="_Toc232846002"/>
      <w:bookmarkStart w:id="582" w:name="_Toc38419646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122</w:t>
      </w:r>
      <w:r w:rsidRPr="00370E70">
        <w:rPr>
          <w:color w:val="000000"/>
          <w:szCs w:val="22"/>
          <w:lang w:val="en-AU"/>
        </w:rPr>
        <w:fldChar w:fldCharType="end"/>
      </w:r>
      <w:bookmarkEnd w:id="580"/>
      <w:r w:rsidRPr="00370E70">
        <w:rPr>
          <w:rStyle w:val="StyleCaptionCaptionCharCharLatinCalibri11ptBlackChar"/>
          <w:lang w:val="en-AU"/>
        </w:rPr>
        <w:t xml:space="preserve">. </w:t>
      </w:r>
      <w:r w:rsidRPr="00370E70">
        <w:rPr>
          <w:i/>
          <w:color w:val="000000"/>
          <w:szCs w:val="22"/>
          <w:lang w:val="en-AU"/>
        </w:rPr>
        <w:t xml:space="preserve">Mean percentage seagrass cover (all species pooled) (± Standard Error) at </w:t>
      </w:r>
      <w:r w:rsidR="008F4EDA">
        <w:rPr>
          <w:i/>
          <w:color w:val="000000"/>
          <w:szCs w:val="22"/>
          <w:lang w:val="en-AU"/>
        </w:rPr>
        <w:t>inshore intertidal reef habitat (</w:t>
      </w:r>
      <w:smartTag w:uri="urn:schemas-microsoft-com:office:smarttags" w:element="place">
        <w:smartTag w:uri="urn:schemas-microsoft-com:office:smarttags" w:element="PlaceName">
          <w:r w:rsidRPr="00370E70">
            <w:rPr>
              <w:i/>
              <w:color w:val="000000"/>
              <w:szCs w:val="22"/>
              <w:lang w:val="en-AU"/>
            </w:rPr>
            <w:t>Hamilton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008F4EDA">
        <w:rPr>
          <w:i/>
          <w:color w:val="000000"/>
          <w:szCs w:val="22"/>
          <w:lang w:val="en-AU"/>
        </w:rPr>
        <w:t>)</w:t>
      </w:r>
      <w:r w:rsidRPr="00370E70">
        <w:rPr>
          <w:i/>
          <w:color w:val="000000"/>
          <w:szCs w:val="22"/>
          <w:lang w:val="en-AU"/>
        </w:rPr>
        <w:t xml:space="preserve"> long-term monitoring sites at time of year</w:t>
      </w:r>
      <w:r w:rsidR="004C0F4D" w:rsidRPr="00370E70">
        <w:rPr>
          <w:i/>
          <w:color w:val="000000"/>
          <w:szCs w:val="22"/>
          <w:lang w:val="en-AU"/>
        </w:rPr>
        <w:t xml:space="preserve"> (</w:t>
      </w:r>
      <w:r w:rsidRPr="00370E70">
        <w:rPr>
          <w:i/>
          <w:color w:val="000000"/>
          <w:szCs w:val="22"/>
          <w:lang w:val="en-AU"/>
        </w:rPr>
        <w:t>years pooled</w:t>
      </w:r>
      <w:r w:rsidR="004C0F4D" w:rsidRPr="00370E70">
        <w:rPr>
          <w:i/>
          <w:color w:val="000000"/>
          <w:szCs w:val="22"/>
          <w:lang w:val="en-AU"/>
        </w:rPr>
        <w:t>)</w:t>
      </w:r>
      <w:r w:rsidRPr="00370E70">
        <w:rPr>
          <w:i/>
          <w:color w:val="000000"/>
          <w:szCs w:val="22"/>
          <w:lang w:val="en-AU"/>
        </w:rPr>
        <w:t>.</w:t>
      </w:r>
      <w:bookmarkEnd w:id="581"/>
      <w:bookmarkEnd w:id="582"/>
    </w:p>
    <w:p w:rsidR="005132EF" w:rsidRPr="00370E70" w:rsidRDefault="005132EF" w:rsidP="00034AD4">
      <w:pPr>
        <w:spacing w:before="240"/>
        <w:rPr>
          <w:color w:val="000000"/>
          <w:szCs w:val="22"/>
        </w:rPr>
      </w:pPr>
      <w:r w:rsidRPr="00370E70">
        <w:rPr>
          <w:szCs w:val="22"/>
        </w:rPr>
        <w:t xml:space="preserve">Seagrass meadow edge mapping was </w:t>
      </w:r>
      <w:r w:rsidRPr="00370E70">
        <w:rPr>
          <w:color w:val="000000"/>
          <w:szCs w:val="22"/>
        </w:rPr>
        <w:t>conducted within a 100m radius of all monitoring sites in September/October and March/April of each year (</w:t>
      </w:r>
      <w:r w:rsidRPr="00370E70">
        <w:fldChar w:fldCharType="begin"/>
      </w:r>
      <w:r w:rsidRPr="00370E70">
        <w:instrText xml:space="preserve"> REF _Ref211931818 \h  \* MERGEFORMAT </w:instrText>
      </w:r>
      <w:r w:rsidRPr="00370E70">
        <w:fldChar w:fldCharType="separate"/>
      </w:r>
      <w:r w:rsidR="005B5FD6" w:rsidRPr="005B5FD6">
        <w:rPr>
          <w:szCs w:val="22"/>
        </w:rPr>
        <w:t xml:space="preserve">Table </w:t>
      </w:r>
      <w:r w:rsidR="005B5FD6" w:rsidRPr="005B5FD6">
        <w:rPr>
          <w:noProof/>
          <w:color w:val="000000"/>
          <w:szCs w:val="22"/>
        </w:rPr>
        <w:t>28</w:t>
      </w:r>
      <w:r w:rsidRPr="00370E70">
        <w:fldChar w:fldCharType="end"/>
      </w:r>
      <w:r w:rsidRPr="00370E70">
        <w:rPr>
          <w:color w:val="000000"/>
          <w:szCs w:val="22"/>
        </w:rPr>
        <w:t xml:space="preserve">) to determine if changes in abundance were a consequence of the meadow edges changing.  Over the past 12 months, meadows across the region all increased relative to the previous </w:t>
      </w:r>
      <w:r w:rsidR="002C6536" w:rsidRPr="00370E70">
        <w:rPr>
          <w:color w:val="000000"/>
          <w:szCs w:val="22"/>
        </w:rPr>
        <w:t>monitoring</w:t>
      </w:r>
      <w:r w:rsidRPr="00370E70">
        <w:rPr>
          <w:color w:val="000000"/>
          <w:szCs w:val="22"/>
        </w:rPr>
        <w:t xml:space="preserve"> </w:t>
      </w:r>
      <w:proofErr w:type="gramStart"/>
      <w:r w:rsidRPr="00370E70">
        <w:rPr>
          <w:color w:val="000000"/>
          <w:szCs w:val="22"/>
        </w:rPr>
        <w:t>period  (</w:t>
      </w:r>
      <w:proofErr w:type="gramEnd"/>
      <w:r w:rsidRPr="00370E70">
        <w:fldChar w:fldCharType="begin"/>
      </w:r>
      <w:r w:rsidRPr="00370E70">
        <w:instrText xml:space="preserve"> REF _Ref211931818 \h  \* MERGEFORMAT </w:instrText>
      </w:r>
      <w:r w:rsidRPr="00370E70">
        <w:fldChar w:fldCharType="separate"/>
      </w:r>
      <w:r w:rsidR="005B5FD6" w:rsidRPr="005B5FD6">
        <w:rPr>
          <w:szCs w:val="22"/>
        </w:rPr>
        <w:t xml:space="preserve">Table </w:t>
      </w:r>
      <w:r w:rsidR="005B5FD6" w:rsidRPr="005B5FD6">
        <w:rPr>
          <w:noProof/>
          <w:color w:val="000000"/>
          <w:szCs w:val="22"/>
        </w:rPr>
        <w:t>28</w:t>
      </w:r>
      <w:r w:rsidRPr="00370E70">
        <w:fldChar w:fldCharType="end"/>
      </w:r>
      <w:r w:rsidRPr="00370E70">
        <w:rPr>
          <w:color w:val="000000"/>
          <w:szCs w:val="22"/>
        </w:rPr>
        <w:t xml:space="preserve">, </w:t>
      </w:r>
      <w:r w:rsidRPr="00370E70">
        <w:fldChar w:fldCharType="begin"/>
      </w:r>
      <w:r w:rsidRPr="00370E70">
        <w:instrText xml:space="preserve"> REF _Ref179466575 \h  \* MERGEFORMAT </w:instrText>
      </w:r>
      <w:r w:rsidRPr="00370E70">
        <w:fldChar w:fldCharType="separate"/>
      </w:r>
      <w:r w:rsidR="005B5FD6" w:rsidRPr="005B5FD6">
        <w:rPr>
          <w:szCs w:val="22"/>
        </w:rPr>
        <w:t xml:space="preserve">Figure </w:t>
      </w:r>
      <w:r w:rsidR="005B5FD6">
        <w:rPr>
          <w:noProof/>
          <w:color w:val="000000"/>
          <w:szCs w:val="22"/>
        </w:rPr>
        <w:t>124</w:t>
      </w:r>
      <w:r w:rsidRPr="00370E70">
        <w:fldChar w:fldCharType="end"/>
      </w:r>
      <w:r w:rsidRPr="00370E70">
        <w:rPr>
          <w:color w:val="000000"/>
          <w:szCs w:val="22"/>
        </w:rPr>
        <w:t xml:space="preserve">). The meadows </w:t>
      </w:r>
      <w:r w:rsidRPr="00370E70">
        <w:rPr>
          <w:color w:val="000000"/>
          <w:szCs w:val="22"/>
        </w:rPr>
        <w:lastRenderedPageBreak/>
        <w:t xml:space="preserve">on </w:t>
      </w:r>
      <w:smartTag w:uri="urn:schemas-microsoft-com:office:smarttags" w:element="place">
        <w:smartTag w:uri="urn:schemas-microsoft-com:office:smarttags" w:element="PlaceName">
          <w:r w:rsidR="002C6536" w:rsidRPr="00370E70">
            <w:rPr>
              <w:color w:val="000000"/>
              <w:szCs w:val="22"/>
            </w:rPr>
            <w:t>Hamilton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expanded to their greatest extent since 2007 (</w:t>
      </w:r>
      <w:r w:rsidRPr="00370E70">
        <w:fldChar w:fldCharType="begin"/>
      </w:r>
      <w:r w:rsidRPr="00370E70">
        <w:instrText xml:space="preserve"> REF _Ref348961776 \h  \* MERGEFORMAT </w:instrText>
      </w:r>
      <w:r w:rsidRPr="00370E70">
        <w:fldChar w:fldCharType="separate"/>
      </w:r>
      <w:r w:rsidR="005B5FD6" w:rsidRPr="005B5FD6">
        <w:rPr>
          <w:szCs w:val="22"/>
        </w:rPr>
        <w:t xml:space="preserve">Figure </w:t>
      </w:r>
      <w:r w:rsidR="005B5FD6">
        <w:rPr>
          <w:noProof/>
          <w:color w:val="000000"/>
          <w:szCs w:val="22"/>
        </w:rPr>
        <w:t>123</w:t>
      </w:r>
      <w:r w:rsidRPr="00370E70">
        <w:fldChar w:fldCharType="end"/>
      </w:r>
      <w:r w:rsidRPr="00370E70">
        <w:rPr>
          <w:color w:val="000000"/>
          <w:szCs w:val="22"/>
        </w:rPr>
        <w:t>)</w:t>
      </w:r>
      <w:r w:rsidR="0066067C" w:rsidRPr="00370E70">
        <w:rPr>
          <w:color w:val="000000"/>
          <w:szCs w:val="22"/>
        </w:rPr>
        <w:t xml:space="preserve"> and the</w:t>
      </w:r>
      <w:r w:rsidRPr="00370E70">
        <w:rPr>
          <w:color w:val="000000"/>
          <w:szCs w:val="22"/>
        </w:rPr>
        <w:t xml:space="preserve"> estuarine meadows at Sarina Inlet nearly </w:t>
      </w:r>
      <w:r w:rsidR="002C6536" w:rsidRPr="00370E70">
        <w:rPr>
          <w:color w:val="000000"/>
          <w:szCs w:val="22"/>
        </w:rPr>
        <w:t>triple</w:t>
      </w:r>
      <w:r w:rsidRPr="00370E70">
        <w:rPr>
          <w:color w:val="000000"/>
          <w:szCs w:val="22"/>
        </w:rPr>
        <w:t xml:space="preserve"> the extent of the previous period (</w:t>
      </w:r>
      <w:r w:rsidRPr="00370E70">
        <w:fldChar w:fldCharType="begin"/>
      </w:r>
      <w:r w:rsidRPr="00370E70">
        <w:instrText xml:space="preserve"> REF _Ref211931818 \h  \* MERGEFORMAT </w:instrText>
      </w:r>
      <w:r w:rsidRPr="00370E70">
        <w:fldChar w:fldCharType="separate"/>
      </w:r>
      <w:r w:rsidR="005B5FD6" w:rsidRPr="005B5FD6">
        <w:rPr>
          <w:szCs w:val="22"/>
        </w:rPr>
        <w:t xml:space="preserve">Table </w:t>
      </w:r>
      <w:r w:rsidR="005B5FD6" w:rsidRPr="005B5FD6">
        <w:rPr>
          <w:noProof/>
          <w:color w:val="000000"/>
          <w:szCs w:val="22"/>
        </w:rPr>
        <w:t>28</w:t>
      </w:r>
      <w:r w:rsidRPr="00370E70">
        <w:fldChar w:fldCharType="end"/>
      </w:r>
      <w:r w:rsidRPr="00370E70">
        <w:rPr>
          <w:color w:val="000000"/>
          <w:szCs w:val="22"/>
        </w:rPr>
        <w:t xml:space="preserve">, </w:t>
      </w:r>
      <w:r w:rsidRPr="00370E70">
        <w:fldChar w:fldCharType="begin"/>
      </w:r>
      <w:r w:rsidRPr="00370E70">
        <w:instrText xml:space="preserve"> REF _Ref179466575 \h  \* MERGEFORMAT </w:instrText>
      </w:r>
      <w:r w:rsidRPr="00370E70">
        <w:fldChar w:fldCharType="separate"/>
      </w:r>
      <w:r w:rsidR="005B5FD6" w:rsidRPr="005B5FD6">
        <w:rPr>
          <w:szCs w:val="22"/>
        </w:rPr>
        <w:t xml:space="preserve">Figure </w:t>
      </w:r>
      <w:r w:rsidR="005B5FD6">
        <w:rPr>
          <w:noProof/>
          <w:color w:val="000000"/>
          <w:szCs w:val="22"/>
        </w:rPr>
        <w:t>124</w:t>
      </w:r>
      <w:r w:rsidRPr="00370E70">
        <w:fldChar w:fldCharType="end"/>
      </w:r>
      <w:r w:rsidRPr="00370E70">
        <w:rPr>
          <w:color w:val="000000"/>
          <w:szCs w:val="22"/>
        </w:rPr>
        <w:t xml:space="preserve">). </w:t>
      </w:r>
    </w:p>
    <w:p w:rsidR="005132EF" w:rsidRPr="00370E70" w:rsidRDefault="007B15AB" w:rsidP="004C0F4D">
      <w:pPr>
        <w:keepNext/>
        <w:spacing w:before="240"/>
        <w:jc w:val="center"/>
      </w:pPr>
      <w:r>
        <w:rPr>
          <w:noProof/>
          <w:lang w:eastAsia="en-AU"/>
        </w:rPr>
        <w:drawing>
          <wp:inline distT="0" distB="0" distL="0" distR="0">
            <wp:extent cx="4314190" cy="1455420"/>
            <wp:effectExtent l="0" t="0" r="0" b="0"/>
            <wp:docPr id="163" name="Picture 162" descr="Graph showing long-term changes in extent of area (100m radius of monitoring site) covered by seagrass at each coastal (Pioneer Bay) and reef (Hamilton Is) monitoring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Graph showing long-term changes in extent of area (100m radius of monitoring site) covered by seagrass at each coastal (Pioneer Bay) and reef (Hamilton Is) monitoring locations"/>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4314190" cy="145542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583" w:name="_Ref348961776"/>
      <w:bookmarkStart w:id="584" w:name="_Toc384196470"/>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123</w:t>
      </w:r>
      <w:r w:rsidRPr="00370E70">
        <w:rPr>
          <w:color w:val="000000"/>
          <w:szCs w:val="22"/>
          <w:lang w:val="en-AU"/>
        </w:rPr>
        <w:fldChar w:fldCharType="end"/>
      </w:r>
      <w:bookmarkEnd w:id="583"/>
      <w:r w:rsidRPr="00370E70">
        <w:rPr>
          <w:rStyle w:val="StyleCaptionCaptionCharCharLatinCalibri11ptBlackChar"/>
          <w:lang w:val="en-AU"/>
        </w:rPr>
        <w:t>.</w:t>
      </w:r>
      <w:r w:rsidRPr="00370E70">
        <w:rPr>
          <w:i/>
          <w:color w:val="000000"/>
          <w:szCs w:val="22"/>
          <w:lang w:val="en-AU"/>
        </w:rPr>
        <w:t xml:space="preserve"> Extent of area (100m radius of monitoring site) covered by seagrass at each </w:t>
      </w:r>
      <w:r w:rsidR="008F4EDA">
        <w:rPr>
          <w:i/>
          <w:color w:val="000000"/>
          <w:szCs w:val="22"/>
          <w:lang w:val="en-AU"/>
        </w:rPr>
        <w:t xml:space="preserve">inshore intertidal </w:t>
      </w:r>
      <w:r w:rsidRPr="00370E70">
        <w:rPr>
          <w:i/>
          <w:color w:val="000000"/>
          <w:szCs w:val="22"/>
          <w:lang w:val="en-AU"/>
        </w:rPr>
        <w:t>coastal (</w:t>
      </w:r>
      <w:smartTag w:uri="urn:schemas-microsoft-com:office:smarttags" w:element="PlaceName">
        <w:r w:rsidRPr="00370E70">
          <w:rPr>
            <w:i/>
            <w:color w:val="000000"/>
            <w:szCs w:val="22"/>
            <w:lang w:val="en-AU"/>
          </w:rPr>
          <w:t>Pioneer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and reef (</w:t>
      </w:r>
      <w:smartTag w:uri="urn:schemas-microsoft-com:office:smarttags" w:element="place">
        <w:smartTag w:uri="urn:schemas-microsoft-com:office:smarttags" w:element="City">
          <w:r w:rsidRPr="00370E70">
            <w:rPr>
              <w:i/>
              <w:color w:val="000000"/>
              <w:szCs w:val="22"/>
              <w:lang w:val="en-AU"/>
            </w:rPr>
            <w:t>Hamilton</w:t>
          </w:r>
        </w:smartTag>
      </w:smartTag>
      <w:r w:rsidRPr="00370E70">
        <w:rPr>
          <w:i/>
          <w:color w:val="000000"/>
          <w:szCs w:val="22"/>
          <w:lang w:val="en-AU"/>
        </w:rPr>
        <w:t xml:space="preserve"> Is) </w:t>
      </w:r>
      <w:r w:rsidR="008F4EDA">
        <w:rPr>
          <w:i/>
          <w:color w:val="000000"/>
          <w:szCs w:val="22"/>
          <w:lang w:val="en-AU"/>
        </w:rPr>
        <w:t>habitats in the Mackay Whitsunday region</w:t>
      </w:r>
      <w:r w:rsidRPr="00370E70">
        <w:rPr>
          <w:i/>
          <w:color w:val="000000"/>
          <w:szCs w:val="22"/>
          <w:lang w:val="en-AU"/>
        </w:rPr>
        <w:t>.</w:t>
      </w:r>
      <w:bookmarkEnd w:id="584"/>
    </w:p>
    <w:p w:rsidR="004C0F4D" w:rsidRPr="00370E70" w:rsidRDefault="005132EF" w:rsidP="004C0F4D">
      <w:pPr>
        <w:pStyle w:val="Caption"/>
        <w:keepNext/>
        <w:jc w:val="center"/>
        <w:rPr>
          <w:i/>
          <w:vanish/>
          <w:color w:val="000000"/>
          <w:szCs w:val="22"/>
          <w:lang w:val="en-AU"/>
          <w:specVanish/>
        </w:rPr>
      </w:pPr>
      <w:bookmarkStart w:id="585" w:name="_Ref211931818"/>
      <w:bookmarkStart w:id="586" w:name="_Toc384196564"/>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28</w:t>
      </w:r>
      <w:r w:rsidRPr="00370E70">
        <w:rPr>
          <w:lang w:val="en-AU"/>
        </w:rPr>
        <w:fldChar w:fldCharType="end"/>
      </w:r>
      <w:bookmarkEnd w:id="585"/>
      <w:r w:rsidRPr="00370E70">
        <w:rPr>
          <w:lang w:val="en-AU"/>
        </w:rPr>
        <w:t xml:space="preserve">. </w:t>
      </w:r>
      <w:r w:rsidRPr="00370E70">
        <w:rPr>
          <w:i/>
          <w:lang w:val="en-AU"/>
        </w:rPr>
        <w:t xml:space="preserve">Area (ha) of seagrass meadow within 100m radius of </w:t>
      </w:r>
      <w:r w:rsidR="008F4EDA">
        <w:rPr>
          <w:i/>
          <w:lang w:val="en-AU"/>
        </w:rPr>
        <w:t xml:space="preserve">each </w:t>
      </w:r>
      <w:r w:rsidRPr="00370E70">
        <w:rPr>
          <w:i/>
          <w:lang w:val="en-AU"/>
        </w:rPr>
        <w:t>site.</w:t>
      </w:r>
      <w:bookmarkEnd w:id="586"/>
      <w:r w:rsidRPr="00370E70">
        <w:rPr>
          <w:i/>
          <w:lang w:val="en-AU"/>
        </w:rPr>
        <w:t xml:space="preserve"> </w:t>
      </w:r>
    </w:p>
    <w:p w:rsidR="004C0F4D" w:rsidRPr="00370E70" w:rsidRDefault="005132EF" w:rsidP="004C0F4D">
      <w:pPr>
        <w:pStyle w:val="Caption"/>
        <w:keepNext/>
        <w:jc w:val="center"/>
        <w:rPr>
          <w:lang w:val="en-AU"/>
        </w:rPr>
      </w:pPr>
      <w:r w:rsidRPr="00370E70">
        <w:rPr>
          <w:i/>
          <w:lang w:val="en-AU"/>
        </w:rPr>
        <w:t>Value in parenthesis is % change from the baseline (bold) and description of change from previous mapping. Shading indicates decrease in meadow area since baseline. NA=no data available as site not established.</w:t>
      </w:r>
      <w:r w:rsidR="004C0F4D" w:rsidRPr="00370E70">
        <w:rPr>
          <w:lang w:val="en-AU"/>
        </w:rPr>
        <w:t xml:space="preserve"> </w:t>
      </w:r>
    </w:p>
    <w:tbl>
      <w:tblPr>
        <w:tblW w:w="8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7"/>
        <w:gridCol w:w="1241"/>
        <w:gridCol w:w="1241"/>
        <w:gridCol w:w="1325"/>
        <w:gridCol w:w="1321"/>
        <w:gridCol w:w="1230"/>
        <w:gridCol w:w="1292"/>
      </w:tblGrid>
      <w:tr w:rsidR="005132EF" w:rsidRPr="00370E70" w:rsidTr="007E7BAC">
        <w:trPr>
          <w:jc w:val="center"/>
        </w:trPr>
        <w:tc>
          <w:tcPr>
            <w:tcW w:w="1057" w:type="dxa"/>
            <w:tcBorders>
              <w:top w:val="nil"/>
              <w:left w:val="nil"/>
              <w:bottom w:val="nil"/>
            </w:tcBorders>
            <w:vAlign w:val="center"/>
          </w:tcPr>
          <w:p w:rsidR="005132EF" w:rsidRPr="00370E70" w:rsidRDefault="005132EF" w:rsidP="007E7BAC">
            <w:pPr>
              <w:keepNext/>
              <w:spacing w:before="0" w:after="0"/>
              <w:jc w:val="center"/>
              <w:rPr>
                <w:b/>
                <w:color w:val="000000"/>
              </w:rPr>
            </w:pPr>
          </w:p>
        </w:tc>
        <w:tc>
          <w:tcPr>
            <w:tcW w:w="2482" w:type="dxa"/>
            <w:gridSpan w:val="2"/>
            <w:vAlign w:val="center"/>
          </w:tcPr>
          <w:p w:rsidR="005132EF" w:rsidRPr="00370E70" w:rsidRDefault="005132EF" w:rsidP="00034AD4">
            <w:pPr>
              <w:keepNext/>
              <w:spacing w:before="0" w:after="0"/>
              <w:jc w:val="center"/>
              <w:rPr>
                <w:b/>
                <w:color w:val="000000"/>
              </w:rPr>
            </w:pPr>
            <w:smartTag w:uri="urn:schemas-microsoft-com:office:smarttags" w:element="place">
              <w:smartTag w:uri="urn:schemas-microsoft-com:office:smarttags" w:element="PlaceName">
                <w:r w:rsidRPr="00370E70">
                  <w:rPr>
                    <w:b/>
                    <w:color w:val="000000"/>
                  </w:rPr>
                  <w:t>Pioneer</w:t>
                </w:r>
              </w:smartTag>
              <w:r w:rsidRPr="00370E70">
                <w:rPr>
                  <w:b/>
                  <w:color w:val="000000"/>
                </w:rPr>
                <w:t xml:space="preserve"> </w:t>
              </w:r>
              <w:smartTag w:uri="urn:schemas-microsoft-com:office:smarttags" w:element="PlaceType">
                <w:r w:rsidRPr="00370E70">
                  <w:rPr>
                    <w:b/>
                    <w:color w:val="000000"/>
                  </w:rPr>
                  <w:t>Bay</w:t>
                </w:r>
              </w:smartTag>
            </w:smartTag>
          </w:p>
        </w:tc>
        <w:tc>
          <w:tcPr>
            <w:tcW w:w="2646" w:type="dxa"/>
            <w:gridSpan w:val="2"/>
            <w:vAlign w:val="center"/>
          </w:tcPr>
          <w:p w:rsidR="005132EF" w:rsidRPr="00370E70" w:rsidRDefault="005132EF" w:rsidP="00034AD4">
            <w:pPr>
              <w:keepNext/>
              <w:spacing w:before="0" w:after="0"/>
              <w:jc w:val="center"/>
              <w:rPr>
                <w:b/>
                <w:color w:val="000000"/>
              </w:rPr>
            </w:pPr>
            <w:smartTag w:uri="urn:schemas-microsoft-com:office:smarttags" w:element="place">
              <w:smartTag w:uri="urn:schemas-microsoft-com:office:smarttags" w:element="PlaceName">
                <w:r w:rsidRPr="00370E70">
                  <w:rPr>
                    <w:b/>
                    <w:color w:val="000000"/>
                  </w:rPr>
                  <w:t>Hamilton</w:t>
                </w:r>
              </w:smartTag>
              <w:r w:rsidRPr="00370E70">
                <w:rPr>
                  <w:b/>
                  <w:color w:val="000000"/>
                </w:rPr>
                <w:t xml:space="preserve"> </w:t>
              </w:r>
              <w:smartTag w:uri="urn:schemas-microsoft-com:office:smarttags" w:element="PlaceType">
                <w:r w:rsidRPr="00370E70">
                  <w:rPr>
                    <w:b/>
                    <w:color w:val="000000"/>
                  </w:rPr>
                  <w:t>Island</w:t>
                </w:r>
              </w:smartTag>
            </w:smartTag>
          </w:p>
        </w:tc>
        <w:tc>
          <w:tcPr>
            <w:tcW w:w="2522" w:type="dxa"/>
            <w:gridSpan w:val="2"/>
            <w:vAlign w:val="center"/>
          </w:tcPr>
          <w:p w:rsidR="005132EF" w:rsidRPr="00370E70" w:rsidRDefault="005132EF" w:rsidP="00034AD4">
            <w:pPr>
              <w:keepNext/>
              <w:spacing w:before="0" w:after="0"/>
              <w:jc w:val="center"/>
              <w:rPr>
                <w:b/>
                <w:color w:val="000000"/>
              </w:rPr>
            </w:pPr>
            <w:r w:rsidRPr="00370E70">
              <w:rPr>
                <w:b/>
                <w:color w:val="000000"/>
              </w:rPr>
              <w:t>Sarina Inlet</w:t>
            </w:r>
          </w:p>
        </w:tc>
      </w:tr>
      <w:tr w:rsidR="005132EF" w:rsidRPr="00370E70" w:rsidTr="007E7BAC">
        <w:trPr>
          <w:jc w:val="center"/>
        </w:trPr>
        <w:tc>
          <w:tcPr>
            <w:tcW w:w="1057" w:type="dxa"/>
            <w:tcBorders>
              <w:top w:val="nil"/>
              <w:left w:val="nil"/>
            </w:tcBorders>
            <w:vAlign w:val="center"/>
          </w:tcPr>
          <w:p w:rsidR="005132EF" w:rsidRPr="00370E70" w:rsidRDefault="005132EF" w:rsidP="007E7BAC">
            <w:pPr>
              <w:keepNext/>
              <w:spacing w:before="0" w:after="0"/>
              <w:jc w:val="center"/>
              <w:rPr>
                <w:b/>
                <w:color w:val="000000"/>
              </w:rPr>
            </w:pPr>
          </w:p>
        </w:tc>
        <w:tc>
          <w:tcPr>
            <w:tcW w:w="1241" w:type="dxa"/>
            <w:vAlign w:val="center"/>
          </w:tcPr>
          <w:p w:rsidR="005132EF" w:rsidRPr="00370E70" w:rsidRDefault="005132EF" w:rsidP="00034AD4">
            <w:pPr>
              <w:keepNext/>
              <w:spacing w:before="0" w:after="0"/>
              <w:jc w:val="center"/>
              <w:rPr>
                <w:b/>
                <w:color w:val="000000"/>
              </w:rPr>
            </w:pPr>
            <w:r w:rsidRPr="00370E70">
              <w:rPr>
                <w:b/>
                <w:color w:val="000000"/>
              </w:rPr>
              <w:t>PI2</w:t>
            </w:r>
          </w:p>
        </w:tc>
        <w:tc>
          <w:tcPr>
            <w:tcW w:w="1241" w:type="dxa"/>
            <w:vAlign w:val="center"/>
          </w:tcPr>
          <w:p w:rsidR="005132EF" w:rsidRPr="00370E70" w:rsidRDefault="005132EF" w:rsidP="00034AD4">
            <w:pPr>
              <w:keepNext/>
              <w:spacing w:before="0" w:after="0"/>
              <w:jc w:val="center"/>
              <w:rPr>
                <w:b/>
                <w:color w:val="000000"/>
              </w:rPr>
            </w:pPr>
            <w:r w:rsidRPr="00370E70">
              <w:rPr>
                <w:b/>
                <w:color w:val="000000"/>
              </w:rPr>
              <w:t>PI3</w:t>
            </w:r>
          </w:p>
        </w:tc>
        <w:tc>
          <w:tcPr>
            <w:tcW w:w="1325" w:type="dxa"/>
            <w:vAlign w:val="center"/>
          </w:tcPr>
          <w:p w:rsidR="005132EF" w:rsidRPr="00370E70" w:rsidRDefault="005132EF" w:rsidP="00034AD4">
            <w:pPr>
              <w:keepNext/>
              <w:spacing w:before="0" w:after="0"/>
              <w:jc w:val="center"/>
              <w:rPr>
                <w:b/>
                <w:color w:val="000000"/>
              </w:rPr>
            </w:pPr>
            <w:r w:rsidRPr="00370E70">
              <w:rPr>
                <w:b/>
                <w:color w:val="000000"/>
              </w:rPr>
              <w:t>HM1</w:t>
            </w:r>
          </w:p>
        </w:tc>
        <w:tc>
          <w:tcPr>
            <w:tcW w:w="1321" w:type="dxa"/>
            <w:vAlign w:val="center"/>
          </w:tcPr>
          <w:p w:rsidR="005132EF" w:rsidRPr="00370E70" w:rsidRDefault="005132EF" w:rsidP="00034AD4">
            <w:pPr>
              <w:keepNext/>
              <w:spacing w:before="0" w:after="0"/>
              <w:jc w:val="center"/>
              <w:rPr>
                <w:b/>
                <w:color w:val="000000"/>
              </w:rPr>
            </w:pPr>
            <w:r w:rsidRPr="00370E70">
              <w:rPr>
                <w:b/>
                <w:color w:val="000000"/>
              </w:rPr>
              <w:t>HM2</w:t>
            </w:r>
          </w:p>
        </w:tc>
        <w:tc>
          <w:tcPr>
            <w:tcW w:w="1230" w:type="dxa"/>
            <w:vAlign w:val="center"/>
          </w:tcPr>
          <w:p w:rsidR="005132EF" w:rsidRPr="00370E70" w:rsidRDefault="005132EF" w:rsidP="00034AD4">
            <w:pPr>
              <w:keepNext/>
              <w:spacing w:before="0" w:after="0"/>
              <w:jc w:val="center"/>
              <w:rPr>
                <w:b/>
                <w:color w:val="000000"/>
              </w:rPr>
            </w:pPr>
            <w:r w:rsidRPr="00370E70">
              <w:rPr>
                <w:b/>
                <w:color w:val="000000"/>
              </w:rPr>
              <w:t>SI1</w:t>
            </w:r>
          </w:p>
        </w:tc>
        <w:tc>
          <w:tcPr>
            <w:tcW w:w="1292" w:type="dxa"/>
            <w:vAlign w:val="center"/>
          </w:tcPr>
          <w:p w:rsidR="005132EF" w:rsidRPr="00370E70" w:rsidRDefault="005132EF" w:rsidP="00034AD4">
            <w:pPr>
              <w:keepNext/>
              <w:spacing w:before="0" w:after="0"/>
              <w:jc w:val="center"/>
              <w:rPr>
                <w:b/>
                <w:color w:val="000000"/>
              </w:rPr>
            </w:pPr>
            <w:r w:rsidRPr="00370E70">
              <w:rPr>
                <w:b/>
                <w:color w:val="000000"/>
              </w:rPr>
              <w:t>SI2</w:t>
            </w:r>
          </w:p>
        </w:tc>
      </w:tr>
      <w:tr w:rsidR="005132EF" w:rsidRPr="00370E70" w:rsidTr="007E7BAC">
        <w:trPr>
          <w:trHeight w:val="728"/>
          <w:jc w:val="center"/>
        </w:trPr>
        <w:tc>
          <w:tcPr>
            <w:tcW w:w="1057" w:type="dxa"/>
            <w:vAlign w:val="center"/>
          </w:tcPr>
          <w:p w:rsidR="005132EF" w:rsidRPr="00370E70" w:rsidRDefault="005132EF" w:rsidP="007E7BAC">
            <w:pPr>
              <w:keepNext/>
              <w:spacing w:before="60" w:after="60"/>
              <w:jc w:val="center"/>
              <w:rPr>
                <w:color w:val="000000"/>
              </w:rPr>
            </w:pPr>
            <w:r w:rsidRPr="00370E70">
              <w:rPr>
                <w:b/>
                <w:color w:val="000000"/>
                <w:sz w:val="20"/>
                <w:szCs w:val="20"/>
              </w:rPr>
              <w:t xml:space="preserve">October 2005 </w:t>
            </w:r>
            <w:r w:rsidRPr="00370E70">
              <w:rPr>
                <w:color w:val="000000"/>
                <w:sz w:val="20"/>
                <w:szCs w:val="20"/>
              </w:rPr>
              <w:t>(baseline)</w:t>
            </w:r>
          </w:p>
        </w:tc>
        <w:tc>
          <w:tcPr>
            <w:tcW w:w="1241" w:type="dxa"/>
            <w:vAlign w:val="center"/>
          </w:tcPr>
          <w:p w:rsidR="005132EF" w:rsidRPr="00370E70" w:rsidRDefault="005132EF" w:rsidP="00034AD4">
            <w:pPr>
              <w:keepNext/>
              <w:spacing w:before="0" w:after="0"/>
              <w:ind w:left="-692" w:firstLine="692"/>
              <w:jc w:val="center"/>
              <w:rPr>
                <w:rFonts w:cs="Arial"/>
                <w:b/>
                <w:color w:val="000000"/>
              </w:rPr>
            </w:pPr>
            <w:r w:rsidRPr="00370E70">
              <w:rPr>
                <w:rFonts w:cs="Arial"/>
                <w:b/>
                <w:color w:val="000000"/>
              </w:rPr>
              <w:t>3.432</w:t>
            </w:r>
          </w:p>
        </w:tc>
        <w:tc>
          <w:tcPr>
            <w:tcW w:w="1241" w:type="dxa"/>
            <w:vAlign w:val="center"/>
          </w:tcPr>
          <w:p w:rsidR="005132EF" w:rsidRPr="00370E70" w:rsidRDefault="005132EF" w:rsidP="00034AD4">
            <w:pPr>
              <w:keepNext/>
              <w:spacing w:before="0" w:after="0"/>
              <w:ind w:left="-692" w:firstLine="692"/>
              <w:jc w:val="center"/>
              <w:rPr>
                <w:rFonts w:cs="Arial"/>
                <w:b/>
                <w:color w:val="000000"/>
              </w:rPr>
            </w:pPr>
            <w:r w:rsidRPr="00370E70">
              <w:rPr>
                <w:rFonts w:cs="Arial"/>
                <w:b/>
                <w:color w:val="000000"/>
              </w:rPr>
              <w:t>2.432</w:t>
            </w:r>
          </w:p>
        </w:tc>
        <w:tc>
          <w:tcPr>
            <w:tcW w:w="1325" w:type="dxa"/>
            <w:vAlign w:val="center"/>
          </w:tcPr>
          <w:p w:rsidR="005132EF" w:rsidRPr="00370E70" w:rsidRDefault="005132EF" w:rsidP="00034AD4">
            <w:pPr>
              <w:keepNext/>
              <w:jc w:val="center"/>
              <w:rPr>
                <w:color w:val="000000"/>
              </w:rPr>
            </w:pPr>
            <w:r w:rsidRPr="00370E70">
              <w:rPr>
                <w:rFonts w:cs="Arial"/>
                <w:i/>
                <w:color w:val="000000"/>
                <w:sz w:val="20"/>
                <w:szCs w:val="20"/>
              </w:rPr>
              <w:t>NA</w:t>
            </w:r>
          </w:p>
        </w:tc>
        <w:tc>
          <w:tcPr>
            <w:tcW w:w="1321" w:type="dxa"/>
            <w:vAlign w:val="center"/>
          </w:tcPr>
          <w:p w:rsidR="005132EF" w:rsidRPr="00370E70" w:rsidRDefault="005132EF" w:rsidP="00034AD4">
            <w:pPr>
              <w:keepNext/>
              <w:spacing w:before="0" w:after="0"/>
              <w:ind w:left="-692" w:firstLine="692"/>
              <w:jc w:val="center"/>
              <w:rPr>
                <w:rFonts w:cs="Arial"/>
                <w:b/>
                <w:color w:val="000000"/>
              </w:rPr>
            </w:pPr>
            <w:r w:rsidRPr="00370E70">
              <w:rPr>
                <w:rFonts w:cs="Arial"/>
                <w:i/>
                <w:color w:val="000000"/>
                <w:sz w:val="20"/>
                <w:szCs w:val="20"/>
              </w:rPr>
              <w:t>NA</w:t>
            </w:r>
          </w:p>
        </w:tc>
        <w:tc>
          <w:tcPr>
            <w:tcW w:w="1230" w:type="dxa"/>
            <w:vAlign w:val="center"/>
          </w:tcPr>
          <w:p w:rsidR="005132EF" w:rsidRPr="00370E70" w:rsidRDefault="005132EF" w:rsidP="00034AD4">
            <w:pPr>
              <w:keepNext/>
              <w:jc w:val="center"/>
              <w:rPr>
                <w:color w:val="000000"/>
              </w:rPr>
            </w:pPr>
            <w:r w:rsidRPr="00370E70">
              <w:rPr>
                <w:rFonts w:cs="Arial"/>
                <w:b/>
                <w:color w:val="000000"/>
              </w:rPr>
              <w:t>3.374</w:t>
            </w:r>
          </w:p>
        </w:tc>
        <w:tc>
          <w:tcPr>
            <w:tcW w:w="1292" w:type="dxa"/>
            <w:vAlign w:val="center"/>
          </w:tcPr>
          <w:p w:rsidR="005132EF" w:rsidRPr="00370E70" w:rsidRDefault="005132EF" w:rsidP="00034AD4">
            <w:pPr>
              <w:keepNext/>
              <w:jc w:val="center"/>
              <w:rPr>
                <w:color w:val="000000"/>
              </w:rPr>
            </w:pPr>
            <w:r w:rsidRPr="00370E70">
              <w:rPr>
                <w:rFonts w:cs="Arial"/>
                <w:b/>
                <w:color w:val="000000"/>
              </w:rPr>
              <w:t>3.747</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color w:val="000000"/>
              </w:rPr>
            </w:pPr>
            <w:r w:rsidRPr="00370E70">
              <w:rPr>
                <w:b/>
                <w:color w:val="000000"/>
                <w:sz w:val="20"/>
                <w:szCs w:val="20"/>
              </w:rPr>
              <w:t>2006</w:t>
            </w:r>
          </w:p>
        </w:tc>
        <w:tc>
          <w:tcPr>
            <w:tcW w:w="1241" w:type="dxa"/>
          </w:tcPr>
          <w:p w:rsidR="005132EF" w:rsidRPr="00370E70" w:rsidRDefault="005132EF" w:rsidP="00034AD4">
            <w:pPr>
              <w:keepNext/>
              <w:spacing w:before="0" w:after="0"/>
              <w:ind w:left="-692" w:firstLine="692"/>
              <w:jc w:val="center"/>
              <w:rPr>
                <w:rFonts w:cs="Arial"/>
                <w:color w:val="000000"/>
              </w:rPr>
            </w:pPr>
            <w:r w:rsidRPr="00370E70">
              <w:rPr>
                <w:color w:val="000000"/>
              </w:rPr>
              <w:t>3.534</w:t>
            </w:r>
          </w:p>
          <w:p w:rsidR="005132EF" w:rsidRPr="00370E70" w:rsidRDefault="005132EF" w:rsidP="00034AD4">
            <w:pPr>
              <w:keepNext/>
              <w:spacing w:before="0" w:after="0"/>
              <w:ind w:left="-14" w:firstLine="14"/>
              <w:jc w:val="center"/>
              <w:rPr>
                <w:i/>
                <w:iCs/>
                <w:color w:val="000000"/>
                <w:sz w:val="16"/>
                <w:szCs w:val="16"/>
              </w:rPr>
            </w:pPr>
            <w:r w:rsidRPr="00370E70">
              <w:rPr>
                <w:rFonts w:cs="Arial"/>
                <w:i/>
                <w:color w:val="000000"/>
                <w:sz w:val="16"/>
                <w:szCs w:val="16"/>
              </w:rPr>
              <w:t>(</w:t>
            </w:r>
            <w:r w:rsidRPr="00370E70">
              <w:rPr>
                <w:i/>
                <w:iCs/>
                <w:color w:val="000000"/>
                <w:sz w:val="16"/>
                <w:szCs w:val="16"/>
              </w:rPr>
              <w:t>3.0%,</w:t>
            </w:r>
          </w:p>
          <w:p w:rsidR="005132EF" w:rsidRPr="00370E70" w:rsidRDefault="005132EF" w:rsidP="00034AD4">
            <w:pPr>
              <w:keepNext/>
              <w:spacing w:before="0" w:after="0"/>
              <w:ind w:left="-14" w:firstLine="14"/>
              <w:jc w:val="center"/>
              <w:rPr>
                <w:rFonts w:cs="Arial"/>
                <w:i/>
                <w:color w:val="000000"/>
                <w:sz w:val="16"/>
                <w:szCs w:val="16"/>
              </w:rPr>
            </w:pPr>
            <w:r w:rsidRPr="00370E70">
              <w:rPr>
                <w:rFonts w:cs="Arial"/>
                <w:i/>
                <w:color w:val="000000"/>
                <w:sz w:val="16"/>
                <w:szCs w:val="16"/>
              </w:rPr>
              <w:t xml:space="preserve"> increase shoreward)</w:t>
            </w:r>
          </w:p>
        </w:tc>
        <w:tc>
          <w:tcPr>
            <w:tcW w:w="1241" w:type="dxa"/>
            <w:shd w:val="clear" w:color="auto" w:fill="E6E6E6"/>
          </w:tcPr>
          <w:p w:rsidR="005132EF" w:rsidRPr="00370E70" w:rsidRDefault="005132EF" w:rsidP="00034AD4">
            <w:pPr>
              <w:keepNext/>
              <w:spacing w:before="0" w:after="0"/>
              <w:ind w:left="-14" w:firstLine="14"/>
              <w:jc w:val="center"/>
              <w:rPr>
                <w:rFonts w:cs="Arial"/>
                <w:color w:val="000000"/>
              </w:rPr>
            </w:pPr>
            <w:r w:rsidRPr="00370E70">
              <w:rPr>
                <w:color w:val="000000"/>
              </w:rPr>
              <w:t>2.026</w:t>
            </w:r>
          </w:p>
          <w:p w:rsidR="005132EF" w:rsidRPr="00370E70" w:rsidRDefault="005132EF" w:rsidP="00034AD4">
            <w:pPr>
              <w:keepNext/>
              <w:spacing w:before="0" w:after="0"/>
              <w:ind w:left="-14" w:firstLine="14"/>
              <w:jc w:val="center"/>
              <w:rPr>
                <w:rFonts w:cs="Arial"/>
                <w:i/>
                <w:color w:val="000000"/>
                <w:sz w:val="16"/>
                <w:szCs w:val="16"/>
              </w:rPr>
            </w:pPr>
            <w:r w:rsidRPr="00370E70">
              <w:rPr>
                <w:rFonts w:cs="Arial"/>
                <w:i/>
                <w:color w:val="000000"/>
                <w:sz w:val="16"/>
                <w:szCs w:val="16"/>
              </w:rPr>
              <w:t>(</w:t>
            </w:r>
            <w:r w:rsidRPr="00370E70">
              <w:rPr>
                <w:i/>
                <w:color w:val="000000"/>
                <w:sz w:val="16"/>
                <w:szCs w:val="16"/>
              </w:rPr>
              <w:t>-16.7</w:t>
            </w:r>
            <w:r w:rsidRPr="00370E70">
              <w:rPr>
                <w:i/>
                <w:iCs/>
                <w:color w:val="000000"/>
                <w:sz w:val="16"/>
                <w:szCs w:val="16"/>
              </w:rPr>
              <w:t>%,</w:t>
            </w:r>
            <w:r w:rsidRPr="00370E70">
              <w:rPr>
                <w:i/>
                <w:color w:val="000000"/>
                <w:sz w:val="16"/>
                <w:szCs w:val="16"/>
              </w:rPr>
              <w:t xml:space="preserve"> decrease </w:t>
            </w:r>
            <w:r w:rsidRPr="00370E70">
              <w:rPr>
                <w:rFonts w:cs="Arial"/>
                <w:i/>
                <w:color w:val="000000"/>
                <w:sz w:val="16"/>
                <w:szCs w:val="16"/>
              </w:rPr>
              <w:t>shoreward)</w:t>
            </w:r>
          </w:p>
        </w:tc>
        <w:tc>
          <w:tcPr>
            <w:tcW w:w="1325" w:type="dxa"/>
          </w:tcPr>
          <w:p w:rsidR="005132EF" w:rsidRPr="00370E70" w:rsidRDefault="005132EF" w:rsidP="00034AD4">
            <w:pPr>
              <w:keepNext/>
              <w:spacing w:before="0" w:after="0"/>
              <w:jc w:val="center"/>
              <w:rPr>
                <w:color w:val="000000"/>
              </w:rPr>
            </w:pPr>
            <w:r w:rsidRPr="00370E70">
              <w:rPr>
                <w:rFonts w:cs="Arial"/>
                <w:i/>
                <w:color w:val="000000"/>
                <w:sz w:val="20"/>
                <w:szCs w:val="20"/>
              </w:rPr>
              <w:t>NA</w:t>
            </w:r>
          </w:p>
        </w:tc>
        <w:tc>
          <w:tcPr>
            <w:tcW w:w="1321" w:type="dxa"/>
          </w:tcPr>
          <w:p w:rsidR="005132EF" w:rsidRPr="00370E70" w:rsidRDefault="005132EF" w:rsidP="00034AD4">
            <w:pPr>
              <w:keepNext/>
              <w:spacing w:before="0" w:after="0"/>
              <w:ind w:left="-14" w:firstLine="14"/>
              <w:jc w:val="center"/>
              <w:rPr>
                <w:rFonts w:cs="Arial"/>
                <w:i/>
                <w:color w:val="000000"/>
                <w:sz w:val="16"/>
                <w:szCs w:val="16"/>
              </w:rPr>
            </w:pPr>
            <w:r w:rsidRPr="00370E70">
              <w:rPr>
                <w:rFonts w:cs="Arial"/>
                <w:i/>
                <w:color w:val="000000"/>
                <w:sz w:val="20"/>
                <w:szCs w:val="20"/>
              </w:rPr>
              <w:t>NA</w:t>
            </w:r>
          </w:p>
        </w:tc>
        <w:tc>
          <w:tcPr>
            <w:tcW w:w="1230" w:type="dxa"/>
            <w:shd w:val="clear" w:color="auto" w:fill="E6E6E6"/>
          </w:tcPr>
          <w:p w:rsidR="005132EF" w:rsidRPr="00370E70" w:rsidRDefault="005132EF" w:rsidP="00034AD4">
            <w:pPr>
              <w:keepNext/>
              <w:spacing w:before="0" w:after="0"/>
              <w:ind w:left="-14" w:firstLine="14"/>
              <w:jc w:val="center"/>
              <w:rPr>
                <w:rFonts w:cs="Arial"/>
                <w:color w:val="000000"/>
              </w:rPr>
            </w:pPr>
            <w:r w:rsidRPr="00370E70">
              <w:rPr>
                <w:color w:val="000000"/>
              </w:rPr>
              <w:t>1.726</w:t>
            </w:r>
          </w:p>
          <w:p w:rsidR="005132EF" w:rsidRPr="00370E70" w:rsidRDefault="005132EF" w:rsidP="00034AD4">
            <w:pPr>
              <w:keepNext/>
              <w:spacing w:before="0" w:after="0"/>
              <w:ind w:left="-14" w:firstLine="14"/>
              <w:jc w:val="center"/>
              <w:rPr>
                <w:rFonts w:cs="Arial"/>
                <w:color w:val="000000"/>
                <w:sz w:val="20"/>
                <w:szCs w:val="20"/>
              </w:rPr>
            </w:pPr>
            <w:r w:rsidRPr="00370E70">
              <w:rPr>
                <w:rFonts w:cs="Arial"/>
                <w:i/>
                <w:color w:val="000000"/>
                <w:sz w:val="16"/>
                <w:szCs w:val="16"/>
              </w:rPr>
              <w:t>(</w:t>
            </w:r>
            <w:r w:rsidRPr="00370E70">
              <w:rPr>
                <w:i/>
                <w:color w:val="000000"/>
                <w:sz w:val="16"/>
                <w:szCs w:val="16"/>
              </w:rPr>
              <w:t>-48.8</w:t>
            </w:r>
            <w:r w:rsidRPr="00370E70">
              <w:rPr>
                <w:i/>
                <w:iCs/>
                <w:color w:val="000000"/>
                <w:sz w:val="16"/>
                <w:szCs w:val="16"/>
              </w:rPr>
              <w:t>%,</w:t>
            </w:r>
            <w:r w:rsidRPr="00370E70">
              <w:rPr>
                <w:i/>
                <w:color w:val="000000"/>
                <w:sz w:val="16"/>
                <w:szCs w:val="16"/>
              </w:rPr>
              <w:t xml:space="preserve"> decrease seaward</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ind w:left="-14" w:firstLine="14"/>
              <w:jc w:val="center"/>
              <w:rPr>
                <w:rFonts w:cs="Arial"/>
                <w:color w:val="000000"/>
              </w:rPr>
            </w:pPr>
            <w:r w:rsidRPr="00370E70">
              <w:rPr>
                <w:color w:val="000000"/>
              </w:rPr>
              <w:t>2.46</w:t>
            </w:r>
          </w:p>
          <w:p w:rsidR="005132EF" w:rsidRPr="00370E70" w:rsidRDefault="005132EF" w:rsidP="00034AD4">
            <w:pPr>
              <w:keepNext/>
              <w:spacing w:before="0" w:after="0"/>
              <w:ind w:left="-14" w:firstLine="14"/>
              <w:jc w:val="center"/>
              <w:rPr>
                <w:rFonts w:cs="Arial"/>
                <w:color w:val="000000"/>
                <w:sz w:val="20"/>
                <w:szCs w:val="20"/>
              </w:rPr>
            </w:pPr>
            <w:r w:rsidRPr="00370E70">
              <w:rPr>
                <w:rFonts w:cs="Arial"/>
                <w:i/>
                <w:color w:val="000000"/>
                <w:sz w:val="16"/>
                <w:szCs w:val="16"/>
              </w:rPr>
              <w:t>(</w:t>
            </w:r>
            <w:r w:rsidRPr="00370E70">
              <w:rPr>
                <w:i/>
                <w:color w:val="000000"/>
                <w:sz w:val="16"/>
                <w:szCs w:val="16"/>
              </w:rPr>
              <w:t>-34.</w:t>
            </w:r>
            <w:r w:rsidRPr="00370E70">
              <w:rPr>
                <w:i/>
                <w:iCs/>
                <w:color w:val="000000"/>
                <w:sz w:val="16"/>
                <w:szCs w:val="16"/>
              </w:rPr>
              <w:t xml:space="preserve"> %,</w:t>
            </w:r>
            <w:r w:rsidRPr="00370E70">
              <w:rPr>
                <w:i/>
                <w:color w:val="000000"/>
                <w:sz w:val="16"/>
                <w:szCs w:val="16"/>
              </w:rPr>
              <w:t xml:space="preserve">3 decrease </w:t>
            </w:r>
            <w:r w:rsidRPr="00370E70">
              <w:rPr>
                <w:rFonts w:cs="Arial"/>
                <w:i/>
                <w:color w:val="000000"/>
                <w:sz w:val="16"/>
                <w:szCs w:val="16"/>
              </w:rPr>
              <w:t>shoreward)</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color w:val="000000"/>
              </w:rPr>
            </w:pPr>
            <w:r w:rsidRPr="00370E70">
              <w:rPr>
                <w:b/>
                <w:color w:val="000000"/>
                <w:sz w:val="20"/>
                <w:szCs w:val="20"/>
              </w:rPr>
              <w:t>2006</w:t>
            </w:r>
          </w:p>
        </w:tc>
        <w:tc>
          <w:tcPr>
            <w:tcW w:w="1241" w:type="dxa"/>
          </w:tcPr>
          <w:p w:rsidR="005132EF" w:rsidRPr="00370E70" w:rsidRDefault="005132EF" w:rsidP="00034AD4">
            <w:pPr>
              <w:keepNext/>
              <w:spacing w:before="0" w:after="0"/>
              <w:jc w:val="center"/>
              <w:rPr>
                <w:rFonts w:cs="Arial"/>
                <w:color w:val="000000"/>
                <w:sz w:val="20"/>
                <w:szCs w:val="20"/>
              </w:rPr>
            </w:pPr>
            <w:r w:rsidRPr="00370E70">
              <w:rPr>
                <w:color w:val="000000"/>
              </w:rPr>
              <w:t>3.812</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11.1%,</w:t>
            </w:r>
            <w:r w:rsidRPr="00370E70">
              <w:rPr>
                <w:rFonts w:cs="Arial"/>
                <w:i/>
                <w:color w:val="000000"/>
                <w:sz w:val="16"/>
                <w:szCs w:val="16"/>
              </w:rPr>
              <w:t xml:space="preserve"> increase shoreward)</w:t>
            </w:r>
          </w:p>
        </w:tc>
        <w:tc>
          <w:tcPr>
            <w:tcW w:w="1241" w:type="dxa"/>
          </w:tcPr>
          <w:p w:rsidR="005132EF" w:rsidRPr="00370E70" w:rsidRDefault="005132EF" w:rsidP="00034AD4">
            <w:pPr>
              <w:keepNext/>
              <w:spacing w:before="0" w:after="0"/>
              <w:jc w:val="center"/>
              <w:rPr>
                <w:rFonts w:cs="Arial"/>
                <w:color w:val="000000"/>
                <w:sz w:val="20"/>
                <w:szCs w:val="20"/>
              </w:rPr>
            </w:pPr>
            <w:r w:rsidRPr="00370E70">
              <w:rPr>
                <w:color w:val="000000"/>
              </w:rPr>
              <w:t>3.891</w:t>
            </w:r>
          </w:p>
          <w:p w:rsidR="005132EF" w:rsidRPr="00370E70" w:rsidRDefault="005132EF" w:rsidP="00034AD4">
            <w:pPr>
              <w:keepNext/>
              <w:spacing w:before="0" w:after="0"/>
              <w:jc w:val="center"/>
              <w:rPr>
                <w:i/>
                <w:iCs/>
                <w:color w:val="000000"/>
                <w:sz w:val="16"/>
                <w:szCs w:val="16"/>
              </w:rPr>
            </w:pPr>
            <w:r w:rsidRPr="00370E70">
              <w:rPr>
                <w:rFonts w:cs="Arial"/>
                <w:i/>
                <w:color w:val="000000"/>
                <w:sz w:val="16"/>
                <w:szCs w:val="16"/>
              </w:rPr>
              <w:t>(</w:t>
            </w:r>
            <w:r w:rsidRPr="00370E70">
              <w:rPr>
                <w:i/>
                <w:color w:val="000000"/>
                <w:sz w:val="16"/>
                <w:szCs w:val="16"/>
              </w:rPr>
              <w:t>60</w:t>
            </w:r>
            <w:r w:rsidRPr="00370E70">
              <w:rPr>
                <w:i/>
                <w:iCs/>
                <w:color w:val="000000"/>
                <w:sz w:val="16"/>
                <w:szCs w:val="16"/>
              </w:rPr>
              <w:t>%,</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 xml:space="preserve"> increase shoreward)</w:t>
            </w:r>
          </w:p>
        </w:tc>
        <w:tc>
          <w:tcPr>
            <w:tcW w:w="1325" w:type="dxa"/>
          </w:tcPr>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20"/>
                <w:szCs w:val="20"/>
              </w:rPr>
              <w:t>NA</w:t>
            </w:r>
          </w:p>
        </w:tc>
        <w:tc>
          <w:tcPr>
            <w:tcW w:w="1321" w:type="dxa"/>
          </w:tcPr>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20"/>
                <w:szCs w:val="20"/>
              </w:rPr>
              <w:t>NA</w:t>
            </w:r>
          </w:p>
        </w:tc>
        <w:tc>
          <w:tcPr>
            <w:tcW w:w="1230" w:type="dxa"/>
          </w:tcPr>
          <w:p w:rsidR="005132EF" w:rsidRPr="00370E70" w:rsidRDefault="005132EF" w:rsidP="00034AD4">
            <w:pPr>
              <w:keepNext/>
              <w:spacing w:before="0" w:after="0"/>
              <w:jc w:val="center"/>
              <w:rPr>
                <w:color w:val="000000"/>
              </w:rPr>
            </w:pPr>
            <w:r w:rsidRPr="00370E70">
              <w:rPr>
                <w:color w:val="000000"/>
              </w:rPr>
              <w:t>4.425</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w:t>
            </w:r>
            <w:r w:rsidRPr="00370E70">
              <w:rPr>
                <w:i/>
                <w:color w:val="000000"/>
                <w:sz w:val="16"/>
                <w:szCs w:val="16"/>
              </w:rPr>
              <w:t>31.2</w:t>
            </w:r>
            <w:r w:rsidRPr="00370E70">
              <w:rPr>
                <w:i/>
                <w:iCs/>
                <w:color w:val="000000"/>
                <w:sz w:val="16"/>
                <w:szCs w:val="16"/>
              </w:rPr>
              <w:t>%,</w:t>
            </w:r>
            <w:r w:rsidRPr="00370E70">
              <w:rPr>
                <w:rFonts w:cs="Arial"/>
                <w:i/>
                <w:color w:val="000000"/>
                <w:sz w:val="16"/>
                <w:szCs w:val="16"/>
              </w:rPr>
              <w:t xml:space="preserve"> increase shoreward)</w:t>
            </w:r>
          </w:p>
        </w:tc>
        <w:tc>
          <w:tcPr>
            <w:tcW w:w="1292" w:type="dxa"/>
            <w:shd w:val="clear" w:color="auto" w:fill="E6E6E6"/>
          </w:tcPr>
          <w:p w:rsidR="005132EF" w:rsidRPr="00370E70" w:rsidRDefault="005132EF" w:rsidP="00034AD4">
            <w:pPr>
              <w:keepNext/>
              <w:spacing w:before="0" w:after="0"/>
              <w:jc w:val="center"/>
              <w:rPr>
                <w:color w:val="000000"/>
              </w:rPr>
            </w:pPr>
            <w:r w:rsidRPr="00370E70">
              <w:rPr>
                <w:color w:val="000000"/>
              </w:rPr>
              <w:t>3.679</w:t>
            </w:r>
          </w:p>
          <w:p w:rsidR="005132EF" w:rsidRPr="00370E70" w:rsidRDefault="005132EF" w:rsidP="00034AD4">
            <w:pPr>
              <w:keepNext/>
              <w:spacing w:before="0" w:after="0"/>
              <w:jc w:val="center"/>
              <w:rPr>
                <w:i/>
                <w:color w:val="000000"/>
                <w:sz w:val="16"/>
                <w:szCs w:val="16"/>
              </w:rPr>
            </w:pPr>
            <w:r w:rsidRPr="00370E70">
              <w:rPr>
                <w:i/>
                <w:iCs/>
                <w:color w:val="000000"/>
                <w:sz w:val="16"/>
                <w:szCs w:val="16"/>
              </w:rPr>
              <w:t>(</w:t>
            </w:r>
            <w:r w:rsidRPr="00370E70">
              <w:rPr>
                <w:i/>
                <w:color w:val="000000"/>
                <w:sz w:val="16"/>
                <w:szCs w:val="16"/>
              </w:rPr>
              <w:t>-1.8</w:t>
            </w:r>
            <w:r w:rsidRPr="00370E70">
              <w:rPr>
                <w:i/>
                <w:iCs/>
                <w:color w:val="000000"/>
                <w:sz w:val="16"/>
                <w:szCs w:val="16"/>
              </w:rPr>
              <w:t>%,</w:t>
            </w:r>
            <w:r w:rsidRPr="00370E70">
              <w:rPr>
                <w:i/>
                <w:color w:val="000000"/>
                <w:sz w:val="16"/>
                <w:szCs w:val="16"/>
              </w:rPr>
              <w:t xml:space="preserve"> </w:t>
            </w:r>
          </w:p>
          <w:p w:rsidR="005132EF" w:rsidRPr="00370E70" w:rsidRDefault="005132EF" w:rsidP="00034AD4">
            <w:pPr>
              <w:keepNext/>
              <w:spacing w:before="0" w:after="0"/>
              <w:jc w:val="center"/>
              <w:rPr>
                <w:rFonts w:cs="Arial"/>
                <w:color w:val="000000"/>
                <w:sz w:val="20"/>
                <w:szCs w:val="20"/>
              </w:rPr>
            </w:pPr>
            <w:r w:rsidRPr="00370E70">
              <w:rPr>
                <w:i/>
                <w:color w:val="000000"/>
                <w:sz w:val="16"/>
                <w:szCs w:val="16"/>
              </w:rPr>
              <w:t>decrease seaward</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color w:val="000000"/>
              </w:rPr>
            </w:pPr>
            <w:r w:rsidRPr="00370E70">
              <w:rPr>
                <w:b/>
                <w:color w:val="000000"/>
                <w:sz w:val="20"/>
                <w:szCs w:val="20"/>
              </w:rPr>
              <w:t>2007</w:t>
            </w:r>
          </w:p>
        </w:tc>
        <w:tc>
          <w:tcPr>
            <w:tcW w:w="1241" w:type="dxa"/>
          </w:tcPr>
          <w:p w:rsidR="005132EF" w:rsidRPr="00370E70" w:rsidRDefault="005132EF" w:rsidP="00034AD4">
            <w:pPr>
              <w:keepNext/>
              <w:spacing w:before="0" w:after="0"/>
              <w:jc w:val="center"/>
              <w:rPr>
                <w:rFonts w:cs="Arial"/>
                <w:color w:val="000000"/>
                <w:sz w:val="20"/>
                <w:szCs w:val="20"/>
              </w:rPr>
            </w:pPr>
            <w:r w:rsidRPr="00370E70">
              <w:rPr>
                <w:color w:val="000000"/>
              </w:rPr>
              <w:t>4.193</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w:t>
            </w:r>
            <w:r w:rsidRPr="00370E70">
              <w:rPr>
                <w:i/>
                <w:iCs/>
                <w:color w:val="000000"/>
                <w:sz w:val="16"/>
                <w:szCs w:val="16"/>
              </w:rPr>
              <w:t>22.2%,</w:t>
            </w:r>
            <w:r w:rsidRPr="00370E70">
              <w:rPr>
                <w:rFonts w:cs="Arial"/>
                <w:i/>
                <w:color w:val="000000"/>
                <w:sz w:val="16"/>
                <w:szCs w:val="16"/>
              </w:rPr>
              <w:t xml:space="preserve"> increase shoreward)</w:t>
            </w:r>
          </w:p>
        </w:tc>
        <w:tc>
          <w:tcPr>
            <w:tcW w:w="1241" w:type="dxa"/>
          </w:tcPr>
          <w:p w:rsidR="005132EF" w:rsidRPr="00370E70" w:rsidRDefault="005132EF" w:rsidP="00034AD4">
            <w:pPr>
              <w:keepNext/>
              <w:spacing w:before="0" w:after="0"/>
              <w:jc w:val="center"/>
              <w:rPr>
                <w:rFonts w:cs="Arial"/>
                <w:color w:val="000000"/>
                <w:sz w:val="20"/>
                <w:szCs w:val="20"/>
              </w:rPr>
            </w:pPr>
            <w:r w:rsidRPr="00370E70">
              <w:rPr>
                <w:color w:val="000000"/>
              </w:rPr>
              <w:t>4.418</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w:t>
            </w:r>
            <w:r w:rsidRPr="00370E70">
              <w:rPr>
                <w:i/>
                <w:color w:val="000000"/>
                <w:sz w:val="16"/>
                <w:szCs w:val="16"/>
              </w:rPr>
              <w:t>81.</w:t>
            </w:r>
            <w:r w:rsidRPr="00370E70">
              <w:rPr>
                <w:i/>
                <w:iCs/>
                <w:color w:val="000000"/>
                <w:sz w:val="16"/>
                <w:szCs w:val="16"/>
              </w:rPr>
              <w:t xml:space="preserve"> %,</w:t>
            </w:r>
            <w:r w:rsidRPr="00370E70">
              <w:rPr>
                <w:rFonts w:cs="Arial"/>
                <w:i/>
                <w:color w:val="000000"/>
                <w:sz w:val="16"/>
                <w:szCs w:val="16"/>
              </w:rPr>
              <w:t xml:space="preserve"> </w:t>
            </w:r>
          </w:p>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16"/>
                <w:szCs w:val="16"/>
              </w:rPr>
              <w:t>increase shoreward)</w:t>
            </w:r>
          </w:p>
        </w:tc>
        <w:tc>
          <w:tcPr>
            <w:tcW w:w="1325" w:type="dxa"/>
          </w:tcPr>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20"/>
                <w:szCs w:val="20"/>
              </w:rPr>
              <w:t>NA</w:t>
            </w:r>
          </w:p>
        </w:tc>
        <w:tc>
          <w:tcPr>
            <w:tcW w:w="1321" w:type="dxa"/>
          </w:tcPr>
          <w:p w:rsidR="005132EF" w:rsidRPr="00370E70" w:rsidRDefault="005132EF" w:rsidP="00034AD4">
            <w:pPr>
              <w:keepNext/>
              <w:spacing w:before="0" w:after="0"/>
              <w:jc w:val="center"/>
              <w:rPr>
                <w:rFonts w:cs="Arial"/>
                <w:b/>
                <w:i/>
                <w:color w:val="000000"/>
                <w:sz w:val="20"/>
                <w:szCs w:val="20"/>
              </w:rPr>
            </w:pPr>
            <w:r w:rsidRPr="00370E70">
              <w:rPr>
                <w:rFonts w:cs="Arial"/>
                <w:i/>
                <w:color w:val="000000"/>
                <w:sz w:val="20"/>
                <w:szCs w:val="20"/>
              </w:rPr>
              <w:t>NA</w:t>
            </w:r>
          </w:p>
        </w:tc>
        <w:tc>
          <w:tcPr>
            <w:tcW w:w="1230" w:type="dxa"/>
          </w:tcPr>
          <w:p w:rsidR="005132EF" w:rsidRPr="00370E70" w:rsidRDefault="005132EF" w:rsidP="00034AD4">
            <w:pPr>
              <w:keepNext/>
              <w:spacing w:before="0" w:after="0"/>
              <w:jc w:val="center"/>
              <w:rPr>
                <w:color w:val="000000"/>
              </w:rPr>
            </w:pPr>
            <w:r w:rsidRPr="00370E70">
              <w:rPr>
                <w:color w:val="000000"/>
              </w:rPr>
              <w:t>4.092</w:t>
            </w:r>
          </w:p>
          <w:p w:rsidR="005132EF" w:rsidRPr="00370E70" w:rsidRDefault="005132EF" w:rsidP="00034AD4">
            <w:pPr>
              <w:keepNext/>
              <w:spacing w:before="0" w:after="0"/>
              <w:jc w:val="center"/>
              <w:rPr>
                <w:rFonts w:cs="Arial"/>
                <w:color w:val="000000"/>
                <w:sz w:val="20"/>
                <w:szCs w:val="20"/>
              </w:rPr>
            </w:pPr>
            <w:r w:rsidRPr="00370E70">
              <w:rPr>
                <w:i/>
                <w:iCs/>
                <w:color w:val="000000"/>
                <w:sz w:val="16"/>
                <w:szCs w:val="16"/>
              </w:rPr>
              <w:t>(</w:t>
            </w:r>
            <w:r w:rsidRPr="00370E70">
              <w:rPr>
                <w:i/>
                <w:color w:val="000000"/>
                <w:sz w:val="16"/>
                <w:szCs w:val="16"/>
              </w:rPr>
              <w:t>21.</w:t>
            </w:r>
            <w:r w:rsidRPr="00370E70">
              <w:rPr>
                <w:i/>
                <w:iCs/>
                <w:color w:val="000000"/>
                <w:sz w:val="16"/>
                <w:szCs w:val="16"/>
              </w:rPr>
              <w:t>0%,</w:t>
            </w:r>
            <w:r w:rsidRPr="00370E70">
              <w:rPr>
                <w:rFonts w:cs="Arial"/>
                <w:i/>
                <w:color w:val="000000"/>
                <w:sz w:val="16"/>
                <w:szCs w:val="16"/>
              </w:rPr>
              <w:t xml:space="preserve"> increase shoreward)</w:t>
            </w:r>
          </w:p>
        </w:tc>
        <w:tc>
          <w:tcPr>
            <w:tcW w:w="1292" w:type="dxa"/>
            <w:shd w:val="clear" w:color="auto" w:fill="E6E6E6"/>
          </w:tcPr>
          <w:p w:rsidR="005132EF" w:rsidRPr="00370E70" w:rsidRDefault="005132EF" w:rsidP="00034AD4">
            <w:pPr>
              <w:keepNext/>
              <w:spacing w:before="0" w:after="0"/>
              <w:jc w:val="center"/>
              <w:rPr>
                <w:color w:val="000000"/>
              </w:rPr>
            </w:pPr>
            <w:r w:rsidRPr="00370E70">
              <w:rPr>
                <w:color w:val="000000"/>
              </w:rPr>
              <w:t>3.536</w:t>
            </w:r>
          </w:p>
          <w:p w:rsidR="005132EF" w:rsidRPr="00370E70" w:rsidRDefault="005132EF" w:rsidP="00034AD4">
            <w:pPr>
              <w:keepNext/>
              <w:spacing w:before="0" w:after="0"/>
              <w:jc w:val="center"/>
              <w:rPr>
                <w:i/>
                <w:color w:val="000000"/>
                <w:sz w:val="16"/>
                <w:szCs w:val="16"/>
              </w:rPr>
            </w:pPr>
            <w:r w:rsidRPr="00370E70">
              <w:rPr>
                <w:i/>
                <w:iCs/>
                <w:color w:val="000000"/>
                <w:sz w:val="16"/>
                <w:szCs w:val="16"/>
              </w:rPr>
              <w:t>(</w:t>
            </w:r>
            <w:r w:rsidRPr="00370E70">
              <w:rPr>
                <w:i/>
                <w:color w:val="000000"/>
                <w:sz w:val="16"/>
                <w:szCs w:val="16"/>
              </w:rPr>
              <w:t>-5.6</w:t>
            </w:r>
            <w:r w:rsidRPr="00370E70">
              <w:rPr>
                <w:i/>
                <w:iCs/>
                <w:color w:val="000000"/>
                <w:sz w:val="16"/>
                <w:szCs w:val="16"/>
              </w:rPr>
              <w:t>%,</w:t>
            </w:r>
            <w:r w:rsidRPr="00370E70">
              <w:rPr>
                <w:i/>
                <w:color w:val="000000"/>
                <w:sz w:val="16"/>
                <w:szCs w:val="16"/>
              </w:rPr>
              <w:t xml:space="preserve"> </w:t>
            </w:r>
          </w:p>
          <w:p w:rsidR="005132EF" w:rsidRPr="00370E70" w:rsidRDefault="005132EF" w:rsidP="00034AD4">
            <w:pPr>
              <w:keepNext/>
              <w:spacing w:before="0" w:after="0"/>
              <w:jc w:val="center"/>
              <w:rPr>
                <w:rFonts w:cs="Arial"/>
                <w:color w:val="000000"/>
                <w:sz w:val="20"/>
                <w:szCs w:val="20"/>
              </w:rPr>
            </w:pPr>
            <w:r w:rsidRPr="00370E70">
              <w:rPr>
                <w:i/>
                <w:color w:val="000000"/>
                <w:sz w:val="16"/>
                <w:szCs w:val="16"/>
              </w:rPr>
              <w:t>decrease seaward</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color w:val="000000"/>
              </w:rPr>
            </w:pPr>
            <w:r w:rsidRPr="00370E70">
              <w:rPr>
                <w:b/>
                <w:color w:val="000000"/>
                <w:sz w:val="20"/>
                <w:szCs w:val="20"/>
              </w:rPr>
              <w:t>2007</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4.145</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iCs/>
                <w:color w:val="000000"/>
                <w:sz w:val="16"/>
                <w:szCs w:val="16"/>
              </w:rPr>
              <w:t>20.8%,</w:t>
            </w:r>
            <w:r w:rsidRPr="00370E70">
              <w:rPr>
                <w:rFonts w:cs="Arial"/>
                <w:i/>
                <w:color w:val="000000"/>
                <w:sz w:val="16"/>
                <w:szCs w:val="16"/>
              </w:rPr>
              <w:t xml:space="preserve"> decrease seaward)</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4.159</w:t>
            </w:r>
          </w:p>
          <w:p w:rsidR="005132EF" w:rsidRPr="00370E70" w:rsidRDefault="005132EF" w:rsidP="00034AD4">
            <w:pPr>
              <w:keepNext/>
              <w:spacing w:before="0" w:after="0"/>
              <w:jc w:val="center"/>
              <w:rPr>
                <w:i/>
                <w:iCs/>
                <w:color w:val="000000"/>
                <w:sz w:val="16"/>
                <w:szCs w:val="16"/>
              </w:rPr>
            </w:pPr>
            <w:r w:rsidRPr="00370E70">
              <w:rPr>
                <w:rFonts w:cs="Arial"/>
                <w:i/>
                <w:color w:val="000000"/>
                <w:sz w:val="16"/>
                <w:szCs w:val="16"/>
              </w:rPr>
              <w:t>(71</w:t>
            </w:r>
            <w:r w:rsidRPr="00370E70">
              <w:rPr>
                <w:i/>
                <w:iCs/>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i/>
                <w:iCs/>
                <w:color w:val="000000"/>
                <w:sz w:val="16"/>
                <w:szCs w:val="16"/>
              </w:rPr>
              <w:t>decrease sea</w:t>
            </w:r>
            <w:r w:rsidRPr="00370E70">
              <w:rPr>
                <w:rFonts w:cs="Arial"/>
                <w:i/>
                <w:color w:val="000000"/>
                <w:sz w:val="16"/>
                <w:szCs w:val="16"/>
              </w:rPr>
              <w:t>ward)</w:t>
            </w:r>
          </w:p>
        </w:tc>
        <w:tc>
          <w:tcPr>
            <w:tcW w:w="1325" w:type="dxa"/>
          </w:tcPr>
          <w:p w:rsidR="005132EF" w:rsidRPr="00370E70" w:rsidRDefault="005132EF" w:rsidP="00034AD4">
            <w:pPr>
              <w:keepNext/>
              <w:spacing w:before="0" w:after="0"/>
              <w:jc w:val="center"/>
              <w:rPr>
                <w:rFonts w:cs="Arial"/>
                <w:b/>
                <w:color w:val="000000"/>
              </w:rPr>
            </w:pPr>
            <w:r w:rsidRPr="00370E70">
              <w:rPr>
                <w:rFonts w:cs="Arial"/>
                <w:b/>
                <w:color w:val="000000"/>
              </w:rPr>
              <w:t>0.810</w:t>
            </w:r>
          </w:p>
        </w:tc>
        <w:tc>
          <w:tcPr>
            <w:tcW w:w="1321" w:type="dxa"/>
          </w:tcPr>
          <w:p w:rsidR="005132EF" w:rsidRPr="00370E70" w:rsidRDefault="005132EF" w:rsidP="00034AD4">
            <w:pPr>
              <w:keepNext/>
              <w:spacing w:before="0" w:after="0"/>
              <w:jc w:val="center"/>
              <w:rPr>
                <w:rFonts w:cs="Arial"/>
                <w:b/>
                <w:color w:val="000000"/>
              </w:rPr>
            </w:pPr>
            <w:r w:rsidRPr="00370E70">
              <w:rPr>
                <w:rFonts w:cs="Arial"/>
                <w:b/>
                <w:color w:val="000000"/>
              </w:rPr>
              <w:t>0.164</w:t>
            </w:r>
          </w:p>
        </w:tc>
        <w:tc>
          <w:tcPr>
            <w:tcW w:w="1230" w:type="dxa"/>
          </w:tcPr>
          <w:p w:rsidR="005132EF" w:rsidRPr="00370E70" w:rsidRDefault="005132EF" w:rsidP="00034AD4">
            <w:pPr>
              <w:keepNext/>
              <w:spacing w:before="0" w:after="0"/>
              <w:jc w:val="center"/>
              <w:rPr>
                <w:rFonts w:cs="Arial"/>
                <w:color w:val="000000"/>
              </w:rPr>
            </w:pPr>
            <w:r w:rsidRPr="00370E70">
              <w:rPr>
                <w:rFonts w:cs="Arial"/>
                <w:color w:val="000000"/>
              </w:rPr>
              <w:t>4.736</w:t>
            </w:r>
          </w:p>
          <w:p w:rsidR="005132EF" w:rsidRPr="00370E70" w:rsidRDefault="005132EF" w:rsidP="00034AD4">
            <w:pPr>
              <w:keepNext/>
              <w:spacing w:before="0" w:after="0"/>
              <w:jc w:val="center"/>
              <w:rPr>
                <w:rFonts w:cs="Arial"/>
                <w:color w:val="000000"/>
              </w:rPr>
            </w:pPr>
            <w:r w:rsidRPr="00370E70">
              <w:rPr>
                <w:i/>
                <w:iCs/>
                <w:color w:val="000000"/>
                <w:sz w:val="16"/>
                <w:szCs w:val="16"/>
              </w:rPr>
              <w:t>(</w:t>
            </w:r>
            <w:r w:rsidRPr="00370E70">
              <w:rPr>
                <w:i/>
                <w:color w:val="000000"/>
                <w:sz w:val="16"/>
                <w:szCs w:val="16"/>
              </w:rPr>
              <w:t>40.4</w:t>
            </w:r>
            <w:r w:rsidRPr="00370E70">
              <w:rPr>
                <w:i/>
                <w:iCs/>
                <w:color w:val="000000"/>
                <w:sz w:val="16"/>
                <w:szCs w:val="16"/>
              </w:rPr>
              <w:t>%,</w:t>
            </w:r>
            <w:r w:rsidRPr="00370E70">
              <w:rPr>
                <w:rFonts w:cs="Arial"/>
                <w:i/>
                <w:color w:val="000000"/>
                <w:sz w:val="16"/>
                <w:szCs w:val="16"/>
              </w:rPr>
              <w:t xml:space="preserve"> increase overall)</w:t>
            </w:r>
          </w:p>
        </w:tc>
        <w:tc>
          <w:tcPr>
            <w:tcW w:w="1292" w:type="dxa"/>
          </w:tcPr>
          <w:p w:rsidR="005132EF" w:rsidRPr="00370E70" w:rsidRDefault="005132EF" w:rsidP="00034AD4">
            <w:pPr>
              <w:keepNext/>
              <w:spacing w:before="0" w:after="0"/>
              <w:jc w:val="center"/>
              <w:rPr>
                <w:rFonts w:cs="Arial"/>
                <w:color w:val="000000"/>
              </w:rPr>
            </w:pPr>
            <w:r w:rsidRPr="00370E70">
              <w:rPr>
                <w:rFonts w:cs="Arial"/>
                <w:color w:val="000000"/>
              </w:rPr>
              <w:t>4.739</w:t>
            </w:r>
          </w:p>
          <w:p w:rsidR="005132EF" w:rsidRPr="00370E70" w:rsidRDefault="005132EF" w:rsidP="00034AD4">
            <w:pPr>
              <w:keepNext/>
              <w:spacing w:before="0" w:after="0"/>
              <w:jc w:val="center"/>
              <w:rPr>
                <w:i/>
                <w:color w:val="000000"/>
                <w:sz w:val="16"/>
                <w:szCs w:val="16"/>
              </w:rPr>
            </w:pPr>
            <w:r w:rsidRPr="00370E70">
              <w:rPr>
                <w:i/>
                <w:iCs/>
                <w:color w:val="000000"/>
                <w:sz w:val="16"/>
                <w:szCs w:val="16"/>
              </w:rPr>
              <w:t>(26.5%,</w:t>
            </w:r>
            <w:r w:rsidRPr="00370E70">
              <w:rPr>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increase overall)</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b/>
                <w:color w:val="000000"/>
                <w:sz w:val="20"/>
                <w:szCs w:val="20"/>
              </w:rPr>
            </w:pPr>
            <w:r w:rsidRPr="00370E70">
              <w:rPr>
                <w:b/>
                <w:color w:val="000000"/>
                <w:sz w:val="20"/>
                <w:szCs w:val="20"/>
              </w:rPr>
              <w:t>2008</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4.068</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(18.5%, decrease seaward)</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4.183</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(72</w:t>
            </w:r>
            <w:r w:rsidRPr="00370E70">
              <w:rPr>
                <w:i/>
                <w:iCs/>
                <w:color w:val="000000"/>
                <w:sz w:val="16"/>
                <w:szCs w:val="16"/>
              </w:rPr>
              <w:t>%,</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increase shoreward)</w:t>
            </w:r>
          </w:p>
        </w:tc>
        <w:tc>
          <w:tcPr>
            <w:tcW w:w="1325" w:type="dxa"/>
          </w:tcPr>
          <w:p w:rsidR="005132EF" w:rsidRPr="00370E70" w:rsidRDefault="005132EF" w:rsidP="00034AD4">
            <w:pPr>
              <w:keepNext/>
              <w:spacing w:before="0" w:after="0"/>
              <w:jc w:val="center"/>
              <w:rPr>
                <w:rFonts w:cs="Arial"/>
                <w:color w:val="000000"/>
              </w:rPr>
            </w:pPr>
            <w:r w:rsidRPr="00370E70">
              <w:rPr>
                <w:rFonts w:cs="Arial"/>
                <w:color w:val="000000"/>
              </w:rPr>
              <w:t>0.917</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(13.2</w:t>
            </w:r>
            <w:r w:rsidRPr="00370E70">
              <w:rPr>
                <w:i/>
                <w:iCs/>
                <w:color w:val="000000"/>
                <w:sz w:val="16"/>
                <w:szCs w:val="16"/>
              </w:rPr>
              <w:t xml:space="preserve"> %,</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increase shoreward)</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0.05</w:t>
            </w:r>
          </w:p>
          <w:p w:rsidR="005132EF" w:rsidRPr="00370E70" w:rsidRDefault="005132EF" w:rsidP="00034AD4">
            <w:pPr>
              <w:keepNext/>
              <w:spacing w:before="0" w:after="0"/>
              <w:jc w:val="center"/>
              <w:rPr>
                <w:i/>
                <w:iCs/>
                <w:color w:val="000000"/>
                <w:sz w:val="16"/>
                <w:szCs w:val="16"/>
              </w:rPr>
            </w:pPr>
            <w:r w:rsidRPr="00370E70">
              <w:rPr>
                <w:rFonts w:cs="Arial"/>
                <w:i/>
                <w:color w:val="000000"/>
                <w:sz w:val="16"/>
                <w:szCs w:val="16"/>
              </w:rPr>
              <w:t>(69.2</w:t>
            </w:r>
            <w:r w:rsidRPr="00370E70">
              <w:rPr>
                <w:i/>
                <w:iCs/>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i/>
                <w:iCs/>
                <w:color w:val="000000"/>
                <w:sz w:val="16"/>
                <w:szCs w:val="16"/>
              </w:rPr>
              <w:t>decrease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1.608</w:t>
            </w:r>
          </w:p>
          <w:p w:rsidR="005132EF" w:rsidRPr="00370E70" w:rsidRDefault="005132EF" w:rsidP="00034AD4">
            <w:pPr>
              <w:keepNext/>
              <w:spacing w:before="0" w:after="0"/>
              <w:jc w:val="center"/>
              <w:rPr>
                <w:rFonts w:cs="Arial"/>
                <w:color w:val="000000"/>
              </w:rPr>
            </w:pPr>
            <w:r w:rsidRPr="00370E70">
              <w:rPr>
                <w:i/>
                <w:iCs/>
                <w:color w:val="000000"/>
                <w:sz w:val="16"/>
                <w:szCs w:val="16"/>
              </w:rPr>
              <w:t>(</w:t>
            </w:r>
            <w:r w:rsidRPr="00370E70">
              <w:rPr>
                <w:i/>
                <w:color w:val="000000"/>
                <w:sz w:val="16"/>
                <w:szCs w:val="16"/>
              </w:rPr>
              <w:t>52.4</w:t>
            </w:r>
            <w:r w:rsidRPr="00370E70">
              <w:rPr>
                <w:i/>
                <w:iCs/>
                <w:color w:val="000000"/>
                <w:sz w:val="16"/>
                <w:szCs w:val="16"/>
              </w:rPr>
              <w:t>%, decrease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1.821</w:t>
            </w:r>
          </w:p>
          <w:p w:rsidR="005132EF" w:rsidRPr="00370E70" w:rsidRDefault="005132EF" w:rsidP="00034AD4">
            <w:pPr>
              <w:keepNext/>
              <w:spacing w:before="0" w:after="0"/>
              <w:jc w:val="center"/>
              <w:rPr>
                <w:i/>
                <w:iCs/>
                <w:color w:val="000000"/>
                <w:sz w:val="16"/>
                <w:szCs w:val="16"/>
              </w:rPr>
            </w:pPr>
            <w:r w:rsidRPr="00370E70">
              <w:rPr>
                <w:i/>
                <w:iCs/>
                <w:color w:val="000000"/>
                <w:sz w:val="16"/>
                <w:szCs w:val="16"/>
              </w:rPr>
              <w:t>(</w:t>
            </w:r>
            <w:r w:rsidRPr="00370E70">
              <w:rPr>
                <w:i/>
                <w:color w:val="000000"/>
                <w:sz w:val="16"/>
                <w:szCs w:val="16"/>
              </w:rPr>
              <w:t>51.4</w:t>
            </w:r>
            <w:r w:rsidRPr="00370E70">
              <w:rPr>
                <w:i/>
                <w:iCs/>
                <w:color w:val="000000"/>
                <w:sz w:val="16"/>
                <w:szCs w:val="16"/>
              </w:rPr>
              <w:t>%,</w:t>
            </w:r>
          </w:p>
          <w:p w:rsidR="005132EF" w:rsidRPr="00370E70" w:rsidRDefault="005132EF" w:rsidP="00034AD4">
            <w:pPr>
              <w:keepNext/>
              <w:spacing w:before="0" w:after="0"/>
              <w:jc w:val="center"/>
              <w:rPr>
                <w:rFonts w:cs="Arial"/>
                <w:color w:val="000000"/>
              </w:rPr>
            </w:pPr>
            <w:r w:rsidRPr="00370E70">
              <w:rPr>
                <w:i/>
                <w:iCs/>
                <w:color w:val="000000"/>
                <w:sz w:val="16"/>
                <w:szCs w:val="16"/>
              </w:rPr>
              <w:t>decrease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b/>
                <w:color w:val="000000"/>
                <w:sz w:val="20"/>
                <w:szCs w:val="20"/>
              </w:rPr>
            </w:pPr>
            <w:r w:rsidRPr="00370E70">
              <w:rPr>
                <w:b/>
                <w:color w:val="000000"/>
                <w:sz w:val="20"/>
                <w:szCs w:val="20"/>
              </w:rPr>
              <w:t>2008</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4.094</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(19.3%, increase shoreward)</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4.300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(76.8</w:t>
            </w:r>
            <w:r w:rsidRPr="00370E70">
              <w:rPr>
                <w:i/>
                <w:iCs/>
                <w:color w:val="000000"/>
                <w:sz w:val="16"/>
                <w:szCs w:val="16"/>
              </w:rPr>
              <w:t>%,</w:t>
            </w:r>
            <w:r w:rsidRPr="00370E70">
              <w:rPr>
                <w:rFonts w:cs="Arial"/>
                <w:i/>
                <w:color w:val="000000"/>
                <w:sz w:val="16"/>
                <w:szCs w:val="16"/>
              </w:rPr>
              <w:t xml:space="preserve"> increase shoreward)</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0.763</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(5.8</w:t>
            </w:r>
            <w:r w:rsidRPr="00370E70">
              <w:rPr>
                <w:i/>
                <w:iCs/>
                <w:color w:val="000000"/>
                <w:sz w:val="16"/>
                <w:szCs w:val="16"/>
              </w:rPr>
              <w:t xml:space="preserve"> %,</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decrease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0.09</w:t>
            </w:r>
          </w:p>
          <w:p w:rsidR="005132EF" w:rsidRPr="00370E70" w:rsidRDefault="005132EF" w:rsidP="00034AD4">
            <w:pPr>
              <w:keepNext/>
              <w:spacing w:before="0" w:after="0"/>
              <w:jc w:val="center"/>
              <w:rPr>
                <w:i/>
                <w:iCs/>
                <w:color w:val="000000"/>
                <w:sz w:val="16"/>
                <w:szCs w:val="16"/>
              </w:rPr>
            </w:pPr>
            <w:r w:rsidRPr="00370E70">
              <w:rPr>
                <w:rFonts w:cs="Arial"/>
                <w:i/>
                <w:color w:val="000000"/>
                <w:sz w:val="16"/>
                <w:szCs w:val="16"/>
              </w:rPr>
              <w:t>(44.4</w:t>
            </w:r>
            <w:r w:rsidRPr="00370E70">
              <w:rPr>
                <w:i/>
                <w:iCs/>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i/>
                <w:iCs/>
                <w:color w:val="000000"/>
                <w:sz w:val="16"/>
                <w:szCs w:val="16"/>
              </w:rPr>
              <w:t>increase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3.58</w:t>
            </w:r>
          </w:p>
          <w:p w:rsidR="005132EF" w:rsidRPr="00370E70" w:rsidRDefault="005132EF" w:rsidP="00034AD4">
            <w:pPr>
              <w:keepNext/>
              <w:spacing w:before="0" w:after="0"/>
              <w:jc w:val="center"/>
              <w:rPr>
                <w:rFonts w:cs="Arial"/>
                <w:color w:val="000000"/>
              </w:rPr>
            </w:pPr>
            <w:r w:rsidRPr="00370E70">
              <w:rPr>
                <w:i/>
                <w:iCs/>
                <w:color w:val="000000"/>
                <w:sz w:val="16"/>
                <w:szCs w:val="16"/>
              </w:rPr>
              <w:t>(6.15%, increase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3.732</w:t>
            </w:r>
          </w:p>
          <w:p w:rsidR="005132EF" w:rsidRPr="00370E70" w:rsidRDefault="005132EF" w:rsidP="00034AD4">
            <w:pPr>
              <w:keepNext/>
              <w:spacing w:before="0" w:after="0"/>
              <w:jc w:val="center"/>
              <w:rPr>
                <w:i/>
                <w:iCs/>
                <w:color w:val="000000"/>
                <w:sz w:val="16"/>
                <w:szCs w:val="16"/>
              </w:rPr>
            </w:pPr>
            <w:r w:rsidRPr="00370E70">
              <w:rPr>
                <w:i/>
                <w:iCs/>
                <w:color w:val="000000"/>
                <w:sz w:val="16"/>
                <w:szCs w:val="16"/>
              </w:rPr>
              <w:t xml:space="preserve">(0.4%, </w:t>
            </w:r>
          </w:p>
          <w:p w:rsidR="005132EF" w:rsidRPr="00370E70" w:rsidRDefault="005132EF" w:rsidP="00034AD4">
            <w:pPr>
              <w:keepNext/>
              <w:spacing w:before="0" w:after="0"/>
              <w:jc w:val="center"/>
              <w:rPr>
                <w:rFonts w:cs="Arial"/>
                <w:color w:val="000000"/>
              </w:rPr>
            </w:pPr>
            <w:r w:rsidRPr="00370E70">
              <w:rPr>
                <w:i/>
                <w:iCs/>
                <w:color w:val="000000"/>
                <w:sz w:val="16"/>
                <w:szCs w:val="16"/>
              </w:rPr>
              <w:t>increase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b/>
                <w:color w:val="000000"/>
                <w:sz w:val="20"/>
                <w:szCs w:val="20"/>
              </w:rPr>
            </w:pPr>
            <w:r w:rsidRPr="00370E70">
              <w:rPr>
                <w:b/>
                <w:color w:val="000000"/>
                <w:sz w:val="20"/>
                <w:szCs w:val="20"/>
              </w:rPr>
              <w:t>2009</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4.471</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(30.2%, increase shoreward)</w:t>
            </w:r>
          </w:p>
        </w:tc>
        <w:tc>
          <w:tcPr>
            <w:tcW w:w="1241" w:type="dxa"/>
          </w:tcPr>
          <w:p w:rsidR="005132EF" w:rsidRPr="00370E70" w:rsidRDefault="005132EF" w:rsidP="00034AD4">
            <w:pPr>
              <w:keepNext/>
              <w:spacing w:before="0" w:after="0"/>
              <w:jc w:val="center"/>
              <w:rPr>
                <w:rFonts w:cs="Arial"/>
                <w:color w:val="000000"/>
              </w:rPr>
            </w:pPr>
            <w:r w:rsidRPr="00370E70">
              <w:rPr>
                <w:rFonts w:cs="Arial"/>
                <w:color w:val="000000"/>
              </w:rPr>
              <w:t>4.430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(82.2</w:t>
            </w:r>
            <w:r w:rsidRPr="00370E70">
              <w:rPr>
                <w:i/>
                <w:iCs/>
                <w:color w:val="000000"/>
                <w:sz w:val="16"/>
                <w:szCs w:val="16"/>
              </w:rPr>
              <w:t>%,</w:t>
            </w:r>
            <w:r w:rsidRPr="00370E70">
              <w:rPr>
                <w:rFonts w:cs="Arial"/>
                <w:i/>
                <w:color w:val="000000"/>
                <w:sz w:val="16"/>
                <w:szCs w:val="16"/>
              </w:rPr>
              <w:t xml:space="preserve"> negligible)</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0.687</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(15.2</w:t>
            </w:r>
            <w:r w:rsidRPr="00370E70">
              <w:rPr>
                <w:i/>
                <w:iCs/>
                <w:color w:val="000000"/>
                <w:sz w:val="16"/>
                <w:szCs w:val="16"/>
              </w:rPr>
              <w:t xml:space="preserve"> %,</w:t>
            </w:r>
            <w:r w:rsidRPr="00370E70">
              <w:rPr>
                <w:rFonts w:cs="Arial"/>
                <w:i/>
                <w:color w:val="000000"/>
                <w:sz w:val="16"/>
                <w:szCs w:val="16"/>
              </w:rPr>
              <w:t xml:space="preserve"> decrease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0.06</w:t>
            </w:r>
          </w:p>
          <w:p w:rsidR="005132EF" w:rsidRPr="00370E70" w:rsidRDefault="005132EF" w:rsidP="00034AD4">
            <w:pPr>
              <w:keepNext/>
              <w:spacing w:before="0" w:after="0"/>
              <w:jc w:val="center"/>
              <w:rPr>
                <w:i/>
                <w:iCs/>
                <w:color w:val="000000"/>
                <w:sz w:val="16"/>
                <w:szCs w:val="16"/>
              </w:rPr>
            </w:pPr>
            <w:r w:rsidRPr="00370E70">
              <w:rPr>
                <w:rFonts w:cs="Arial"/>
                <w:i/>
                <w:color w:val="000000"/>
                <w:sz w:val="16"/>
                <w:szCs w:val="16"/>
              </w:rPr>
              <w:t>(64.1</w:t>
            </w:r>
            <w:r w:rsidRPr="00370E70">
              <w:rPr>
                <w:i/>
                <w:iCs/>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i/>
                <w:iCs/>
                <w:color w:val="000000"/>
                <w:sz w:val="16"/>
                <w:szCs w:val="16"/>
              </w:rPr>
              <w:t>decrease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1.661</w:t>
            </w:r>
          </w:p>
          <w:p w:rsidR="005132EF" w:rsidRPr="00370E70" w:rsidRDefault="005132EF" w:rsidP="00034AD4">
            <w:pPr>
              <w:keepNext/>
              <w:spacing w:before="0" w:after="0"/>
              <w:jc w:val="center"/>
              <w:rPr>
                <w:rFonts w:cs="Arial"/>
                <w:color w:val="000000"/>
              </w:rPr>
            </w:pPr>
            <w:r w:rsidRPr="00370E70">
              <w:rPr>
                <w:i/>
                <w:iCs/>
                <w:color w:val="000000"/>
                <w:sz w:val="16"/>
                <w:szCs w:val="16"/>
              </w:rPr>
              <w:t>(50.8%, decrease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1.409</w:t>
            </w:r>
          </w:p>
          <w:p w:rsidR="005132EF" w:rsidRPr="00370E70" w:rsidRDefault="005132EF" w:rsidP="00034AD4">
            <w:pPr>
              <w:keepNext/>
              <w:spacing w:before="0" w:after="0"/>
              <w:jc w:val="center"/>
              <w:rPr>
                <w:rFonts w:cs="Arial"/>
                <w:color w:val="000000"/>
              </w:rPr>
            </w:pPr>
            <w:r w:rsidRPr="00370E70">
              <w:rPr>
                <w:i/>
                <w:iCs/>
                <w:color w:val="000000"/>
                <w:sz w:val="16"/>
                <w:szCs w:val="16"/>
              </w:rPr>
              <w:t>(62.4%, decrease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b/>
                <w:color w:val="000000"/>
                <w:sz w:val="20"/>
                <w:szCs w:val="20"/>
              </w:rPr>
            </w:pPr>
            <w:r w:rsidRPr="00370E70">
              <w:rPr>
                <w:b/>
                <w:color w:val="000000"/>
                <w:sz w:val="20"/>
                <w:szCs w:val="20"/>
              </w:rPr>
              <w:t>2009</w:t>
            </w:r>
          </w:p>
        </w:tc>
        <w:tc>
          <w:tcPr>
            <w:tcW w:w="1241" w:type="dxa"/>
          </w:tcPr>
          <w:p w:rsidR="005132EF" w:rsidRPr="00370E70" w:rsidRDefault="005132EF" w:rsidP="00034AD4">
            <w:pPr>
              <w:keepNext/>
              <w:spacing w:before="0" w:after="0"/>
              <w:jc w:val="center"/>
              <w:rPr>
                <w:color w:val="000000"/>
              </w:rPr>
            </w:pPr>
            <w:r w:rsidRPr="00370E70">
              <w:rPr>
                <w:color w:val="000000"/>
              </w:rPr>
              <w:t>5.247</w:t>
            </w:r>
          </w:p>
          <w:p w:rsidR="005132EF" w:rsidRPr="00370E70" w:rsidRDefault="005132EF" w:rsidP="00034AD4">
            <w:pPr>
              <w:keepNext/>
              <w:spacing w:before="0" w:after="0"/>
              <w:jc w:val="center"/>
              <w:rPr>
                <w:color w:val="000000"/>
              </w:rPr>
            </w:pPr>
            <w:r w:rsidRPr="00370E70">
              <w:rPr>
                <w:rFonts w:cs="Arial"/>
                <w:i/>
                <w:color w:val="000000"/>
                <w:sz w:val="16"/>
                <w:szCs w:val="16"/>
              </w:rPr>
              <w:t>(52.9%, increase shoreward)</w:t>
            </w:r>
          </w:p>
        </w:tc>
        <w:tc>
          <w:tcPr>
            <w:tcW w:w="1241" w:type="dxa"/>
          </w:tcPr>
          <w:p w:rsidR="005132EF" w:rsidRPr="00370E70" w:rsidRDefault="005132EF" w:rsidP="00034AD4">
            <w:pPr>
              <w:keepNext/>
              <w:spacing w:before="0" w:after="0"/>
              <w:jc w:val="center"/>
              <w:rPr>
                <w:color w:val="000000"/>
              </w:rPr>
            </w:pPr>
            <w:r w:rsidRPr="00370E70">
              <w:rPr>
                <w:color w:val="000000"/>
              </w:rPr>
              <w:t>4.814</w:t>
            </w:r>
          </w:p>
          <w:p w:rsidR="005132EF" w:rsidRPr="00370E70" w:rsidRDefault="005132EF" w:rsidP="00034AD4">
            <w:pPr>
              <w:keepNext/>
              <w:spacing w:before="0" w:after="0"/>
              <w:jc w:val="center"/>
              <w:rPr>
                <w:color w:val="000000"/>
              </w:rPr>
            </w:pPr>
            <w:r w:rsidRPr="00370E70">
              <w:rPr>
                <w:rFonts w:cs="Arial"/>
                <w:i/>
                <w:color w:val="000000"/>
                <w:sz w:val="16"/>
                <w:szCs w:val="16"/>
              </w:rPr>
              <w:t>(97.9</w:t>
            </w:r>
            <w:r w:rsidRPr="00370E70">
              <w:rPr>
                <w:i/>
                <w:iCs/>
                <w:color w:val="000000"/>
                <w:sz w:val="16"/>
                <w:szCs w:val="16"/>
              </w:rPr>
              <w:t>%,</w:t>
            </w:r>
            <w:r w:rsidRPr="00370E70">
              <w:rPr>
                <w:rFonts w:cs="Arial"/>
                <w:i/>
                <w:color w:val="000000"/>
                <w:sz w:val="16"/>
                <w:szCs w:val="16"/>
              </w:rPr>
              <w:t xml:space="preserve"> increase shoreward)</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0.491</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(-39.4</w:t>
            </w:r>
            <w:r w:rsidRPr="00370E70">
              <w:rPr>
                <w:i/>
                <w:iCs/>
                <w:color w:val="000000"/>
                <w:sz w:val="16"/>
                <w:szCs w:val="16"/>
              </w:rPr>
              <w:t>%,</w:t>
            </w:r>
            <w:r w:rsidRPr="00370E70">
              <w:rPr>
                <w:rFonts w:cs="Arial"/>
                <w:i/>
                <w:color w:val="000000"/>
                <w:sz w:val="16"/>
                <w:szCs w:val="16"/>
              </w:rPr>
              <w:t xml:space="preserve"> decrease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0.023</w:t>
            </w:r>
          </w:p>
          <w:p w:rsidR="005132EF" w:rsidRPr="00370E70" w:rsidRDefault="005132EF" w:rsidP="00034AD4">
            <w:pPr>
              <w:keepNext/>
              <w:spacing w:before="0" w:after="0"/>
              <w:jc w:val="center"/>
              <w:rPr>
                <w:rFonts w:cs="Arial"/>
                <w:color w:val="000000"/>
                <w:highlight w:val="yellow"/>
              </w:rPr>
            </w:pPr>
            <w:r w:rsidRPr="00370E70">
              <w:rPr>
                <w:rFonts w:cs="Arial"/>
                <w:i/>
                <w:color w:val="000000"/>
                <w:sz w:val="16"/>
                <w:szCs w:val="16"/>
              </w:rPr>
              <w:t>(-85.8</w:t>
            </w:r>
            <w:r w:rsidRPr="00370E70">
              <w:rPr>
                <w:i/>
                <w:iCs/>
                <w:color w:val="000000"/>
                <w:sz w:val="16"/>
                <w:szCs w:val="16"/>
              </w:rPr>
              <w:t>%, decrease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2.467</w:t>
            </w:r>
          </w:p>
          <w:p w:rsidR="005132EF" w:rsidRPr="00370E70" w:rsidRDefault="005132EF" w:rsidP="00034AD4">
            <w:pPr>
              <w:keepNext/>
              <w:spacing w:before="0" w:after="0"/>
              <w:jc w:val="center"/>
              <w:rPr>
                <w:rFonts w:cs="Arial"/>
                <w:color w:val="000000"/>
              </w:rPr>
            </w:pPr>
            <w:r w:rsidRPr="00370E70">
              <w:rPr>
                <w:i/>
                <w:iCs/>
                <w:color w:val="000000"/>
                <w:sz w:val="16"/>
                <w:szCs w:val="16"/>
              </w:rPr>
              <w:t>(26.9%, increase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2.393</w:t>
            </w:r>
          </w:p>
          <w:p w:rsidR="005132EF" w:rsidRPr="00370E70" w:rsidRDefault="005132EF" w:rsidP="00034AD4">
            <w:pPr>
              <w:keepNext/>
              <w:spacing w:before="0" w:after="0"/>
              <w:jc w:val="center"/>
              <w:rPr>
                <w:i/>
                <w:iCs/>
                <w:color w:val="000000"/>
                <w:sz w:val="16"/>
                <w:szCs w:val="16"/>
              </w:rPr>
            </w:pPr>
            <w:r w:rsidRPr="00370E70">
              <w:rPr>
                <w:i/>
                <w:iCs/>
                <w:color w:val="000000"/>
                <w:sz w:val="16"/>
                <w:szCs w:val="16"/>
              </w:rPr>
              <w:t xml:space="preserve">(36.1%, </w:t>
            </w:r>
          </w:p>
          <w:p w:rsidR="005132EF" w:rsidRPr="00370E70" w:rsidRDefault="005132EF" w:rsidP="00034AD4">
            <w:pPr>
              <w:keepNext/>
              <w:spacing w:before="0" w:after="0"/>
              <w:jc w:val="center"/>
              <w:rPr>
                <w:rFonts w:cs="Arial"/>
                <w:color w:val="000000"/>
              </w:rPr>
            </w:pPr>
            <w:r w:rsidRPr="00370E70">
              <w:rPr>
                <w:i/>
                <w:iCs/>
                <w:color w:val="000000"/>
                <w:sz w:val="16"/>
                <w:szCs w:val="16"/>
              </w:rPr>
              <w:t>increase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b/>
                <w:color w:val="000000"/>
                <w:sz w:val="20"/>
                <w:szCs w:val="20"/>
              </w:rPr>
            </w:pPr>
            <w:r w:rsidRPr="00370E70">
              <w:rPr>
                <w:b/>
                <w:color w:val="000000"/>
                <w:sz w:val="20"/>
                <w:szCs w:val="20"/>
              </w:rPr>
              <w:t>2010</w:t>
            </w:r>
          </w:p>
        </w:tc>
        <w:tc>
          <w:tcPr>
            <w:tcW w:w="1241" w:type="dxa"/>
            <w:shd w:val="clear" w:color="auto" w:fill="FFFFFF"/>
          </w:tcPr>
          <w:p w:rsidR="005132EF" w:rsidRPr="00370E70" w:rsidRDefault="005132EF" w:rsidP="00034AD4">
            <w:pPr>
              <w:keepNext/>
              <w:spacing w:before="0" w:after="0"/>
              <w:jc w:val="center"/>
              <w:rPr>
                <w:color w:val="000000"/>
              </w:rPr>
            </w:pPr>
            <w:r w:rsidRPr="00370E70">
              <w:rPr>
                <w:color w:val="000000"/>
              </w:rPr>
              <w:t>4.615</w:t>
            </w:r>
          </w:p>
          <w:p w:rsidR="005132EF" w:rsidRPr="00370E70" w:rsidRDefault="005132EF" w:rsidP="00034AD4">
            <w:pPr>
              <w:keepNext/>
              <w:spacing w:before="0" w:after="0"/>
              <w:jc w:val="center"/>
              <w:rPr>
                <w:color w:val="000000"/>
              </w:rPr>
            </w:pPr>
            <w:r w:rsidRPr="00370E70">
              <w:rPr>
                <w:rFonts w:cs="Arial"/>
                <w:i/>
                <w:color w:val="000000"/>
                <w:sz w:val="16"/>
                <w:szCs w:val="16"/>
              </w:rPr>
              <w:t>(34.5%, decrease seaward)</w:t>
            </w:r>
          </w:p>
        </w:tc>
        <w:tc>
          <w:tcPr>
            <w:tcW w:w="1241" w:type="dxa"/>
          </w:tcPr>
          <w:p w:rsidR="005132EF" w:rsidRPr="00370E70" w:rsidRDefault="005132EF" w:rsidP="00034AD4">
            <w:pPr>
              <w:keepNext/>
              <w:spacing w:before="0" w:after="0"/>
              <w:jc w:val="center"/>
              <w:rPr>
                <w:color w:val="000000"/>
              </w:rPr>
            </w:pPr>
            <w:r w:rsidRPr="00370E70">
              <w:rPr>
                <w:color w:val="000000"/>
              </w:rPr>
              <w:t>3.539</w:t>
            </w:r>
          </w:p>
          <w:p w:rsidR="005132EF" w:rsidRPr="00370E70" w:rsidRDefault="005132EF" w:rsidP="00034AD4">
            <w:pPr>
              <w:keepNext/>
              <w:spacing w:before="0" w:after="0"/>
              <w:jc w:val="center"/>
              <w:rPr>
                <w:color w:val="000000"/>
              </w:rPr>
            </w:pPr>
            <w:r w:rsidRPr="00370E70">
              <w:rPr>
                <w:rFonts w:cs="Arial"/>
                <w:i/>
                <w:color w:val="000000"/>
                <w:sz w:val="16"/>
                <w:szCs w:val="16"/>
              </w:rPr>
              <w:t>(45.5</w:t>
            </w:r>
            <w:r w:rsidRPr="00370E70">
              <w:rPr>
                <w:i/>
                <w:iCs/>
                <w:color w:val="000000"/>
                <w:sz w:val="16"/>
                <w:szCs w:val="16"/>
              </w:rPr>
              <w:t>%,</w:t>
            </w:r>
            <w:r w:rsidRPr="00370E70">
              <w:rPr>
                <w:rFonts w:cs="Arial"/>
                <w:i/>
                <w:color w:val="000000"/>
                <w:sz w:val="16"/>
                <w:szCs w:val="16"/>
              </w:rPr>
              <w:t xml:space="preserve"> decrease seaward)</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0.356</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(-56</w:t>
            </w:r>
            <w:r w:rsidRPr="00370E70">
              <w:rPr>
                <w:i/>
                <w:iCs/>
                <w:color w:val="000000"/>
                <w:sz w:val="16"/>
                <w:szCs w:val="16"/>
              </w:rPr>
              <w:t>%,</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decrease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0.016</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(-89.7</w:t>
            </w:r>
            <w:r w:rsidRPr="00370E70">
              <w:rPr>
                <w:i/>
                <w:iCs/>
                <w:color w:val="000000"/>
                <w:sz w:val="16"/>
                <w:szCs w:val="16"/>
              </w:rPr>
              <w:t>%, decrease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0.698</w:t>
            </w:r>
          </w:p>
          <w:p w:rsidR="005132EF" w:rsidRPr="00370E70" w:rsidRDefault="005132EF" w:rsidP="00034AD4">
            <w:pPr>
              <w:keepNext/>
              <w:spacing w:before="0" w:after="0"/>
              <w:jc w:val="center"/>
              <w:rPr>
                <w:rFonts w:cs="Arial"/>
                <w:color w:val="000000"/>
              </w:rPr>
            </w:pPr>
            <w:r w:rsidRPr="00370E70">
              <w:rPr>
                <w:i/>
                <w:iCs/>
                <w:color w:val="000000"/>
                <w:sz w:val="16"/>
                <w:szCs w:val="16"/>
              </w:rPr>
              <w:t>(-253.5%, decrease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0.916</w:t>
            </w:r>
          </w:p>
          <w:p w:rsidR="005132EF" w:rsidRPr="00370E70" w:rsidRDefault="005132EF" w:rsidP="00034AD4">
            <w:pPr>
              <w:keepNext/>
              <w:spacing w:before="0" w:after="0"/>
              <w:jc w:val="center"/>
              <w:rPr>
                <w:rFonts w:cs="Arial"/>
                <w:color w:val="000000"/>
              </w:rPr>
            </w:pPr>
            <w:r w:rsidRPr="00370E70">
              <w:rPr>
                <w:i/>
                <w:iCs/>
                <w:color w:val="000000"/>
                <w:sz w:val="16"/>
                <w:szCs w:val="16"/>
              </w:rPr>
              <w:t>(-161.2%, decrease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b/>
                <w:color w:val="000000"/>
                <w:sz w:val="20"/>
                <w:szCs w:val="20"/>
              </w:rPr>
            </w:pPr>
            <w:r w:rsidRPr="00370E70">
              <w:rPr>
                <w:b/>
                <w:color w:val="000000"/>
                <w:sz w:val="20"/>
                <w:szCs w:val="20"/>
              </w:rPr>
              <w:t>2010</w:t>
            </w:r>
          </w:p>
        </w:tc>
        <w:tc>
          <w:tcPr>
            <w:tcW w:w="1241" w:type="dxa"/>
            <w:shd w:val="clear" w:color="auto" w:fill="FFFFFF"/>
          </w:tcPr>
          <w:p w:rsidR="005132EF" w:rsidRPr="00370E70" w:rsidRDefault="005132EF" w:rsidP="00034AD4">
            <w:pPr>
              <w:keepNext/>
              <w:spacing w:before="0" w:after="0"/>
              <w:jc w:val="center"/>
              <w:rPr>
                <w:color w:val="000000"/>
              </w:rPr>
            </w:pPr>
            <w:r w:rsidRPr="00370E70">
              <w:rPr>
                <w:color w:val="000000"/>
              </w:rPr>
              <w:t>5.071</w:t>
            </w:r>
          </w:p>
          <w:p w:rsidR="005132EF" w:rsidRPr="00370E70" w:rsidRDefault="005132EF" w:rsidP="00034AD4">
            <w:pPr>
              <w:keepNext/>
              <w:spacing w:before="0" w:after="0"/>
              <w:jc w:val="center"/>
              <w:rPr>
                <w:color w:val="000000"/>
              </w:rPr>
            </w:pPr>
            <w:r w:rsidRPr="00370E70">
              <w:rPr>
                <w:rFonts w:cs="Arial"/>
                <w:i/>
                <w:color w:val="000000"/>
                <w:sz w:val="16"/>
                <w:szCs w:val="16"/>
              </w:rPr>
              <w:t>(47.8%, increase shoreward)</w:t>
            </w:r>
          </w:p>
        </w:tc>
        <w:tc>
          <w:tcPr>
            <w:tcW w:w="1241" w:type="dxa"/>
            <w:shd w:val="clear" w:color="auto" w:fill="FFFFFF"/>
          </w:tcPr>
          <w:p w:rsidR="005132EF" w:rsidRPr="00370E70" w:rsidRDefault="005132EF" w:rsidP="00034AD4">
            <w:pPr>
              <w:keepNext/>
              <w:spacing w:before="0" w:after="0"/>
              <w:jc w:val="center"/>
              <w:rPr>
                <w:color w:val="000000"/>
              </w:rPr>
            </w:pPr>
            <w:r w:rsidRPr="00370E70">
              <w:rPr>
                <w:color w:val="000000"/>
              </w:rPr>
              <w:t>5.063</w:t>
            </w:r>
          </w:p>
          <w:p w:rsidR="005132EF" w:rsidRPr="00370E70" w:rsidRDefault="005132EF" w:rsidP="00034AD4">
            <w:pPr>
              <w:keepNext/>
              <w:spacing w:before="0" w:after="0"/>
              <w:jc w:val="center"/>
              <w:rPr>
                <w:color w:val="000000"/>
              </w:rPr>
            </w:pPr>
            <w:r w:rsidRPr="00370E70">
              <w:rPr>
                <w:rFonts w:cs="Arial"/>
                <w:i/>
                <w:color w:val="000000"/>
                <w:sz w:val="16"/>
                <w:szCs w:val="16"/>
              </w:rPr>
              <w:t>(108.2</w:t>
            </w:r>
            <w:r w:rsidRPr="00370E70">
              <w:rPr>
                <w:i/>
                <w:iCs/>
                <w:color w:val="000000"/>
                <w:sz w:val="16"/>
                <w:szCs w:val="16"/>
              </w:rPr>
              <w:t>%,</w:t>
            </w:r>
            <w:r w:rsidRPr="00370E70">
              <w:rPr>
                <w:rFonts w:cs="Arial"/>
                <w:i/>
                <w:color w:val="000000"/>
                <w:sz w:val="16"/>
                <w:szCs w:val="16"/>
              </w:rPr>
              <w:t xml:space="preserve"> increase shoreward)</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0.715</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(-11.7</w:t>
            </w:r>
            <w:r w:rsidRPr="00370E70">
              <w:rPr>
                <w:i/>
                <w:iCs/>
                <w:color w:val="000000"/>
                <w:sz w:val="16"/>
                <w:szCs w:val="16"/>
              </w:rPr>
              <w:t>%,</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increase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0.052</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(-68.4</w:t>
            </w:r>
            <w:r w:rsidRPr="00370E70">
              <w:rPr>
                <w:i/>
                <w:iCs/>
                <w:color w:val="000000"/>
                <w:sz w:val="16"/>
                <w:szCs w:val="16"/>
              </w:rPr>
              <w:t>%, increase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1.393</w:t>
            </w:r>
          </w:p>
          <w:p w:rsidR="005132EF" w:rsidRPr="00370E70" w:rsidRDefault="005132EF" w:rsidP="00034AD4">
            <w:pPr>
              <w:keepNext/>
              <w:spacing w:before="0" w:after="0"/>
              <w:jc w:val="center"/>
              <w:rPr>
                <w:rFonts w:cs="Arial"/>
                <w:color w:val="000000"/>
              </w:rPr>
            </w:pPr>
            <w:r w:rsidRPr="00370E70">
              <w:rPr>
                <w:i/>
                <w:iCs/>
                <w:color w:val="000000"/>
                <w:sz w:val="16"/>
                <w:szCs w:val="16"/>
              </w:rPr>
              <w:t>(-58.7%, increase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1.191</w:t>
            </w:r>
          </w:p>
          <w:p w:rsidR="005132EF" w:rsidRPr="00370E70" w:rsidRDefault="005132EF" w:rsidP="00034AD4">
            <w:pPr>
              <w:keepNext/>
              <w:spacing w:before="0" w:after="0"/>
              <w:jc w:val="center"/>
              <w:rPr>
                <w:rFonts w:cs="Arial"/>
                <w:color w:val="000000"/>
              </w:rPr>
            </w:pPr>
            <w:r w:rsidRPr="00370E70">
              <w:rPr>
                <w:i/>
                <w:iCs/>
                <w:color w:val="000000"/>
                <w:sz w:val="16"/>
                <w:szCs w:val="16"/>
              </w:rPr>
              <w:t>(-68.2%, increase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b/>
                <w:color w:val="000000"/>
                <w:sz w:val="20"/>
                <w:szCs w:val="20"/>
              </w:rPr>
            </w:pPr>
            <w:r w:rsidRPr="00370E70">
              <w:rPr>
                <w:b/>
                <w:color w:val="000000"/>
                <w:sz w:val="20"/>
                <w:szCs w:val="20"/>
              </w:rPr>
              <w:t>2011</w:t>
            </w:r>
          </w:p>
        </w:tc>
        <w:tc>
          <w:tcPr>
            <w:tcW w:w="1241" w:type="dxa"/>
            <w:shd w:val="clear" w:color="auto" w:fill="E6E6E6"/>
          </w:tcPr>
          <w:p w:rsidR="005132EF" w:rsidRPr="00370E70" w:rsidRDefault="005132EF" w:rsidP="00034AD4">
            <w:pPr>
              <w:keepNext/>
              <w:spacing w:before="0" w:after="0"/>
              <w:jc w:val="center"/>
              <w:rPr>
                <w:color w:val="000000"/>
              </w:rPr>
            </w:pPr>
            <w:r w:rsidRPr="00370E70">
              <w:rPr>
                <w:color w:val="000000"/>
              </w:rPr>
              <w:t>1.544</w:t>
            </w:r>
          </w:p>
          <w:p w:rsidR="005132EF" w:rsidRPr="00370E70" w:rsidRDefault="005132EF" w:rsidP="00034AD4">
            <w:pPr>
              <w:keepNext/>
              <w:spacing w:before="0" w:after="0"/>
              <w:jc w:val="center"/>
              <w:rPr>
                <w:color w:val="000000"/>
              </w:rPr>
            </w:pPr>
            <w:r w:rsidRPr="00370E70">
              <w:rPr>
                <w:rFonts w:cs="Arial"/>
                <w:i/>
                <w:color w:val="000000"/>
                <w:sz w:val="16"/>
                <w:szCs w:val="16"/>
              </w:rPr>
              <w:t>(-55%, decrease seaward)</w:t>
            </w:r>
          </w:p>
        </w:tc>
        <w:tc>
          <w:tcPr>
            <w:tcW w:w="1241" w:type="dxa"/>
            <w:shd w:val="clear" w:color="auto" w:fill="E6E6E6"/>
          </w:tcPr>
          <w:p w:rsidR="005132EF" w:rsidRPr="00370E70" w:rsidRDefault="005132EF" w:rsidP="00034AD4">
            <w:pPr>
              <w:keepNext/>
              <w:spacing w:before="0" w:after="0"/>
              <w:jc w:val="center"/>
              <w:rPr>
                <w:color w:val="000000"/>
              </w:rPr>
            </w:pPr>
            <w:r w:rsidRPr="00370E70">
              <w:rPr>
                <w:color w:val="000000"/>
              </w:rPr>
              <w:t>1.001</w:t>
            </w:r>
          </w:p>
          <w:p w:rsidR="005132EF" w:rsidRPr="00370E70" w:rsidRDefault="005132EF" w:rsidP="00034AD4">
            <w:pPr>
              <w:keepNext/>
              <w:spacing w:before="0" w:after="0"/>
              <w:jc w:val="center"/>
              <w:rPr>
                <w:color w:val="000000"/>
              </w:rPr>
            </w:pPr>
            <w:r w:rsidRPr="00370E70">
              <w:rPr>
                <w:rFonts w:cs="Arial"/>
                <w:i/>
                <w:color w:val="000000"/>
                <w:sz w:val="16"/>
                <w:szCs w:val="16"/>
              </w:rPr>
              <w:t>(-58.8</w:t>
            </w:r>
            <w:r w:rsidRPr="00370E70">
              <w:rPr>
                <w:i/>
                <w:iCs/>
                <w:color w:val="000000"/>
                <w:sz w:val="16"/>
                <w:szCs w:val="16"/>
              </w:rPr>
              <w:t>%,</w:t>
            </w:r>
            <w:r w:rsidRPr="00370E70">
              <w:rPr>
                <w:rFonts w:cs="Arial"/>
                <w:i/>
                <w:color w:val="000000"/>
                <w:sz w:val="16"/>
                <w:szCs w:val="16"/>
              </w:rPr>
              <w:t xml:space="preserve"> decrease seaward)</w:t>
            </w:r>
          </w:p>
        </w:tc>
        <w:tc>
          <w:tcPr>
            <w:tcW w:w="1325"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0.400</w:t>
            </w:r>
          </w:p>
          <w:p w:rsidR="005132EF" w:rsidRPr="00370E70" w:rsidRDefault="005132EF" w:rsidP="00034AD4">
            <w:pPr>
              <w:keepNext/>
              <w:spacing w:before="0" w:after="0"/>
              <w:jc w:val="center"/>
              <w:rPr>
                <w:rFonts w:cs="Arial"/>
                <w:i/>
                <w:color w:val="000000"/>
                <w:sz w:val="16"/>
                <w:szCs w:val="16"/>
              </w:rPr>
            </w:pPr>
            <w:r w:rsidRPr="00370E70">
              <w:rPr>
                <w:rFonts w:cs="Arial"/>
                <w:i/>
                <w:color w:val="000000"/>
                <w:sz w:val="16"/>
                <w:szCs w:val="16"/>
              </w:rPr>
              <w:t>(-50.7</w:t>
            </w:r>
            <w:r w:rsidRPr="00370E70">
              <w:rPr>
                <w:i/>
                <w:iCs/>
                <w:color w:val="000000"/>
                <w:sz w:val="16"/>
                <w:szCs w:val="16"/>
              </w:rPr>
              <w:t>%,</w:t>
            </w:r>
            <w:r w:rsidRPr="00370E70">
              <w:rPr>
                <w:rFonts w:cs="Arial"/>
                <w:i/>
                <w:color w:val="000000"/>
                <w:sz w:val="16"/>
                <w:szCs w:val="16"/>
              </w:rPr>
              <w:t xml:space="preserve"> </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decrease overall)</w:t>
            </w:r>
          </w:p>
        </w:tc>
        <w:tc>
          <w:tcPr>
            <w:tcW w:w="1321"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0.019</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(-88.6</w:t>
            </w:r>
            <w:r w:rsidRPr="00370E70">
              <w:rPr>
                <w:i/>
                <w:iCs/>
                <w:color w:val="000000"/>
                <w:sz w:val="16"/>
                <w:szCs w:val="16"/>
              </w:rPr>
              <w:t>%, decrease overall</w:t>
            </w:r>
            <w:r w:rsidRPr="00370E70">
              <w:rPr>
                <w:rFonts w:cs="Arial"/>
                <w:i/>
                <w:color w:val="000000"/>
                <w:sz w:val="16"/>
                <w:szCs w:val="16"/>
              </w:rPr>
              <w:t>)</w:t>
            </w:r>
          </w:p>
        </w:tc>
        <w:tc>
          <w:tcPr>
            <w:tcW w:w="1230"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0.559</w:t>
            </w:r>
          </w:p>
          <w:p w:rsidR="005132EF" w:rsidRPr="00370E70" w:rsidRDefault="005132EF" w:rsidP="00034AD4">
            <w:pPr>
              <w:keepNext/>
              <w:spacing w:before="0" w:after="0"/>
              <w:jc w:val="center"/>
              <w:rPr>
                <w:rFonts w:cs="Arial"/>
                <w:color w:val="000000"/>
              </w:rPr>
            </w:pPr>
            <w:r w:rsidRPr="00370E70">
              <w:rPr>
                <w:i/>
                <w:iCs/>
                <w:color w:val="000000"/>
                <w:sz w:val="16"/>
                <w:szCs w:val="16"/>
              </w:rPr>
              <w:t>(-83.4%, decrease overall</w:t>
            </w:r>
            <w:r w:rsidRPr="00370E70">
              <w:rPr>
                <w:rFonts w:cs="Arial"/>
                <w:i/>
                <w:color w:val="000000"/>
                <w:sz w:val="16"/>
                <w:szCs w:val="16"/>
              </w:rPr>
              <w:t>)</w:t>
            </w:r>
          </w:p>
        </w:tc>
        <w:tc>
          <w:tcPr>
            <w:tcW w:w="1292" w:type="dxa"/>
            <w:shd w:val="clear" w:color="auto" w:fill="E6E6E6"/>
          </w:tcPr>
          <w:p w:rsidR="005132EF" w:rsidRPr="00370E70" w:rsidRDefault="005132EF" w:rsidP="00034AD4">
            <w:pPr>
              <w:keepNext/>
              <w:spacing w:before="0" w:after="0"/>
              <w:jc w:val="center"/>
              <w:rPr>
                <w:rFonts w:cs="Arial"/>
                <w:color w:val="000000"/>
              </w:rPr>
            </w:pPr>
            <w:r w:rsidRPr="00370E70">
              <w:rPr>
                <w:rFonts w:cs="Arial"/>
                <w:color w:val="000000"/>
              </w:rPr>
              <w:t>0.241</w:t>
            </w:r>
          </w:p>
          <w:p w:rsidR="005132EF" w:rsidRPr="00370E70" w:rsidRDefault="005132EF" w:rsidP="00034AD4">
            <w:pPr>
              <w:keepNext/>
              <w:spacing w:before="0" w:after="0"/>
              <w:jc w:val="center"/>
              <w:rPr>
                <w:rFonts w:cs="Arial"/>
                <w:color w:val="000000"/>
              </w:rPr>
            </w:pPr>
            <w:r w:rsidRPr="00370E70">
              <w:rPr>
                <w:i/>
                <w:iCs/>
                <w:color w:val="000000"/>
                <w:sz w:val="16"/>
                <w:szCs w:val="16"/>
              </w:rPr>
              <w:t>(-93.6%, decrease overall</w:t>
            </w:r>
            <w:r w:rsidRPr="00370E70">
              <w:rPr>
                <w:rFonts w:cs="Arial"/>
                <w:i/>
                <w:color w:val="000000"/>
                <w:sz w:val="16"/>
                <w:szCs w:val="16"/>
              </w:rPr>
              <w:t>)</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October</w:t>
            </w:r>
          </w:p>
          <w:p w:rsidR="005132EF" w:rsidRPr="00370E70" w:rsidRDefault="005132EF" w:rsidP="007E7BAC">
            <w:pPr>
              <w:keepNext/>
              <w:spacing w:before="0" w:after="0"/>
              <w:jc w:val="center"/>
              <w:rPr>
                <w:b/>
                <w:color w:val="000000"/>
                <w:sz w:val="20"/>
                <w:szCs w:val="20"/>
              </w:rPr>
            </w:pPr>
            <w:r w:rsidRPr="00370E70">
              <w:rPr>
                <w:b/>
                <w:color w:val="000000"/>
                <w:sz w:val="20"/>
                <w:szCs w:val="20"/>
              </w:rPr>
              <w:t>2011</w:t>
            </w:r>
          </w:p>
        </w:tc>
        <w:tc>
          <w:tcPr>
            <w:tcW w:w="1241" w:type="dxa"/>
            <w:shd w:val="clear" w:color="auto" w:fill="E6E6E6"/>
          </w:tcPr>
          <w:p w:rsidR="005132EF" w:rsidRPr="00370E70" w:rsidRDefault="005132EF" w:rsidP="007E7BAC">
            <w:pPr>
              <w:keepNext/>
              <w:spacing w:before="0" w:after="0"/>
              <w:jc w:val="center"/>
              <w:rPr>
                <w:color w:val="000000"/>
              </w:rPr>
            </w:pPr>
            <w:r w:rsidRPr="00370E70">
              <w:rPr>
                <w:color w:val="000000"/>
              </w:rPr>
              <w:t>1.140</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(-66.8%, decrease seaward)</w:t>
            </w:r>
          </w:p>
        </w:tc>
        <w:tc>
          <w:tcPr>
            <w:tcW w:w="1241" w:type="dxa"/>
            <w:shd w:val="clear" w:color="auto" w:fill="E6E6E6"/>
          </w:tcPr>
          <w:p w:rsidR="005132EF" w:rsidRPr="00370E70" w:rsidRDefault="005132EF" w:rsidP="007E7BAC">
            <w:pPr>
              <w:keepNext/>
              <w:spacing w:before="0" w:after="0"/>
              <w:jc w:val="center"/>
              <w:rPr>
                <w:color w:val="000000"/>
              </w:rPr>
            </w:pPr>
            <w:r w:rsidRPr="00370E70">
              <w:rPr>
                <w:color w:val="000000"/>
              </w:rPr>
              <w:t>0.822</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(-66.2, decrease seaward)</w:t>
            </w:r>
          </w:p>
        </w:tc>
        <w:tc>
          <w:tcPr>
            <w:tcW w:w="1325" w:type="dxa"/>
          </w:tcPr>
          <w:p w:rsidR="005132EF" w:rsidRPr="00370E70" w:rsidRDefault="005132EF" w:rsidP="007E7BAC">
            <w:pPr>
              <w:keepNext/>
              <w:spacing w:before="0" w:after="0"/>
              <w:jc w:val="center"/>
              <w:rPr>
                <w:color w:val="000000"/>
              </w:rPr>
            </w:pPr>
            <w:r w:rsidRPr="00370E70">
              <w:rPr>
                <w:color w:val="000000"/>
              </w:rPr>
              <w:t>0.866</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(6.8%, increase shoreward)</w:t>
            </w:r>
          </w:p>
        </w:tc>
        <w:tc>
          <w:tcPr>
            <w:tcW w:w="1321" w:type="dxa"/>
            <w:shd w:val="clear" w:color="auto" w:fill="E6E6E6"/>
          </w:tcPr>
          <w:p w:rsidR="005132EF" w:rsidRPr="00370E70" w:rsidRDefault="005132EF" w:rsidP="007E7BAC">
            <w:pPr>
              <w:keepNext/>
              <w:spacing w:before="0" w:after="0"/>
              <w:jc w:val="center"/>
              <w:rPr>
                <w:color w:val="000000"/>
              </w:rPr>
            </w:pPr>
            <w:r w:rsidRPr="00370E70">
              <w:rPr>
                <w:color w:val="000000"/>
              </w:rPr>
              <w:t>0.038</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 xml:space="preserve">(-76.8%, </w:t>
            </w:r>
            <w:r w:rsidRPr="00370E70">
              <w:rPr>
                <w:i/>
                <w:iCs/>
                <w:color w:val="000000"/>
                <w:sz w:val="16"/>
                <w:szCs w:val="16"/>
              </w:rPr>
              <w:t>increase overall)</w:t>
            </w:r>
          </w:p>
        </w:tc>
        <w:tc>
          <w:tcPr>
            <w:tcW w:w="1230" w:type="dxa"/>
            <w:shd w:val="clear" w:color="auto" w:fill="E6E6E6"/>
          </w:tcPr>
          <w:p w:rsidR="005132EF" w:rsidRPr="00370E70" w:rsidRDefault="005132EF" w:rsidP="007E7BAC">
            <w:pPr>
              <w:keepNext/>
              <w:spacing w:before="0" w:after="0"/>
              <w:jc w:val="center"/>
              <w:rPr>
                <w:color w:val="000000"/>
              </w:rPr>
            </w:pPr>
            <w:r w:rsidRPr="00370E70">
              <w:rPr>
                <w:color w:val="000000"/>
              </w:rPr>
              <w:t>3.804</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 xml:space="preserve">(12.7%, </w:t>
            </w:r>
            <w:r w:rsidRPr="00370E70">
              <w:rPr>
                <w:i/>
                <w:iCs/>
                <w:color w:val="000000"/>
                <w:sz w:val="16"/>
                <w:szCs w:val="16"/>
              </w:rPr>
              <w:t>increase overall)</w:t>
            </w:r>
          </w:p>
        </w:tc>
        <w:tc>
          <w:tcPr>
            <w:tcW w:w="1292" w:type="dxa"/>
            <w:shd w:val="clear" w:color="auto" w:fill="E6E6E6"/>
          </w:tcPr>
          <w:p w:rsidR="005132EF" w:rsidRPr="00370E70" w:rsidRDefault="005132EF" w:rsidP="007E7BAC">
            <w:pPr>
              <w:keepNext/>
              <w:spacing w:before="0" w:after="0"/>
              <w:jc w:val="center"/>
              <w:rPr>
                <w:color w:val="000000"/>
              </w:rPr>
            </w:pPr>
            <w:r w:rsidRPr="00370E70">
              <w:rPr>
                <w:color w:val="000000"/>
              </w:rPr>
              <w:t>3.599</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 xml:space="preserve">(-3.9%, </w:t>
            </w:r>
            <w:r w:rsidRPr="00370E70">
              <w:rPr>
                <w:i/>
                <w:iCs/>
                <w:color w:val="000000"/>
                <w:sz w:val="16"/>
                <w:szCs w:val="16"/>
              </w:rPr>
              <w:t>increase overall)</w:t>
            </w:r>
          </w:p>
        </w:tc>
      </w:tr>
      <w:tr w:rsidR="005132EF" w:rsidRPr="00370E70" w:rsidTr="007E7BAC">
        <w:trPr>
          <w:jc w:val="center"/>
        </w:trPr>
        <w:tc>
          <w:tcPr>
            <w:tcW w:w="1057" w:type="dxa"/>
            <w:vAlign w:val="center"/>
          </w:tcPr>
          <w:p w:rsidR="005132EF" w:rsidRPr="00370E70" w:rsidRDefault="005132EF" w:rsidP="007E7BAC">
            <w:pPr>
              <w:keepNext/>
              <w:spacing w:before="0" w:after="0"/>
              <w:jc w:val="center"/>
              <w:rPr>
                <w:b/>
                <w:color w:val="000000"/>
                <w:sz w:val="20"/>
                <w:szCs w:val="20"/>
              </w:rPr>
            </w:pPr>
            <w:r w:rsidRPr="00370E70">
              <w:rPr>
                <w:b/>
                <w:color w:val="000000"/>
                <w:sz w:val="20"/>
                <w:szCs w:val="20"/>
              </w:rPr>
              <w:t>April</w:t>
            </w:r>
          </w:p>
          <w:p w:rsidR="005132EF" w:rsidRPr="00370E70" w:rsidRDefault="005132EF" w:rsidP="007E7BAC">
            <w:pPr>
              <w:keepNext/>
              <w:spacing w:before="0" w:after="0"/>
              <w:jc w:val="center"/>
              <w:rPr>
                <w:b/>
                <w:color w:val="000000"/>
                <w:sz w:val="20"/>
                <w:szCs w:val="20"/>
              </w:rPr>
            </w:pPr>
            <w:r w:rsidRPr="00370E70">
              <w:rPr>
                <w:b/>
                <w:color w:val="000000"/>
                <w:sz w:val="20"/>
                <w:szCs w:val="20"/>
              </w:rPr>
              <w:t>2012</w:t>
            </w:r>
          </w:p>
        </w:tc>
        <w:tc>
          <w:tcPr>
            <w:tcW w:w="1241" w:type="dxa"/>
            <w:shd w:val="clear" w:color="auto" w:fill="E6E6E6"/>
          </w:tcPr>
          <w:p w:rsidR="005132EF" w:rsidRPr="00370E70" w:rsidRDefault="005132EF" w:rsidP="007E7BAC">
            <w:pPr>
              <w:keepNext/>
              <w:spacing w:before="0" w:after="0"/>
              <w:jc w:val="center"/>
              <w:rPr>
                <w:color w:val="000000"/>
              </w:rPr>
            </w:pPr>
            <w:r w:rsidRPr="00370E70">
              <w:rPr>
                <w:color w:val="000000"/>
              </w:rPr>
              <w:t>2.432</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(-29.1%, increase shoreward)</w:t>
            </w:r>
          </w:p>
        </w:tc>
        <w:tc>
          <w:tcPr>
            <w:tcW w:w="1241" w:type="dxa"/>
          </w:tcPr>
          <w:p w:rsidR="005132EF" w:rsidRPr="00370E70" w:rsidRDefault="005132EF" w:rsidP="007E7BAC">
            <w:pPr>
              <w:keepNext/>
              <w:spacing w:before="0" w:after="0"/>
              <w:jc w:val="center"/>
              <w:rPr>
                <w:color w:val="000000"/>
              </w:rPr>
            </w:pPr>
            <w:r w:rsidRPr="00370E70">
              <w:rPr>
                <w:color w:val="000000"/>
              </w:rPr>
              <w:t>2.571</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(5.7%, increase shoreward)</w:t>
            </w:r>
          </w:p>
        </w:tc>
        <w:tc>
          <w:tcPr>
            <w:tcW w:w="1325" w:type="dxa"/>
          </w:tcPr>
          <w:p w:rsidR="005132EF" w:rsidRPr="00370E70" w:rsidRDefault="005132EF" w:rsidP="007E7BAC">
            <w:pPr>
              <w:keepNext/>
              <w:spacing w:before="0" w:after="0"/>
              <w:jc w:val="center"/>
              <w:rPr>
                <w:rFonts w:cs="Arial"/>
                <w:i/>
                <w:color w:val="000000"/>
                <w:sz w:val="16"/>
                <w:szCs w:val="16"/>
              </w:rPr>
            </w:pPr>
            <w:r w:rsidRPr="00370E70">
              <w:rPr>
                <w:color w:val="000000"/>
              </w:rPr>
              <w:t>1.479</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(82.6%, increase shoreward)</w:t>
            </w:r>
          </w:p>
        </w:tc>
        <w:tc>
          <w:tcPr>
            <w:tcW w:w="1321" w:type="dxa"/>
            <w:shd w:val="clear" w:color="auto" w:fill="E6E6E6"/>
          </w:tcPr>
          <w:p w:rsidR="005132EF" w:rsidRPr="00370E70" w:rsidRDefault="005132EF" w:rsidP="007E7BAC">
            <w:pPr>
              <w:keepNext/>
              <w:spacing w:before="0" w:after="0"/>
              <w:jc w:val="center"/>
              <w:rPr>
                <w:color w:val="000000"/>
              </w:rPr>
            </w:pPr>
            <w:r w:rsidRPr="00370E70">
              <w:rPr>
                <w:color w:val="000000"/>
              </w:rPr>
              <w:t>0.0378</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(-77.2%, no change)</w:t>
            </w:r>
          </w:p>
        </w:tc>
        <w:tc>
          <w:tcPr>
            <w:tcW w:w="1230" w:type="dxa"/>
            <w:shd w:val="clear" w:color="auto" w:fill="E6E6E6"/>
          </w:tcPr>
          <w:p w:rsidR="005132EF" w:rsidRPr="00370E70" w:rsidRDefault="005132EF" w:rsidP="007E7BAC">
            <w:pPr>
              <w:keepNext/>
              <w:spacing w:before="0" w:after="0"/>
              <w:jc w:val="center"/>
              <w:rPr>
                <w:color w:val="000000"/>
              </w:rPr>
            </w:pPr>
            <w:r w:rsidRPr="00370E70">
              <w:rPr>
                <w:color w:val="000000"/>
              </w:rPr>
              <w:t>2.62</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 xml:space="preserve">(-22.4%, </w:t>
            </w:r>
            <w:r w:rsidRPr="00370E70">
              <w:rPr>
                <w:i/>
                <w:iCs/>
                <w:color w:val="000000"/>
                <w:sz w:val="16"/>
                <w:szCs w:val="16"/>
              </w:rPr>
              <w:t>decrease overall)</w:t>
            </w:r>
          </w:p>
        </w:tc>
        <w:tc>
          <w:tcPr>
            <w:tcW w:w="1292" w:type="dxa"/>
            <w:shd w:val="clear" w:color="auto" w:fill="E6E6E6"/>
          </w:tcPr>
          <w:p w:rsidR="005132EF" w:rsidRPr="00370E70" w:rsidRDefault="005132EF" w:rsidP="007E7BAC">
            <w:pPr>
              <w:keepNext/>
              <w:spacing w:before="0" w:after="0"/>
              <w:jc w:val="center"/>
              <w:rPr>
                <w:color w:val="000000"/>
              </w:rPr>
            </w:pPr>
            <w:r w:rsidRPr="00370E70">
              <w:rPr>
                <w:color w:val="000000"/>
              </w:rPr>
              <w:t>2.627</w:t>
            </w:r>
          </w:p>
          <w:p w:rsidR="005132EF" w:rsidRPr="00370E70" w:rsidRDefault="005132EF" w:rsidP="007E7BAC">
            <w:pPr>
              <w:keepNext/>
              <w:spacing w:before="0" w:after="0"/>
              <w:jc w:val="center"/>
              <w:rPr>
                <w:rFonts w:cs="Arial"/>
                <w:i/>
                <w:color w:val="000000"/>
                <w:sz w:val="16"/>
                <w:szCs w:val="16"/>
              </w:rPr>
            </w:pPr>
            <w:r w:rsidRPr="00370E70">
              <w:rPr>
                <w:rFonts w:cs="Arial"/>
                <w:i/>
                <w:color w:val="000000"/>
                <w:sz w:val="16"/>
                <w:szCs w:val="16"/>
              </w:rPr>
              <w:t xml:space="preserve">(-29.9%, </w:t>
            </w:r>
            <w:r w:rsidRPr="00370E70">
              <w:rPr>
                <w:i/>
                <w:iCs/>
                <w:color w:val="000000"/>
                <w:sz w:val="16"/>
                <w:szCs w:val="16"/>
              </w:rPr>
              <w:t>decrease overall)</w:t>
            </w:r>
          </w:p>
        </w:tc>
      </w:tr>
    </w:tbl>
    <w:p w:rsidR="0077169E" w:rsidRPr="00370E70" w:rsidRDefault="007B15AB" w:rsidP="0077169E">
      <w:pPr>
        <w:keepNext/>
        <w:spacing w:before="240"/>
        <w:jc w:val="center"/>
        <w:rPr>
          <w:color w:val="000000"/>
        </w:rPr>
      </w:pPr>
      <w:bookmarkStart w:id="587" w:name="_Toc184102014"/>
      <w:r>
        <w:rPr>
          <w:noProof/>
          <w:lang w:eastAsia="en-AU"/>
        </w:rPr>
        <w:lastRenderedPageBreak/>
        <w:drawing>
          <wp:inline distT="0" distB="0" distL="0" distR="0">
            <wp:extent cx="2163445" cy="1455420"/>
            <wp:effectExtent l="0" t="0" r="8255" b="0"/>
            <wp:docPr id="164" name="Picture 163" descr="Graph showing long-term changes in extent of area (100m radius of monitoring site) covered by seagrass at each estuary (Sarina Inlet) monitoring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Graph showing long-term changes in extent of area (100m radius of monitoring site) covered by seagrass at each estuary (Sarina Inlet) monitoring locations"/>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2163445" cy="1455420"/>
                    </a:xfrm>
                    <a:prstGeom prst="rect">
                      <a:avLst/>
                    </a:prstGeom>
                    <a:noFill/>
                    <a:ln>
                      <a:noFill/>
                    </a:ln>
                  </pic:spPr>
                </pic:pic>
              </a:graphicData>
            </a:graphic>
          </wp:inline>
        </w:drawing>
      </w:r>
    </w:p>
    <w:p w:rsidR="0077169E" w:rsidRPr="00370E70" w:rsidRDefault="0077169E" w:rsidP="0077169E">
      <w:pPr>
        <w:pStyle w:val="Caption"/>
        <w:rPr>
          <w:i/>
          <w:color w:val="000000"/>
          <w:szCs w:val="22"/>
          <w:lang w:val="en-AU"/>
        </w:rPr>
      </w:pPr>
      <w:bookmarkStart w:id="588" w:name="_Ref179466575"/>
      <w:bookmarkStart w:id="589" w:name="_Toc176158905"/>
      <w:bookmarkStart w:id="590" w:name="_Toc232846006"/>
      <w:bookmarkStart w:id="591" w:name="_Toc384196471"/>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124</w:t>
      </w:r>
      <w:r w:rsidRPr="00370E70">
        <w:rPr>
          <w:color w:val="000000"/>
          <w:szCs w:val="22"/>
          <w:lang w:val="en-AU"/>
        </w:rPr>
        <w:fldChar w:fldCharType="end"/>
      </w:r>
      <w:bookmarkEnd w:id="588"/>
      <w:r w:rsidRPr="00370E70">
        <w:rPr>
          <w:rStyle w:val="StyleCaptionCaptionCharCharLatinCalibri11ptBlackChar"/>
          <w:lang w:val="en-AU"/>
        </w:rPr>
        <w:t>.</w:t>
      </w:r>
      <w:r w:rsidRPr="00370E70">
        <w:rPr>
          <w:i/>
          <w:color w:val="000000"/>
          <w:szCs w:val="22"/>
          <w:lang w:val="en-AU"/>
        </w:rPr>
        <w:t xml:space="preserve"> Extent of area (100m radius of monitoring site) covered by seagrass at </w:t>
      </w:r>
      <w:r w:rsidR="008F4EDA">
        <w:rPr>
          <w:i/>
          <w:color w:val="000000"/>
          <w:szCs w:val="22"/>
          <w:lang w:val="en-AU"/>
        </w:rPr>
        <w:t xml:space="preserve">inshore intertidal </w:t>
      </w:r>
      <w:r w:rsidRPr="00370E70">
        <w:rPr>
          <w:i/>
          <w:color w:val="000000"/>
          <w:szCs w:val="22"/>
          <w:lang w:val="en-AU"/>
        </w:rPr>
        <w:t xml:space="preserve">estuarine </w:t>
      </w:r>
      <w:r w:rsidR="008F4EDA">
        <w:rPr>
          <w:i/>
          <w:color w:val="000000"/>
          <w:szCs w:val="22"/>
          <w:lang w:val="en-AU"/>
        </w:rPr>
        <w:t xml:space="preserve">habitat </w:t>
      </w:r>
      <w:r w:rsidRPr="00370E70">
        <w:rPr>
          <w:i/>
          <w:color w:val="000000"/>
          <w:szCs w:val="22"/>
          <w:lang w:val="en-AU"/>
        </w:rPr>
        <w:t>(Sarina Inlet) monitoring sites.</w:t>
      </w:r>
      <w:bookmarkEnd w:id="589"/>
      <w:bookmarkEnd w:id="590"/>
      <w:bookmarkEnd w:id="591"/>
    </w:p>
    <w:p w:rsidR="005132EF" w:rsidRPr="00370E70" w:rsidRDefault="005132EF" w:rsidP="00034AD4">
      <w:pPr>
        <w:pStyle w:val="Heading4"/>
        <w:rPr>
          <w:b/>
          <w:color w:val="000000"/>
        </w:rPr>
      </w:pPr>
      <w:r w:rsidRPr="00370E70">
        <w:rPr>
          <w:b/>
          <w:color w:val="000000"/>
        </w:rPr>
        <w:t>Seagrass reproductive status</w:t>
      </w:r>
      <w:bookmarkEnd w:id="587"/>
    </w:p>
    <w:p w:rsidR="005132EF" w:rsidRPr="00370E70" w:rsidRDefault="005132EF" w:rsidP="006207A8">
      <w:pPr>
        <w:autoSpaceDE w:val="0"/>
        <w:autoSpaceDN w:val="0"/>
        <w:adjustRightInd w:val="0"/>
        <w:spacing w:before="0" w:after="0"/>
        <w:rPr>
          <w:color w:val="000000"/>
          <w:szCs w:val="22"/>
        </w:rPr>
      </w:pPr>
      <w:r w:rsidRPr="00370E70">
        <w:rPr>
          <w:color w:val="000000"/>
          <w:szCs w:val="22"/>
          <w:lang w:eastAsia="en-AU"/>
        </w:rPr>
        <w:t xml:space="preserve">Seed banks across the region recovered slightly over the 2011/12 monitoring period (except at reef sites) </w:t>
      </w:r>
      <w:r w:rsidRPr="00370E70">
        <w:rPr>
          <w:color w:val="000000"/>
          <w:szCs w:val="22"/>
        </w:rPr>
        <w:t>(</w:t>
      </w:r>
      <w:r w:rsidRPr="00370E70">
        <w:rPr>
          <w:color w:val="000000"/>
        </w:rPr>
        <w:fldChar w:fldCharType="begin"/>
      </w:r>
      <w:r w:rsidRPr="00370E70">
        <w:rPr>
          <w:color w:val="000000"/>
        </w:rPr>
        <w:instrText xml:space="preserve"> REF _Ref271532047 \h  \* MERGEFORMAT </w:instrText>
      </w:r>
      <w:r w:rsidRPr="00370E70">
        <w:rPr>
          <w:color w:val="000000"/>
        </w:rPr>
      </w:r>
      <w:r w:rsidRPr="00370E70">
        <w:rPr>
          <w:color w:val="000000"/>
        </w:rPr>
        <w:fldChar w:fldCharType="separate"/>
      </w:r>
      <w:r w:rsidR="005B5FD6" w:rsidRPr="005B5FD6">
        <w:rPr>
          <w:szCs w:val="22"/>
        </w:rPr>
        <w:t xml:space="preserve">Figure </w:t>
      </w:r>
      <w:r w:rsidR="005B5FD6">
        <w:rPr>
          <w:noProof/>
          <w:color w:val="000000"/>
          <w:szCs w:val="22"/>
        </w:rPr>
        <w:t>125</w:t>
      </w:r>
      <w:r w:rsidRPr="00370E70">
        <w:rPr>
          <w:color w:val="000000"/>
        </w:rPr>
        <w:fldChar w:fldCharType="end"/>
      </w:r>
      <w:r w:rsidRPr="00370E70">
        <w:rPr>
          <w:color w:val="000000"/>
          <w:szCs w:val="22"/>
        </w:rPr>
        <w:t xml:space="preserve">, </w:t>
      </w:r>
      <w:r w:rsidRPr="00370E70">
        <w:rPr>
          <w:color w:val="000000"/>
        </w:rPr>
        <w:fldChar w:fldCharType="begin"/>
      </w:r>
      <w:r w:rsidRPr="00370E70">
        <w:rPr>
          <w:color w:val="000000"/>
        </w:rPr>
        <w:instrText xml:space="preserve"> REF _Ref271532075 \h  \* MERGEFORMAT </w:instrText>
      </w:r>
      <w:r w:rsidRPr="00370E70">
        <w:rPr>
          <w:color w:val="000000"/>
        </w:rPr>
      </w:r>
      <w:r w:rsidRPr="00370E70">
        <w:rPr>
          <w:color w:val="000000"/>
        </w:rPr>
        <w:fldChar w:fldCharType="separate"/>
      </w:r>
      <w:r w:rsidR="005B5FD6" w:rsidRPr="005B5FD6">
        <w:rPr>
          <w:color w:val="000000"/>
          <w:szCs w:val="22"/>
        </w:rPr>
        <w:t xml:space="preserve">Figure </w:t>
      </w:r>
      <w:r w:rsidR="005B5FD6" w:rsidRPr="005B5FD6">
        <w:rPr>
          <w:noProof/>
          <w:color w:val="000000"/>
          <w:szCs w:val="22"/>
        </w:rPr>
        <w:t>126</w:t>
      </w:r>
      <w:r w:rsidRPr="00370E70">
        <w:rPr>
          <w:color w:val="000000"/>
        </w:rPr>
        <w:fldChar w:fldCharType="end"/>
      </w:r>
      <w:r w:rsidRPr="00370E70">
        <w:rPr>
          <w:color w:val="000000"/>
          <w:szCs w:val="22"/>
        </w:rPr>
        <w:t>). However, reproductive structure remained low, which is consistent with the low abundance throughout the Mackay</w:t>
      </w:r>
      <w:r w:rsidR="00F62A57" w:rsidRPr="00370E70">
        <w:rPr>
          <w:color w:val="000000"/>
          <w:szCs w:val="22"/>
        </w:rPr>
        <w:t xml:space="preserve"> </w:t>
      </w:r>
      <w:r w:rsidRPr="00370E70">
        <w:rPr>
          <w:color w:val="000000"/>
          <w:szCs w:val="22"/>
        </w:rPr>
        <w:t>Whitsunday</w:t>
      </w:r>
      <w:r w:rsidR="008F5E75" w:rsidRPr="00370E70">
        <w:rPr>
          <w:color w:val="000000"/>
          <w:szCs w:val="22"/>
        </w:rPr>
        <w:t xml:space="preserve"> region</w:t>
      </w:r>
      <w:r w:rsidRPr="00370E70">
        <w:rPr>
          <w:color w:val="000000"/>
          <w:szCs w:val="22"/>
        </w:rPr>
        <w:t xml:space="preserve">. </w:t>
      </w:r>
    </w:p>
    <w:p w:rsidR="005132EF" w:rsidRPr="00370E70" w:rsidRDefault="007B15AB" w:rsidP="0034068E">
      <w:pPr>
        <w:keepNext/>
        <w:jc w:val="center"/>
        <w:rPr>
          <w:noProof/>
          <w:lang w:eastAsia="en-AU"/>
        </w:rPr>
      </w:pPr>
      <w:r>
        <w:rPr>
          <w:noProof/>
          <w:lang w:eastAsia="en-AU"/>
        </w:rPr>
        <w:drawing>
          <wp:inline distT="0" distB="0" distL="0" distR="0">
            <wp:extent cx="4314190" cy="1558290"/>
            <wp:effectExtent l="0" t="0" r="0" b="3810"/>
            <wp:docPr id="165" name="Picture 164" descr="Graph of long-term changes in coastal habitat seed banks and germinated seed abundance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Graph of long-term changes in coastal habitat seed banks and germinated seed abundance in the Mackay Whitsunday region."/>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4314190" cy="1558290"/>
                    </a:xfrm>
                    <a:prstGeom prst="rect">
                      <a:avLst/>
                    </a:prstGeom>
                    <a:noFill/>
                    <a:ln>
                      <a:noFill/>
                    </a:ln>
                  </pic:spPr>
                </pic:pic>
              </a:graphicData>
            </a:graphic>
          </wp:inline>
        </w:drawing>
      </w:r>
    </w:p>
    <w:p w:rsidR="004C0F4D" w:rsidRPr="00370E70" w:rsidRDefault="004C0F4D" w:rsidP="004C0F4D">
      <w:pPr>
        <w:keepNext/>
        <w:tabs>
          <w:tab w:val="left" w:pos="2694"/>
        </w:tabs>
        <w:spacing w:before="0" w:after="0"/>
        <w:rPr>
          <w:rFonts w:ascii="Arial" w:hAnsi="Arial" w:cs="Arial"/>
          <w:b/>
          <w:sz w:val="16"/>
          <w:szCs w:val="16"/>
        </w:rPr>
      </w:pPr>
      <w:r w:rsidRPr="00370E70">
        <w:rPr>
          <w:rFonts w:ascii="Arial" w:hAnsi="Arial" w:cs="Arial"/>
          <w:b/>
          <w:noProof/>
          <w:sz w:val="16"/>
          <w:szCs w:val="16"/>
          <w:lang w:eastAsia="en-AU"/>
        </w:rPr>
        <w:tab/>
        <w:t>c.</w:t>
      </w:r>
    </w:p>
    <w:p w:rsidR="005132EF" w:rsidRPr="00370E70" w:rsidRDefault="007B15AB" w:rsidP="004C0F4D">
      <w:pPr>
        <w:spacing w:before="0" w:after="0"/>
        <w:jc w:val="center"/>
        <w:rPr>
          <w:b/>
          <w:color w:val="000000"/>
          <w:szCs w:val="22"/>
        </w:rPr>
      </w:pPr>
      <w:r>
        <w:rPr>
          <w:b/>
          <w:noProof/>
          <w:color w:val="000000"/>
          <w:szCs w:val="22"/>
          <w:lang w:eastAsia="en-AU"/>
        </w:rPr>
        <w:drawing>
          <wp:inline distT="0" distB="0" distL="0" distR="0">
            <wp:extent cx="2163445" cy="1597025"/>
            <wp:effectExtent l="0" t="0" r="0" b="3175"/>
            <wp:docPr id="166" name="Picture 246" descr="Graph of long-term changes in coastal habitat reproductive effor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Graph of long-term changes in coastal habitat reproductive effort in the Mackay Whitsunday region."/>
                    <pic:cNvPicPr>
                      <a:picLocks noChangeAspect="1" noChangeArrowheads="1"/>
                    </pic:cNvPicPr>
                  </pic:nvPicPr>
                  <pic:blipFill>
                    <a:blip r:embed="rId192">
                      <a:extLst>
                        <a:ext uri="{28A0092B-C50C-407E-A947-70E740481C1C}">
                          <a14:useLocalDpi xmlns:a14="http://schemas.microsoft.com/office/drawing/2010/main" val="0"/>
                        </a:ext>
                      </a:extLst>
                    </a:blip>
                    <a:srcRect t="2530" b="8856"/>
                    <a:stretch>
                      <a:fillRect/>
                    </a:stretch>
                  </pic:blipFill>
                  <pic:spPr bwMode="auto">
                    <a:xfrm>
                      <a:off x="0" y="0"/>
                      <a:ext cx="2163445" cy="1597025"/>
                    </a:xfrm>
                    <a:prstGeom prst="rect">
                      <a:avLst/>
                    </a:prstGeom>
                    <a:noFill/>
                    <a:ln>
                      <a:noFill/>
                    </a:ln>
                  </pic:spPr>
                </pic:pic>
              </a:graphicData>
            </a:graphic>
          </wp:inline>
        </w:drawing>
      </w:r>
    </w:p>
    <w:p w:rsidR="004E524D" w:rsidRPr="00370E70" w:rsidRDefault="005132EF" w:rsidP="004E524D">
      <w:pPr>
        <w:pStyle w:val="Caption"/>
        <w:rPr>
          <w:i/>
          <w:vanish/>
          <w:lang w:val="en-AU"/>
          <w:specVanish/>
        </w:rPr>
      </w:pPr>
      <w:bookmarkStart w:id="592" w:name="_Ref271532047"/>
      <w:bookmarkStart w:id="593" w:name="_Toc384196472"/>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125</w:t>
      </w:r>
      <w:r w:rsidRPr="00370E70">
        <w:rPr>
          <w:color w:val="000000"/>
          <w:szCs w:val="22"/>
          <w:lang w:val="en-AU"/>
        </w:rPr>
        <w:fldChar w:fldCharType="end"/>
      </w:r>
      <w:bookmarkEnd w:id="592"/>
      <w:r w:rsidRPr="00370E70">
        <w:rPr>
          <w:rStyle w:val="StyleCaptionCaptionCharCharLatinCalibri11ptBlackChar"/>
          <w:lang w:val="en-AU"/>
        </w:rPr>
        <w:t xml:space="preserve">. </w:t>
      </w:r>
      <w:r w:rsidR="0002225C" w:rsidRPr="0002225C">
        <w:rPr>
          <w:rStyle w:val="StyleCaptionCaptionCharCharLatinCalibri11ptBlackChar"/>
          <w:i/>
          <w:lang w:val="en-AU"/>
        </w:rPr>
        <w:t>Inshore intertidal c</w:t>
      </w:r>
      <w:r w:rsidR="004E524D" w:rsidRPr="0002225C">
        <w:rPr>
          <w:i/>
          <w:lang w:val="en-AU"/>
        </w:rPr>
        <w:t>oastal habitat</w:t>
      </w:r>
      <w:r w:rsidR="004E524D" w:rsidRPr="00370E70">
        <w:rPr>
          <w:i/>
          <w:lang w:val="en-AU"/>
        </w:rPr>
        <w:t xml:space="preserve"> seed banks (a), germinated seed abundance (b), and total reproductive effort (c) in the </w:t>
      </w:r>
      <w:r w:rsidR="004E524D" w:rsidRPr="00370E70">
        <w:rPr>
          <w:i/>
          <w:color w:val="000000"/>
          <w:szCs w:val="22"/>
          <w:lang w:val="en-AU"/>
        </w:rPr>
        <w:t xml:space="preserve">Mackay Whitsunday </w:t>
      </w:r>
      <w:r w:rsidR="004E524D" w:rsidRPr="00370E70">
        <w:rPr>
          <w:i/>
          <w:lang w:val="en-AU"/>
        </w:rPr>
        <w:t>region.</w:t>
      </w:r>
      <w:bookmarkEnd w:id="593"/>
      <w:r w:rsidR="004E524D" w:rsidRPr="00370E70">
        <w:rPr>
          <w:i/>
          <w:lang w:val="en-AU"/>
        </w:rPr>
        <w:t xml:space="preserve"> </w:t>
      </w:r>
    </w:p>
    <w:p w:rsidR="004E524D" w:rsidRPr="00370E70" w:rsidRDefault="004E524D" w:rsidP="004E524D">
      <w:pPr>
        <w:pStyle w:val="Caption"/>
        <w:rPr>
          <w:i/>
          <w:lang w:val="en-AU"/>
        </w:rPr>
      </w:pPr>
      <w:r w:rsidRPr="00370E70">
        <w:rPr>
          <w:i/>
          <w:lang w:val="en-AU"/>
        </w:rPr>
        <w:t>Seed bank presented as the total number of 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 </w:t>
      </w:r>
    </w:p>
    <w:p w:rsidR="004E524D" w:rsidRPr="00370E70" w:rsidRDefault="004E524D" w:rsidP="004E524D">
      <w:pPr>
        <w:rPr>
          <w:rFonts w:eastAsia="SimSun"/>
        </w:rPr>
      </w:pPr>
    </w:p>
    <w:p w:rsidR="005132EF" w:rsidRPr="00370E70" w:rsidRDefault="007B15AB" w:rsidP="00641CBD">
      <w:pPr>
        <w:keepNext/>
        <w:spacing w:after="0"/>
        <w:jc w:val="center"/>
      </w:pPr>
      <w:r>
        <w:rPr>
          <w:noProof/>
          <w:lang w:eastAsia="en-AU"/>
        </w:rPr>
        <w:lastRenderedPageBreak/>
        <w:drawing>
          <wp:inline distT="0" distB="0" distL="0" distR="0">
            <wp:extent cx="4314190" cy="1558290"/>
            <wp:effectExtent l="0" t="0" r="0" b="3810"/>
            <wp:docPr id="167" name="Picture 166" descr="Graph of long-term changes in estuary habitat seed banks and germinated seed abundance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Graph of long-term changes in estuary habitat seed banks and germinated seed abundance in the Mackay Whitsunday region."/>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4314190" cy="1558290"/>
                    </a:xfrm>
                    <a:prstGeom prst="rect">
                      <a:avLst/>
                    </a:prstGeom>
                    <a:noFill/>
                    <a:ln>
                      <a:noFill/>
                    </a:ln>
                  </pic:spPr>
                </pic:pic>
              </a:graphicData>
            </a:graphic>
          </wp:inline>
        </w:drawing>
      </w:r>
    </w:p>
    <w:p w:rsidR="004C0F4D" w:rsidRPr="00370E70" w:rsidRDefault="004C0F4D" w:rsidP="004C0F4D">
      <w:pPr>
        <w:keepNext/>
        <w:tabs>
          <w:tab w:val="left" w:pos="2694"/>
        </w:tabs>
        <w:spacing w:before="0" w:after="0"/>
        <w:rPr>
          <w:rFonts w:ascii="Arial" w:hAnsi="Arial" w:cs="Arial"/>
          <w:b/>
          <w:sz w:val="16"/>
          <w:szCs w:val="16"/>
        </w:rPr>
      </w:pPr>
      <w:r w:rsidRPr="00370E70">
        <w:rPr>
          <w:rFonts w:ascii="Arial" w:hAnsi="Arial" w:cs="Arial"/>
          <w:b/>
          <w:noProof/>
          <w:sz w:val="16"/>
          <w:szCs w:val="16"/>
          <w:lang w:eastAsia="en-AU"/>
        </w:rPr>
        <w:tab/>
        <w:t>c.</w:t>
      </w:r>
    </w:p>
    <w:p w:rsidR="005132EF" w:rsidRPr="00370E70" w:rsidRDefault="007B15AB" w:rsidP="004C0F4D">
      <w:pPr>
        <w:keepNext/>
        <w:spacing w:before="0" w:after="0"/>
        <w:jc w:val="center"/>
        <w:rPr>
          <w:szCs w:val="22"/>
        </w:rPr>
      </w:pPr>
      <w:r>
        <w:rPr>
          <w:noProof/>
          <w:szCs w:val="22"/>
          <w:lang w:eastAsia="en-AU"/>
        </w:rPr>
        <w:drawing>
          <wp:inline distT="0" distB="0" distL="0" distR="0">
            <wp:extent cx="2163445" cy="1597025"/>
            <wp:effectExtent l="0" t="0" r="0" b="3175"/>
            <wp:docPr id="168" name="Picture 247" descr="Graph of long-term changes in estuary habitat reproductive effor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Graph of long-term changes in estuary habitat reproductive effort in the Mackay Whitsunday region."/>
                    <pic:cNvPicPr>
                      <a:picLocks noChangeAspect="1" noChangeArrowheads="1"/>
                    </pic:cNvPicPr>
                  </pic:nvPicPr>
                  <pic:blipFill>
                    <a:blip r:embed="rId194">
                      <a:extLst>
                        <a:ext uri="{28A0092B-C50C-407E-A947-70E740481C1C}">
                          <a14:useLocalDpi xmlns:a14="http://schemas.microsoft.com/office/drawing/2010/main" val="0"/>
                        </a:ext>
                      </a:extLst>
                    </a:blip>
                    <a:srcRect t="2847" b="8540"/>
                    <a:stretch>
                      <a:fillRect/>
                    </a:stretch>
                  </pic:blipFill>
                  <pic:spPr bwMode="auto">
                    <a:xfrm>
                      <a:off x="0" y="0"/>
                      <a:ext cx="2163445" cy="1597025"/>
                    </a:xfrm>
                    <a:prstGeom prst="rect">
                      <a:avLst/>
                    </a:prstGeom>
                    <a:noFill/>
                    <a:ln>
                      <a:noFill/>
                    </a:ln>
                  </pic:spPr>
                </pic:pic>
              </a:graphicData>
            </a:graphic>
          </wp:inline>
        </w:drawing>
      </w:r>
    </w:p>
    <w:p w:rsidR="004E524D" w:rsidRPr="00370E70" w:rsidRDefault="005132EF" w:rsidP="004E524D">
      <w:pPr>
        <w:pStyle w:val="Caption"/>
        <w:rPr>
          <w:i/>
          <w:vanish/>
          <w:lang w:val="en-AU"/>
          <w:specVanish/>
        </w:rPr>
      </w:pPr>
      <w:bookmarkStart w:id="594" w:name="_Ref271532075"/>
      <w:bookmarkStart w:id="595" w:name="_Toc384196473"/>
      <w:r w:rsidRPr="00370E70">
        <w:rPr>
          <w:szCs w:val="22"/>
          <w:lang w:val="en-AU"/>
        </w:rPr>
        <w:t xml:space="preserve">Figure </w:t>
      </w:r>
      <w:r w:rsidRPr="00370E70">
        <w:rPr>
          <w:szCs w:val="22"/>
          <w:lang w:val="en-AU"/>
        </w:rPr>
        <w:fldChar w:fldCharType="begin"/>
      </w:r>
      <w:r w:rsidRPr="00370E70">
        <w:rPr>
          <w:szCs w:val="22"/>
          <w:lang w:val="en-AU"/>
        </w:rPr>
        <w:instrText xml:space="preserve"> SEQ Figure \* ARABIC </w:instrText>
      </w:r>
      <w:r w:rsidRPr="00370E70">
        <w:rPr>
          <w:szCs w:val="22"/>
          <w:lang w:val="en-AU"/>
        </w:rPr>
        <w:fldChar w:fldCharType="separate"/>
      </w:r>
      <w:r w:rsidR="005B5FD6">
        <w:rPr>
          <w:noProof/>
          <w:szCs w:val="22"/>
          <w:lang w:val="en-AU"/>
        </w:rPr>
        <w:t>126</w:t>
      </w:r>
      <w:r w:rsidRPr="00370E70">
        <w:rPr>
          <w:szCs w:val="22"/>
          <w:lang w:val="en-AU"/>
        </w:rPr>
        <w:fldChar w:fldCharType="end"/>
      </w:r>
      <w:bookmarkEnd w:id="594"/>
      <w:r w:rsidRPr="00370E70">
        <w:rPr>
          <w:szCs w:val="22"/>
          <w:lang w:val="en-AU"/>
        </w:rPr>
        <w:t xml:space="preserve">. </w:t>
      </w:r>
      <w:r w:rsidR="0002225C" w:rsidRPr="0002225C">
        <w:rPr>
          <w:i/>
          <w:szCs w:val="22"/>
          <w:lang w:val="en-AU"/>
        </w:rPr>
        <w:t>Inshore intertidal e</w:t>
      </w:r>
      <w:r w:rsidR="004E524D" w:rsidRPr="0002225C">
        <w:rPr>
          <w:i/>
          <w:lang w:val="en-AU"/>
        </w:rPr>
        <w:t>stuary</w:t>
      </w:r>
      <w:r w:rsidR="004E524D" w:rsidRPr="00370E70">
        <w:rPr>
          <w:i/>
          <w:lang w:val="en-AU"/>
        </w:rPr>
        <w:t xml:space="preserve"> habitat seed banks (a), germinated seed abundance (b), and total reproductive effort (c) in the </w:t>
      </w:r>
      <w:r w:rsidR="004E524D" w:rsidRPr="00370E70">
        <w:rPr>
          <w:i/>
          <w:color w:val="000000"/>
          <w:szCs w:val="22"/>
          <w:lang w:val="en-AU"/>
        </w:rPr>
        <w:t xml:space="preserve">Mackay Whitsunday </w:t>
      </w:r>
      <w:r w:rsidR="004E524D" w:rsidRPr="00370E70">
        <w:rPr>
          <w:i/>
          <w:lang w:val="en-AU"/>
        </w:rPr>
        <w:t>region.</w:t>
      </w:r>
      <w:bookmarkEnd w:id="595"/>
      <w:r w:rsidR="004E524D" w:rsidRPr="00370E70">
        <w:rPr>
          <w:i/>
          <w:lang w:val="en-AU"/>
        </w:rPr>
        <w:t xml:space="preserve"> </w:t>
      </w:r>
    </w:p>
    <w:p w:rsidR="004E524D" w:rsidRPr="00370E70" w:rsidRDefault="004E524D" w:rsidP="004E524D">
      <w:pPr>
        <w:pStyle w:val="Caption"/>
        <w:rPr>
          <w:i/>
          <w:lang w:val="en-AU"/>
        </w:rPr>
      </w:pPr>
      <w:r w:rsidRPr="00370E70">
        <w:rPr>
          <w:i/>
          <w:lang w:val="en-AU"/>
        </w:rPr>
        <w:t>Seed bank presented as the total number of 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 </w:t>
      </w:r>
    </w:p>
    <w:p w:rsidR="005132EF" w:rsidRPr="00370E70" w:rsidRDefault="007B15AB" w:rsidP="005132EF">
      <w:pPr>
        <w:jc w:val="center"/>
        <w:rPr>
          <w:color w:val="000000"/>
          <w:szCs w:val="22"/>
          <w:lang w:eastAsia="en-AU"/>
        </w:rPr>
      </w:pPr>
      <w:r>
        <w:rPr>
          <w:noProof/>
          <w:color w:val="000000"/>
          <w:szCs w:val="22"/>
          <w:lang w:eastAsia="en-AU"/>
        </w:rPr>
        <w:drawing>
          <wp:inline distT="0" distB="0" distL="0" distR="0">
            <wp:extent cx="2730500" cy="2086610"/>
            <wp:effectExtent l="0" t="0" r="0" b="8890"/>
            <wp:docPr id="169" name="Picture 248" descr="Graph of long-term changes in reef habitat reproductive effor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Graph of long-term changes in reef habitat reproductive effort in the Mackay Whitsunday region."/>
                    <pic:cNvPicPr>
                      <a:picLocks noChangeAspect="1" noChangeArrowheads="1"/>
                    </pic:cNvPicPr>
                  </pic:nvPicPr>
                  <pic:blipFill>
                    <a:blip r:embed="rId195">
                      <a:extLst>
                        <a:ext uri="{28A0092B-C50C-407E-A947-70E740481C1C}">
                          <a14:useLocalDpi xmlns:a14="http://schemas.microsoft.com/office/drawing/2010/main" val="0"/>
                        </a:ext>
                      </a:extLst>
                    </a:blip>
                    <a:srcRect b="8382"/>
                    <a:stretch>
                      <a:fillRect/>
                    </a:stretch>
                  </pic:blipFill>
                  <pic:spPr bwMode="auto">
                    <a:xfrm>
                      <a:off x="0" y="0"/>
                      <a:ext cx="2730500" cy="2086610"/>
                    </a:xfrm>
                    <a:prstGeom prst="rect">
                      <a:avLst/>
                    </a:prstGeom>
                    <a:noFill/>
                    <a:ln>
                      <a:noFill/>
                    </a:ln>
                  </pic:spPr>
                </pic:pic>
              </a:graphicData>
            </a:graphic>
          </wp:inline>
        </w:drawing>
      </w:r>
    </w:p>
    <w:p w:rsidR="004E524D" w:rsidRPr="00370E70" w:rsidRDefault="005132EF" w:rsidP="004E524D">
      <w:pPr>
        <w:pStyle w:val="Caption"/>
        <w:rPr>
          <w:i/>
          <w:vanish/>
          <w:lang w:val="en-AU"/>
          <w:specVanish/>
        </w:rPr>
      </w:pPr>
      <w:bookmarkStart w:id="596" w:name="_Toc384196474"/>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127</w:t>
      </w:r>
      <w:r w:rsidRPr="00370E70">
        <w:rPr>
          <w:color w:val="000000"/>
          <w:szCs w:val="22"/>
          <w:lang w:val="en-AU"/>
        </w:rPr>
        <w:fldChar w:fldCharType="end"/>
      </w:r>
      <w:r w:rsidRPr="00370E70">
        <w:rPr>
          <w:rStyle w:val="StyleCaptionCaptionCharCharLatinCalibri11ptBlackChar"/>
          <w:lang w:val="en-AU"/>
        </w:rPr>
        <w:t xml:space="preserve">. </w:t>
      </w:r>
      <w:r w:rsidR="0002225C" w:rsidRPr="0002225C">
        <w:rPr>
          <w:rStyle w:val="StyleCaptionCaptionCharCharLatinCalibri11ptBlackChar"/>
          <w:i/>
          <w:lang w:val="en-AU"/>
        </w:rPr>
        <w:t>Inshore intertidal r</w:t>
      </w:r>
      <w:r w:rsidR="004E524D" w:rsidRPr="0002225C">
        <w:rPr>
          <w:i/>
          <w:lang w:val="en-AU"/>
        </w:rPr>
        <w:t>eef</w:t>
      </w:r>
      <w:r w:rsidR="004E524D" w:rsidRPr="00370E70">
        <w:rPr>
          <w:i/>
          <w:lang w:val="en-AU"/>
        </w:rPr>
        <w:t xml:space="preserve"> habitat total reproductive effort in the </w:t>
      </w:r>
      <w:r w:rsidR="004E524D" w:rsidRPr="00370E70">
        <w:rPr>
          <w:i/>
          <w:color w:val="000000"/>
          <w:szCs w:val="22"/>
          <w:lang w:val="en-AU"/>
        </w:rPr>
        <w:t xml:space="preserve">Mackay Whitsunday </w:t>
      </w:r>
      <w:r w:rsidR="004E524D" w:rsidRPr="00370E70">
        <w:rPr>
          <w:i/>
          <w:lang w:val="en-AU"/>
        </w:rPr>
        <w:t>region.</w:t>
      </w:r>
      <w:bookmarkEnd w:id="596"/>
      <w:r w:rsidR="004E524D" w:rsidRPr="00370E70">
        <w:rPr>
          <w:i/>
          <w:lang w:val="en-AU"/>
        </w:rPr>
        <w:t xml:space="preserve"> </w:t>
      </w:r>
    </w:p>
    <w:p w:rsidR="004E524D" w:rsidRPr="00370E70" w:rsidRDefault="004E524D" w:rsidP="004E524D">
      <w:pPr>
        <w:pStyle w:val="Caption"/>
        <w:rPr>
          <w:i/>
          <w:lang w:val="en-AU"/>
        </w:rPr>
      </w:pPr>
      <w:r w:rsidRPr="00370E70">
        <w:rPr>
          <w:i/>
          <w:lang w:val="en-AU"/>
        </w:rPr>
        <w:t xml:space="preserve">Reproductive effort presented as the average number of reproductive structures per core (all species pooled). </w:t>
      </w:r>
    </w:p>
    <w:p w:rsidR="005132EF" w:rsidRPr="00370E70" w:rsidRDefault="005132EF" w:rsidP="00034AD4">
      <w:pPr>
        <w:rPr>
          <w:color w:val="000000"/>
          <w:szCs w:val="22"/>
        </w:rPr>
      </w:pPr>
      <w:r w:rsidRPr="00370E70">
        <w:rPr>
          <w:color w:val="000000"/>
          <w:szCs w:val="22"/>
          <w:lang w:eastAsia="en-AU"/>
        </w:rPr>
        <w:t>Reproductive effort across the whole Mackay Whitsunday region is classified as very poor in 201</w:t>
      </w:r>
      <w:r w:rsidR="0077169E" w:rsidRPr="00370E70">
        <w:rPr>
          <w:color w:val="000000"/>
          <w:szCs w:val="22"/>
          <w:lang w:eastAsia="en-AU"/>
        </w:rPr>
        <w:t>1</w:t>
      </w:r>
      <w:r w:rsidRPr="00370E70">
        <w:rPr>
          <w:color w:val="000000"/>
          <w:szCs w:val="22"/>
          <w:lang w:eastAsia="en-AU"/>
        </w:rPr>
        <w:t xml:space="preserve"> and declining compared to previous years. This suggests that sites within the region will take longer to recover following larger scale disturbance and may be at risk from repeated impacts</w:t>
      </w:r>
      <w:r w:rsidRPr="00370E70">
        <w:rPr>
          <w:color w:val="000000"/>
          <w:szCs w:val="22"/>
        </w:rPr>
        <w:t>.</w:t>
      </w:r>
    </w:p>
    <w:p w:rsidR="005132EF" w:rsidRPr="00370E70" w:rsidRDefault="005132EF" w:rsidP="00034AD4">
      <w:pPr>
        <w:pStyle w:val="Heading3"/>
        <w:rPr>
          <w:color w:val="000000"/>
        </w:rPr>
      </w:pPr>
      <w:bookmarkStart w:id="597" w:name="_Toc184102015"/>
      <w:bookmarkStart w:id="598" w:name="_Toc384196145"/>
      <w:r w:rsidRPr="00370E70">
        <w:rPr>
          <w:color w:val="000000"/>
        </w:rPr>
        <w:t>Status of the seagrass environment</w:t>
      </w:r>
      <w:bookmarkEnd w:id="597"/>
      <w:bookmarkEnd w:id="598"/>
    </w:p>
    <w:p w:rsidR="005132EF" w:rsidRPr="00370E70" w:rsidRDefault="005132EF" w:rsidP="00034AD4">
      <w:pPr>
        <w:pStyle w:val="Heading4"/>
        <w:rPr>
          <w:b/>
          <w:iCs/>
          <w:color w:val="000000"/>
        </w:rPr>
      </w:pPr>
      <w:bookmarkStart w:id="599" w:name="_Toc184102016"/>
      <w:r w:rsidRPr="00370E70">
        <w:rPr>
          <w:b/>
          <w:iCs/>
          <w:color w:val="000000"/>
        </w:rPr>
        <w:t>Seagrass tissue nutrients</w:t>
      </w:r>
      <w:bookmarkEnd w:id="599"/>
    </w:p>
    <w:p w:rsidR="005132EF" w:rsidRPr="00370E70" w:rsidRDefault="005132EF" w:rsidP="00034AD4">
      <w:pPr>
        <w:rPr>
          <w:color w:val="000000"/>
          <w:szCs w:val="22"/>
        </w:rPr>
      </w:pPr>
      <w:r w:rsidRPr="00370E70">
        <w:rPr>
          <w:color w:val="000000"/>
          <w:szCs w:val="22"/>
        </w:rPr>
        <w:t>Seagrass tissue C</w:t>
      </w:r>
      <w:proofErr w:type="gramStart"/>
      <w:r w:rsidRPr="00370E70">
        <w:rPr>
          <w:color w:val="000000"/>
          <w:szCs w:val="22"/>
        </w:rPr>
        <w:t>:N</w:t>
      </w:r>
      <w:proofErr w:type="gramEnd"/>
      <w:r w:rsidRPr="00370E70">
        <w:rPr>
          <w:color w:val="000000"/>
          <w:szCs w:val="22"/>
        </w:rPr>
        <w:t xml:space="preserve"> ratios in the Mackay Whitsunday region have all remained below 20 since 2007 (</w:t>
      </w:r>
      <w:r w:rsidRPr="00370E70">
        <w:fldChar w:fldCharType="begin"/>
      </w:r>
      <w:r w:rsidRPr="00370E70">
        <w:instrText xml:space="preserve"> REF _Ref271130459 \h  \* MERGEFORMAT </w:instrText>
      </w:r>
      <w:r w:rsidRPr="00370E70">
        <w:fldChar w:fldCharType="separate"/>
      </w:r>
      <w:r w:rsidR="005B5FD6" w:rsidRPr="005B5FD6">
        <w:rPr>
          <w:szCs w:val="22"/>
        </w:rPr>
        <w:t xml:space="preserve">Figure </w:t>
      </w:r>
      <w:r w:rsidR="005B5FD6" w:rsidRPr="005B5FD6">
        <w:rPr>
          <w:noProof/>
          <w:color w:val="000000"/>
          <w:szCs w:val="22"/>
        </w:rPr>
        <w:t>128</w:t>
      </w:r>
      <w:r w:rsidRPr="00370E70">
        <w:fldChar w:fldCharType="end"/>
      </w:r>
      <w:r w:rsidRPr="00370E70">
        <w:rPr>
          <w:color w:val="000000"/>
          <w:szCs w:val="22"/>
        </w:rPr>
        <w:t xml:space="preserve">), and all changed little in 2011 compared to 2010, indicating reduced light availability or possibly elevated N. </w:t>
      </w:r>
    </w:p>
    <w:p w:rsidR="005132EF" w:rsidRPr="00370E70" w:rsidRDefault="007B15AB" w:rsidP="001001C9">
      <w:pPr>
        <w:keepNext/>
        <w:jc w:val="center"/>
        <w:rPr>
          <w:color w:val="000000"/>
          <w:szCs w:val="22"/>
        </w:rPr>
      </w:pPr>
      <w:r>
        <w:rPr>
          <w:noProof/>
          <w:lang w:eastAsia="en-AU"/>
        </w:rPr>
        <w:lastRenderedPageBreak/>
        <w:drawing>
          <wp:inline distT="0" distB="0" distL="0" distR="0">
            <wp:extent cx="4314190" cy="1480820"/>
            <wp:effectExtent l="0" t="0" r="0" b="5080"/>
            <wp:docPr id="170" name="Picture 168" descr="Graph of long-term trends in elemental ratios (atomic) of seagrass leaf tissue C:N for the foundation seagrass species examined at each habitat in Mackay Whitsunday region each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Graph of long-term trends in elemental ratios (atomic) of seagrass leaf tissue C:N for the foundation seagrass species examined at each habitat in Mackay Whitsunday region each year "/>
                    <pic:cNvPicPr>
                      <a:picLocks noChangeAspect="1" noChangeArrowheads="1"/>
                    </pic:cNvPicPr>
                  </pic:nvPicPr>
                  <pic:blipFill>
                    <a:blip r:embed="rId196" cstate="print">
                      <a:extLst>
                        <a:ext uri="{28A0092B-C50C-407E-A947-70E740481C1C}">
                          <a14:useLocalDpi xmlns:a14="http://schemas.microsoft.com/office/drawing/2010/main" val="0"/>
                        </a:ext>
                      </a:extLst>
                    </a:blip>
                    <a:srcRect t="14116" r="2977" b="3496"/>
                    <a:stretch>
                      <a:fillRect/>
                    </a:stretch>
                  </pic:blipFill>
                  <pic:spPr bwMode="auto">
                    <a:xfrm>
                      <a:off x="0" y="0"/>
                      <a:ext cx="4314190" cy="1480820"/>
                    </a:xfrm>
                    <a:prstGeom prst="rect">
                      <a:avLst/>
                    </a:prstGeom>
                    <a:noFill/>
                    <a:ln>
                      <a:noFill/>
                    </a:ln>
                  </pic:spPr>
                </pic:pic>
              </a:graphicData>
            </a:graphic>
          </wp:inline>
        </w:drawing>
      </w:r>
    </w:p>
    <w:p w:rsidR="004C0F4D" w:rsidRPr="00370E70" w:rsidRDefault="005132EF" w:rsidP="004C0F4D">
      <w:pPr>
        <w:pStyle w:val="Caption"/>
        <w:rPr>
          <w:i/>
          <w:vanish/>
          <w:color w:val="000000"/>
          <w:szCs w:val="22"/>
          <w:lang w:val="en-AU"/>
          <w:specVanish/>
        </w:rPr>
      </w:pPr>
      <w:bookmarkStart w:id="600" w:name="_Ref271130459"/>
      <w:bookmarkStart w:id="601" w:name="_Toc38419647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128</w:t>
      </w:r>
      <w:r w:rsidRPr="00370E70">
        <w:rPr>
          <w:lang w:val="en-AU"/>
        </w:rPr>
        <w:fldChar w:fldCharType="end"/>
      </w:r>
      <w:bookmarkEnd w:id="600"/>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Pr="00370E70">
        <w:rPr>
          <w:i/>
          <w:lang w:val="en-AU"/>
        </w:rPr>
        <w:t xml:space="preserve">the foundation seagrass species examined at each </w:t>
      </w:r>
      <w:r w:rsidR="0002225C">
        <w:rPr>
          <w:i/>
          <w:lang w:val="en-AU"/>
        </w:rPr>
        <w:t xml:space="preserve">inshore intertidal </w:t>
      </w:r>
      <w:r w:rsidRPr="00370E70">
        <w:rPr>
          <w:i/>
          <w:lang w:val="en-AU"/>
        </w:rPr>
        <w:t xml:space="preserve">habitat in </w:t>
      </w:r>
      <w:r w:rsidR="0002225C">
        <w:rPr>
          <w:i/>
          <w:lang w:val="en-AU"/>
        </w:rPr>
        <w:t xml:space="preserve">the </w:t>
      </w:r>
      <w:r w:rsidRPr="00370E70">
        <w:rPr>
          <w:i/>
          <w:lang w:val="en-AU"/>
        </w:rPr>
        <w:t>Mackay Whitsunday</w:t>
      </w:r>
      <w:r w:rsidRPr="00370E70">
        <w:rPr>
          <w:i/>
          <w:lang w:val="en-AU" w:eastAsia="en-AU"/>
        </w:rPr>
        <w:t xml:space="preserve"> region each year</w:t>
      </w:r>
      <w:bookmarkEnd w:id="601"/>
      <w:r w:rsidRPr="00370E70">
        <w:rPr>
          <w:i/>
          <w:lang w:val="en-AU" w:eastAsia="en-AU"/>
        </w:rPr>
        <w:t xml:space="preserve"> </w:t>
      </w:r>
    </w:p>
    <w:p w:rsidR="004C0F4D" w:rsidRPr="00370E70" w:rsidRDefault="004C0F4D" w:rsidP="004C0F4D">
      <w:pPr>
        <w:pStyle w:val="Caption"/>
        <w:rPr>
          <w:lang w:val="en-AU"/>
        </w:rPr>
      </w:pPr>
      <w:r w:rsidRPr="00370E70">
        <w:rPr>
          <w:i/>
          <w:lang w:val="en-AU" w:eastAsia="en-AU"/>
        </w:rPr>
        <w:t xml:space="preserve"> </w:t>
      </w:r>
      <w:r w:rsidR="005132EF" w:rsidRPr="00370E70">
        <w:rPr>
          <w:i/>
          <w:lang w:val="en-AU" w:eastAsia="en-AU"/>
        </w:rPr>
        <w:t xml:space="preserve">(species pooled) </w:t>
      </w:r>
      <w:r w:rsidR="005132EF" w:rsidRPr="00370E70">
        <w:rPr>
          <w:i/>
          <w:lang w:val="en-AU"/>
        </w:rPr>
        <w:t>(mean</w:t>
      </w:r>
      <w:r w:rsidR="005132EF" w:rsidRPr="00370E70">
        <w:rPr>
          <w:i/>
          <w:lang w:val="en-AU" w:eastAsia="en-AU"/>
        </w:rPr>
        <w:t xml:space="preserve"> ± Standard Error</w:t>
      </w:r>
      <w:r w:rsidR="005132EF" w:rsidRPr="00370E70">
        <w:rPr>
          <w:i/>
          <w:lang w:val="en-AU"/>
        </w:rPr>
        <w:t>)</w:t>
      </w:r>
      <w:r w:rsidR="005132EF" w:rsidRPr="00370E70">
        <w:rPr>
          <w:i/>
          <w:lang w:val="en-AU" w:eastAsia="en-AU"/>
        </w:rPr>
        <w:t xml:space="preserve">. Horizontal shaded band on the C:N ratio panel represents the accepted </w:t>
      </w:r>
      <w:r w:rsidR="005132EF" w:rsidRPr="00370E70">
        <w:rPr>
          <w:i/>
          <w:lang w:val="en-AU"/>
        </w:rPr>
        <w:t xml:space="preserve">guideline </w:t>
      </w:r>
      <w:r w:rsidR="005132EF" w:rsidRPr="00370E70">
        <w:rPr>
          <w:i/>
          <w:lang w:val="en-AU" w:eastAsia="en-AU"/>
        </w:rPr>
        <w:t xml:space="preserve">seagrass “Redfield” ratio </w:t>
      </w:r>
      <w:r w:rsidR="005132EF"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005132EF" w:rsidRPr="00370E70">
        <w:rPr>
          <w:i/>
          <w:lang w:val="en-AU" w:eastAsia="en-AU"/>
        </w:rPr>
        <w:t xml:space="preserve">. C:N ratios below this line may </w:t>
      </w:r>
      <w:r w:rsidR="005132EF" w:rsidRPr="00370E70">
        <w:rPr>
          <w:i/>
          <w:lang w:val="en-AU"/>
        </w:rPr>
        <w:t>indicate reduced light availability</w:t>
      </w:r>
      <w:r w:rsidRPr="00370E70">
        <w:rPr>
          <w:i/>
          <w:lang w:val="en-AU"/>
        </w:rPr>
        <w:t xml:space="preserve"> and/or N enrichment</w:t>
      </w:r>
      <w:r w:rsidR="005132EF" w:rsidRPr="00370E70">
        <w:rPr>
          <w:i/>
          <w:lang w:val="en-AU"/>
        </w:rPr>
        <w:t>.</w:t>
      </w:r>
      <w:r w:rsidRPr="00370E70">
        <w:rPr>
          <w:i/>
          <w:lang w:val="en-AU"/>
        </w:rPr>
        <w:t xml:space="preserve"> </w:t>
      </w:r>
    </w:p>
    <w:p w:rsidR="005132EF" w:rsidRPr="00370E70" w:rsidRDefault="005132EF" w:rsidP="00034AD4">
      <w:pPr>
        <w:rPr>
          <w:color w:val="000000"/>
          <w:szCs w:val="22"/>
        </w:rPr>
      </w:pPr>
      <w:r w:rsidRPr="00370E70">
        <w:rPr>
          <w:color w:val="000000"/>
          <w:szCs w:val="22"/>
        </w:rPr>
        <w:t>The C</w:t>
      </w:r>
      <w:proofErr w:type="gramStart"/>
      <w:r w:rsidRPr="00370E70">
        <w:rPr>
          <w:color w:val="000000"/>
          <w:szCs w:val="22"/>
        </w:rPr>
        <w:t>:P</w:t>
      </w:r>
      <w:proofErr w:type="gramEnd"/>
      <w:r w:rsidRPr="00370E70">
        <w:rPr>
          <w:color w:val="000000"/>
          <w:szCs w:val="22"/>
        </w:rPr>
        <w:t xml:space="preserve"> ratios of foundation seagrass species in the Mackay Whitsunday region all remained below 500 in 2011 across all habitats (</w:t>
      </w:r>
      <w:r w:rsidRPr="00370E70">
        <w:fldChar w:fldCharType="begin"/>
      </w:r>
      <w:r w:rsidRPr="00370E70">
        <w:instrText xml:space="preserve"> REF _Ref236801440 \h  \* MERGEFORMAT </w:instrText>
      </w:r>
      <w:r w:rsidRPr="00370E70">
        <w:fldChar w:fldCharType="separate"/>
      </w:r>
      <w:r w:rsidR="005B5FD6" w:rsidRPr="00370E70">
        <w:rPr>
          <w:color w:val="000000"/>
          <w:szCs w:val="22"/>
        </w:rPr>
        <w:t xml:space="preserve">Figure </w:t>
      </w:r>
      <w:r w:rsidR="005B5FD6">
        <w:rPr>
          <w:noProof/>
          <w:color w:val="000000"/>
          <w:szCs w:val="22"/>
        </w:rPr>
        <w:t>129</w:t>
      </w:r>
      <w:r w:rsidRPr="00370E70">
        <w:fldChar w:fldCharType="end"/>
      </w:r>
      <w:r w:rsidRPr="00370E70">
        <w:rPr>
          <w:color w:val="000000"/>
          <w:szCs w:val="22"/>
        </w:rPr>
        <w:t>). This indicates meadows have a relatively large P pools (nutrient rich). N</w:t>
      </w:r>
      <w:proofErr w:type="gramStart"/>
      <w:r w:rsidRPr="00370E70">
        <w:rPr>
          <w:color w:val="000000"/>
          <w:szCs w:val="22"/>
        </w:rPr>
        <w:t>:P</w:t>
      </w:r>
      <w:proofErr w:type="gramEnd"/>
      <w:r w:rsidRPr="00370E70">
        <w:rPr>
          <w:color w:val="000000"/>
          <w:szCs w:val="22"/>
        </w:rPr>
        <w:t xml:space="preserve"> ratios within the Mackay Whitsunday region increased across all habitats in 2011 indicating elevated N, however there is no consistent long-term trend (</w:t>
      </w:r>
      <w:r w:rsidRPr="00370E70">
        <w:fldChar w:fldCharType="begin"/>
      </w:r>
      <w:r w:rsidRPr="00370E70">
        <w:instrText xml:space="preserve"> REF _Ref236801440 \h  \* MERGEFORMAT </w:instrText>
      </w:r>
      <w:r w:rsidRPr="00370E70">
        <w:fldChar w:fldCharType="separate"/>
      </w:r>
      <w:r w:rsidR="005B5FD6" w:rsidRPr="00370E70">
        <w:rPr>
          <w:color w:val="000000"/>
          <w:szCs w:val="22"/>
        </w:rPr>
        <w:t xml:space="preserve">Figure </w:t>
      </w:r>
      <w:r w:rsidR="005B5FD6">
        <w:rPr>
          <w:noProof/>
          <w:color w:val="000000"/>
          <w:szCs w:val="22"/>
        </w:rPr>
        <w:t>129</w:t>
      </w:r>
      <w:r w:rsidRPr="00370E70">
        <w:fldChar w:fldCharType="end"/>
      </w:r>
      <w:r w:rsidRPr="00370E70">
        <w:rPr>
          <w:color w:val="000000"/>
          <w:szCs w:val="22"/>
        </w:rPr>
        <w:t xml:space="preserve">). In 2010, N:P ratios all increased to either above 25 or 30, indicating plants were either replete </w:t>
      </w:r>
      <w:r w:rsidR="006B4FAF" w:rsidRPr="00370E70">
        <w:rPr>
          <w:rFonts w:cs="TimesNewRoman,Italic"/>
          <w:iCs/>
          <w:color w:val="000000"/>
          <w:szCs w:val="22"/>
        </w:rPr>
        <w:t xml:space="preserve">(well supplied and balanced macronutrients for growth) </w:t>
      </w:r>
      <w:r w:rsidRPr="00370E70">
        <w:rPr>
          <w:color w:val="000000"/>
          <w:szCs w:val="22"/>
        </w:rPr>
        <w:t xml:space="preserve">or possibly P limited. </w:t>
      </w:r>
    </w:p>
    <w:p w:rsidR="005132EF" w:rsidRPr="00370E70" w:rsidRDefault="007B15AB" w:rsidP="00034AD4">
      <w:pPr>
        <w:keepNext/>
        <w:jc w:val="center"/>
      </w:pPr>
      <w:r>
        <w:rPr>
          <w:noProof/>
          <w:lang w:eastAsia="en-AU"/>
        </w:rPr>
        <w:drawing>
          <wp:inline distT="0" distB="0" distL="0" distR="0">
            <wp:extent cx="3825240" cy="3837940"/>
            <wp:effectExtent l="0" t="0" r="3810" b="0"/>
            <wp:docPr id="171" name="Picture 169" descr="Graphs of long-term trends in elemental ratios (atomic) of seagrass leaf tissue N:P and C:P for the foundation seagrass species examined at each location in Mackay Whitsunday region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Graphs of long-term trends in elemental ratios (atomic) of seagrass leaf tissue N:P and C:P for the foundation seagrass species examined at each location in Mackay Whitsunday region each year"/>
                    <pic:cNvPicPr>
                      <a:picLocks noChangeAspect="1" noChangeArrowheads="1"/>
                    </pic:cNvPicPr>
                  </pic:nvPicPr>
                  <pic:blipFill>
                    <a:blip r:embed="rId197" cstate="print">
                      <a:extLst>
                        <a:ext uri="{28A0092B-C50C-407E-A947-70E740481C1C}">
                          <a14:useLocalDpi xmlns:a14="http://schemas.microsoft.com/office/drawing/2010/main" val="0"/>
                        </a:ext>
                      </a:extLst>
                    </a:blip>
                    <a:srcRect t="6880" r="3633" b="1692"/>
                    <a:stretch>
                      <a:fillRect/>
                    </a:stretch>
                  </pic:blipFill>
                  <pic:spPr bwMode="auto">
                    <a:xfrm>
                      <a:off x="0" y="0"/>
                      <a:ext cx="3825240" cy="3837940"/>
                    </a:xfrm>
                    <a:prstGeom prst="rect">
                      <a:avLst/>
                    </a:prstGeom>
                    <a:noFill/>
                    <a:ln>
                      <a:noFill/>
                    </a:ln>
                  </pic:spPr>
                </pic:pic>
              </a:graphicData>
            </a:graphic>
          </wp:inline>
        </w:drawing>
      </w:r>
    </w:p>
    <w:p w:rsidR="004C0F4D" w:rsidRPr="00370E70" w:rsidRDefault="005132EF" w:rsidP="001001C9">
      <w:pPr>
        <w:rPr>
          <w:i/>
          <w:iCs/>
          <w:vanish/>
          <w:color w:val="000000"/>
          <w:szCs w:val="22"/>
          <w:lang w:eastAsia="en-AU"/>
          <w:specVanish/>
        </w:rPr>
      </w:pPr>
      <w:bookmarkStart w:id="602" w:name="_Ref236801440"/>
      <w:bookmarkStart w:id="603" w:name="_Toc384196476"/>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129</w:t>
      </w:r>
      <w:r w:rsidRPr="00370E70">
        <w:rPr>
          <w:color w:val="000000"/>
          <w:szCs w:val="22"/>
        </w:rPr>
        <w:fldChar w:fldCharType="end"/>
      </w:r>
      <w:bookmarkEnd w:id="602"/>
      <w:r w:rsidRPr="00370E70">
        <w:rPr>
          <w:color w:val="000000"/>
          <w:szCs w:val="22"/>
        </w:rPr>
        <w:t xml:space="preserve">. </w:t>
      </w:r>
      <w:r w:rsidRPr="00370E70">
        <w:rPr>
          <w:i/>
          <w:iCs/>
          <w:color w:val="000000"/>
          <w:szCs w:val="22"/>
          <w:lang w:eastAsia="en-AU"/>
        </w:rPr>
        <w:t xml:space="preserve">Elemental ratios (atomic) of seagrass leaf tissue N:P and C:P </w:t>
      </w:r>
      <w:r w:rsidRPr="00370E70">
        <w:rPr>
          <w:i/>
          <w:iCs/>
          <w:color w:val="000000"/>
          <w:szCs w:val="22"/>
        </w:rPr>
        <w:t xml:space="preserve">for the foundation seagrass species examined at each </w:t>
      </w:r>
      <w:r w:rsidR="0002225C">
        <w:rPr>
          <w:i/>
          <w:iCs/>
          <w:color w:val="000000"/>
          <w:szCs w:val="22"/>
        </w:rPr>
        <w:t>inshore intertidal habitat</w:t>
      </w:r>
      <w:r w:rsidRPr="00370E70">
        <w:rPr>
          <w:i/>
          <w:iCs/>
          <w:color w:val="000000"/>
          <w:szCs w:val="22"/>
        </w:rPr>
        <w:t xml:space="preserve"> in </w:t>
      </w:r>
      <w:r w:rsidR="0002225C">
        <w:rPr>
          <w:i/>
          <w:iCs/>
          <w:color w:val="000000"/>
          <w:szCs w:val="22"/>
        </w:rPr>
        <w:t xml:space="preserve">the </w:t>
      </w:r>
      <w:r w:rsidRPr="00370E70">
        <w:rPr>
          <w:i/>
          <w:iCs/>
          <w:color w:val="000000"/>
          <w:szCs w:val="22"/>
        </w:rPr>
        <w:t xml:space="preserve">Mackay Whitsunday region </w:t>
      </w:r>
      <w:r w:rsidRPr="00370E70">
        <w:rPr>
          <w:i/>
          <w:iCs/>
          <w:color w:val="000000"/>
          <w:szCs w:val="22"/>
          <w:lang w:eastAsia="en-AU"/>
        </w:rPr>
        <w:t>each year</w:t>
      </w:r>
      <w:bookmarkEnd w:id="603"/>
    </w:p>
    <w:p w:rsidR="004C0F4D" w:rsidRPr="00370E70" w:rsidRDefault="005132EF" w:rsidP="001001C9">
      <w:pPr>
        <w:rPr>
          <w:i/>
          <w:iCs/>
          <w:color w:val="000000"/>
          <w:szCs w:val="22"/>
          <w:lang w:eastAsia="en-AU"/>
        </w:rPr>
      </w:pPr>
      <w:r w:rsidRPr="00370E70">
        <w:rPr>
          <w:i/>
          <w:iCs/>
          <w:color w:val="000000"/>
          <w:szCs w:val="22"/>
          <w:lang w:eastAsia="en-AU"/>
        </w:rPr>
        <w:t xml:space="preserve"> (species pooled) (</w:t>
      </w:r>
      <w:r w:rsidRPr="00370E70">
        <w:rPr>
          <w:i/>
          <w:iCs/>
          <w:color w:val="000000"/>
          <w:szCs w:val="22"/>
        </w:rPr>
        <w:t>mean</w:t>
      </w:r>
      <w:r w:rsidRPr="00370E70">
        <w:rPr>
          <w:i/>
          <w:iCs/>
          <w:color w:val="000000"/>
          <w:szCs w:val="22"/>
          <w:lang w:eastAsia="en-AU"/>
        </w:rPr>
        <w:t xml:space="preserve"> ± Standard Error). </w:t>
      </w:r>
      <w:r w:rsidR="00A62B1C" w:rsidRPr="00370E70">
        <w:rPr>
          <w:i/>
          <w:iCs/>
          <w:color w:val="000000"/>
          <w:szCs w:val="22"/>
          <w:lang w:eastAsia="en-AU"/>
        </w:rPr>
        <w:t xml:space="preserve">Horizontal shaded band on the N:P ratio panel represents the range of value associated with N:P balance ratio in the plant tissues, i.e. a seagrass “Redfield” ratio </w:t>
      </w:r>
      <w:r w:rsidR="00A62B1C" w:rsidRPr="00370E70">
        <w:rPr>
          <w:i/>
          <w:lang w:eastAsia="en-AU"/>
        </w:rPr>
        <w:t>(</w:t>
      </w:r>
      <w:r w:rsidR="00A62B1C"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 </w:instrText>
      </w:r>
      <w:r w:rsidR="00494624"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EN.CITE.DATA </w:instrText>
      </w:r>
      <w:r w:rsidR="00494624" w:rsidRPr="00370E70">
        <w:rPr>
          <w:i/>
          <w:lang w:eastAsia="en-AU"/>
        </w:rPr>
      </w:r>
      <w:r w:rsidR="00494624" w:rsidRPr="00370E70">
        <w:rPr>
          <w:i/>
          <w:lang w:eastAsia="en-AU"/>
        </w:rPr>
        <w:fldChar w:fldCharType="end"/>
      </w:r>
      <w:r w:rsidR="00A62B1C" w:rsidRPr="00370E70">
        <w:rPr>
          <w:i/>
          <w:lang w:eastAsia="en-AU"/>
        </w:rPr>
      </w:r>
      <w:r w:rsidR="00A62B1C" w:rsidRPr="00370E70">
        <w:rPr>
          <w:i/>
          <w:lang w:eastAsia="en-AU"/>
        </w:rPr>
        <w:fldChar w:fldCharType="separate"/>
      </w:r>
      <w:hyperlink w:anchor="_ENREF_9" w:tooltip="Atkinson, 1983 #6292" w:history="1">
        <w:r w:rsidR="00964A70" w:rsidRPr="00370E70">
          <w:rPr>
            <w:i/>
            <w:noProof/>
            <w:lang w:eastAsia="en-AU"/>
          </w:rPr>
          <w:t>Atkinson and Smith 1983</w:t>
        </w:r>
      </w:hyperlink>
      <w:r w:rsidR="00494624" w:rsidRPr="00370E70">
        <w:rPr>
          <w:i/>
          <w:noProof/>
          <w:lang w:eastAsia="en-AU"/>
        </w:rPr>
        <w:t xml:space="preserve">; </w:t>
      </w:r>
      <w:hyperlink w:anchor="_ENREF_66" w:tooltip="Duarte, 1990 #1954" w:history="1">
        <w:r w:rsidR="00964A70" w:rsidRPr="00370E70">
          <w:rPr>
            <w:i/>
            <w:noProof/>
            <w:lang w:eastAsia="en-AU"/>
          </w:rPr>
          <w:t>Duarte 1990</w:t>
        </w:r>
      </w:hyperlink>
      <w:r w:rsidR="00494624" w:rsidRPr="00370E70">
        <w:rPr>
          <w:i/>
          <w:noProof/>
          <w:lang w:eastAsia="en-AU"/>
        </w:rPr>
        <w:t xml:space="preserve">; </w:t>
      </w:r>
      <w:hyperlink w:anchor="_ENREF_80" w:tooltip="Fourqurean, 1992 #9493" w:history="1">
        <w:r w:rsidR="00964A70" w:rsidRPr="00370E70">
          <w:rPr>
            <w:i/>
            <w:noProof/>
            <w:lang w:eastAsia="en-AU"/>
          </w:rPr>
          <w:t>Fourqurean, et al. 1992b</w:t>
        </w:r>
      </w:hyperlink>
      <w:r w:rsidR="00494624" w:rsidRPr="00370E70">
        <w:rPr>
          <w:i/>
          <w:noProof/>
          <w:lang w:eastAsia="en-AU"/>
        </w:rPr>
        <w:t xml:space="preserve">; </w:t>
      </w:r>
      <w:hyperlink w:anchor="_ENREF_76" w:tooltip="Fourqurean, 2001 #9492" w:history="1">
        <w:r w:rsidR="00964A70" w:rsidRPr="00370E70">
          <w:rPr>
            <w:i/>
            <w:noProof/>
            <w:lang w:eastAsia="en-AU"/>
          </w:rPr>
          <w:t>Fourqurean and Cai 2001</w:t>
        </w:r>
      </w:hyperlink>
      <w:r w:rsidR="00A62B1C" w:rsidRPr="00370E70">
        <w:rPr>
          <w:i/>
          <w:lang w:eastAsia="en-AU"/>
        </w:rPr>
        <w:fldChar w:fldCharType="end"/>
      </w:r>
      <w:r w:rsidR="00A62B1C" w:rsidRPr="00370E70">
        <w:rPr>
          <w:i/>
          <w:lang w:eastAsia="en-AU"/>
        </w:rPr>
        <w:t>)</w:t>
      </w:r>
      <w:r w:rsidR="00A62B1C" w:rsidRPr="00370E70">
        <w:rPr>
          <w:i/>
          <w:iCs/>
          <w:color w:val="000000"/>
          <w:szCs w:val="22"/>
          <w:lang w:eastAsia="en-AU"/>
        </w:rPr>
        <w:t>. N:P ratio above this band indicates P limitation, below indicates N limitation and within indicates replete (balanced). Shaded portion on the C:P panel ≤500 represents the value associated with C:P balance ratio in the plant tissues, C:P values &lt;500 may indicate nutrient rich habitats (large P pool).</w:t>
      </w:r>
      <w:r w:rsidR="004C0F4D" w:rsidRPr="00370E70">
        <w:rPr>
          <w:i/>
          <w:iCs/>
          <w:color w:val="000000"/>
          <w:szCs w:val="22"/>
          <w:lang w:eastAsia="en-AU"/>
        </w:rPr>
        <w:t xml:space="preserve"> </w:t>
      </w:r>
    </w:p>
    <w:p w:rsidR="00B03D82" w:rsidRPr="00370E70" w:rsidRDefault="00B03D82" w:rsidP="00B03D82">
      <w:pPr>
        <w:rPr>
          <w:color w:val="000000"/>
          <w:szCs w:val="22"/>
        </w:rPr>
      </w:pPr>
      <w:r w:rsidRPr="00370E70">
        <w:rPr>
          <w:color w:val="000000"/>
          <w:szCs w:val="22"/>
        </w:rPr>
        <w:lastRenderedPageBreak/>
        <w:t>δ</w:t>
      </w:r>
      <w:r w:rsidRPr="00370E70">
        <w:rPr>
          <w:color w:val="000000"/>
          <w:szCs w:val="22"/>
          <w:vertAlign w:val="superscript"/>
        </w:rPr>
        <w:t>13</w:t>
      </w:r>
      <w:r w:rsidRPr="00370E70">
        <w:rPr>
          <w:color w:val="000000"/>
          <w:szCs w:val="22"/>
        </w:rPr>
        <w:t>C values for foundation species at reef (Hamilton Island) and estuarine (Sarina Inlet) habitats during the late dry (growing) season were all above the global average and within global ranges (</w:t>
      </w:r>
      <w:r w:rsidRPr="00370E70">
        <w:rPr>
          <w:color w:val="000000"/>
          <w:szCs w:val="22"/>
        </w:rPr>
        <w:fldChar w:fldCharType="begin"/>
      </w:r>
      <w:r w:rsidRPr="00370E70">
        <w:rPr>
          <w:color w:val="000000"/>
          <w:szCs w:val="22"/>
        </w:rPr>
        <w:instrText xml:space="preserve"> REF _Ref353029717 \h  \* MERGEFORMAT </w:instrText>
      </w:r>
      <w:r w:rsidRPr="00370E70">
        <w:rPr>
          <w:color w:val="000000"/>
          <w:szCs w:val="22"/>
        </w:rPr>
      </w:r>
      <w:r w:rsidRPr="00370E70">
        <w:rPr>
          <w:color w:val="000000"/>
          <w:szCs w:val="22"/>
        </w:rPr>
        <w:fldChar w:fldCharType="separate"/>
      </w:r>
      <w:r w:rsidR="005B5FD6" w:rsidRPr="005B5FD6">
        <w:rPr>
          <w:szCs w:val="22"/>
        </w:rPr>
        <w:t xml:space="preserve">Table </w:t>
      </w:r>
      <w:r w:rsidR="005B5FD6" w:rsidRPr="005B5FD6">
        <w:rPr>
          <w:noProof/>
          <w:color w:val="000000"/>
          <w:szCs w:val="22"/>
        </w:rPr>
        <w:t>17</w:t>
      </w:r>
      <w:r w:rsidRPr="00370E70">
        <w:rPr>
          <w:color w:val="000000"/>
          <w:szCs w:val="22"/>
        </w:rPr>
        <w:fldChar w:fldCharType="end"/>
      </w:r>
      <w:r w:rsidRPr="00370E70">
        <w:rPr>
          <w:color w:val="000000"/>
          <w:szCs w:val="22"/>
        </w:rPr>
        <w:t xml:space="preserve">), suggesting sufficient carbon </w:t>
      </w:r>
      <w:r w:rsidR="002C6536" w:rsidRPr="00370E70">
        <w:rPr>
          <w:color w:val="000000"/>
          <w:szCs w:val="22"/>
        </w:rPr>
        <w:t>available</w:t>
      </w:r>
      <w:r w:rsidRPr="00370E70">
        <w:rPr>
          <w:color w:val="000000"/>
          <w:szCs w:val="22"/>
        </w:rPr>
        <w:t xml:space="preserve"> for growth. Similarly, as %C in the leaves was also above the literature median values, suggests adequate light available for growth. The low C</w:t>
      </w:r>
      <w:proofErr w:type="gramStart"/>
      <w:r w:rsidRPr="00370E70">
        <w:rPr>
          <w:color w:val="000000"/>
          <w:szCs w:val="22"/>
        </w:rPr>
        <w:t>:N</w:t>
      </w:r>
      <w:proofErr w:type="gramEnd"/>
      <w:r w:rsidRPr="00370E70">
        <w:rPr>
          <w:color w:val="000000"/>
          <w:szCs w:val="22"/>
        </w:rPr>
        <w:t xml:space="preserve"> ratio is likely a consequence of the elevated N, where the low δ</w:t>
      </w:r>
      <w:r w:rsidRPr="00370E70">
        <w:rPr>
          <w:color w:val="000000"/>
          <w:szCs w:val="22"/>
          <w:vertAlign w:val="superscript"/>
        </w:rPr>
        <w:t>15</w:t>
      </w:r>
      <w:r w:rsidRPr="00370E70">
        <w:rPr>
          <w:color w:val="000000"/>
          <w:szCs w:val="22"/>
        </w:rPr>
        <w:t xml:space="preserve">N value in the leaf tissue of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w:t>
      </w:r>
      <w:r w:rsidRPr="00370E70">
        <w:rPr>
          <w:color w:val="000000"/>
          <w:szCs w:val="22"/>
        </w:rPr>
        <w:fldChar w:fldCharType="begin"/>
      </w:r>
      <w:r w:rsidRPr="00370E70">
        <w:rPr>
          <w:color w:val="000000"/>
          <w:szCs w:val="22"/>
        </w:rPr>
        <w:instrText xml:space="preserve"> REF _Ref353029717 \h  \* MERGEFORMAT </w:instrText>
      </w:r>
      <w:r w:rsidRPr="00370E70">
        <w:rPr>
          <w:color w:val="000000"/>
          <w:szCs w:val="22"/>
        </w:rPr>
      </w:r>
      <w:r w:rsidRPr="00370E70">
        <w:rPr>
          <w:color w:val="000000"/>
          <w:szCs w:val="22"/>
        </w:rPr>
        <w:fldChar w:fldCharType="separate"/>
      </w:r>
      <w:r w:rsidR="005B5FD6" w:rsidRPr="005B5FD6">
        <w:rPr>
          <w:szCs w:val="22"/>
        </w:rPr>
        <w:t xml:space="preserve">Table </w:t>
      </w:r>
      <w:r w:rsidR="005B5FD6" w:rsidRPr="005B5FD6">
        <w:rPr>
          <w:noProof/>
          <w:color w:val="000000"/>
          <w:szCs w:val="22"/>
        </w:rPr>
        <w:t>17</w:t>
      </w:r>
      <w:r w:rsidRPr="00370E70">
        <w:rPr>
          <w:color w:val="000000"/>
          <w:szCs w:val="22"/>
        </w:rPr>
        <w:fldChar w:fldCharType="end"/>
      </w:r>
      <w:r w:rsidRPr="00370E70">
        <w:rPr>
          <w:color w:val="000000"/>
          <w:szCs w:val="22"/>
        </w:rPr>
        <w:t>) suggests that their primary source of N was either from N</w:t>
      </w:r>
      <w:r w:rsidRPr="00370E70">
        <w:rPr>
          <w:color w:val="000000"/>
          <w:szCs w:val="22"/>
          <w:vertAlign w:val="subscript"/>
        </w:rPr>
        <w:t>2</w:t>
      </w:r>
      <w:r w:rsidRPr="00370E70">
        <w:rPr>
          <w:color w:val="000000"/>
          <w:szCs w:val="22"/>
        </w:rPr>
        <w:t xml:space="preserve"> fixation or fertiliser. The slightly elevated δ</w:t>
      </w:r>
      <w:r w:rsidRPr="00370E70">
        <w:rPr>
          <w:color w:val="000000"/>
          <w:szCs w:val="22"/>
          <w:vertAlign w:val="superscript"/>
        </w:rPr>
        <w:t>15</w:t>
      </w:r>
      <w:r w:rsidRPr="00370E70">
        <w:rPr>
          <w:color w:val="000000"/>
          <w:szCs w:val="22"/>
        </w:rPr>
        <w:t xml:space="preserve">N in the leaf tissue of </w:t>
      </w:r>
      <w:r w:rsidRPr="00370E70">
        <w:rPr>
          <w:i/>
          <w:color w:val="000000"/>
          <w:szCs w:val="22"/>
        </w:rPr>
        <w:t xml:space="preserve">Halodule uninervis </w:t>
      </w:r>
      <w:r w:rsidRPr="00370E70">
        <w:rPr>
          <w:color w:val="000000"/>
          <w:szCs w:val="22"/>
        </w:rPr>
        <w:t xml:space="preserve">suggests sewage may contribute to the primary source of N, which would be likely as the </w:t>
      </w:r>
      <w:r w:rsidRPr="00370E70">
        <w:rPr>
          <w:i/>
          <w:color w:val="000000"/>
          <w:szCs w:val="22"/>
        </w:rPr>
        <w:t>H. uninervis</w:t>
      </w:r>
      <w:r w:rsidRPr="00370E70">
        <w:rPr>
          <w:color w:val="000000"/>
          <w:szCs w:val="22"/>
        </w:rPr>
        <w:t xml:space="preserve"> meadow is immediately adjacent to several storm water drains from the main resort.</w:t>
      </w:r>
    </w:p>
    <w:p w:rsidR="004C0F4D" w:rsidRPr="00370E70" w:rsidRDefault="005132EF" w:rsidP="004C0F4D">
      <w:pPr>
        <w:pStyle w:val="Caption"/>
        <w:jc w:val="center"/>
        <w:rPr>
          <w:i/>
          <w:vanish/>
          <w:color w:val="000000"/>
          <w:szCs w:val="22"/>
          <w:lang w:val="en-AU"/>
          <w:specVanish/>
        </w:rPr>
      </w:pPr>
      <w:bookmarkStart w:id="604" w:name="_Toc384196565"/>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29</w:t>
      </w:r>
      <w:r w:rsidRPr="00370E70">
        <w:rPr>
          <w:lang w:val="en-AU"/>
        </w:rPr>
        <w:fldChar w:fldCharType="end"/>
      </w:r>
      <w:r w:rsidRPr="00370E70">
        <w:rPr>
          <w:rStyle w:val="StyleCaptionCaptionCharCharLatinCalibri11ptBlackChar"/>
          <w:lang w:val="en-AU"/>
        </w:rPr>
        <w:t xml:space="preserve">. </w:t>
      </w:r>
      <w:r w:rsidRPr="00370E70">
        <w:rPr>
          <w:i/>
          <w:lang w:val="en-AU"/>
        </w:rPr>
        <w:t>Seagrass leaf tissue nutrient, δ</w:t>
      </w:r>
      <w:r w:rsidRPr="00370E70">
        <w:rPr>
          <w:i/>
          <w:vertAlign w:val="superscript"/>
          <w:lang w:val="en-AU"/>
        </w:rPr>
        <w:t>13</w:t>
      </w:r>
      <w:r w:rsidRPr="00370E70">
        <w:rPr>
          <w:i/>
          <w:lang w:val="en-AU"/>
        </w:rPr>
        <w:t>C and δ</w:t>
      </w:r>
      <w:r w:rsidRPr="00370E70">
        <w:rPr>
          <w:i/>
          <w:vertAlign w:val="superscript"/>
          <w:lang w:val="en-AU"/>
        </w:rPr>
        <w:t>15</w:t>
      </w:r>
      <w:r w:rsidRPr="00370E70">
        <w:rPr>
          <w:i/>
          <w:lang w:val="en-AU"/>
        </w:rPr>
        <w:t>N concentrations from Mackay Whitsunday locations in the late dry 2011.</w:t>
      </w:r>
      <w:bookmarkEnd w:id="604"/>
      <w:r w:rsidRPr="00370E70">
        <w:rPr>
          <w:i/>
          <w:lang w:val="en-AU"/>
        </w:rPr>
        <w:t xml:space="preserve"> </w:t>
      </w:r>
    </w:p>
    <w:p w:rsidR="004C0F4D" w:rsidRPr="00370E70" w:rsidRDefault="00B03D82" w:rsidP="004C0F4D">
      <w:pPr>
        <w:pStyle w:val="Caption"/>
        <w:jc w:val="center"/>
        <w:rPr>
          <w:lang w:val="en-AU"/>
        </w:rPr>
      </w:pPr>
      <w:r w:rsidRPr="00370E70">
        <w:rPr>
          <w:i/>
          <w:lang w:val="en-AU"/>
        </w:rPr>
        <w:t xml:space="preserve">Leaf tissues with low %C (see </w:t>
      </w:r>
      <w:r w:rsidRPr="00370E70">
        <w:rPr>
          <w:i/>
          <w:lang w:val="en-AU"/>
        </w:rPr>
        <w:fldChar w:fldCharType="begin"/>
      </w:r>
      <w:r w:rsidRPr="00370E70">
        <w:rPr>
          <w:i/>
          <w:lang w:val="en-AU"/>
        </w:rPr>
        <w:instrText xml:space="preserve"> REF _Ref353029075 \h  \* MERGEFORMAT </w:instrText>
      </w:r>
      <w:r w:rsidRPr="00370E70">
        <w:rPr>
          <w:i/>
          <w:lang w:val="en-AU"/>
        </w:rPr>
      </w:r>
      <w:r w:rsidRPr="00370E70">
        <w:rPr>
          <w:i/>
          <w:lang w:val="en-AU"/>
        </w:rPr>
        <w:fldChar w:fldCharType="separate"/>
      </w:r>
      <w:r w:rsidR="005B5FD6" w:rsidRPr="005B5FD6">
        <w:rPr>
          <w:i/>
        </w:rPr>
        <w:t xml:space="preserve">Table </w:t>
      </w:r>
      <w:r w:rsidR="005B5FD6" w:rsidRPr="005B5FD6">
        <w:rPr>
          <w:i/>
          <w:noProof/>
          <w:lang w:val="en-AU"/>
        </w:rPr>
        <w:t>37</w:t>
      </w:r>
      <w:r w:rsidRPr="00370E70">
        <w:rPr>
          <w:i/>
          <w:lang w:val="en-AU"/>
        </w:rPr>
        <w:fldChar w:fldCharType="end"/>
      </w:r>
      <w:r w:rsidRPr="00370E70">
        <w:rPr>
          <w:i/>
          <w:lang w:val="en-AU"/>
        </w:rPr>
        <w:t>), low C</w:t>
      </w:r>
      <w:proofErr w:type="gramStart"/>
      <w:r w:rsidRPr="00370E70">
        <w:rPr>
          <w:i/>
          <w:lang w:val="en-AU"/>
        </w:rPr>
        <w:t>:N</w:t>
      </w:r>
      <w:proofErr w:type="gramEnd"/>
      <w:r w:rsidRPr="00370E70">
        <w:rPr>
          <w:i/>
          <w:lang w:val="en-AU"/>
        </w:rPr>
        <w:t xml:space="preserve"> (&lt;20:1), and isotopically depleted δ</w:t>
      </w:r>
      <w:r w:rsidRPr="00370E70">
        <w:rPr>
          <w:i/>
          <w:vertAlign w:val="superscript"/>
          <w:lang w:val="en-AU"/>
        </w:rPr>
        <w:t>13</w:t>
      </w:r>
      <w:r w:rsidRPr="00370E70">
        <w:rPr>
          <w:i/>
          <w:lang w:val="en-AU"/>
        </w:rPr>
        <w:t xml:space="preserve">C may indicate that growth is light limited </w:t>
      </w:r>
      <w:r w:rsidR="004047A7" w:rsidRPr="00370E70">
        <w:rPr>
          <w:i/>
          <w:color w:val="000000"/>
          <w:szCs w:val="22"/>
          <w:lang w:val="en-AU"/>
        </w:rPr>
        <w:t>(</w:t>
      </w:r>
      <w:r w:rsidR="004047A7" w:rsidRPr="00370E70">
        <w:rPr>
          <w:i/>
          <w:color w:val="000000"/>
          <w:szCs w:val="22"/>
          <w:lang w:val="en-AU"/>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lang w:val="en-AU"/>
        </w:rPr>
        <w:instrText xml:space="preserve"> ADDIN EN.CITE </w:instrText>
      </w:r>
      <w:r w:rsidR="00126051" w:rsidRPr="00370E70">
        <w:rPr>
          <w:i/>
          <w:color w:val="000000"/>
          <w:szCs w:val="22"/>
          <w:lang w:val="en-AU"/>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lang w:val="en-AU"/>
        </w:rPr>
        <w:instrText xml:space="preserve"> ADDIN EN.CITE.DATA </w:instrText>
      </w:r>
      <w:r w:rsidR="00126051" w:rsidRPr="00370E70">
        <w:rPr>
          <w:i/>
          <w:color w:val="000000"/>
          <w:szCs w:val="22"/>
          <w:lang w:val="en-AU"/>
        </w:rPr>
      </w:r>
      <w:r w:rsidR="00126051" w:rsidRPr="00370E70">
        <w:rPr>
          <w:i/>
          <w:color w:val="000000"/>
          <w:szCs w:val="22"/>
          <w:lang w:val="en-AU"/>
        </w:rPr>
        <w:fldChar w:fldCharType="end"/>
      </w:r>
      <w:r w:rsidR="004047A7" w:rsidRPr="00370E70">
        <w:rPr>
          <w:i/>
          <w:color w:val="000000"/>
          <w:szCs w:val="22"/>
          <w:lang w:val="en-AU"/>
        </w:rPr>
      </w:r>
      <w:r w:rsidR="004047A7" w:rsidRPr="00370E70">
        <w:rPr>
          <w:i/>
          <w:color w:val="000000"/>
          <w:szCs w:val="22"/>
          <w:lang w:val="en-AU"/>
        </w:rPr>
        <w:fldChar w:fldCharType="separate"/>
      </w:r>
      <w:hyperlink w:anchor="_ENREF_93" w:tooltip="Grice, 1996 #1346" w:history="1">
        <w:r w:rsidR="00964A70" w:rsidRPr="00370E70">
          <w:rPr>
            <w:i/>
            <w:noProof/>
            <w:color w:val="000000"/>
            <w:szCs w:val="22"/>
            <w:lang w:val="en-AU"/>
          </w:rPr>
          <w:t>Grice, et al. 1996</w:t>
        </w:r>
      </w:hyperlink>
      <w:r w:rsidR="00126051" w:rsidRPr="00370E70">
        <w:rPr>
          <w:i/>
          <w:noProof/>
          <w:color w:val="000000"/>
          <w:szCs w:val="22"/>
          <w:lang w:val="en-AU"/>
        </w:rPr>
        <w:t xml:space="preserve">; </w:t>
      </w:r>
      <w:hyperlink w:anchor="_ENREF_77" w:tooltip="Fourqurean, 2005 #7505" w:history="1">
        <w:r w:rsidR="00964A70" w:rsidRPr="00370E70">
          <w:rPr>
            <w:i/>
            <w:noProof/>
            <w:color w:val="000000"/>
            <w:szCs w:val="22"/>
            <w:lang w:val="en-AU"/>
          </w:rPr>
          <w:t>Fourqurean, et al. 2005</w:t>
        </w:r>
      </w:hyperlink>
      <w:r w:rsidR="004047A7" w:rsidRPr="00370E70">
        <w:rPr>
          <w:i/>
          <w:color w:val="000000"/>
          <w:szCs w:val="22"/>
          <w:lang w:val="en-AU"/>
        </w:rPr>
        <w:fldChar w:fldCharType="end"/>
      </w:r>
      <w:r w:rsidR="004047A7" w:rsidRPr="00370E70">
        <w:rPr>
          <w:i/>
          <w:color w:val="000000"/>
          <w:szCs w:val="22"/>
          <w:lang w:val="en-AU"/>
        </w:rPr>
        <w:t>)</w:t>
      </w:r>
      <w:r w:rsidRPr="00370E70">
        <w:rPr>
          <w:i/>
          <w:lang w:val="en-AU"/>
        </w:rPr>
        <w:t>. Shading indicates values lower than literature. HU=Halodule uninervis, Z</w:t>
      </w:r>
      <w:r w:rsidR="0064478C" w:rsidRPr="00370E70">
        <w:rPr>
          <w:i/>
          <w:lang w:val="en-AU"/>
        </w:rPr>
        <w:t>M</w:t>
      </w:r>
      <w:r w:rsidRPr="00370E70">
        <w:rPr>
          <w:i/>
          <w:lang w:val="en-AU"/>
        </w:rPr>
        <w:t xml:space="preserve">=Zostera </w:t>
      </w:r>
      <w:r w:rsidR="00145BB9" w:rsidRPr="00370E70">
        <w:rPr>
          <w:i/>
          <w:lang w:val="en-AU"/>
        </w:rPr>
        <w:t>muelleri</w:t>
      </w:r>
      <w:r w:rsidRPr="00370E70">
        <w:rPr>
          <w:i/>
          <w:lang w:val="en-AU"/>
        </w:rPr>
        <w:t>.</w:t>
      </w:r>
      <w:r w:rsidR="004C0F4D" w:rsidRPr="00370E70">
        <w:rPr>
          <w:lang w:val="en-AU"/>
        </w:rPr>
        <w:t xml:space="preserve"> </w:t>
      </w:r>
    </w:p>
    <w:tbl>
      <w:tblPr>
        <w:tblW w:w="8840" w:type="dxa"/>
        <w:tblInd w:w="108" w:type="dxa"/>
        <w:tblLook w:val="0000" w:firstRow="0" w:lastRow="0" w:firstColumn="0" w:lastColumn="0" w:noHBand="0" w:noVBand="0"/>
      </w:tblPr>
      <w:tblGrid>
        <w:gridCol w:w="1454"/>
        <w:gridCol w:w="850"/>
        <w:gridCol w:w="793"/>
        <w:gridCol w:w="703"/>
        <w:gridCol w:w="954"/>
        <w:gridCol w:w="1034"/>
        <w:gridCol w:w="1328"/>
        <w:gridCol w:w="1724"/>
      </w:tblGrid>
      <w:tr w:rsidR="00B03D82" w:rsidRPr="00370E70" w:rsidTr="00B03D82">
        <w:trPr>
          <w:trHeight w:val="288"/>
        </w:trPr>
        <w:tc>
          <w:tcPr>
            <w:tcW w:w="1454" w:type="dxa"/>
            <w:tcBorders>
              <w:top w:val="single" w:sz="4" w:space="0" w:color="auto"/>
              <w:bottom w:val="single" w:sz="4" w:space="0" w:color="auto"/>
            </w:tcBorders>
            <w:noWrap/>
            <w:vAlign w:val="center"/>
          </w:tcPr>
          <w:p w:rsidR="00B03D82" w:rsidRPr="00370E70" w:rsidRDefault="00B03D82" w:rsidP="008C585C">
            <w:pPr>
              <w:spacing w:before="0" w:after="0"/>
              <w:rPr>
                <w:b/>
                <w:sz w:val="18"/>
                <w:szCs w:val="18"/>
              </w:rPr>
            </w:pPr>
            <w:r w:rsidRPr="00370E70">
              <w:rPr>
                <w:b/>
                <w:sz w:val="18"/>
                <w:szCs w:val="18"/>
              </w:rPr>
              <w:t>Location</w:t>
            </w:r>
          </w:p>
        </w:tc>
        <w:tc>
          <w:tcPr>
            <w:tcW w:w="850" w:type="dxa"/>
            <w:tcBorders>
              <w:top w:val="single" w:sz="4" w:space="0" w:color="auto"/>
              <w:bottom w:val="single" w:sz="4" w:space="0" w:color="auto"/>
            </w:tcBorders>
            <w:noWrap/>
            <w:vAlign w:val="center"/>
          </w:tcPr>
          <w:p w:rsidR="00B03D82" w:rsidRPr="00370E70" w:rsidRDefault="00B03D82" w:rsidP="008C585C">
            <w:pPr>
              <w:spacing w:before="0" w:after="0"/>
              <w:jc w:val="center"/>
              <w:rPr>
                <w:b/>
                <w:sz w:val="18"/>
                <w:szCs w:val="18"/>
              </w:rPr>
            </w:pPr>
            <w:r w:rsidRPr="00370E70">
              <w:rPr>
                <w:b/>
                <w:sz w:val="18"/>
                <w:szCs w:val="18"/>
              </w:rPr>
              <w:t>Species</w:t>
            </w:r>
          </w:p>
        </w:tc>
        <w:tc>
          <w:tcPr>
            <w:tcW w:w="793" w:type="dxa"/>
            <w:tcBorders>
              <w:top w:val="single" w:sz="4" w:space="0" w:color="auto"/>
              <w:bottom w:val="single" w:sz="4" w:space="0" w:color="auto"/>
            </w:tcBorders>
            <w:vAlign w:val="center"/>
          </w:tcPr>
          <w:p w:rsidR="00B03D82" w:rsidRPr="00370E70" w:rsidRDefault="00B03D82" w:rsidP="008C585C">
            <w:pPr>
              <w:spacing w:before="0" w:after="0"/>
              <w:jc w:val="center"/>
              <w:rPr>
                <w:b/>
                <w:sz w:val="18"/>
                <w:szCs w:val="18"/>
              </w:rPr>
            </w:pPr>
            <w:r w:rsidRPr="00370E70">
              <w:rPr>
                <w:b/>
                <w:sz w:val="18"/>
                <w:szCs w:val="18"/>
              </w:rPr>
              <w:t>%C</w:t>
            </w:r>
          </w:p>
        </w:tc>
        <w:tc>
          <w:tcPr>
            <w:tcW w:w="703" w:type="dxa"/>
            <w:tcBorders>
              <w:top w:val="single" w:sz="4" w:space="0" w:color="auto"/>
              <w:bottom w:val="single" w:sz="4" w:space="0" w:color="auto"/>
            </w:tcBorders>
            <w:vAlign w:val="center"/>
          </w:tcPr>
          <w:p w:rsidR="00B03D82" w:rsidRPr="00370E70" w:rsidRDefault="00B03D82" w:rsidP="008C585C">
            <w:pPr>
              <w:spacing w:before="0" w:after="0"/>
              <w:jc w:val="center"/>
              <w:rPr>
                <w:b/>
                <w:sz w:val="18"/>
                <w:szCs w:val="18"/>
              </w:rPr>
            </w:pPr>
            <w:r w:rsidRPr="00370E70">
              <w:rPr>
                <w:b/>
                <w:sz w:val="18"/>
                <w:szCs w:val="18"/>
              </w:rPr>
              <w:t>C:N</w:t>
            </w:r>
          </w:p>
        </w:tc>
        <w:tc>
          <w:tcPr>
            <w:tcW w:w="954" w:type="dxa"/>
            <w:tcBorders>
              <w:top w:val="single" w:sz="4" w:space="0" w:color="auto"/>
              <w:bottom w:val="single" w:sz="4" w:space="0" w:color="auto"/>
            </w:tcBorders>
            <w:noWrap/>
            <w:vAlign w:val="center"/>
          </w:tcPr>
          <w:p w:rsidR="00B03D82" w:rsidRPr="00370E70" w:rsidRDefault="00B03D82" w:rsidP="008C585C">
            <w:pPr>
              <w:spacing w:before="0" w:after="0"/>
              <w:jc w:val="center"/>
              <w:rPr>
                <w:b/>
                <w:sz w:val="18"/>
                <w:szCs w:val="18"/>
              </w:rPr>
            </w:pPr>
            <w:r w:rsidRPr="00370E70">
              <w:rPr>
                <w:b/>
                <w:i/>
                <w:sz w:val="18"/>
                <w:szCs w:val="18"/>
              </w:rPr>
              <w:t>δ</w:t>
            </w:r>
            <w:r w:rsidRPr="00370E70">
              <w:rPr>
                <w:b/>
                <w:sz w:val="18"/>
                <w:szCs w:val="18"/>
                <w:vertAlign w:val="superscript"/>
              </w:rPr>
              <w:t>13</w:t>
            </w:r>
            <w:r w:rsidRPr="00370E70">
              <w:rPr>
                <w:b/>
                <w:sz w:val="18"/>
                <w:szCs w:val="18"/>
              </w:rPr>
              <w:t>C</w:t>
            </w:r>
          </w:p>
        </w:tc>
        <w:tc>
          <w:tcPr>
            <w:tcW w:w="1034" w:type="dxa"/>
            <w:tcBorders>
              <w:top w:val="single" w:sz="4" w:space="0" w:color="auto"/>
              <w:bottom w:val="single" w:sz="4" w:space="0" w:color="auto"/>
            </w:tcBorders>
            <w:vAlign w:val="center"/>
          </w:tcPr>
          <w:p w:rsidR="00B03D82" w:rsidRPr="00370E70" w:rsidRDefault="00B03D82" w:rsidP="00DC1772">
            <w:pPr>
              <w:spacing w:before="0" w:after="0"/>
              <w:jc w:val="center"/>
              <w:rPr>
                <w:b/>
                <w:sz w:val="18"/>
                <w:szCs w:val="18"/>
              </w:rPr>
            </w:pPr>
            <w:r w:rsidRPr="00370E70">
              <w:rPr>
                <w:b/>
                <w:i/>
                <w:sz w:val="18"/>
                <w:szCs w:val="18"/>
              </w:rPr>
              <w:t>δ</w:t>
            </w:r>
            <w:r w:rsidRPr="00370E70">
              <w:rPr>
                <w:b/>
                <w:sz w:val="18"/>
                <w:szCs w:val="18"/>
                <w:vertAlign w:val="superscript"/>
              </w:rPr>
              <w:t>15</w:t>
            </w:r>
            <w:r w:rsidRPr="00370E70">
              <w:rPr>
                <w:b/>
                <w:sz w:val="18"/>
                <w:szCs w:val="18"/>
              </w:rPr>
              <w:t>N</w:t>
            </w:r>
          </w:p>
        </w:tc>
        <w:tc>
          <w:tcPr>
            <w:tcW w:w="1328" w:type="dxa"/>
            <w:tcBorders>
              <w:top w:val="single" w:sz="4" w:space="0" w:color="auto"/>
              <w:bottom w:val="single" w:sz="4" w:space="0" w:color="auto"/>
            </w:tcBorders>
            <w:vAlign w:val="center"/>
          </w:tcPr>
          <w:p w:rsidR="00B03D82" w:rsidRPr="00370E70" w:rsidRDefault="00B03D82" w:rsidP="00DC1772">
            <w:pPr>
              <w:spacing w:before="0" w:after="0"/>
              <w:jc w:val="center"/>
              <w:rPr>
                <w:b/>
                <w:sz w:val="18"/>
                <w:szCs w:val="18"/>
              </w:rPr>
            </w:pPr>
            <w:r w:rsidRPr="00370E70">
              <w:rPr>
                <w:b/>
                <w:color w:val="000000"/>
                <w:sz w:val="18"/>
                <w:szCs w:val="18"/>
              </w:rPr>
              <w:t>%C lit median</w:t>
            </w:r>
          </w:p>
        </w:tc>
        <w:tc>
          <w:tcPr>
            <w:tcW w:w="1724" w:type="dxa"/>
            <w:tcBorders>
              <w:top w:val="single" w:sz="4" w:space="0" w:color="auto"/>
              <w:bottom w:val="single" w:sz="4" w:space="0" w:color="auto"/>
            </w:tcBorders>
            <w:noWrap/>
            <w:vAlign w:val="center"/>
          </w:tcPr>
          <w:p w:rsidR="00B03D82" w:rsidRPr="00370E70" w:rsidRDefault="00B03D82" w:rsidP="008C585C">
            <w:pPr>
              <w:spacing w:before="0" w:after="0"/>
              <w:jc w:val="center"/>
              <w:rPr>
                <w:b/>
                <w:sz w:val="18"/>
                <w:szCs w:val="18"/>
              </w:rPr>
            </w:pPr>
            <w:r w:rsidRPr="00370E70">
              <w:rPr>
                <w:b/>
                <w:sz w:val="18"/>
                <w:szCs w:val="18"/>
              </w:rPr>
              <w:t xml:space="preserve">Global </w:t>
            </w:r>
            <w:r w:rsidRPr="00370E70">
              <w:rPr>
                <w:b/>
                <w:i/>
                <w:sz w:val="18"/>
                <w:szCs w:val="18"/>
              </w:rPr>
              <w:t>δ</w:t>
            </w:r>
            <w:r w:rsidRPr="00370E70">
              <w:rPr>
                <w:b/>
                <w:sz w:val="18"/>
                <w:szCs w:val="18"/>
                <w:vertAlign w:val="superscript"/>
              </w:rPr>
              <w:t>13</w:t>
            </w:r>
            <w:r w:rsidRPr="00370E70">
              <w:rPr>
                <w:b/>
                <w:sz w:val="18"/>
                <w:szCs w:val="18"/>
              </w:rPr>
              <w:t>C</w:t>
            </w:r>
          </w:p>
        </w:tc>
      </w:tr>
      <w:tr w:rsidR="00B03D82" w:rsidRPr="00370E70" w:rsidTr="00B03D82">
        <w:trPr>
          <w:trHeight w:val="276"/>
        </w:trPr>
        <w:tc>
          <w:tcPr>
            <w:tcW w:w="1454" w:type="dxa"/>
            <w:noWrap/>
            <w:vAlign w:val="center"/>
          </w:tcPr>
          <w:p w:rsidR="00B03D82" w:rsidRPr="00370E70" w:rsidRDefault="00B03D82" w:rsidP="008C585C">
            <w:pPr>
              <w:spacing w:before="0" w:after="0"/>
              <w:rPr>
                <w:sz w:val="18"/>
                <w:szCs w:val="18"/>
              </w:rPr>
            </w:pPr>
            <w:smartTag w:uri="urn:schemas-microsoft-com:office:smarttags" w:element="place">
              <w:smartTag w:uri="urn:schemas-microsoft-com:office:smarttags" w:element="PlaceName">
                <w:r w:rsidRPr="00370E70">
                  <w:rPr>
                    <w:sz w:val="18"/>
                    <w:szCs w:val="18"/>
                  </w:rPr>
                  <w:t>Hamilton</w:t>
                </w:r>
              </w:smartTag>
              <w:r w:rsidRPr="00370E70">
                <w:rPr>
                  <w:sz w:val="18"/>
                  <w:szCs w:val="18"/>
                </w:rPr>
                <w:t xml:space="preserve"> </w:t>
              </w:r>
              <w:smartTag w:uri="urn:schemas-microsoft-com:office:smarttags" w:element="PlaceType">
                <w:r w:rsidRPr="00370E70">
                  <w:rPr>
                    <w:sz w:val="18"/>
                    <w:szCs w:val="18"/>
                  </w:rPr>
                  <w:t>Island</w:t>
                </w:r>
              </w:smartTag>
            </w:smartTag>
          </w:p>
        </w:tc>
        <w:tc>
          <w:tcPr>
            <w:tcW w:w="850" w:type="dxa"/>
            <w:noWrap/>
            <w:vAlign w:val="center"/>
          </w:tcPr>
          <w:p w:rsidR="00B03D82" w:rsidRPr="00370E70" w:rsidRDefault="00B03D82" w:rsidP="008C585C">
            <w:pPr>
              <w:spacing w:before="0" w:after="0"/>
              <w:jc w:val="center"/>
              <w:rPr>
                <w:sz w:val="18"/>
                <w:szCs w:val="18"/>
              </w:rPr>
            </w:pPr>
            <w:r w:rsidRPr="00370E70">
              <w:rPr>
                <w:sz w:val="18"/>
                <w:szCs w:val="18"/>
              </w:rPr>
              <w:t>HU</w:t>
            </w:r>
          </w:p>
        </w:tc>
        <w:tc>
          <w:tcPr>
            <w:tcW w:w="793" w:type="dxa"/>
            <w:vAlign w:val="center"/>
          </w:tcPr>
          <w:p w:rsidR="00B03D82" w:rsidRPr="00370E70" w:rsidRDefault="00B03D82" w:rsidP="008C585C">
            <w:pPr>
              <w:spacing w:before="0" w:after="0"/>
              <w:jc w:val="center"/>
              <w:rPr>
                <w:sz w:val="18"/>
                <w:szCs w:val="18"/>
              </w:rPr>
            </w:pPr>
            <w:r w:rsidRPr="00370E70">
              <w:rPr>
                <w:sz w:val="18"/>
                <w:szCs w:val="18"/>
              </w:rPr>
              <w:t>45.4</w:t>
            </w:r>
          </w:p>
        </w:tc>
        <w:tc>
          <w:tcPr>
            <w:tcW w:w="703" w:type="dxa"/>
            <w:shd w:val="clear" w:color="auto" w:fill="CCFFCC"/>
            <w:vAlign w:val="center"/>
          </w:tcPr>
          <w:p w:rsidR="00B03D82" w:rsidRPr="00370E70" w:rsidRDefault="00B03D82" w:rsidP="008C585C">
            <w:pPr>
              <w:spacing w:before="0" w:after="0"/>
              <w:jc w:val="center"/>
              <w:rPr>
                <w:sz w:val="18"/>
                <w:szCs w:val="18"/>
              </w:rPr>
            </w:pPr>
            <w:r w:rsidRPr="00370E70">
              <w:rPr>
                <w:sz w:val="18"/>
                <w:szCs w:val="18"/>
              </w:rPr>
              <w:t>9.81</w:t>
            </w:r>
          </w:p>
        </w:tc>
        <w:tc>
          <w:tcPr>
            <w:tcW w:w="954" w:type="dxa"/>
            <w:noWrap/>
            <w:vAlign w:val="center"/>
          </w:tcPr>
          <w:p w:rsidR="00B03D82" w:rsidRPr="00370E70" w:rsidRDefault="00B03D82" w:rsidP="008C585C">
            <w:pPr>
              <w:spacing w:before="0" w:after="0"/>
              <w:jc w:val="center"/>
              <w:rPr>
                <w:sz w:val="18"/>
                <w:szCs w:val="18"/>
              </w:rPr>
            </w:pPr>
            <w:r w:rsidRPr="00370E70">
              <w:rPr>
                <w:sz w:val="18"/>
                <w:szCs w:val="18"/>
              </w:rPr>
              <w:t>-10.2</w:t>
            </w:r>
          </w:p>
        </w:tc>
        <w:tc>
          <w:tcPr>
            <w:tcW w:w="1034" w:type="dxa"/>
            <w:vAlign w:val="center"/>
          </w:tcPr>
          <w:p w:rsidR="00B03D82" w:rsidRPr="00370E70" w:rsidRDefault="00B03D82" w:rsidP="00DC1772">
            <w:pPr>
              <w:spacing w:before="0" w:after="0"/>
              <w:jc w:val="center"/>
              <w:rPr>
                <w:sz w:val="18"/>
                <w:szCs w:val="18"/>
              </w:rPr>
            </w:pPr>
            <w:r w:rsidRPr="00370E70">
              <w:rPr>
                <w:sz w:val="18"/>
                <w:szCs w:val="18"/>
              </w:rPr>
              <w:t>1.44</w:t>
            </w:r>
          </w:p>
        </w:tc>
        <w:tc>
          <w:tcPr>
            <w:tcW w:w="1328" w:type="dxa"/>
            <w:vAlign w:val="center"/>
          </w:tcPr>
          <w:p w:rsidR="00B03D82" w:rsidRPr="00370E70" w:rsidRDefault="00B03D82" w:rsidP="00DC1772">
            <w:pPr>
              <w:spacing w:before="0" w:after="0"/>
              <w:jc w:val="center"/>
              <w:rPr>
                <w:sz w:val="18"/>
                <w:szCs w:val="18"/>
              </w:rPr>
            </w:pPr>
            <w:r w:rsidRPr="00370E70">
              <w:rPr>
                <w:i/>
                <w:color w:val="000000"/>
                <w:sz w:val="18"/>
                <w:szCs w:val="18"/>
              </w:rPr>
              <w:t>38.5</w:t>
            </w:r>
          </w:p>
        </w:tc>
        <w:tc>
          <w:tcPr>
            <w:tcW w:w="1724" w:type="dxa"/>
            <w:noWrap/>
            <w:vAlign w:val="center"/>
          </w:tcPr>
          <w:p w:rsidR="00B03D82" w:rsidRPr="00370E70" w:rsidRDefault="00B03D82" w:rsidP="008C585C">
            <w:pPr>
              <w:spacing w:before="0" w:after="0"/>
              <w:jc w:val="center"/>
              <w:rPr>
                <w:i/>
                <w:sz w:val="18"/>
                <w:szCs w:val="18"/>
              </w:rPr>
            </w:pPr>
            <w:r w:rsidRPr="00370E70">
              <w:rPr>
                <w:i/>
                <w:sz w:val="18"/>
                <w:szCs w:val="18"/>
              </w:rPr>
              <w:t>-11.2 (-13.0 to -7.8)</w:t>
            </w:r>
          </w:p>
        </w:tc>
      </w:tr>
      <w:tr w:rsidR="00B03D82" w:rsidRPr="00370E70" w:rsidTr="00B03D82">
        <w:trPr>
          <w:trHeight w:val="276"/>
        </w:trPr>
        <w:tc>
          <w:tcPr>
            <w:tcW w:w="1454" w:type="dxa"/>
            <w:tcBorders>
              <w:bottom w:val="single" w:sz="4" w:space="0" w:color="auto"/>
            </w:tcBorders>
            <w:noWrap/>
            <w:vAlign w:val="center"/>
          </w:tcPr>
          <w:p w:rsidR="00B03D82" w:rsidRPr="00370E70" w:rsidRDefault="00B03D82" w:rsidP="008C585C">
            <w:pPr>
              <w:spacing w:before="0" w:after="0"/>
              <w:rPr>
                <w:sz w:val="18"/>
                <w:szCs w:val="18"/>
              </w:rPr>
            </w:pPr>
            <w:smartTag w:uri="urn:schemas-microsoft-com:office:smarttags" w:element="place">
              <w:smartTag w:uri="urn:schemas-microsoft-com:office:smarttags" w:element="PlaceName">
                <w:r w:rsidRPr="00370E70">
                  <w:rPr>
                    <w:sz w:val="18"/>
                    <w:szCs w:val="18"/>
                  </w:rPr>
                  <w:t>Hamilton</w:t>
                </w:r>
              </w:smartTag>
              <w:r w:rsidRPr="00370E70">
                <w:rPr>
                  <w:sz w:val="18"/>
                  <w:szCs w:val="18"/>
                </w:rPr>
                <w:t xml:space="preserve"> </w:t>
              </w:r>
              <w:smartTag w:uri="urn:schemas-microsoft-com:office:smarttags" w:element="PlaceType">
                <w:r w:rsidRPr="00370E70">
                  <w:rPr>
                    <w:sz w:val="18"/>
                    <w:szCs w:val="18"/>
                  </w:rPr>
                  <w:t>Island</w:t>
                </w:r>
              </w:smartTag>
            </w:smartTag>
          </w:p>
        </w:tc>
        <w:tc>
          <w:tcPr>
            <w:tcW w:w="850" w:type="dxa"/>
            <w:tcBorders>
              <w:bottom w:val="single" w:sz="4" w:space="0" w:color="auto"/>
            </w:tcBorders>
            <w:noWrap/>
            <w:vAlign w:val="center"/>
          </w:tcPr>
          <w:p w:rsidR="00B03D82" w:rsidRPr="00370E70" w:rsidRDefault="00B03D82" w:rsidP="008C585C">
            <w:pPr>
              <w:spacing w:before="0" w:after="0"/>
              <w:jc w:val="center"/>
              <w:rPr>
                <w:sz w:val="18"/>
                <w:szCs w:val="18"/>
              </w:rPr>
            </w:pPr>
            <w:r w:rsidRPr="00370E70">
              <w:rPr>
                <w:sz w:val="18"/>
                <w:szCs w:val="18"/>
              </w:rPr>
              <w:t>Z</w:t>
            </w:r>
            <w:r w:rsidR="0064478C" w:rsidRPr="00370E70">
              <w:rPr>
                <w:sz w:val="18"/>
                <w:szCs w:val="18"/>
              </w:rPr>
              <w:t>M</w:t>
            </w:r>
          </w:p>
        </w:tc>
        <w:tc>
          <w:tcPr>
            <w:tcW w:w="793" w:type="dxa"/>
            <w:tcBorders>
              <w:bottom w:val="single" w:sz="4" w:space="0" w:color="auto"/>
            </w:tcBorders>
            <w:vAlign w:val="center"/>
          </w:tcPr>
          <w:p w:rsidR="00B03D82" w:rsidRPr="00370E70" w:rsidRDefault="00B03D82" w:rsidP="008C585C">
            <w:pPr>
              <w:spacing w:before="0" w:after="0"/>
              <w:jc w:val="center"/>
              <w:rPr>
                <w:sz w:val="18"/>
                <w:szCs w:val="18"/>
              </w:rPr>
            </w:pPr>
            <w:r w:rsidRPr="00370E70">
              <w:rPr>
                <w:sz w:val="18"/>
                <w:szCs w:val="18"/>
              </w:rPr>
              <w:t>42.5</w:t>
            </w:r>
          </w:p>
        </w:tc>
        <w:tc>
          <w:tcPr>
            <w:tcW w:w="703" w:type="dxa"/>
            <w:tcBorders>
              <w:bottom w:val="single" w:sz="4" w:space="0" w:color="auto"/>
            </w:tcBorders>
            <w:shd w:val="clear" w:color="auto" w:fill="CCFFCC"/>
            <w:vAlign w:val="center"/>
          </w:tcPr>
          <w:p w:rsidR="00B03D82" w:rsidRPr="00370E70" w:rsidRDefault="00B03D82" w:rsidP="008C585C">
            <w:pPr>
              <w:spacing w:before="0" w:after="0"/>
              <w:jc w:val="center"/>
              <w:rPr>
                <w:sz w:val="18"/>
                <w:szCs w:val="18"/>
              </w:rPr>
            </w:pPr>
            <w:r w:rsidRPr="00370E70">
              <w:rPr>
                <w:sz w:val="18"/>
                <w:szCs w:val="18"/>
              </w:rPr>
              <w:t>13.77</w:t>
            </w:r>
          </w:p>
        </w:tc>
        <w:tc>
          <w:tcPr>
            <w:tcW w:w="954" w:type="dxa"/>
            <w:tcBorders>
              <w:bottom w:val="single" w:sz="4" w:space="0" w:color="auto"/>
            </w:tcBorders>
            <w:noWrap/>
            <w:vAlign w:val="center"/>
          </w:tcPr>
          <w:p w:rsidR="00B03D82" w:rsidRPr="00370E70" w:rsidRDefault="00B03D82" w:rsidP="008C585C">
            <w:pPr>
              <w:spacing w:before="0" w:after="0"/>
              <w:jc w:val="center"/>
              <w:rPr>
                <w:sz w:val="18"/>
                <w:szCs w:val="18"/>
              </w:rPr>
            </w:pPr>
            <w:r w:rsidRPr="00370E70">
              <w:rPr>
                <w:sz w:val="18"/>
                <w:szCs w:val="18"/>
              </w:rPr>
              <w:t>-9.3</w:t>
            </w:r>
          </w:p>
        </w:tc>
        <w:tc>
          <w:tcPr>
            <w:tcW w:w="1034" w:type="dxa"/>
            <w:tcBorders>
              <w:bottom w:val="single" w:sz="4" w:space="0" w:color="auto"/>
            </w:tcBorders>
            <w:vAlign w:val="center"/>
          </w:tcPr>
          <w:p w:rsidR="00B03D82" w:rsidRPr="00370E70" w:rsidRDefault="00B03D82" w:rsidP="00DC1772">
            <w:pPr>
              <w:spacing w:before="0" w:after="0"/>
              <w:jc w:val="center"/>
              <w:rPr>
                <w:sz w:val="18"/>
                <w:szCs w:val="18"/>
              </w:rPr>
            </w:pPr>
            <w:r w:rsidRPr="00370E70">
              <w:rPr>
                <w:sz w:val="18"/>
                <w:szCs w:val="18"/>
              </w:rPr>
              <w:t>0.74</w:t>
            </w:r>
          </w:p>
        </w:tc>
        <w:tc>
          <w:tcPr>
            <w:tcW w:w="1328" w:type="dxa"/>
            <w:tcBorders>
              <w:bottom w:val="single" w:sz="4" w:space="0" w:color="auto"/>
            </w:tcBorders>
            <w:vAlign w:val="center"/>
          </w:tcPr>
          <w:p w:rsidR="00B03D82" w:rsidRPr="00370E70" w:rsidRDefault="00B03D82" w:rsidP="00DC1772">
            <w:pPr>
              <w:spacing w:before="0" w:after="0"/>
              <w:jc w:val="center"/>
              <w:rPr>
                <w:sz w:val="18"/>
                <w:szCs w:val="18"/>
              </w:rPr>
            </w:pPr>
            <w:r w:rsidRPr="00370E70">
              <w:rPr>
                <w:sz w:val="18"/>
                <w:szCs w:val="18"/>
              </w:rPr>
              <w:t>32</w:t>
            </w:r>
          </w:p>
        </w:tc>
        <w:tc>
          <w:tcPr>
            <w:tcW w:w="1724" w:type="dxa"/>
            <w:tcBorders>
              <w:bottom w:val="single" w:sz="4" w:space="0" w:color="auto"/>
            </w:tcBorders>
            <w:noWrap/>
            <w:vAlign w:val="center"/>
          </w:tcPr>
          <w:p w:rsidR="00B03D82" w:rsidRPr="00370E70" w:rsidRDefault="00B03D82" w:rsidP="008C585C">
            <w:pPr>
              <w:spacing w:before="0" w:after="0"/>
              <w:jc w:val="center"/>
              <w:rPr>
                <w:i/>
                <w:sz w:val="18"/>
                <w:szCs w:val="18"/>
              </w:rPr>
            </w:pPr>
            <w:r w:rsidRPr="00370E70">
              <w:rPr>
                <w:i/>
                <w:sz w:val="18"/>
                <w:szCs w:val="18"/>
              </w:rPr>
              <w:t>-10.8 (-12.4 to -9.2)</w:t>
            </w:r>
          </w:p>
        </w:tc>
      </w:tr>
      <w:tr w:rsidR="00B03D82" w:rsidRPr="00370E70" w:rsidTr="00B03D82">
        <w:trPr>
          <w:trHeight w:val="276"/>
        </w:trPr>
        <w:tc>
          <w:tcPr>
            <w:tcW w:w="1454" w:type="dxa"/>
            <w:tcBorders>
              <w:top w:val="single" w:sz="4" w:space="0" w:color="auto"/>
              <w:bottom w:val="single" w:sz="4" w:space="0" w:color="auto"/>
            </w:tcBorders>
            <w:noWrap/>
            <w:vAlign w:val="center"/>
          </w:tcPr>
          <w:p w:rsidR="00B03D82" w:rsidRPr="00370E70" w:rsidRDefault="00B03D82" w:rsidP="008C585C">
            <w:pPr>
              <w:spacing w:before="0" w:after="0"/>
              <w:rPr>
                <w:sz w:val="18"/>
                <w:szCs w:val="18"/>
              </w:rPr>
            </w:pPr>
            <w:r w:rsidRPr="00370E70">
              <w:rPr>
                <w:sz w:val="18"/>
                <w:szCs w:val="18"/>
              </w:rPr>
              <w:t>Sarina Inlet</w:t>
            </w:r>
          </w:p>
        </w:tc>
        <w:tc>
          <w:tcPr>
            <w:tcW w:w="850" w:type="dxa"/>
            <w:tcBorders>
              <w:top w:val="single" w:sz="4" w:space="0" w:color="auto"/>
              <w:bottom w:val="single" w:sz="4" w:space="0" w:color="auto"/>
            </w:tcBorders>
            <w:noWrap/>
            <w:vAlign w:val="center"/>
          </w:tcPr>
          <w:p w:rsidR="00B03D82" w:rsidRPr="00370E70" w:rsidRDefault="0064478C" w:rsidP="008C585C">
            <w:pPr>
              <w:spacing w:before="0" w:after="0"/>
              <w:jc w:val="center"/>
              <w:rPr>
                <w:sz w:val="18"/>
                <w:szCs w:val="18"/>
              </w:rPr>
            </w:pPr>
            <w:r w:rsidRPr="00370E70">
              <w:rPr>
                <w:sz w:val="18"/>
                <w:szCs w:val="18"/>
              </w:rPr>
              <w:t>ZM</w:t>
            </w:r>
          </w:p>
        </w:tc>
        <w:tc>
          <w:tcPr>
            <w:tcW w:w="793" w:type="dxa"/>
            <w:tcBorders>
              <w:top w:val="single" w:sz="4" w:space="0" w:color="auto"/>
              <w:bottom w:val="single" w:sz="4" w:space="0" w:color="auto"/>
            </w:tcBorders>
            <w:vAlign w:val="center"/>
          </w:tcPr>
          <w:p w:rsidR="00B03D82" w:rsidRPr="00370E70" w:rsidRDefault="00B03D82" w:rsidP="008C585C">
            <w:pPr>
              <w:spacing w:before="0" w:after="0"/>
              <w:jc w:val="center"/>
              <w:rPr>
                <w:sz w:val="18"/>
                <w:szCs w:val="18"/>
              </w:rPr>
            </w:pPr>
            <w:r w:rsidRPr="00370E70">
              <w:rPr>
                <w:sz w:val="18"/>
                <w:szCs w:val="18"/>
              </w:rPr>
              <w:t>43.14</w:t>
            </w:r>
          </w:p>
        </w:tc>
        <w:tc>
          <w:tcPr>
            <w:tcW w:w="703" w:type="dxa"/>
            <w:tcBorders>
              <w:top w:val="single" w:sz="4" w:space="0" w:color="auto"/>
              <w:bottom w:val="single" w:sz="4" w:space="0" w:color="auto"/>
            </w:tcBorders>
            <w:shd w:val="clear" w:color="auto" w:fill="CCFFCC"/>
            <w:vAlign w:val="center"/>
          </w:tcPr>
          <w:p w:rsidR="00B03D82" w:rsidRPr="00370E70" w:rsidRDefault="00B03D82" w:rsidP="008C585C">
            <w:pPr>
              <w:spacing w:before="0" w:after="0"/>
              <w:jc w:val="center"/>
              <w:rPr>
                <w:sz w:val="18"/>
                <w:szCs w:val="18"/>
              </w:rPr>
            </w:pPr>
            <w:r w:rsidRPr="00370E70">
              <w:rPr>
                <w:sz w:val="18"/>
                <w:szCs w:val="18"/>
              </w:rPr>
              <w:t>12.05</w:t>
            </w:r>
          </w:p>
        </w:tc>
        <w:tc>
          <w:tcPr>
            <w:tcW w:w="954" w:type="dxa"/>
            <w:tcBorders>
              <w:top w:val="single" w:sz="4" w:space="0" w:color="auto"/>
              <w:bottom w:val="single" w:sz="4" w:space="0" w:color="auto"/>
            </w:tcBorders>
            <w:noWrap/>
            <w:vAlign w:val="center"/>
          </w:tcPr>
          <w:p w:rsidR="00B03D82" w:rsidRPr="00370E70" w:rsidRDefault="00B03D82" w:rsidP="008C585C">
            <w:pPr>
              <w:spacing w:before="0" w:after="0"/>
              <w:jc w:val="center"/>
              <w:rPr>
                <w:sz w:val="18"/>
                <w:szCs w:val="18"/>
              </w:rPr>
            </w:pPr>
            <w:r w:rsidRPr="00370E70">
              <w:rPr>
                <w:sz w:val="18"/>
                <w:szCs w:val="18"/>
              </w:rPr>
              <w:t>-10.0±0.1</w:t>
            </w:r>
          </w:p>
        </w:tc>
        <w:tc>
          <w:tcPr>
            <w:tcW w:w="1034" w:type="dxa"/>
            <w:tcBorders>
              <w:top w:val="single" w:sz="4" w:space="0" w:color="auto"/>
              <w:bottom w:val="single" w:sz="4" w:space="0" w:color="auto"/>
            </w:tcBorders>
            <w:vAlign w:val="center"/>
          </w:tcPr>
          <w:p w:rsidR="00B03D82" w:rsidRPr="00370E70" w:rsidRDefault="00B03D82" w:rsidP="00DC1772">
            <w:pPr>
              <w:spacing w:before="0" w:after="0"/>
              <w:jc w:val="center"/>
              <w:rPr>
                <w:sz w:val="18"/>
                <w:szCs w:val="18"/>
              </w:rPr>
            </w:pPr>
            <w:r w:rsidRPr="00370E70">
              <w:rPr>
                <w:sz w:val="18"/>
                <w:szCs w:val="18"/>
              </w:rPr>
              <w:t>0.59±0.26</w:t>
            </w:r>
          </w:p>
        </w:tc>
        <w:tc>
          <w:tcPr>
            <w:tcW w:w="1328" w:type="dxa"/>
            <w:tcBorders>
              <w:top w:val="single" w:sz="4" w:space="0" w:color="auto"/>
              <w:bottom w:val="single" w:sz="4" w:space="0" w:color="auto"/>
            </w:tcBorders>
            <w:vAlign w:val="center"/>
          </w:tcPr>
          <w:p w:rsidR="00B03D82" w:rsidRPr="00370E70" w:rsidRDefault="00B03D82" w:rsidP="00DC1772">
            <w:pPr>
              <w:spacing w:before="0" w:after="0"/>
              <w:jc w:val="center"/>
              <w:rPr>
                <w:sz w:val="18"/>
                <w:szCs w:val="18"/>
              </w:rPr>
            </w:pPr>
            <w:r w:rsidRPr="00370E70">
              <w:rPr>
                <w:sz w:val="18"/>
                <w:szCs w:val="18"/>
              </w:rPr>
              <w:t>32</w:t>
            </w:r>
          </w:p>
        </w:tc>
        <w:tc>
          <w:tcPr>
            <w:tcW w:w="1724" w:type="dxa"/>
            <w:tcBorders>
              <w:top w:val="single" w:sz="4" w:space="0" w:color="auto"/>
              <w:bottom w:val="single" w:sz="4" w:space="0" w:color="auto"/>
            </w:tcBorders>
            <w:noWrap/>
            <w:vAlign w:val="center"/>
          </w:tcPr>
          <w:p w:rsidR="00B03D82" w:rsidRPr="00370E70" w:rsidRDefault="00B03D82" w:rsidP="008C585C">
            <w:pPr>
              <w:spacing w:before="0" w:after="0"/>
              <w:jc w:val="center"/>
              <w:rPr>
                <w:i/>
                <w:sz w:val="18"/>
                <w:szCs w:val="18"/>
              </w:rPr>
            </w:pPr>
            <w:r w:rsidRPr="00370E70">
              <w:rPr>
                <w:i/>
                <w:sz w:val="18"/>
                <w:szCs w:val="18"/>
              </w:rPr>
              <w:t>-10.8 (-12.4 to -9.2)</w:t>
            </w:r>
          </w:p>
        </w:tc>
      </w:tr>
    </w:tbl>
    <w:p w:rsidR="005132EF" w:rsidRPr="00370E70" w:rsidRDefault="005132EF" w:rsidP="002E0D07">
      <w:pPr>
        <w:rPr>
          <w:szCs w:val="22"/>
        </w:rPr>
      </w:pPr>
    </w:p>
    <w:p w:rsidR="005132EF" w:rsidRPr="00370E70" w:rsidRDefault="005132EF" w:rsidP="00034AD4">
      <w:pPr>
        <w:pStyle w:val="Heading4"/>
        <w:rPr>
          <w:b/>
          <w:iCs/>
          <w:color w:val="000000"/>
        </w:rPr>
      </w:pPr>
      <w:bookmarkStart w:id="605" w:name="_Toc232845926"/>
      <w:bookmarkStart w:id="606" w:name="_Toc184102017"/>
      <w:r w:rsidRPr="00370E70">
        <w:rPr>
          <w:b/>
          <w:iCs/>
          <w:color w:val="000000"/>
        </w:rPr>
        <w:t>Epiphytes and macro-algae</w:t>
      </w:r>
      <w:bookmarkEnd w:id="605"/>
      <w:bookmarkEnd w:id="606"/>
    </w:p>
    <w:p w:rsidR="005132EF" w:rsidRPr="00370E70" w:rsidRDefault="005132EF" w:rsidP="00034AD4">
      <w:pPr>
        <w:rPr>
          <w:color w:val="000000"/>
          <w:szCs w:val="22"/>
        </w:rPr>
      </w:pPr>
      <w:r w:rsidRPr="00370E70">
        <w:rPr>
          <w:color w:val="000000"/>
          <w:szCs w:val="22"/>
        </w:rPr>
        <w:t>Epiphyte cover on seagrass leaf blades was variable within years, but was generally higher in 2011/12 than the previous 3-4 years (</w:t>
      </w:r>
      <w:r w:rsidRPr="00370E70">
        <w:fldChar w:fldCharType="begin"/>
      </w:r>
      <w:r w:rsidRPr="00370E70">
        <w:instrText xml:space="preserve"> REF _Ref211931338 \h  \* MERGEFORMAT </w:instrText>
      </w:r>
      <w:r w:rsidRPr="00370E70">
        <w:fldChar w:fldCharType="separate"/>
      </w:r>
      <w:r w:rsidR="005B5FD6" w:rsidRPr="005B5FD6">
        <w:rPr>
          <w:szCs w:val="22"/>
        </w:rPr>
        <w:t xml:space="preserve">Figure </w:t>
      </w:r>
      <w:r w:rsidR="005B5FD6" w:rsidRPr="005B5FD6">
        <w:rPr>
          <w:noProof/>
          <w:color w:val="000000"/>
          <w:szCs w:val="22"/>
        </w:rPr>
        <w:t>130</w:t>
      </w:r>
      <w:r w:rsidRPr="00370E70">
        <w:fldChar w:fldCharType="end"/>
      </w:r>
      <w:r w:rsidRPr="00370E70">
        <w:rPr>
          <w:color w:val="000000"/>
          <w:szCs w:val="22"/>
        </w:rPr>
        <w:t xml:space="preserve">, </w:t>
      </w:r>
      <w:r w:rsidRPr="00370E70">
        <w:fldChar w:fldCharType="begin"/>
      </w:r>
      <w:r w:rsidRPr="00370E70">
        <w:instrText xml:space="preserve"> REF _Ref233170725 \h  \* MERGEFORMAT </w:instrText>
      </w:r>
      <w:r w:rsidRPr="00370E70">
        <w:fldChar w:fldCharType="separate"/>
      </w:r>
      <w:r w:rsidR="005B5FD6" w:rsidRPr="005B5FD6">
        <w:rPr>
          <w:szCs w:val="22"/>
        </w:rPr>
        <w:t xml:space="preserve">Figure </w:t>
      </w:r>
      <w:r w:rsidR="005B5FD6" w:rsidRPr="005B5FD6">
        <w:rPr>
          <w:noProof/>
          <w:color w:val="000000"/>
          <w:szCs w:val="22"/>
        </w:rPr>
        <w:t>131</w:t>
      </w:r>
      <w:r w:rsidRPr="00370E70">
        <w:fldChar w:fldCharType="end"/>
      </w:r>
      <w:r w:rsidRPr="00370E70">
        <w:rPr>
          <w:color w:val="000000"/>
          <w:szCs w:val="22"/>
        </w:rPr>
        <w:t xml:space="preserve">, </w:t>
      </w:r>
      <w:r w:rsidRPr="00370E70">
        <w:fldChar w:fldCharType="begin"/>
      </w:r>
      <w:r w:rsidRPr="00370E70">
        <w:instrText xml:space="preserve"> REF _Ref211931646 \h  \* MERGEFORMAT </w:instrText>
      </w:r>
      <w:r w:rsidRPr="00370E70">
        <w:fldChar w:fldCharType="separate"/>
      </w:r>
      <w:proofErr w:type="gramStart"/>
      <w:r w:rsidR="005B5FD6" w:rsidRPr="005B5FD6">
        <w:rPr>
          <w:szCs w:val="22"/>
        </w:rPr>
        <w:t>Figure</w:t>
      </w:r>
      <w:proofErr w:type="gramEnd"/>
      <w:r w:rsidR="005B5FD6" w:rsidRPr="005B5FD6">
        <w:rPr>
          <w:szCs w:val="22"/>
        </w:rPr>
        <w:t xml:space="preserve"> </w:t>
      </w:r>
      <w:r w:rsidR="005B5FD6" w:rsidRPr="005B5FD6">
        <w:rPr>
          <w:noProof/>
          <w:color w:val="000000"/>
          <w:szCs w:val="22"/>
        </w:rPr>
        <w:t>132</w:t>
      </w:r>
      <w:r w:rsidRPr="00370E70">
        <w:fldChar w:fldCharType="end"/>
      </w:r>
      <w:r w:rsidRPr="00370E70">
        <w:rPr>
          <w:color w:val="000000"/>
          <w:szCs w:val="22"/>
        </w:rPr>
        <w:t>). Although epiphyte cover appears seasonal, with higher abundance in the late monsoon of each year, cover at coastal sites over the 2011/12 period was the highest reported in a decade (</w:t>
      </w:r>
      <w:r w:rsidRPr="00370E70">
        <w:fldChar w:fldCharType="begin"/>
      </w:r>
      <w:r w:rsidRPr="00370E70">
        <w:instrText xml:space="preserve"> REF _Ref211931338 \h  \* MERGEFORMAT </w:instrText>
      </w:r>
      <w:r w:rsidRPr="00370E70">
        <w:fldChar w:fldCharType="separate"/>
      </w:r>
      <w:r w:rsidR="005B5FD6" w:rsidRPr="005B5FD6">
        <w:rPr>
          <w:szCs w:val="22"/>
        </w:rPr>
        <w:t xml:space="preserve">Figure </w:t>
      </w:r>
      <w:r w:rsidR="005B5FD6" w:rsidRPr="005B5FD6">
        <w:rPr>
          <w:noProof/>
          <w:color w:val="000000"/>
          <w:szCs w:val="22"/>
        </w:rPr>
        <w:t>130</w:t>
      </w:r>
      <w:r w:rsidRPr="00370E70">
        <w:fldChar w:fldCharType="end"/>
      </w:r>
      <w:r w:rsidRPr="00370E70">
        <w:rPr>
          <w:color w:val="000000"/>
          <w:szCs w:val="22"/>
        </w:rPr>
        <w:t>).  Epiphyte cover increased above the GBR habitat average at the estuarine sites (Sarina Inlet) for the first time in two years in early 2012 (</w:t>
      </w:r>
      <w:r w:rsidRPr="00370E70">
        <w:fldChar w:fldCharType="begin"/>
      </w:r>
      <w:r w:rsidRPr="00370E70">
        <w:instrText xml:space="preserve"> REF _Ref233170725 \h  \* MERGEFORMAT </w:instrText>
      </w:r>
      <w:r w:rsidRPr="00370E70">
        <w:fldChar w:fldCharType="separate"/>
      </w:r>
      <w:r w:rsidR="005B5FD6" w:rsidRPr="005B5FD6">
        <w:rPr>
          <w:szCs w:val="22"/>
        </w:rPr>
        <w:t xml:space="preserve">Figure </w:t>
      </w:r>
      <w:r w:rsidR="005B5FD6" w:rsidRPr="005B5FD6">
        <w:rPr>
          <w:noProof/>
          <w:color w:val="000000"/>
          <w:szCs w:val="22"/>
        </w:rPr>
        <w:t>131</w:t>
      </w:r>
      <w:r w:rsidRPr="00370E70">
        <w:fldChar w:fldCharType="end"/>
      </w:r>
      <w:r w:rsidRPr="00370E70">
        <w:rPr>
          <w:color w:val="000000"/>
          <w:szCs w:val="22"/>
        </w:rPr>
        <w:t>).</w:t>
      </w:r>
    </w:p>
    <w:p w:rsidR="005132EF" w:rsidRPr="00370E70" w:rsidRDefault="005132EF" w:rsidP="00034AD4">
      <w:pPr>
        <w:rPr>
          <w:color w:val="000000"/>
          <w:szCs w:val="22"/>
        </w:rPr>
      </w:pPr>
      <w:r w:rsidRPr="00370E70">
        <w:rPr>
          <w:color w:val="000000"/>
          <w:szCs w:val="22"/>
        </w:rPr>
        <w:t>Percentage cover of macro-algae at all habitats during the 2011/12 monitoring period remained below the GBR long-term average for each respective habitat (</w:t>
      </w:r>
      <w:r w:rsidRPr="00370E70">
        <w:fldChar w:fldCharType="begin"/>
      </w:r>
      <w:r w:rsidRPr="00370E70">
        <w:instrText xml:space="preserve"> REF _Ref211931338 \h  \* MERGEFORMAT </w:instrText>
      </w:r>
      <w:r w:rsidRPr="00370E70">
        <w:fldChar w:fldCharType="separate"/>
      </w:r>
      <w:r w:rsidR="005B5FD6" w:rsidRPr="005B5FD6">
        <w:rPr>
          <w:szCs w:val="22"/>
        </w:rPr>
        <w:t xml:space="preserve">Figure </w:t>
      </w:r>
      <w:r w:rsidR="005B5FD6" w:rsidRPr="005B5FD6">
        <w:rPr>
          <w:noProof/>
          <w:color w:val="000000"/>
          <w:szCs w:val="22"/>
        </w:rPr>
        <w:t>130</w:t>
      </w:r>
      <w:r w:rsidRPr="00370E70">
        <w:fldChar w:fldCharType="end"/>
      </w:r>
      <w:r w:rsidRPr="00370E70">
        <w:rPr>
          <w:color w:val="000000"/>
          <w:szCs w:val="22"/>
        </w:rPr>
        <w:t xml:space="preserve">, </w:t>
      </w:r>
      <w:r w:rsidRPr="00370E70">
        <w:fldChar w:fldCharType="begin"/>
      </w:r>
      <w:r w:rsidRPr="00370E70">
        <w:instrText xml:space="preserve"> REF _Ref233170725 \h  \* MERGEFORMAT </w:instrText>
      </w:r>
      <w:r w:rsidRPr="00370E70">
        <w:fldChar w:fldCharType="separate"/>
      </w:r>
      <w:r w:rsidR="005B5FD6" w:rsidRPr="005B5FD6">
        <w:rPr>
          <w:szCs w:val="22"/>
        </w:rPr>
        <w:t xml:space="preserve">Figure </w:t>
      </w:r>
      <w:r w:rsidR="005B5FD6" w:rsidRPr="005B5FD6">
        <w:rPr>
          <w:noProof/>
          <w:color w:val="000000"/>
          <w:szCs w:val="22"/>
        </w:rPr>
        <w:t>131</w:t>
      </w:r>
      <w:r w:rsidRPr="00370E70">
        <w:fldChar w:fldCharType="end"/>
      </w:r>
      <w:r w:rsidRPr="00370E70">
        <w:rPr>
          <w:color w:val="000000"/>
          <w:szCs w:val="22"/>
        </w:rPr>
        <w:t xml:space="preserve">, </w:t>
      </w:r>
      <w:r w:rsidRPr="00370E70">
        <w:fldChar w:fldCharType="begin"/>
      </w:r>
      <w:r w:rsidRPr="00370E70">
        <w:instrText xml:space="preserve"> REF _Ref211931646 \h  \* MERGEFORMAT </w:instrText>
      </w:r>
      <w:r w:rsidRPr="00370E70">
        <w:fldChar w:fldCharType="separate"/>
      </w:r>
      <w:proofErr w:type="gramStart"/>
      <w:r w:rsidR="005B5FD6" w:rsidRPr="005B5FD6">
        <w:rPr>
          <w:szCs w:val="22"/>
        </w:rPr>
        <w:t>Figure</w:t>
      </w:r>
      <w:proofErr w:type="gramEnd"/>
      <w:r w:rsidR="005B5FD6" w:rsidRPr="005B5FD6">
        <w:rPr>
          <w:szCs w:val="22"/>
        </w:rPr>
        <w:t xml:space="preserve"> </w:t>
      </w:r>
      <w:r w:rsidR="005B5FD6" w:rsidRPr="005B5FD6">
        <w:rPr>
          <w:noProof/>
          <w:color w:val="000000"/>
          <w:szCs w:val="22"/>
        </w:rPr>
        <w:t>132</w:t>
      </w:r>
      <w:r w:rsidRPr="00370E70">
        <w:fldChar w:fldCharType="end"/>
      </w:r>
      <w:r w:rsidRPr="00370E70">
        <w:rPr>
          <w:color w:val="000000"/>
          <w:szCs w:val="22"/>
        </w:rPr>
        <w:t xml:space="preserve">). </w:t>
      </w:r>
    </w:p>
    <w:p w:rsidR="005132EF" w:rsidRPr="00370E70" w:rsidRDefault="007B15AB" w:rsidP="0034068E">
      <w:pPr>
        <w:keepNext/>
        <w:jc w:val="center"/>
        <w:rPr>
          <w:szCs w:val="22"/>
        </w:rPr>
      </w:pPr>
      <w:r>
        <w:rPr>
          <w:noProof/>
          <w:lang w:eastAsia="en-AU"/>
        </w:rPr>
        <w:drawing>
          <wp:inline distT="0" distB="0" distL="0" distR="0">
            <wp:extent cx="4314190" cy="1597025"/>
            <wp:effectExtent l="0" t="0" r="0" b="3175"/>
            <wp:docPr id="172" name="Picture 170" descr="Graph of mean abundance (% cover) of epiphytes and macro-algae at intertidal coastal (Pioneer Bay) seagrass monitoring sites 1999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Graph of mean abundance (% cover) of epiphytes and macro-algae at intertidal coastal (Pioneer Bay) seagrass monitoring sites 1999 to 2012"/>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4314190" cy="1597025"/>
                    </a:xfrm>
                    <a:prstGeom prst="rect">
                      <a:avLst/>
                    </a:prstGeom>
                    <a:noFill/>
                    <a:ln>
                      <a:noFill/>
                    </a:ln>
                  </pic:spPr>
                </pic:pic>
              </a:graphicData>
            </a:graphic>
          </wp:inline>
        </w:drawing>
      </w:r>
    </w:p>
    <w:p w:rsidR="00657BE7" w:rsidRPr="00370E70" w:rsidRDefault="005132EF" w:rsidP="00657BE7">
      <w:pPr>
        <w:pStyle w:val="Caption"/>
        <w:rPr>
          <w:i/>
          <w:vanish/>
          <w:color w:val="000000"/>
          <w:szCs w:val="22"/>
          <w:lang w:val="en-AU"/>
          <w:specVanish/>
        </w:rPr>
      </w:pPr>
      <w:bookmarkStart w:id="607" w:name="_Ref211931338"/>
      <w:bookmarkStart w:id="608" w:name="_Toc384196477"/>
      <w:bookmarkStart w:id="609" w:name="_Toc23284600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130</w:t>
      </w:r>
      <w:r w:rsidRPr="00370E70">
        <w:rPr>
          <w:lang w:val="en-AU"/>
        </w:rPr>
        <w:fldChar w:fldCharType="end"/>
      </w:r>
      <w:bookmarkEnd w:id="607"/>
      <w:r w:rsidRPr="00370E70">
        <w:rPr>
          <w:rStyle w:val="StyleCaptionCaptionCharCharLatinCalibri11ptBlackChar"/>
          <w:lang w:val="en-AU"/>
        </w:rPr>
        <w:t xml:space="preserve">. </w:t>
      </w:r>
      <w:r w:rsidRPr="00370E70">
        <w:rPr>
          <w:i/>
          <w:lang w:val="en-AU"/>
        </w:rPr>
        <w:t>Mean abundance (% cover) (± Standar</w:t>
      </w:r>
      <w:r w:rsidR="00657BE7" w:rsidRPr="00370E70">
        <w:rPr>
          <w:i/>
          <w:lang w:val="en-AU"/>
        </w:rPr>
        <w:t>d Error) of epiphytes and macro-</w:t>
      </w:r>
      <w:r w:rsidRPr="00370E70">
        <w:rPr>
          <w:i/>
          <w:lang w:val="en-AU"/>
        </w:rPr>
        <w:t xml:space="preserve">algae at </w:t>
      </w:r>
      <w:r w:rsidR="0002225C">
        <w:rPr>
          <w:i/>
          <w:lang w:val="en-AU"/>
        </w:rPr>
        <w:t xml:space="preserve">inshore </w:t>
      </w:r>
      <w:r w:rsidRPr="00370E70">
        <w:rPr>
          <w:i/>
          <w:lang w:val="en-AU"/>
        </w:rPr>
        <w:t>intertidal coastal</w:t>
      </w:r>
      <w:r w:rsidR="0002225C">
        <w:rPr>
          <w:i/>
          <w:lang w:val="en-AU"/>
        </w:rPr>
        <w:t xml:space="preserve"> habitat</w:t>
      </w:r>
      <w:r w:rsidRPr="00370E70">
        <w:rPr>
          <w:i/>
          <w:lang w:val="en-AU"/>
        </w:rPr>
        <w:t xml:space="preserve"> (</w:t>
      </w:r>
      <w:smartTag w:uri="urn:schemas-microsoft-com:office:smarttags" w:element="place">
        <w:smartTag w:uri="urn:schemas-microsoft-com:office:smarttags" w:element="PlaceName">
          <w:r w:rsidRPr="00370E70">
            <w:rPr>
              <w:i/>
              <w:lang w:val="en-AU"/>
            </w:rPr>
            <w:t>Pioneer</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xml:space="preserve">) </w:t>
      </w:r>
      <w:r w:rsidR="0002225C">
        <w:rPr>
          <w:i/>
          <w:lang w:val="en-AU"/>
        </w:rPr>
        <w:t>in the Mackay Whitsunday region</w:t>
      </w:r>
      <w:r w:rsidRPr="00370E70">
        <w:rPr>
          <w:i/>
          <w:lang w:val="en-AU"/>
        </w:rPr>
        <w:t>.</w:t>
      </w:r>
      <w:bookmarkEnd w:id="608"/>
      <w:r w:rsidRPr="00370E70">
        <w:rPr>
          <w:i/>
          <w:lang w:val="en-AU"/>
        </w:rPr>
        <w:t xml:space="preserve"> </w:t>
      </w:r>
    </w:p>
    <w:p w:rsidR="00657BE7" w:rsidRPr="00370E70" w:rsidRDefault="005132EF" w:rsidP="00657BE7">
      <w:pPr>
        <w:pStyle w:val="Caption"/>
        <w:rPr>
          <w:lang w:val="en-AU"/>
        </w:rPr>
      </w:pPr>
      <w:r w:rsidRPr="00370E70">
        <w:rPr>
          <w:i/>
          <w:lang w:val="en-AU"/>
        </w:rPr>
        <w:t>Red line = GBR long-term average; epiphytes=17%, macro-algae=4.7%.</w:t>
      </w:r>
      <w:bookmarkEnd w:id="609"/>
      <w:r w:rsidR="00657BE7" w:rsidRPr="00370E70">
        <w:rPr>
          <w:lang w:val="en-AU"/>
        </w:rPr>
        <w:t xml:space="preserve"> </w:t>
      </w:r>
    </w:p>
    <w:p w:rsidR="005132EF" w:rsidRPr="00370E70" w:rsidRDefault="007B15AB" w:rsidP="0034068E">
      <w:pPr>
        <w:keepNext/>
        <w:jc w:val="center"/>
        <w:rPr>
          <w:szCs w:val="22"/>
        </w:rPr>
      </w:pPr>
      <w:r>
        <w:rPr>
          <w:noProof/>
          <w:lang w:eastAsia="en-AU"/>
        </w:rPr>
        <w:lastRenderedPageBreak/>
        <w:drawing>
          <wp:inline distT="0" distB="0" distL="0" distR="0">
            <wp:extent cx="5408930" cy="1996440"/>
            <wp:effectExtent l="0" t="0" r="1270" b="3810"/>
            <wp:docPr id="173" name="Picture 171" descr="Graph of mean abundance (% cover) of epiphytes and macro-algae at estuary (Sarina Inlet) seagrass monitoring sites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Graph of mean abundance (% cover) of epiphytes and macro-algae at estuary (Sarina Inlet) seagrass monitoring sites 2005 to 2012"/>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5408930" cy="1996440"/>
                    </a:xfrm>
                    <a:prstGeom prst="rect">
                      <a:avLst/>
                    </a:prstGeom>
                    <a:noFill/>
                    <a:ln>
                      <a:noFill/>
                    </a:ln>
                  </pic:spPr>
                </pic:pic>
              </a:graphicData>
            </a:graphic>
          </wp:inline>
        </w:drawing>
      </w:r>
    </w:p>
    <w:p w:rsidR="00657BE7" w:rsidRPr="00370E70" w:rsidRDefault="005132EF" w:rsidP="00657BE7">
      <w:pPr>
        <w:pStyle w:val="Caption"/>
        <w:rPr>
          <w:i/>
          <w:vanish/>
          <w:color w:val="000000"/>
          <w:szCs w:val="22"/>
          <w:lang w:val="en-AU"/>
          <w:specVanish/>
        </w:rPr>
      </w:pPr>
      <w:bookmarkStart w:id="610" w:name="_Ref233170725"/>
      <w:bookmarkStart w:id="611" w:name="_Toc384196478"/>
      <w:bookmarkStart w:id="612" w:name="_Toc23284600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131</w:t>
      </w:r>
      <w:r w:rsidRPr="00370E70">
        <w:rPr>
          <w:lang w:val="en-AU"/>
        </w:rPr>
        <w:fldChar w:fldCharType="end"/>
      </w:r>
      <w:bookmarkEnd w:id="610"/>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02225C">
        <w:rPr>
          <w:i/>
          <w:lang w:val="en-AU"/>
        </w:rPr>
        <w:t xml:space="preserve">inshore intertidal </w:t>
      </w:r>
      <w:r w:rsidRPr="00370E70">
        <w:rPr>
          <w:i/>
          <w:lang w:val="en-AU"/>
        </w:rPr>
        <w:t xml:space="preserve">estuarine </w:t>
      </w:r>
      <w:r w:rsidR="0002225C">
        <w:rPr>
          <w:i/>
          <w:lang w:val="en-AU"/>
        </w:rPr>
        <w:t xml:space="preserve">habitat </w:t>
      </w:r>
      <w:r w:rsidRPr="00370E70">
        <w:rPr>
          <w:i/>
          <w:lang w:val="en-AU"/>
        </w:rPr>
        <w:t xml:space="preserve">(Sarina Inlet) </w:t>
      </w:r>
      <w:r w:rsidR="0002225C">
        <w:rPr>
          <w:i/>
          <w:lang w:val="en-AU"/>
        </w:rPr>
        <w:t>in the Mackay Whitsunday region</w:t>
      </w:r>
      <w:r w:rsidRPr="00370E70">
        <w:rPr>
          <w:i/>
          <w:lang w:val="en-AU"/>
        </w:rPr>
        <w:t>.</w:t>
      </w:r>
      <w:bookmarkEnd w:id="611"/>
      <w:r w:rsidRPr="00370E70">
        <w:rPr>
          <w:i/>
          <w:lang w:val="en-AU"/>
        </w:rPr>
        <w:t xml:space="preserve"> </w:t>
      </w:r>
    </w:p>
    <w:p w:rsidR="00657BE7" w:rsidRPr="00370E70" w:rsidRDefault="005132EF" w:rsidP="00657BE7">
      <w:pPr>
        <w:pStyle w:val="Caption"/>
        <w:rPr>
          <w:lang w:val="en-AU"/>
        </w:rPr>
      </w:pPr>
      <w:r w:rsidRPr="00370E70">
        <w:rPr>
          <w:i/>
          <w:lang w:val="en-AU"/>
        </w:rPr>
        <w:t>Red line = GBR long-term average; epiphytes=25%, macro-algae=3.2%.</w:t>
      </w:r>
      <w:bookmarkEnd w:id="612"/>
      <w:r w:rsidR="00657BE7" w:rsidRPr="00370E70">
        <w:rPr>
          <w:i/>
          <w:lang w:val="en-AU"/>
        </w:rPr>
        <w:t xml:space="preserve"> </w:t>
      </w:r>
    </w:p>
    <w:p w:rsidR="005132EF" w:rsidRPr="00370E70" w:rsidRDefault="007B15AB" w:rsidP="0034068E">
      <w:pPr>
        <w:keepNext/>
        <w:jc w:val="center"/>
        <w:rPr>
          <w:szCs w:val="22"/>
        </w:rPr>
      </w:pPr>
      <w:r>
        <w:rPr>
          <w:noProof/>
          <w:lang w:eastAsia="en-AU"/>
        </w:rPr>
        <w:drawing>
          <wp:inline distT="0" distB="0" distL="0" distR="0">
            <wp:extent cx="4314190" cy="1597025"/>
            <wp:effectExtent l="0" t="0" r="0" b="3175"/>
            <wp:docPr id="174" name="Picture 172" descr="Graph of mean abundance (% cover) of epiphytes and macro-algae at intertidal reef (Hamilton Island) seagrass monitoring sites 2006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Graph of mean abundance (% cover) of epiphytes and macro-algae at intertidal reef (Hamilton Island) seagrass monitoring sites 2006 to 2012"/>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4314190" cy="1597025"/>
                    </a:xfrm>
                    <a:prstGeom prst="rect">
                      <a:avLst/>
                    </a:prstGeom>
                    <a:noFill/>
                    <a:ln>
                      <a:noFill/>
                    </a:ln>
                  </pic:spPr>
                </pic:pic>
              </a:graphicData>
            </a:graphic>
          </wp:inline>
        </w:drawing>
      </w:r>
    </w:p>
    <w:p w:rsidR="00657BE7" w:rsidRPr="00370E70" w:rsidRDefault="005132EF" w:rsidP="00657BE7">
      <w:pPr>
        <w:pStyle w:val="Caption"/>
        <w:rPr>
          <w:i/>
          <w:vanish/>
          <w:color w:val="000000"/>
          <w:szCs w:val="22"/>
          <w:lang w:val="en-AU"/>
          <w:specVanish/>
        </w:rPr>
      </w:pPr>
      <w:bookmarkStart w:id="613" w:name="_Ref211931646"/>
      <w:bookmarkStart w:id="614" w:name="_Toc384196479"/>
      <w:bookmarkStart w:id="615" w:name="_Toc23284600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132</w:t>
      </w:r>
      <w:r w:rsidRPr="00370E70">
        <w:rPr>
          <w:lang w:val="en-AU"/>
        </w:rPr>
        <w:fldChar w:fldCharType="end"/>
      </w:r>
      <w:bookmarkEnd w:id="613"/>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02225C">
        <w:rPr>
          <w:i/>
          <w:lang w:val="en-AU"/>
        </w:rPr>
        <w:t xml:space="preserve">inshore </w:t>
      </w:r>
      <w:r w:rsidRPr="00370E70">
        <w:rPr>
          <w:i/>
          <w:lang w:val="en-AU"/>
        </w:rPr>
        <w:t xml:space="preserve">intertidal reef </w:t>
      </w:r>
      <w:r w:rsidR="0002225C">
        <w:rPr>
          <w:i/>
          <w:lang w:val="en-AU"/>
        </w:rPr>
        <w:t>habitat (</w:t>
      </w:r>
      <w:smartTag w:uri="urn:schemas-microsoft-com:office:smarttags" w:element="place">
        <w:smartTag w:uri="urn:schemas-microsoft-com:office:smarttags" w:element="PlaceName">
          <w:r w:rsidR="0002225C">
            <w:rPr>
              <w:i/>
              <w:lang w:val="en-AU"/>
            </w:rPr>
            <w:t>Hamilton</w:t>
          </w:r>
        </w:smartTag>
        <w:r w:rsidR="0002225C">
          <w:rPr>
            <w:i/>
            <w:lang w:val="en-AU"/>
          </w:rPr>
          <w:t xml:space="preserve"> </w:t>
        </w:r>
        <w:smartTag w:uri="urn:schemas-microsoft-com:office:smarttags" w:element="PlaceType">
          <w:r w:rsidR="0002225C">
            <w:rPr>
              <w:i/>
              <w:lang w:val="en-AU"/>
            </w:rPr>
            <w:t>Island</w:t>
          </w:r>
        </w:smartTag>
      </w:smartTag>
      <w:r w:rsidR="0002225C">
        <w:rPr>
          <w:i/>
          <w:lang w:val="en-AU"/>
        </w:rPr>
        <w:t>)</w:t>
      </w:r>
      <w:r w:rsidRPr="00370E70">
        <w:rPr>
          <w:i/>
          <w:lang w:val="en-AU"/>
        </w:rPr>
        <w:t xml:space="preserve"> </w:t>
      </w:r>
      <w:r w:rsidR="0002225C">
        <w:rPr>
          <w:i/>
          <w:lang w:val="en-AU"/>
        </w:rPr>
        <w:t>in the Mackay Whitsunday region</w:t>
      </w:r>
      <w:r w:rsidRPr="00370E70">
        <w:rPr>
          <w:i/>
          <w:lang w:val="en-AU"/>
        </w:rPr>
        <w:t>.</w:t>
      </w:r>
      <w:bookmarkEnd w:id="614"/>
      <w:r w:rsidRPr="00370E70">
        <w:rPr>
          <w:i/>
          <w:lang w:val="en-AU"/>
        </w:rPr>
        <w:t xml:space="preserve"> </w:t>
      </w:r>
    </w:p>
    <w:p w:rsidR="00657BE7" w:rsidRPr="00370E70" w:rsidRDefault="005132EF" w:rsidP="00657BE7">
      <w:pPr>
        <w:pStyle w:val="Caption"/>
        <w:rPr>
          <w:lang w:val="en-AU"/>
        </w:rPr>
      </w:pPr>
      <w:r w:rsidRPr="00370E70">
        <w:rPr>
          <w:i/>
          <w:lang w:val="en-AU"/>
        </w:rPr>
        <w:t>Red line = GBR long-term average; epiphytes=28%, macro-algae=6.2%.</w:t>
      </w:r>
      <w:bookmarkEnd w:id="615"/>
      <w:r w:rsidR="00657BE7" w:rsidRPr="00370E70">
        <w:rPr>
          <w:i/>
          <w:lang w:val="en-AU"/>
        </w:rPr>
        <w:t xml:space="preserve"> </w:t>
      </w:r>
    </w:p>
    <w:p w:rsidR="005132EF" w:rsidRPr="00370E70" w:rsidRDefault="005132EF" w:rsidP="00034AD4">
      <w:pPr>
        <w:pStyle w:val="Heading4"/>
        <w:rPr>
          <w:b/>
          <w:iCs/>
          <w:color w:val="000000"/>
        </w:rPr>
      </w:pPr>
      <w:bookmarkStart w:id="616" w:name="_Toc175991084"/>
      <w:bookmarkStart w:id="617" w:name="_Toc232845928"/>
      <w:bookmarkStart w:id="618" w:name="_Toc184102019"/>
      <w:r w:rsidRPr="00370E70">
        <w:rPr>
          <w:b/>
          <w:iCs/>
          <w:color w:val="000000"/>
        </w:rPr>
        <w:t>Within meadow canopy temperature</w:t>
      </w:r>
      <w:bookmarkEnd w:id="616"/>
      <w:bookmarkEnd w:id="617"/>
      <w:bookmarkEnd w:id="618"/>
    </w:p>
    <w:p w:rsidR="005132EF" w:rsidRPr="00370E70" w:rsidRDefault="005132EF" w:rsidP="00227CC4">
      <w:pPr>
        <w:rPr>
          <w:color w:val="000000"/>
          <w:szCs w:val="22"/>
        </w:rPr>
      </w:pPr>
      <w:r w:rsidRPr="00370E70">
        <w:rPr>
          <w:szCs w:val="22"/>
        </w:rPr>
        <w:t>Temperature loggers were deployed at all sites monitored in the region (</w:t>
      </w:r>
      <w:r w:rsidRPr="00370E70">
        <w:fldChar w:fldCharType="begin"/>
      </w:r>
      <w:r w:rsidRPr="00370E70">
        <w:instrText xml:space="preserve"> REF _Ref179467159 \h  \* MERGEFORMAT </w:instrText>
      </w:r>
      <w:r w:rsidRPr="00370E70">
        <w:fldChar w:fldCharType="separate"/>
      </w:r>
      <w:r w:rsidR="005B5FD6" w:rsidRPr="005B5FD6">
        <w:rPr>
          <w:szCs w:val="22"/>
        </w:rPr>
        <w:t xml:space="preserve">Figure </w:t>
      </w:r>
      <w:r w:rsidR="005B5FD6" w:rsidRPr="005B5FD6">
        <w:rPr>
          <w:noProof/>
          <w:szCs w:val="22"/>
        </w:rPr>
        <w:t>133</w:t>
      </w:r>
      <w:r w:rsidRPr="00370E70">
        <w:fldChar w:fldCharType="end"/>
      </w:r>
      <w:r w:rsidRPr="00370E70">
        <w:rPr>
          <w:szCs w:val="22"/>
        </w:rPr>
        <w:t xml:space="preserve">). </w:t>
      </w:r>
      <w:r w:rsidR="002C6536" w:rsidRPr="00370E70">
        <w:rPr>
          <w:szCs w:val="22"/>
        </w:rPr>
        <w:t>Unfortunately</w:t>
      </w:r>
      <w:r w:rsidRPr="00370E70">
        <w:rPr>
          <w:szCs w:val="22"/>
        </w:rPr>
        <w:t xml:space="preserve">, </w:t>
      </w:r>
      <w:r w:rsidRPr="00370E70">
        <w:rPr>
          <w:color w:val="000000"/>
          <w:szCs w:val="22"/>
        </w:rPr>
        <w:t xml:space="preserve">no data is available at </w:t>
      </w:r>
      <w:smartTag w:uri="urn:schemas-microsoft-com:office:smarttags" w:element="place">
        <w:smartTag w:uri="urn:schemas-microsoft-com:office:smarttags" w:element="PlaceName">
          <w:r w:rsidRPr="00370E70">
            <w:rPr>
              <w:color w:val="000000"/>
              <w:szCs w:val="22"/>
            </w:rPr>
            <w:t>Hamilton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between November 2011 and February 2012 due to logger</w:t>
      </w:r>
      <w:r w:rsidRPr="00370E70">
        <w:rPr>
          <w:szCs w:val="22"/>
        </w:rPr>
        <w:t xml:space="preserve"> failure. Within canopy temperature at coastal and estuarine locations (</w:t>
      </w:r>
      <w:r w:rsidRPr="00370E70">
        <w:fldChar w:fldCharType="begin"/>
      </w:r>
      <w:r w:rsidRPr="00370E70">
        <w:instrText xml:space="preserve"> REF _Ref179467159 \h  \* MERGEFORMAT </w:instrText>
      </w:r>
      <w:r w:rsidRPr="00370E70">
        <w:fldChar w:fldCharType="separate"/>
      </w:r>
      <w:r w:rsidR="005B5FD6" w:rsidRPr="005B5FD6">
        <w:rPr>
          <w:szCs w:val="22"/>
        </w:rPr>
        <w:t xml:space="preserve">Figure </w:t>
      </w:r>
      <w:r w:rsidR="005B5FD6" w:rsidRPr="005B5FD6">
        <w:rPr>
          <w:noProof/>
          <w:szCs w:val="22"/>
        </w:rPr>
        <w:t>133</w:t>
      </w:r>
      <w:r w:rsidRPr="00370E70">
        <w:fldChar w:fldCharType="end"/>
      </w:r>
      <w:r w:rsidRPr="00370E70">
        <w:rPr>
          <w:szCs w:val="22"/>
        </w:rPr>
        <w:t>) generally follows a similar pattern. No extreme temperatures (&gt;40°C) were recorded over the last 12 months. Maximum temperatures peaked several times throughout the year at all locations, generally during the time of low spring tide (</w:t>
      </w:r>
      <w:r w:rsidRPr="00370E70">
        <w:fldChar w:fldCharType="begin"/>
      </w:r>
      <w:r w:rsidRPr="00370E70">
        <w:instrText xml:space="preserve"> REF _Ref179467159 \h  \* MERGEFORMAT </w:instrText>
      </w:r>
      <w:r w:rsidRPr="00370E70">
        <w:fldChar w:fldCharType="separate"/>
      </w:r>
      <w:r w:rsidR="005B5FD6" w:rsidRPr="005B5FD6">
        <w:rPr>
          <w:szCs w:val="22"/>
        </w:rPr>
        <w:t xml:space="preserve">Figure </w:t>
      </w:r>
      <w:r w:rsidR="005B5FD6" w:rsidRPr="005B5FD6">
        <w:rPr>
          <w:noProof/>
          <w:szCs w:val="22"/>
        </w:rPr>
        <w:t>133</w:t>
      </w:r>
      <w:r w:rsidRPr="00370E70">
        <w:fldChar w:fldCharType="end"/>
      </w:r>
      <w:r w:rsidRPr="00370E70">
        <w:rPr>
          <w:szCs w:val="22"/>
        </w:rPr>
        <w:t xml:space="preserve">). The highest within canopy temperature was 36.7°C, recorded at </w:t>
      </w:r>
      <w:smartTag w:uri="urn:schemas-microsoft-com:office:smarttags" w:element="place">
        <w:smartTag w:uri="urn:schemas-microsoft-com:office:smarttags" w:element="PlaceName">
          <w:r w:rsidRPr="00370E70">
            <w:rPr>
              <w:szCs w:val="22"/>
            </w:rPr>
            <w:t>Pioneer</w:t>
          </w:r>
        </w:smartTag>
        <w:r w:rsidRPr="00370E70">
          <w:rPr>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on the 5</w:t>
      </w:r>
      <w:r w:rsidRPr="00370E70">
        <w:rPr>
          <w:color w:val="000000"/>
          <w:szCs w:val="22"/>
          <w:vertAlign w:val="superscript"/>
        </w:rPr>
        <w:t>th</w:t>
      </w:r>
      <w:r w:rsidRPr="00370E70">
        <w:rPr>
          <w:color w:val="000000"/>
          <w:szCs w:val="22"/>
        </w:rPr>
        <w:t xml:space="preserve"> March 2012 between 2:00 - 3:00pm and at Sarina Inlet on</w:t>
      </w:r>
      <w:r w:rsidR="002C6536" w:rsidRPr="00370E70">
        <w:rPr>
          <w:color w:val="000000"/>
          <w:szCs w:val="22"/>
        </w:rPr>
        <w:t xml:space="preserve"> </w:t>
      </w:r>
      <w:r w:rsidRPr="00370E70">
        <w:rPr>
          <w:color w:val="000000"/>
          <w:szCs w:val="22"/>
        </w:rPr>
        <w:t>th</w:t>
      </w:r>
      <w:r w:rsidR="002C6536" w:rsidRPr="00370E70">
        <w:rPr>
          <w:color w:val="000000"/>
          <w:szCs w:val="22"/>
        </w:rPr>
        <w:t>e</w:t>
      </w:r>
      <w:r w:rsidRPr="00370E70">
        <w:rPr>
          <w:color w:val="000000"/>
          <w:szCs w:val="22"/>
        </w:rPr>
        <w:t xml:space="preserve"> 6</w:t>
      </w:r>
      <w:r w:rsidRPr="00370E70">
        <w:rPr>
          <w:color w:val="000000"/>
          <w:szCs w:val="22"/>
          <w:vertAlign w:val="superscript"/>
        </w:rPr>
        <w:t>t</w:t>
      </w:r>
      <w:r w:rsidRPr="00370E70">
        <w:rPr>
          <w:color w:val="000000"/>
          <w:szCs w:val="22"/>
        </w:rPr>
        <w:t xml:space="preserve">h </w:t>
      </w:r>
      <w:r w:rsidR="002C6536" w:rsidRPr="00370E70">
        <w:rPr>
          <w:color w:val="000000"/>
          <w:szCs w:val="22"/>
        </w:rPr>
        <w:t>February</w:t>
      </w:r>
      <w:r w:rsidRPr="00370E70">
        <w:rPr>
          <w:color w:val="000000"/>
          <w:szCs w:val="22"/>
        </w:rPr>
        <w:t xml:space="preserve"> 2012 between 5:00 - 6:00pm. Within canopy temperatures across the region were cooler than both the previous period and the long-term averages.</w:t>
      </w:r>
    </w:p>
    <w:p w:rsidR="005132EF" w:rsidRPr="00370E70" w:rsidRDefault="005132EF" w:rsidP="00034AD4">
      <w:pPr>
        <w:rPr>
          <w:color w:val="000000"/>
          <w:szCs w:val="22"/>
        </w:rPr>
      </w:pPr>
      <w:r w:rsidRPr="00370E70">
        <w:rPr>
          <w:color w:val="000000"/>
          <w:szCs w:val="22"/>
        </w:rPr>
        <w:t xml:space="preserve">Mean within canopy temperatures monitored at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were within the 20 – 30°C range, with highest mean temperatures in February 2012. Over the 2011/12 period, temperatures at Pioneer Bay were 0.2-0.3°C cooler than both the long term and 2010/11.Hamilton Island within canopy temperatures were slightly lower within the 20-28°C range and highest temperatures in March 2012. At Sarina Inlet, within canopy temperatures were slightly cooler within 18-29°C range and the warmest month on average was February 2012, similar to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t>
      </w:r>
      <w:r w:rsidRPr="00370E70">
        <w:fldChar w:fldCharType="begin"/>
      </w:r>
      <w:r w:rsidRPr="00370E70">
        <w:instrText xml:space="preserve"> REF _Ref179467174 \h  \* MERGEFORMAT </w:instrText>
      </w:r>
      <w:r w:rsidRPr="00370E70">
        <w:fldChar w:fldCharType="separate"/>
      </w:r>
      <w:r w:rsidR="005B5FD6" w:rsidRPr="005B5FD6">
        <w:rPr>
          <w:szCs w:val="22"/>
        </w:rPr>
        <w:t xml:space="preserve">Figure </w:t>
      </w:r>
      <w:r w:rsidR="005B5FD6">
        <w:rPr>
          <w:noProof/>
          <w:color w:val="000000"/>
          <w:szCs w:val="22"/>
        </w:rPr>
        <w:t>134</w:t>
      </w:r>
      <w:r w:rsidRPr="00370E70">
        <w:fldChar w:fldCharType="end"/>
      </w:r>
      <w:r w:rsidRPr="00370E70">
        <w:rPr>
          <w:color w:val="000000"/>
          <w:szCs w:val="22"/>
        </w:rPr>
        <w:t>). Within canopy temperatures on average were 0.3°C cooler over the last monitoring period than the previous monitoring period.</w:t>
      </w:r>
    </w:p>
    <w:p w:rsidR="005132EF" w:rsidRPr="00370E70" w:rsidRDefault="007B15AB" w:rsidP="005F5A8C">
      <w:pPr>
        <w:keepNext/>
        <w:jc w:val="center"/>
        <w:rPr>
          <w:color w:val="000000"/>
        </w:rPr>
      </w:pPr>
      <w:r>
        <w:rPr>
          <w:noProof/>
          <w:lang w:eastAsia="en-AU"/>
        </w:rPr>
        <w:lastRenderedPageBreak/>
        <w:drawing>
          <wp:inline distT="0" distB="0" distL="0" distR="0">
            <wp:extent cx="3593465" cy="3889375"/>
            <wp:effectExtent l="0" t="0" r="6985" b="0"/>
            <wp:docPr id="175" name="Picture 173" descr="Graph of within seagrass canopy temperature (°C) at coastal (Pioneer Bay), estuarine (Sarina Inlet) and fringing-reef (Hamilton Island) intertidal meadows within the Mackay Whitsunday region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Graph of within seagrass canopy temperature (°C) at coastal (Pioneer Bay), estuarine (Sarina Inlet) and fringing-reef (Hamilton Island) intertidal meadows within the Mackay Whitsunday region over the 2011/12 monitoring period."/>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3593465" cy="388937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619" w:name="_Ref179467159"/>
      <w:bookmarkStart w:id="620" w:name="_Toc176158913"/>
      <w:bookmarkStart w:id="621" w:name="_Toc232846007"/>
      <w:bookmarkStart w:id="622" w:name="_Toc384196480"/>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133</w:t>
      </w:r>
      <w:r w:rsidRPr="00370E70">
        <w:rPr>
          <w:color w:val="000000"/>
          <w:szCs w:val="22"/>
          <w:lang w:val="en-AU"/>
        </w:rPr>
        <w:fldChar w:fldCharType="end"/>
      </w:r>
      <w:bookmarkEnd w:id="619"/>
      <w:r w:rsidRPr="00370E70">
        <w:rPr>
          <w:i/>
          <w:color w:val="000000"/>
          <w:szCs w:val="22"/>
          <w:lang w:val="en-AU"/>
        </w:rPr>
        <w:t xml:space="preserve">. Within seagrass canopy temperature (°C) at </w:t>
      </w:r>
      <w:r w:rsidR="0002225C">
        <w:rPr>
          <w:i/>
          <w:color w:val="000000"/>
          <w:szCs w:val="22"/>
          <w:lang w:val="en-AU"/>
        </w:rPr>
        <w:t xml:space="preserve">inshore intertidal </w:t>
      </w:r>
      <w:r w:rsidRPr="00370E70">
        <w:rPr>
          <w:i/>
          <w:color w:val="000000"/>
          <w:szCs w:val="22"/>
          <w:lang w:val="en-AU"/>
        </w:rPr>
        <w:t>coastal (</w:t>
      </w:r>
      <w:smartTag w:uri="urn:schemas-microsoft-com:office:smarttags" w:element="PlaceName">
        <w:r w:rsidRPr="00370E70">
          <w:rPr>
            <w:i/>
            <w:color w:val="000000"/>
            <w:szCs w:val="22"/>
            <w:lang w:val="en-AU"/>
          </w:rPr>
          <w:t>Pioneer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estuarine (Sarina Inlet) and reef (</w:t>
      </w:r>
      <w:smartTag w:uri="urn:schemas-microsoft-com:office:smarttags" w:element="place">
        <w:smartTag w:uri="urn:schemas-microsoft-com:office:smarttags" w:element="PlaceName">
          <w:r w:rsidRPr="00370E70">
            <w:rPr>
              <w:i/>
              <w:color w:val="000000"/>
              <w:szCs w:val="22"/>
              <w:lang w:val="en-AU"/>
            </w:rPr>
            <w:t>Hamilton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w:t>
      </w:r>
      <w:r w:rsidR="0002225C">
        <w:rPr>
          <w:i/>
          <w:color w:val="000000"/>
          <w:szCs w:val="22"/>
          <w:lang w:val="en-AU"/>
        </w:rPr>
        <w:t xml:space="preserve">habitats </w:t>
      </w:r>
      <w:r w:rsidRPr="00370E70">
        <w:rPr>
          <w:i/>
          <w:color w:val="000000"/>
          <w:szCs w:val="22"/>
          <w:lang w:val="en-AU"/>
        </w:rPr>
        <w:t>in the Mackay Whitsunday region over the 2011/12 monitoring period.</w:t>
      </w:r>
      <w:bookmarkEnd w:id="620"/>
      <w:bookmarkEnd w:id="621"/>
      <w:bookmarkEnd w:id="622"/>
    </w:p>
    <w:p w:rsidR="005132EF" w:rsidRPr="00370E70" w:rsidRDefault="007B15AB" w:rsidP="00034AD4">
      <w:pPr>
        <w:keepNext/>
        <w:jc w:val="center"/>
      </w:pPr>
      <w:r>
        <w:rPr>
          <w:noProof/>
          <w:lang w:eastAsia="en-AU"/>
        </w:rPr>
        <w:drawing>
          <wp:inline distT="0" distB="0" distL="0" distR="0">
            <wp:extent cx="4327525" cy="3567430"/>
            <wp:effectExtent l="0" t="0" r="0" b="0"/>
            <wp:docPr id="176" name="Picture 174" descr="Graphs of the long-term monthly mean and maximum within seagrass canopy temperature (°C) at intertidal meadows in coastal (Pioneer Bay), fringing-reef (Hamilton Island) and estuarine (Sarina Inlet) habitats with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Graphs of the long-term monthly mean and maximum within seagrass canopy temperature (°C) at intertidal meadows in coastal (Pioneer Bay), fringing-reef (Hamilton Island) and estuarine (Sarina Inlet) habitats within the Mackay Whitsunday region"/>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4327525" cy="356743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623" w:name="_Ref179467174"/>
      <w:bookmarkStart w:id="624" w:name="_Toc176158914"/>
      <w:bookmarkStart w:id="625" w:name="_Toc232846008"/>
      <w:bookmarkStart w:id="626" w:name="_Toc384196481"/>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134</w:t>
      </w:r>
      <w:r w:rsidRPr="00370E70">
        <w:rPr>
          <w:color w:val="000000"/>
          <w:szCs w:val="22"/>
          <w:lang w:val="en-AU"/>
        </w:rPr>
        <w:fldChar w:fldCharType="end"/>
      </w:r>
      <w:bookmarkEnd w:id="623"/>
      <w:r w:rsidRPr="00370E70">
        <w:rPr>
          <w:rStyle w:val="StyleCaptionCaptionCharCharLatinCalibri11ptBlackChar"/>
          <w:lang w:val="en-AU"/>
        </w:rPr>
        <w:t>.</w:t>
      </w:r>
      <w:r w:rsidRPr="00370E70">
        <w:rPr>
          <w:i/>
          <w:color w:val="000000"/>
          <w:szCs w:val="22"/>
          <w:lang w:val="en-AU"/>
        </w:rPr>
        <w:t xml:space="preserve"> Long-term monthly mean and maximum within seagrass canopy temperature (°C) at </w:t>
      </w:r>
      <w:r w:rsidR="0002225C">
        <w:rPr>
          <w:i/>
          <w:color w:val="000000"/>
          <w:szCs w:val="22"/>
          <w:lang w:val="en-AU"/>
        </w:rPr>
        <w:t xml:space="preserve">inshore </w:t>
      </w:r>
      <w:r w:rsidRPr="00370E70">
        <w:rPr>
          <w:i/>
          <w:color w:val="000000"/>
          <w:szCs w:val="22"/>
          <w:lang w:val="en-AU"/>
        </w:rPr>
        <w:t>intertidal coastal (</w:t>
      </w:r>
      <w:smartTag w:uri="urn:schemas-microsoft-com:office:smarttags" w:element="PlaceName">
        <w:r w:rsidRPr="00370E70">
          <w:rPr>
            <w:i/>
            <w:color w:val="000000"/>
            <w:szCs w:val="22"/>
            <w:lang w:val="en-AU"/>
          </w:rPr>
          <w:t>Pioneer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reef (</w:t>
      </w:r>
      <w:smartTag w:uri="urn:schemas-microsoft-com:office:smarttags" w:element="place">
        <w:smartTag w:uri="urn:schemas-microsoft-com:office:smarttags" w:element="PlaceName">
          <w:r w:rsidRPr="00370E70">
            <w:rPr>
              <w:i/>
              <w:color w:val="000000"/>
              <w:szCs w:val="22"/>
              <w:lang w:val="en-AU"/>
            </w:rPr>
            <w:t>Hamilton</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smartTag>
      <w:r w:rsidRPr="00370E70">
        <w:rPr>
          <w:i/>
          <w:color w:val="000000"/>
          <w:szCs w:val="22"/>
          <w:lang w:val="en-AU"/>
        </w:rPr>
        <w:t xml:space="preserve">) and estuarine (Sarina Inlet) habitats </w:t>
      </w:r>
      <w:r w:rsidR="0002225C">
        <w:rPr>
          <w:i/>
          <w:color w:val="000000"/>
          <w:szCs w:val="22"/>
          <w:lang w:val="en-AU"/>
        </w:rPr>
        <w:t>in</w:t>
      </w:r>
      <w:r w:rsidRPr="00370E70">
        <w:rPr>
          <w:i/>
          <w:color w:val="000000"/>
          <w:szCs w:val="22"/>
          <w:lang w:val="en-AU"/>
        </w:rPr>
        <w:t xml:space="preserve"> the Mackay Whitsunday region.</w:t>
      </w:r>
      <w:bookmarkEnd w:id="624"/>
      <w:bookmarkEnd w:id="625"/>
      <w:bookmarkEnd w:id="626"/>
    </w:p>
    <w:p w:rsidR="005132EF" w:rsidRPr="00370E70" w:rsidRDefault="005132EF" w:rsidP="00034AD4">
      <w:pPr>
        <w:pStyle w:val="Heading4"/>
        <w:rPr>
          <w:b/>
          <w:iCs/>
          <w:color w:val="000000"/>
        </w:rPr>
      </w:pPr>
      <w:bookmarkStart w:id="627" w:name="_Toc184102020"/>
      <w:r w:rsidRPr="00370E70">
        <w:rPr>
          <w:b/>
          <w:iCs/>
          <w:color w:val="000000"/>
        </w:rPr>
        <w:lastRenderedPageBreak/>
        <w:t>Canopy incident light</w:t>
      </w:r>
      <w:bookmarkEnd w:id="627"/>
    </w:p>
    <w:p w:rsidR="005132EF" w:rsidRPr="00370E70" w:rsidRDefault="00B47BFD" w:rsidP="00034AD4">
      <w:pPr>
        <w:rPr>
          <w:color w:val="000000"/>
          <w:szCs w:val="22"/>
        </w:rPr>
      </w:pPr>
      <w:bookmarkStart w:id="628" w:name="_Ref145422571"/>
      <w:r w:rsidRPr="00370E70">
        <w:rPr>
          <w:color w:val="000000"/>
          <w:szCs w:val="22"/>
        </w:rPr>
        <w:t>Light data from the Mackay</w:t>
      </w:r>
      <w:r w:rsidR="0002225C">
        <w:rPr>
          <w:color w:val="000000"/>
          <w:szCs w:val="22"/>
        </w:rPr>
        <w:t xml:space="preserve"> </w:t>
      </w:r>
      <w:r w:rsidR="005132EF" w:rsidRPr="00370E70">
        <w:rPr>
          <w:color w:val="000000"/>
          <w:szCs w:val="22"/>
        </w:rPr>
        <w:t xml:space="preserve">Whitsunday region </w:t>
      </w:r>
      <w:r w:rsidRPr="00370E70">
        <w:rPr>
          <w:color w:val="000000"/>
          <w:szCs w:val="22"/>
        </w:rPr>
        <w:t>we</w:t>
      </w:r>
      <w:r w:rsidR="005132EF" w:rsidRPr="00370E70">
        <w:rPr>
          <w:color w:val="000000"/>
          <w:szCs w:val="22"/>
        </w:rPr>
        <w:t>re patchy, particularly for the estuarine and coastal sites where logger/wiper failure can occur, but loggers also often disappear, possibly due to tampering by the public. At Pioneer Bay, I</w:t>
      </w:r>
      <w:r w:rsidR="005132EF" w:rsidRPr="00370E70">
        <w:rPr>
          <w:color w:val="000000"/>
          <w:szCs w:val="22"/>
          <w:vertAlign w:val="subscript"/>
        </w:rPr>
        <w:t>d</w:t>
      </w:r>
      <w:r w:rsidR="005132EF" w:rsidRPr="00370E70">
        <w:rPr>
          <w:color w:val="000000"/>
          <w:szCs w:val="22"/>
        </w:rPr>
        <w:t xml:space="preserve"> was on average 8.6 mol m</w:t>
      </w:r>
      <w:r w:rsidR="005132EF" w:rsidRPr="00370E70">
        <w:rPr>
          <w:color w:val="000000"/>
          <w:szCs w:val="22"/>
          <w:vertAlign w:val="superscript"/>
        </w:rPr>
        <w:t>-2</w:t>
      </w:r>
      <w:r w:rsidR="005132EF" w:rsidRPr="00370E70">
        <w:rPr>
          <w:color w:val="000000"/>
          <w:szCs w:val="22"/>
        </w:rPr>
        <w:t xml:space="preserve"> d</w:t>
      </w:r>
      <w:r w:rsidR="005132EF" w:rsidRPr="00370E70">
        <w:rPr>
          <w:color w:val="000000"/>
          <w:szCs w:val="22"/>
          <w:vertAlign w:val="superscript"/>
        </w:rPr>
        <w:t>-1</w:t>
      </w:r>
      <w:r w:rsidR="005132EF" w:rsidRPr="00370E70">
        <w:rPr>
          <w:color w:val="000000"/>
          <w:szCs w:val="22"/>
        </w:rPr>
        <w:t xml:space="preserve"> which slightly above the long-term average (8.1 mol m</w:t>
      </w:r>
      <w:r w:rsidR="005132EF" w:rsidRPr="00370E70">
        <w:rPr>
          <w:color w:val="000000"/>
          <w:szCs w:val="22"/>
          <w:vertAlign w:val="superscript"/>
        </w:rPr>
        <w:t>-2</w:t>
      </w:r>
      <w:r w:rsidR="005132EF" w:rsidRPr="00370E70">
        <w:rPr>
          <w:color w:val="000000"/>
          <w:szCs w:val="22"/>
        </w:rPr>
        <w:t xml:space="preserve"> d</w:t>
      </w:r>
      <w:r w:rsidR="005132EF" w:rsidRPr="00370E70">
        <w:rPr>
          <w:color w:val="000000"/>
          <w:szCs w:val="22"/>
          <w:vertAlign w:val="superscript"/>
        </w:rPr>
        <w:t>-1</w:t>
      </w:r>
      <w:r w:rsidR="005132EF" w:rsidRPr="00370E70">
        <w:rPr>
          <w:color w:val="000000"/>
          <w:szCs w:val="22"/>
        </w:rPr>
        <w:t>), but considerably lower than intertidal average for the GBR (14.5 mol m</w:t>
      </w:r>
      <w:r w:rsidR="005132EF" w:rsidRPr="00370E70">
        <w:rPr>
          <w:color w:val="000000"/>
          <w:szCs w:val="22"/>
          <w:vertAlign w:val="superscript"/>
        </w:rPr>
        <w:t>-2</w:t>
      </w:r>
      <w:r w:rsidR="005132EF" w:rsidRPr="00370E70">
        <w:rPr>
          <w:color w:val="000000"/>
          <w:szCs w:val="22"/>
        </w:rPr>
        <w:t xml:space="preserve"> d</w:t>
      </w:r>
      <w:r w:rsidR="005132EF" w:rsidRPr="00370E70">
        <w:rPr>
          <w:color w:val="000000"/>
          <w:szCs w:val="22"/>
          <w:vertAlign w:val="superscript"/>
        </w:rPr>
        <w:t>-1</w:t>
      </w:r>
      <w:r w:rsidR="005132EF" w:rsidRPr="00370E70">
        <w:rPr>
          <w:color w:val="000000"/>
          <w:szCs w:val="22"/>
        </w:rPr>
        <w:t>). During the 2010 wet season, average I</w:t>
      </w:r>
      <w:r w:rsidR="005132EF" w:rsidRPr="00370E70">
        <w:rPr>
          <w:color w:val="000000"/>
          <w:szCs w:val="22"/>
          <w:vertAlign w:val="subscript"/>
        </w:rPr>
        <w:t>d</w:t>
      </w:r>
      <w:r w:rsidR="005132EF" w:rsidRPr="00370E70">
        <w:rPr>
          <w:color w:val="000000"/>
          <w:szCs w:val="22"/>
        </w:rPr>
        <w:t xml:space="preserve"> was below MLR for an extended period (4 months) (</w:t>
      </w:r>
      <w:r w:rsidRPr="00370E70">
        <w:rPr>
          <w:color w:val="000000"/>
          <w:szCs w:val="22"/>
        </w:rPr>
        <w:fldChar w:fldCharType="begin"/>
      </w:r>
      <w:r w:rsidRPr="00370E70">
        <w:rPr>
          <w:color w:val="000000"/>
          <w:szCs w:val="22"/>
        </w:rPr>
        <w:instrText xml:space="preserve"> REF _Ref348808253 \h </w:instrText>
      </w:r>
      <w:r w:rsidRPr="00370E70">
        <w:rPr>
          <w:color w:val="000000"/>
          <w:szCs w:val="22"/>
        </w:rPr>
      </w:r>
      <w:r w:rsidRPr="00370E70">
        <w:rPr>
          <w:color w:val="000000"/>
          <w:szCs w:val="22"/>
        </w:rPr>
        <w:fldChar w:fldCharType="separate"/>
      </w:r>
      <w:r w:rsidR="005B5FD6">
        <w:rPr>
          <w:b/>
          <w:bCs/>
          <w:color w:val="000000"/>
          <w:szCs w:val="22"/>
          <w:lang w:val="en-US"/>
        </w:rPr>
        <w:t>Error! Reference source not found.</w:t>
      </w:r>
      <w:r w:rsidRPr="00370E70">
        <w:rPr>
          <w:color w:val="000000"/>
          <w:szCs w:val="22"/>
        </w:rPr>
        <w:fldChar w:fldCharType="end"/>
      </w:r>
      <w:r w:rsidR="005132EF" w:rsidRPr="00370E70">
        <w:rPr>
          <w:color w:val="000000"/>
          <w:szCs w:val="22"/>
        </w:rPr>
        <w:t>). This is consistent with large declines in seagrass percent cover during the 2010 wet season. At Sarina Inlet, I</w:t>
      </w:r>
      <w:r w:rsidR="005132EF" w:rsidRPr="00370E70">
        <w:rPr>
          <w:color w:val="000000"/>
          <w:szCs w:val="22"/>
          <w:vertAlign w:val="subscript"/>
        </w:rPr>
        <w:t>d</w:t>
      </w:r>
      <w:r w:rsidR="005132EF" w:rsidRPr="00370E70">
        <w:rPr>
          <w:color w:val="000000"/>
          <w:szCs w:val="22"/>
        </w:rPr>
        <w:t xml:space="preserve"> is </w:t>
      </w:r>
      <w:proofErr w:type="gramStart"/>
      <w:r w:rsidR="005132EF" w:rsidRPr="00370E70">
        <w:rPr>
          <w:color w:val="000000"/>
          <w:szCs w:val="22"/>
        </w:rPr>
        <w:t>on average 12.3 mol m</w:t>
      </w:r>
      <w:r w:rsidR="005132EF" w:rsidRPr="00370E70">
        <w:rPr>
          <w:color w:val="000000"/>
          <w:szCs w:val="22"/>
          <w:vertAlign w:val="superscript"/>
        </w:rPr>
        <w:t>-2</w:t>
      </w:r>
      <w:r w:rsidR="005132EF" w:rsidRPr="00370E70">
        <w:rPr>
          <w:color w:val="000000"/>
          <w:szCs w:val="22"/>
        </w:rPr>
        <w:t xml:space="preserve"> d</w:t>
      </w:r>
      <w:r w:rsidR="005132EF" w:rsidRPr="00370E70">
        <w:rPr>
          <w:color w:val="000000"/>
          <w:szCs w:val="22"/>
          <w:vertAlign w:val="superscript"/>
        </w:rPr>
        <w:t>-1</w:t>
      </w:r>
      <w:proofErr w:type="gramEnd"/>
      <w:r w:rsidR="005132EF" w:rsidRPr="00370E70">
        <w:rPr>
          <w:color w:val="000000"/>
          <w:szCs w:val="22"/>
        </w:rPr>
        <w:t xml:space="preserve"> and during 2011/12 was 16.2 mol m</w:t>
      </w:r>
      <w:r w:rsidR="005132EF" w:rsidRPr="00370E70">
        <w:rPr>
          <w:color w:val="000000"/>
          <w:szCs w:val="22"/>
          <w:vertAlign w:val="superscript"/>
        </w:rPr>
        <w:t>-2</w:t>
      </w:r>
      <w:r w:rsidR="005132EF" w:rsidRPr="00370E70">
        <w:rPr>
          <w:color w:val="000000"/>
          <w:szCs w:val="22"/>
        </w:rPr>
        <w:t xml:space="preserve"> d</w:t>
      </w:r>
      <w:r w:rsidR="005132EF" w:rsidRPr="00370E70">
        <w:rPr>
          <w:color w:val="000000"/>
          <w:szCs w:val="22"/>
          <w:vertAlign w:val="superscript"/>
        </w:rPr>
        <w:t>-1</w:t>
      </w:r>
      <w:r w:rsidR="005132EF" w:rsidRPr="00370E70">
        <w:rPr>
          <w:color w:val="000000"/>
          <w:szCs w:val="22"/>
        </w:rPr>
        <w:t xml:space="preserve"> but there is insufficient data to relate light with changes in seagrass abundance (</w:t>
      </w:r>
      <w:r w:rsidRPr="00370E70">
        <w:rPr>
          <w:color w:val="000000"/>
          <w:szCs w:val="22"/>
        </w:rPr>
        <w:fldChar w:fldCharType="begin"/>
      </w:r>
      <w:r w:rsidRPr="00370E70">
        <w:rPr>
          <w:color w:val="000000"/>
          <w:szCs w:val="22"/>
        </w:rPr>
        <w:instrText xml:space="preserve"> REF _Ref348808253 \h </w:instrText>
      </w:r>
      <w:r w:rsidRPr="00370E70">
        <w:rPr>
          <w:color w:val="000000"/>
          <w:szCs w:val="22"/>
        </w:rPr>
      </w:r>
      <w:r w:rsidRPr="00370E70">
        <w:rPr>
          <w:color w:val="000000"/>
          <w:szCs w:val="22"/>
        </w:rPr>
        <w:fldChar w:fldCharType="separate"/>
      </w:r>
      <w:r w:rsidR="005B5FD6">
        <w:rPr>
          <w:b/>
          <w:bCs/>
          <w:color w:val="000000"/>
          <w:szCs w:val="22"/>
          <w:lang w:val="en-US"/>
        </w:rPr>
        <w:t>Error! Reference source not found.</w:t>
      </w:r>
      <w:r w:rsidRPr="00370E70">
        <w:rPr>
          <w:color w:val="000000"/>
          <w:szCs w:val="22"/>
        </w:rPr>
        <w:fldChar w:fldCharType="end"/>
      </w:r>
      <w:r w:rsidR="005132EF" w:rsidRPr="00370E70">
        <w:rPr>
          <w:color w:val="000000"/>
          <w:szCs w:val="22"/>
        </w:rPr>
        <w:t xml:space="preserve">). </w:t>
      </w:r>
    </w:p>
    <w:p w:rsidR="005132EF" w:rsidRPr="00370E70" w:rsidRDefault="005132EF" w:rsidP="00034AD4">
      <w:pPr>
        <w:rPr>
          <w:color w:val="000000"/>
          <w:szCs w:val="22"/>
        </w:rPr>
      </w:pPr>
      <w:r w:rsidRPr="00370E70">
        <w:rPr>
          <w:color w:val="000000"/>
          <w:szCs w:val="22"/>
        </w:rPr>
        <w:t xml:space="preserve">At </w:t>
      </w:r>
      <w:smartTag w:uri="urn:schemas-microsoft-com:office:smarttags" w:element="place">
        <w:smartTag w:uri="urn:schemas-microsoft-com:office:smarttags" w:element="PlaceName">
          <w:r w:rsidRPr="00370E70">
            <w:rPr>
              <w:color w:val="000000"/>
              <w:szCs w:val="22"/>
            </w:rPr>
            <w:t>Hamilton</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I</w:t>
      </w:r>
      <w:r w:rsidRPr="00370E70">
        <w:rPr>
          <w:color w:val="000000"/>
          <w:szCs w:val="22"/>
          <w:vertAlign w:val="subscript"/>
        </w:rPr>
        <w:t>d</w:t>
      </w:r>
      <w:r w:rsidRPr="00370E70">
        <w:rPr>
          <w:color w:val="000000"/>
          <w:szCs w:val="22"/>
        </w:rPr>
        <w:t xml:space="preserve"> is consistently high, being, on average, 16.7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 xml:space="preserve">-1 </w:t>
      </w:r>
      <w:r w:rsidRPr="00370E70">
        <w:rPr>
          <w:color w:val="000000"/>
          <w:szCs w:val="22"/>
        </w:rPr>
        <w:t xml:space="preserve">and this continued during 2011/12 being </w:t>
      </w:r>
      <w:proofErr w:type="gramStart"/>
      <w:r w:rsidRPr="00370E70">
        <w:rPr>
          <w:color w:val="000000"/>
          <w:szCs w:val="22"/>
        </w:rPr>
        <w:t>16.9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00B47BFD" w:rsidRPr="00370E70">
        <w:rPr>
          <w:color w:val="000000"/>
          <w:szCs w:val="22"/>
        </w:rPr>
        <w:t xml:space="preserve"> (</w:t>
      </w:r>
      <w:r w:rsidR="00B47BFD" w:rsidRPr="00370E70">
        <w:rPr>
          <w:color w:val="000000"/>
          <w:szCs w:val="22"/>
        </w:rPr>
        <w:fldChar w:fldCharType="begin"/>
      </w:r>
      <w:r w:rsidR="00B47BFD" w:rsidRPr="00370E70">
        <w:rPr>
          <w:color w:val="000000"/>
          <w:szCs w:val="22"/>
        </w:rPr>
        <w:instrText xml:space="preserve"> REF _Ref382567776 \h </w:instrText>
      </w:r>
      <w:r w:rsidR="00B47BFD" w:rsidRPr="00370E70">
        <w:rPr>
          <w:color w:val="000000"/>
          <w:szCs w:val="22"/>
        </w:rPr>
      </w:r>
      <w:r w:rsidR="00B47BFD" w:rsidRPr="00370E70">
        <w:rPr>
          <w:color w:val="000000"/>
          <w:szCs w:val="22"/>
        </w:rPr>
        <w:fldChar w:fldCharType="separate"/>
      </w:r>
      <w:r w:rsidR="005B5FD6" w:rsidRPr="00370E70">
        <w:rPr>
          <w:color w:val="000000"/>
          <w:szCs w:val="22"/>
        </w:rPr>
        <w:t xml:space="preserve">Figure </w:t>
      </w:r>
      <w:r w:rsidR="005B5FD6">
        <w:rPr>
          <w:noProof/>
          <w:color w:val="000000"/>
          <w:szCs w:val="22"/>
        </w:rPr>
        <w:t>135</w:t>
      </w:r>
      <w:r w:rsidR="00B47BFD" w:rsidRPr="00370E70">
        <w:rPr>
          <w:color w:val="000000"/>
          <w:szCs w:val="22"/>
        </w:rPr>
        <w:fldChar w:fldCharType="end"/>
      </w:r>
      <w:r w:rsidR="00B47BFD" w:rsidRPr="00370E70">
        <w:rPr>
          <w:color w:val="000000"/>
          <w:szCs w:val="22"/>
        </w:rPr>
        <w:t>)</w:t>
      </w:r>
      <w:proofErr w:type="gramEnd"/>
      <w:r w:rsidRPr="00370E70">
        <w:rPr>
          <w:color w:val="000000"/>
          <w:szCs w:val="22"/>
        </w:rPr>
        <w:t>. There was a short reduction in I</w:t>
      </w:r>
      <w:r w:rsidRPr="00370E70">
        <w:rPr>
          <w:color w:val="000000"/>
          <w:szCs w:val="22"/>
          <w:vertAlign w:val="subscript"/>
        </w:rPr>
        <w:t>d</w:t>
      </w:r>
      <w:r w:rsidRPr="00370E70">
        <w:rPr>
          <w:color w:val="000000"/>
          <w:szCs w:val="22"/>
        </w:rPr>
        <w:t xml:space="preserve"> in the late 2010/11 wet season but this was just a short aberration with highest recorded I</w:t>
      </w:r>
      <w:r w:rsidRPr="00370E70">
        <w:rPr>
          <w:color w:val="000000"/>
          <w:szCs w:val="22"/>
          <w:vertAlign w:val="subscript"/>
        </w:rPr>
        <w:t>d</w:t>
      </w:r>
      <w:r w:rsidRPr="00370E70">
        <w:rPr>
          <w:color w:val="000000"/>
          <w:szCs w:val="22"/>
        </w:rPr>
        <w:t xml:space="preserve"> following in November 2011. </w:t>
      </w:r>
    </w:p>
    <w:p w:rsidR="005132EF" w:rsidRPr="00370E70" w:rsidRDefault="005132EF" w:rsidP="00034AD4">
      <w:pPr>
        <w:rPr>
          <w:color w:val="000000"/>
          <w:szCs w:val="22"/>
        </w:rPr>
      </w:pPr>
    </w:p>
    <w:bookmarkEnd w:id="628"/>
    <w:p w:rsidR="005132EF" w:rsidRPr="00370E70" w:rsidRDefault="007B15AB" w:rsidP="00B47BFD">
      <w:pPr>
        <w:pStyle w:val="Heading4"/>
        <w:spacing w:after="0"/>
        <w:jc w:val="center"/>
        <w:rPr>
          <w:color w:val="000000"/>
        </w:rPr>
      </w:pPr>
      <w:r>
        <w:rPr>
          <w:noProof/>
          <w:color w:val="000000"/>
        </w:rPr>
        <w:drawing>
          <wp:inline distT="0" distB="0" distL="0" distR="0">
            <wp:extent cx="4314190" cy="1635760"/>
            <wp:effectExtent l="0" t="0" r="0" b="2540"/>
            <wp:docPr id="177" name="Picture 177" descr="Graph of daily light (28 day rolling average) at coastal (Pioneer Bay)  meadow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Graph of daily light (28 day rolling average) at coastal (Pioneer Bay)  meadows in the Mackay Whitsunday region"/>
                    <pic:cNvPicPr>
                      <a:picLocks noChangeAspect="1" noChangeArrowheads="1"/>
                    </pic:cNvPicPr>
                  </pic:nvPicPr>
                  <pic:blipFill>
                    <a:blip r:embed="rId203">
                      <a:extLst>
                        <a:ext uri="{28A0092B-C50C-407E-A947-70E740481C1C}">
                          <a14:useLocalDpi xmlns:a14="http://schemas.microsoft.com/office/drawing/2010/main" val="0"/>
                        </a:ext>
                      </a:extLst>
                    </a:blip>
                    <a:srcRect b="11194"/>
                    <a:stretch>
                      <a:fillRect/>
                    </a:stretch>
                  </pic:blipFill>
                  <pic:spPr bwMode="auto">
                    <a:xfrm>
                      <a:off x="0" y="0"/>
                      <a:ext cx="4314190" cy="1635760"/>
                    </a:xfrm>
                    <a:prstGeom prst="rect">
                      <a:avLst/>
                    </a:prstGeom>
                    <a:noFill/>
                    <a:ln>
                      <a:noFill/>
                    </a:ln>
                  </pic:spPr>
                </pic:pic>
              </a:graphicData>
            </a:graphic>
          </wp:inline>
        </w:drawing>
      </w:r>
    </w:p>
    <w:p w:rsidR="005132EF" w:rsidRPr="00370E70" w:rsidRDefault="007B15AB" w:rsidP="00B47BFD">
      <w:pPr>
        <w:spacing w:before="0" w:after="0"/>
        <w:jc w:val="center"/>
        <w:rPr>
          <w:color w:val="000000"/>
        </w:rPr>
      </w:pPr>
      <w:r>
        <w:rPr>
          <w:noProof/>
          <w:color w:val="000000"/>
          <w:lang w:eastAsia="en-AU"/>
        </w:rPr>
        <w:drawing>
          <wp:inline distT="0" distB="0" distL="0" distR="0">
            <wp:extent cx="4314190" cy="1506855"/>
            <wp:effectExtent l="0" t="0" r="0" b="0"/>
            <wp:docPr id="178" name="Picture 178" descr="Graph of daily light (28 day rolling average) at estuary (Sarina Inlet) meadow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Graph of daily light (28 day rolling average) at estuary (Sarina Inlet) meadows in the Mackay Whitsunday region"/>
                    <pic:cNvPicPr>
                      <a:picLocks noChangeAspect="1" noChangeArrowheads="1"/>
                    </pic:cNvPicPr>
                  </pic:nvPicPr>
                  <pic:blipFill>
                    <a:blip r:embed="rId204">
                      <a:extLst>
                        <a:ext uri="{28A0092B-C50C-407E-A947-70E740481C1C}">
                          <a14:useLocalDpi xmlns:a14="http://schemas.microsoft.com/office/drawing/2010/main" val="0"/>
                        </a:ext>
                      </a:extLst>
                    </a:blip>
                    <a:srcRect t="2502" b="10991"/>
                    <a:stretch>
                      <a:fillRect/>
                    </a:stretch>
                  </pic:blipFill>
                  <pic:spPr bwMode="auto">
                    <a:xfrm>
                      <a:off x="0" y="0"/>
                      <a:ext cx="4314190" cy="1506855"/>
                    </a:xfrm>
                    <a:prstGeom prst="rect">
                      <a:avLst/>
                    </a:prstGeom>
                    <a:noFill/>
                    <a:ln>
                      <a:noFill/>
                    </a:ln>
                  </pic:spPr>
                </pic:pic>
              </a:graphicData>
            </a:graphic>
          </wp:inline>
        </w:drawing>
      </w:r>
    </w:p>
    <w:p w:rsidR="005132EF" w:rsidRPr="00370E70" w:rsidRDefault="007B15AB" w:rsidP="0002225C">
      <w:pPr>
        <w:spacing w:before="0"/>
        <w:jc w:val="center"/>
        <w:rPr>
          <w:color w:val="000000"/>
          <w:szCs w:val="22"/>
        </w:rPr>
      </w:pPr>
      <w:r>
        <w:rPr>
          <w:noProof/>
          <w:color w:val="000000"/>
          <w:szCs w:val="22"/>
          <w:lang w:eastAsia="en-AU"/>
        </w:rPr>
        <w:drawing>
          <wp:inline distT="0" distB="0" distL="0" distR="0">
            <wp:extent cx="4314190" cy="1841500"/>
            <wp:effectExtent l="0" t="0" r="0" b="0"/>
            <wp:docPr id="179" name="Picture 179" descr="Graph of daily light (28 day rolling average) at intertidal reef Hamilton Island) meadow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Graph of daily light (28 day rolling average) at intertidal reef Hamilton Island) meadows in the Mackay Whitsunday region"/>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4314190" cy="1841500"/>
                    </a:xfrm>
                    <a:prstGeom prst="rect">
                      <a:avLst/>
                    </a:prstGeom>
                    <a:noFill/>
                    <a:ln>
                      <a:noFill/>
                    </a:ln>
                  </pic:spPr>
                </pic:pic>
              </a:graphicData>
            </a:graphic>
          </wp:inline>
        </w:drawing>
      </w:r>
    </w:p>
    <w:p w:rsidR="00B47BFD" w:rsidRPr="00370E70" w:rsidRDefault="005132EF" w:rsidP="00B47BFD">
      <w:pPr>
        <w:rPr>
          <w:i/>
          <w:vanish/>
          <w:color w:val="000000"/>
          <w:szCs w:val="22"/>
          <w:specVanish/>
        </w:rPr>
      </w:pPr>
      <w:bookmarkStart w:id="629" w:name="_Ref382567776"/>
      <w:bookmarkStart w:id="630" w:name="_Toc384196482"/>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135</w:t>
      </w:r>
      <w:r w:rsidRPr="00370E70">
        <w:rPr>
          <w:color w:val="000000"/>
          <w:szCs w:val="22"/>
        </w:rPr>
        <w:fldChar w:fldCharType="end"/>
      </w:r>
      <w:bookmarkEnd w:id="629"/>
      <w:r w:rsidRPr="00370E70">
        <w:rPr>
          <w:color w:val="000000"/>
          <w:szCs w:val="22"/>
        </w:rPr>
        <w:t xml:space="preserve">. </w:t>
      </w:r>
      <w:r w:rsidRPr="00370E70">
        <w:rPr>
          <w:i/>
          <w:color w:val="000000"/>
          <w:szCs w:val="22"/>
        </w:rPr>
        <w:t>Daily light (28</w:t>
      </w:r>
      <w:r w:rsidR="00B47BFD" w:rsidRPr="00370E70">
        <w:rPr>
          <w:i/>
          <w:color w:val="000000"/>
          <w:szCs w:val="22"/>
        </w:rPr>
        <w:t xml:space="preserve"> </w:t>
      </w:r>
      <w:r w:rsidRPr="00370E70">
        <w:rPr>
          <w:i/>
          <w:color w:val="000000"/>
          <w:szCs w:val="22"/>
        </w:rPr>
        <w:t xml:space="preserve">day rolling average) at the </w:t>
      </w:r>
      <w:r w:rsidR="0002225C">
        <w:rPr>
          <w:i/>
          <w:color w:val="000000"/>
          <w:szCs w:val="22"/>
        </w:rPr>
        <w:t xml:space="preserve">inshore </w:t>
      </w:r>
      <w:r w:rsidR="0002225C" w:rsidRPr="00370E70">
        <w:rPr>
          <w:i/>
        </w:rPr>
        <w:t>intertidal coastal (</w:t>
      </w:r>
      <w:smartTag w:uri="urn:schemas-microsoft-com:office:smarttags" w:element="PlaceName">
        <w:r w:rsidR="0002225C" w:rsidRPr="00370E70">
          <w:rPr>
            <w:i/>
          </w:rPr>
          <w:t>Pioneer</w:t>
        </w:r>
      </w:smartTag>
      <w:r w:rsidR="0002225C" w:rsidRPr="00370E70">
        <w:rPr>
          <w:i/>
        </w:rPr>
        <w:t xml:space="preserve"> </w:t>
      </w:r>
      <w:smartTag w:uri="urn:schemas-microsoft-com:office:smarttags" w:element="PlaceType">
        <w:r w:rsidR="0002225C" w:rsidRPr="00370E70">
          <w:rPr>
            <w:i/>
          </w:rPr>
          <w:t>Bay</w:t>
        </w:r>
      </w:smartTag>
      <w:r w:rsidR="0002225C" w:rsidRPr="00370E70">
        <w:rPr>
          <w:i/>
        </w:rPr>
        <w:t>)</w:t>
      </w:r>
      <w:r w:rsidR="0002225C">
        <w:rPr>
          <w:i/>
        </w:rPr>
        <w:t>,</w:t>
      </w:r>
      <w:r w:rsidR="0002225C" w:rsidRPr="00370E70">
        <w:rPr>
          <w:i/>
        </w:rPr>
        <w:t xml:space="preserve"> estuary (Sarina Inlet) </w:t>
      </w:r>
      <w:r w:rsidR="0002225C">
        <w:rPr>
          <w:i/>
          <w:color w:val="000000"/>
          <w:szCs w:val="22"/>
        </w:rPr>
        <w:t>and</w:t>
      </w:r>
      <w:r w:rsidRPr="00370E70">
        <w:rPr>
          <w:i/>
          <w:color w:val="000000"/>
          <w:szCs w:val="22"/>
        </w:rPr>
        <w:t xml:space="preserve"> reef (</w:t>
      </w:r>
      <w:smartTag w:uri="urn:schemas-microsoft-com:office:smarttags" w:element="place">
        <w:smartTag w:uri="urn:schemas-microsoft-com:office:smarttags" w:element="PlaceName">
          <w:r w:rsidRPr="00370E70">
            <w:rPr>
              <w:i/>
              <w:color w:val="000000"/>
              <w:szCs w:val="22"/>
            </w:rPr>
            <w:t>Hamilton</w:t>
          </w:r>
        </w:smartTag>
        <w:r w:rsidRPr="00370E70">
          <w:rPr>
            <w:i/>
            <w:color w:val="000000"/>
            <w:szCs w:val="22"/>
          </w:rPr>
          <w:t xml:space="preserve"> </w:t>
        </w:r>
        <w:smartTag w:uri="urn:schemas-microsoft-com:office:smarttags" w:element="PlaceType">
          <w:r w:rsidRPr="00370E70">
            <w:rPr>
              <w:i/>
              <w:color w:val="000000"/>
              <w:szCs w:val="22"/>
            </w:rPr>
            <w:t>Island</w:t>
          </w:r>
        </w:smartTag>
      </w:smartTag>
      <w:r w:rsidRPr="00370E70">
        <w:rPr>
          <w:i/>
          <w:color w:val="000000"/>
          <w:szCs w:val="22"/>
        </w:rPr>
        <w:t xml:space="preserve">) </w:t>
      </w:r>
      <w:r w:rsidR="0002225C">
        <w:rPr>
          <w:i/>
          <w:color w:val="000000"/>
          <w:szCs w:val="22"/>
        </w:rPr>
        <w:t>habitats</w:t>
      </w:r>
      <w:r w:rsidRPr="00370E70">
        <w:rPr>
          <w:i/>
          <w:color w:val="000000"/>
          <w:szCs w:val="22"/>
        </w:rPr>
        <w:t xml:space="preserve"> in the Mackay Whitsunday region</w:t>
      </w:r>
      <w:bookmarkEnd w:id="630"/>
    </w:p>
    <w:p w:rsidR="00B47BFD" w:rsidRPr="00370E70" w:rsidRDefault="005132EF" w:rsidP="00034AD4">
      <w:pPr>
        <w:rPr>
          <w:color w:val="000000"/>
          <w:szCs w:val="22"/>
        </w:rPr>
      </w:pPr>
      <w:r w:rsidRPr="00370E70">
        <w:rPr>
          <w:i/>
          <w:color w:val="000000"/>
          <w:szCs w:val="22"/>
        </w:rPr>
        <w:t>, also showing approximate light threshold required for positive growth in Halodule uninervis dominated communities in the northern GBR (5 mol m</w:t>
      </w:r>
      <w:r w:rsidRPr="00370E70">
        <w:rPr>
          <w:i/>
          <w:color w:val="000000"/>
          <w:szCs w:val="22"/>
          <w:vertAlign w:val="superscript"/>
        </w:rPr>
        <w:t>-2</w:t>
      </w:r>
      <w:r w:rsidRPr="00370E70">
        <w:rPr>
          <w:i/>
          <w:color w:val="000000"/>
          <w:szCs w:val="22"/>
        </w:rPr>
        <w:t xml:space="preserve"> d</w:t>
      </w:r>
      <w:r w:rsidRPr="00370E70">
        <w:rPr>
          <w:i/>
          <w:color w:val="000000"/>
          <w:szCs w:val="22"/>
          <w:vertAlign w:val="superscript"/>
        </w:rPr>
        <w:noBreakHyphen/>
        <w:t>1</w:t>
      </w:r>
      <w:r w:rsidRPr="00370E70">
        <w:rPr>
          <w:i/>
          <w:color w:val="000000"/>
          <w:szCs w:val="22"/>
        </w:rPr>
        <w:t>)</w:t>
      </w:r>
      <w:r w:rsidR="00B47BFD" w:rsidRPr="00370E70">
        <w:rPr>
          <w:i/>
          <w:color w:val="000000"/>
          <w:szCs w:val="22"/>
        </w:rPr>
        <w:t>(</w:t>
      </w:r>
      <w:hyperlink w:anchor="_ENREF_45" w:tooltip="Collier, 2012 #9288" w:history="1">
        <w:r w:rsidR="00964A70" w:rsidRPr="00370E70">
          <w:rPr>
            <w:i/>
            <w:color w:val="000000"/>
            <w:szCs w:val="22"/>
          </w:rPr>
          <w:fldChar w:fldCharType="begin"/>
        </w:r>
        <w:r w:rsidR="00964A70" w:rsidRPr="00370E70">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i/>
            <w:color w:val="000000"/>
            <w:szCs w:val="22"/>
          </w:rPr>
          <w:fldChar w:fldCharType="separate"/>
        </w:r>
        <w:r w:rsidR="00964A70" w:rsidRPr="00370E70">
          <w:rPr>
            <w:i/>
            <w:noProof/>
            <w:color w:val="000000"/>
            <w:szCs w:val="22"/>
          </w:rPr>
          <w:t>Collier, et al. 2012b</w:t>
        </w:r>
        <w:r w:rsidR="00964A70" w:rsidRPr="00370E70">
          <w:rPr>
            <w:i/>
            <w:color w:val="000000"/>
            <w:szCs w:val="22"/>
          </w:rPr>
          <w:fldChar w:fldCharType="end"/>
        </w:r>
      </w:hyperlink>
      <w:r w:rsidR="00B47BFD" w:rsidRPr="00370E70">
        <w:rPr>
          <w:i/>
          <w:color w:val="000000"/>
          <w:szCs w:val="22"/>
        </w:rPr>
        <w:t>)</w:t>
      </w:r>
      <w:r w:rsidRPr="00370E70">
        <w:rPr>
          <w:i/>
          <w:color w:val="000000"/>
          <w:szCs w:val="22"/>
        </w:rPr>
        <w:t>. NB</w:t>
      </w:r>
      <w:r w:rsidR="00B47BFD" w:rsidRPr="00370E70">
        <w:rPr>
          <w:i/>
          <w:color w:val="000000"/>
          <w:szCs w:val="22"/>
        </w:rPr>
        <w:t>:</w:t>
      </w:r>
      <w:r w:rsidRPr="00370E70">
        <w:rPr>
          <w:i/>
          <w:color w:val="000000"/>
          <w:szCs w:val="22"/>
        </w:rPr>
        <w:t xml:space="preserve"> threshold is based on 90-day average.</w:t>
      </w:r>
      <w:r w:rsidR="00B47BFD" w:rsidRPr="00370E70">
        <w:rPr>
          <w:color w:val="000000"/>
          <w:szCs w:val="22"/>
        </w:rPr>
        <w:t xml:space="preserve"> </w:t>
      </w:r>
    </w:p>
    <w:p w:rsidR="005132EF" w:rsidRPr="00370E70" w:rsidRDefault="005132EF" w:rsidP="00034AD4">
      <w:pPr>
        <w:pStyle w:val="Heading4"/>
        <w:rPr>
          <w:b/>
          <w:iCs/>
          <w:color w:val="000000"/>
        </w:rPr>
      </w:pPr>
      <w:bookmarkStart w:id="631" w:name="_Toc232845929"/>
      <w:bookmarkStart w:id="632" w:name="_Toc184102021"/>
      <w:r w:rsidRPr="00370E70">
        <w:rPr>
          <w:b/>
          <w:iCs/>
          <w:color w:val="000000"/>
        </w:rPr>
        <w:lastRenderedPageBreak/>
        <w:t>Regional Climate</w:t>
      </w:r>
      <w:bookmarkEnd w:id="631"/>
      <w:bookmarkEnd w:id="632"/>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Climate across the Mackay Whitsunday region during the 2011/12 monitoring period was in general cooler than experienced over the previous decade. In the north it was also wetter and cloudier, but in the south it was winder than the north relative to the previous decade.</w:t>
      </w:r>
    </w:p>
    <w:p w:rsidR="005132EF" w:rsidRPr="00370E70" w:rsidRDefault="0002225C" w:rsidP="001D3DC7">
      <w:pPr>
        <w:pStyle w:val="Heading5"/>
        <w:rPr>
          <w:color w:val="000000"/>
        </w:rPr>
      </w:pPr>
      <w:r>
        <w:rPr>
          <w:color w:val="000000"/>
        </w:rPr>
        <w:t>Inshore coastal habitats (</w:t>
      </w:r>
      <w:smartTag w:uri="urn:schemas-microsoft-com:office:smarttags" w:element="place">
        <w:smartTag w:uri="urn:schemas-microsoft-com:office:smarttags" w:element="PlaceName">
          <w:r w:rsidR="005132EF" w:rsidRPr="00370E70">
            <w:rPr>
              <w:color w:val="000000"/>
            </w:rPr>
            <w:t>Pioneer</w:t>
          </w:r>
        </w:smartTag>
        <w:r w:rsidR="005132EF" w:rsidRPr="00370E70">
          <w:rPr>
            <w:color w:val="000000"/>
          </w:rPr>
          <w:t xml:space="preserve"> </w:t>
        </w:r>
        <w:smartTag w:uri="urn:schemas-microsoft-com:office:smarttags" w:element="PlaceType">
          <w:r w:rsidR="005132EF" w:rsidRPr="00370E70">
            <w:rPr>
              <w:color w:val="000000"/>
            </w:rPr>
            <w:t>Bay</w:t>
          </w:r>
        </w:smartTag>
      </w:smartTag>
      <w:r>
        <w:rPr>
          <w:color w:val="000000"/>
        </w:rPr>
        <w:t>)</w:t>
      </w:r>
    </w:p>
    <w:p w:rsidR="005132EF" w:rsidRPr="00370E70" w:rsidRDefault="005132EF" w:rsidP="008F4F4B">
      <w:pPr>
        <w:autoSpaceDE w:val="0"/>
        <w:autoSpaceDN w:val="0"/>
        <w:adjustRightInd w:val="0"/>
        <w:rPr>
          <w:rFonts w:cs="TimesNewRoman"/>
          <w:color w:val="000000"/>
          <w:szCs w:val="22"/>
        </w:rPr>
      </w:pPr>
      <w:r w:rsidRPr="00370E70">
        <w:rPr>
          <w:rFonts w:cs="TimesNewRoman"/>
          <w:color w:val="000000"/>
          <w:szCs w:val="22"/>
        </w:rPr>
        <w:t xml:space="preserve">The closest meteorological station to </w:t>
      </w:r>
      <w:smartTag w:uri="urn:schemas-microsoft-com:office:smarttags" w:element="place">
        <w:smartTag w:uri="urn:schemas-microsoft-com:office:smarttags" w:element="PlaceName">
          <w:r w:rsidRPr="00370E70">
            <w:rPr>
              <w:rFonts w:cs="TimesNewRoman"/>
              <w:color w:val="000000"/>
              <w:szCs w:val="22"/>
            </w:rPr>
            <w:t>Pioneer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smartTag>
      <w:r w:rsidRPr="00370E70">
        <w:rPr>
          <w:rFonts w:cs="TimesNewRoman"/>
          <w:color w:val="000000"/>
          <w:szCs w:val="22"/>
        </w:rPr>
        <w:t xml:space="preserve"> is Proserpine airport (27.4km). The mean maximum daily air temperature recorded at Proserpine during 2011/12 was 28.5°C, this was similar to both the decadal and long-term (24 year) averages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 The highest recorded daily maximum temperature in 2011/12 was 35.8 °C.</w:t>
      </w:r>
    </w:p>
    <w:p w:rsidR="005132EF" w:rsidRPr="00370E70" w:rsidRDefault="005132EF" w:rsidP="008F4F4B">
      <w:pPr>
        <w:autoSpaceDE w:val="0"/>
        <w:autoSpaceDN w:val="0"/>
        <w:adjustRightInd w:val="0"/>
        <w:rPr>
          <w:rFonts w:cs="TimesNewRoman"/>
          <w:color w:val="000000"/>
          <w:szCs w:val="22"/>
        </w:rPr>
      </w:pPr>
      <w:r w:rsidRPr="00370E70">
        <w:rPr>
          <w:rFonts w:cs="TimesNewRoman"/>
          <w:color w:val="000000"/>
          <w:szCs w:val="22"/>
        </w:rPr>
        <w:t>2011/12 was a dry year with total rainfall (1766mm) lower than the previous 4 periods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 Mean wind speed in 2011/12 was 21.9 km.hr</w:t>
      </w:r>
      <w:r w:rsidRPr="00370E70">
        <w:rPr>
          <w:rFonts w:cs="TimesNewRoman"/>
          <w:color w:val="000000"/>
          <w:szCs w:val="22"/>
          <w:vertAlign w:val="superscript"/>
        </w:rPr>
        <w:t>-1</w:t>
      </w:r>
      <w:r w:rsidRPr="00370E70">
        <w:rPr>
          <w:rFonts w:cs="TimesNewRoman"/>
          <w:color w:val="000000"/>
          <w:szCs w:val="22"/>
        </w:rPr>
        <w:t xml:space="preserve">, which was higher than 10/11, similar to the long-term (22 year), but 23% lower than the </w:t>
      </w:r>
      <w:r w:rsidR="002C6536" w:rsidRPr="00370E70">
        <w:rPr>
          <w:rFonts w:cs="TimesNewRoman"/>
          <w:color w:val="000000"/>
          <w:szCs w:val="22"/>
        </w:rPr>
        <w:t>decadal</w:t>
      </w:r>
      <w:r w:rsidRPr="00370E70">
        <w:rPr>
          <w:rFonts w:cs="TimesNewRoman"/>
          <w:color w:val="000000"/>
          <w:szCs w:val="22"/>
        </w:rPr>
        <w:t xml:space="preserve"> average. 2011/12. Mean cloud cover was also higher 13% and 6% in 2011/12 than both the decadal and long-term (22 year) averages, respectively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w:t>
      </w:r>
    </w:p>
    <w:p w:rsidR="005132EF" w:rsidRPr="00370E70" w:rsidRDefault="007B15AB" w:rsidP="00761A57">
      <w:pPr>
        <w:keepNext/>
        <w:autoSpaceDE w:val="0"/>
        <w:autoSpaceDN w:val="0"/>
        <w:adjustRightInd w:val="0"/>
        <w:jc w:val="center"/>
        <w:rPr>
          <w:szCs w:val="22"/>
        </w:rPr>
      </w:pPr>
      <w:r>
        <w:rPr>
          <w:noProof/>
          <w:lang w:eastAsia="en-AU"/>
        </w:rPr>
        <w:drawing>
          <wp:inline distT="0" distB="0" distL="0" distR="0">
            <wp:extent cx="4276090" cy="3618865"/>
            <wp:effectExtent l="0" t="0" r="0" b="635"/>
            <wp:docPr id="180" name="Picture 177" descr="Graphs of total monthly rainfall, mean monthly daily maximum temperature, mean monthly cloud cover, and mean monthly 3pm wind speed for Pioneer Bay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Graphs of total monthly rainfall, mean monthly daily maximum temperature, mean monthly cloud cover, and mean monthly 3pm wind speed for Pioneer Bay sites. "/>
                    <pic:cNvPicPr>
                      <a:picLocks noChangeAspect="1" noChangeArrowheads="1"/>
                    </pic:cNvPicPr>
                  </pic:nvPicPr>
                  <pic:blipFill>
                    <a:blip r:embed="rId206" cstate="print">
                      <a:extLst>
                        <a:ext uri="{28A0092B-C50C-407E-A947-70E740481C1C}">
                          <a14:useLocalDpi xmlns:a14="http://schemas.microsoft.com/office/drawing/2010/main" val="0"/>
                        </a:ext>
                      </a:extLst>
                    </a:blip>
                    <a:srcRect t="7471" b="2000"/>
                    <a:stretch>
                      <a:fillRect/>
                    </a:stretch>
                  </pic:blipFill>
                  <pic:spPr bwMode="auto">
                    <a:xfrm>
                      <a:off x="0" y="0"/>
                      <a:ext cx="4276090" cy="3618865"/>
                    </a:xfrm>
                    <a:prstGeom prst="rect">
                      <a:avLst/>
                    </a:prstGeom>
                    <a:noFill/>
                    <a:ln>
                      <a:noFill/>
                    </a:ln>
                  </pic:spPr>
                </pic:pic>
              </a:graphicData>
            </a:graphic>
          </wp:inline>
        </w:drawing>
      </w:r>
    </w:p>
    <w:p w:rsidR="00B47BFD" w:rsidRPr="00370E70" w:rsidRDefault="005132EF" w:rsidP="00B47BFD">
      <w:pPr>
        <w:pStyle w:val="Caption"/>
        <w:rPr>
          <w:i/>
          <w:vanish/>
          <w:color w:val="000000"/>
          <w:szCs w:val="22"/>
          <w:lang w:val="en-AU"/>
          <w:specVanish/>
        </w:rPr>
      </w:pPr>
      <w:bookmarkStart w:id="633" w:name="_Toc38419648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136</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Total monthly rainfall (grey bars) (post December 2004), mean monthly daily maximum temperature (black line), mean monthly cloud cover (black line), and mean monthly 3pm wind speed (grey line) </w:t>
      </w:r>
      <w:r w:rsidR="00B47BFD" w:rsidRPr="00370E70">
        <w:rPr>
          <w:i/>
          <w:lang w:val="en-AU"/>
        </w:rPr>
        <w:t xml:space="preserve">for coastal habitats in </w:t>
      </w:r>
      <w:smartTag w:uri="urn:schemas-microsoft-com:office:smarttags" w:element="place">
        <w:smartTag w:uri="urn:schemas-microsoft-com:office:smarttags" w:element="PlaceName">
          <w:r w:rsidR="00B47BFD" w:rsidRPr="00370E70">
            <w:rPr>
              <w:i/>
              <w:lang w:val="en-AU"/>
            </w:rPr>
            <w:t>Pioneer</w:t>
          </w:r>
        </w:smartTag>
        <w:r w:rsidR="00B47BFD" w:rsidRPr="00370E70">
          <w:rPr>
            <w:i/>
            <w:lang w:val="en-AU"/>
          </w:rPr>
          <w:t xml:space="preserve"> </w:t>
        </w:r>
        <w:smartTag w:uri="urn:schemas-microsoft-com:office:smarttags" w:element="PlaceType">
          <w:r w:rsidR="00B47BFD" w:rsidRPr="00370E70">
            <w:rPr>
              <w:i/>
              <w:lang w:val="en-AU"/>
            </w:rPr>
            <w:t>Bay</w:t>
          </w:r>
        </w:smartTag>
      </w:smartTag>
      <w:r w:rsidR="00B47BFD" w:rsidRPr="00370E70">
        <w:rPr>
          <w:i/>
          <w:lang w:val="en-AU"/>
        </w:rPr>
        <w:t>.</w:t>
      </w:r>
      <w:bookmarkEnd w:id="633"/>
      <w:r w:rsidR="00B47BFD" w:rsidRPr="00370E70">
        <w:rPr>
          <w:i/>
          <w:lang w:val="en-AU"/>
        </w:rPr>
        <w:t xml:space="preserve"> </w:t>
      </w:r>
    </w:p>
    <w:p w:rsidR="00B47BFD" w:rsidRPr="00370E70" w:rsidRDefault="00B47BFD" w:rsidP="00B47BFD">
      <w:pPr>
        <w:pStyle w:val="Caption"/>
        <w:rPr>
          <w:lang w:val="en-AU"/>
        </w:rPr>
      </w:pPr>
      <w:r w:rsidRPr="00370E70">
        <w:rPr>
          <w:i/>
          <w:lang w:val="en-AU"/>
        </w:rPr>
        <w:t xml:space="preserve">Rainfall </w:t>
      </w:r>
      <w:r w:rsidR="005132EF" w:rsidRPr="00370E70">
        <w:rPr>
          <w:i/>
          <w:lang w:val="en-AU"/>
        </w:rPr>
        <w:t xml:space="preserve">recorded at Proserpine Post Office (BOM station 33316, source www.bom.gov.au), located 18km from </w:t>
      </w:r>
      <w:smartTag w:uri="urn:schemas-microsoft-com:office:smarttags" w:element="place">
        <w:smartTag w:uri="urn:schemas-microsoft-com:office:smarttags" w:element="PlaceName">
          <w:r w:rsidR="005132EF" w:rsidRPr="00370E70">
            <w:rPr>
              <w:i/>
              <w:lang w:val="en-AU"/>
            </w:rPr>
            <w:t>Pioneer</w:t>
          </w:r>
        </w:smartTag>
        <w:r w:rsidR="005132EF" w:rsidRPr="00370E70">
          <w:rPr>
            <w:i/>
            <w:lang w:val="en-AU"/>
          </w:rPr>
          <w:t xml:space="preserve"> </w:t>
        </w:r>
        <w:smartTag w:uri="urn:schemas-microsoft-com:office:smarttags" w:element="PlaceType">
          <w:r w:rsidR="005132EF" w:rsidRPr="00370E70">
            <w:rPr>
              <w:i/>
              <w:lang w:val="en-AU"/>
            </w:rPr>
            <w:t>Bay</w:t>
          </w:r>
        </w:smartTag>
      </w:smartTag>
      <w:r w:rsidR="005132EF" w:rsidRPr="00370E70">
        <w:rPr>
          <w:i/>
          <w:lang w:val="en-AU"/>
        </w:rPr>
        <w:t xml:space="preserve"> monitoring sites. All other recordings from </w:t>
      </w:r>
      <w:smartTag w:uri="urn:schemas-microsoft-com:office:smarttags" w:element="PlaceName">
        <w:r w:rsidR="005132EF" w:rsidRPr="00370E70">
          <w:rPr>
            <w:i/>
            <w:lang w:val="en-AU"/>
          </w:rPr>
          <w:t>Hamilton</w:t>
        </w:r>
      </w:smartTag>
      <w:r w:rsidR="005132EF" w:rsidRPr="00370E70">
        <w:rPr>
          <w:i/>
          <w:lang w:val="en-AU"/>
        </w:rPr>
        <w:t xml:space="preserve"> </w:t>
      </w:r>
      <w:smartTag w:uri="urn:schemas-microsoft-com:office:smarttags" w:element="PlaceType">
        <w:r w:rsidR="005132EF" w:rsidRPr="00370E70">
          <w:rPr>
            <w:i/>
            <w:lang w:val="en-AU"/>
          </w:rPr>
          <w:t>Island</w:t>
        </w:r>
      </w:smartTag>
      <w:r w:rsidR="005132EF" w:rsidRPr="00370E70">
        <w:rPr>
          <w:i/>
          <w:lang w:val="en-AU"/>
        </w:rPr>
        <w:t xml:space="preserve"> (BOM station 033106, source www.bom.gov.au), approximately 28km from </w:t>
      </w:r>
      <w:smartTag w:uri="urn:schemas-microsoft-com:office:smarttags" w:element="place">
        <w:smartTag w:uri="urn:schemas-microsoft-com:office:smarttags" w:element="PlaceName">
          <w:r w:rsidR="005132EF" w:rsidRPr="00370E70">
            <w:rPr>
              <w:i/>
              <w:lang w:val="en-AU"/>
            </w:rPr>
            <w:t>Pioneer</w:t>
          </w:r>
        </w:smartTag>
        <w:r w:rsidR="005132EF" w:rsidRPr="00370E70">
          <w:rPr>
            <w:i/>
            <w:lang w:val="en-AU"/>
          </w:rPr>
          <w:t xml:space="preserve"> </w:t>
        </w:r>
        <w:smartTag w:uri="urn:schemas-microsoft-com:office:smarttags" w:element="PlaceType">
          <w:r w:rsidR="005132EF" w:rsidRPr="00370E70">
            <w:rPr>
              <w:i/>
              <w:lang w:val="en-AU"/>
            </w:rPr>
            <w:t>Bay</w:t>
          </w:r>
        </w:smartTag>
      </w:smartTag>
      <w:r w:rsidR="005132EF" w:rsidRPr="00370E70">
        <w:rPr>
          <w:i/>
          <w:lang w:val="en-AU"/>
        </w:rPr>
        <w:t xml:space="preserve"> monitoring sites.</w:t>
      </w:r>
      <w:r w:rsidRPr="00370E70">
        <w:rPr>
          <w:i/>
          <w:lang w:val="en-AU"/>
        </w:rPr>
        <w:t xml:space="preserve"> </w:t>
      </w:r>
    </w:p>
    <w:p w:rsidR="005132EF" w:rsidRPr="00370E70" w:rsidRDefault="0002225C" w:rsidP="00034AD4">
      <w:pPr>
        <w:pStyle w:val="Heading5"/>
        <w:rPr>
          <w:color w:val="000000"/>
        </w:rPr>
      </w:pPr>
      <w:r>
        <w:rPr>
          <w:color w:val="000000"/>
        </w:rPr>
        <w:t>Inshore reef habitats (</w:t>
      </w:r>
      <w:smartTag w:uri="urn:schemas-microsoft-com:office:smarttags" w:element="place">
        <w:smartTag w:uri="urn:schemas-microsoft-com:office:smarttags" w:element="PlaceName">
          <w:r w:rsidR="005132EF" w:rsidRPr="00370E70">
            <w:rPr>
              <w:color w:val="000000"/>
            </w:rPr>
            <w:t>Hamilton</w:t>
          </w:r>
        </w:smartTag>
        <w:r w:rsidR="005132EF" w:rsidRPr="00370E70">
          <w:rPr>
            <w:color w:val="000000"/>
          </w:rPr>
          <w:t xml:space="preserve"> </w:t>
        </w:r>
        <w:smartTag w:uri="urn:schemas-microsoft-com:office:smarttags" w:element="PlaceType">
          <w:r w:rsidR="005132EF" w:rsidRPr="00370E70">
            <w:rPr>
              <w:color w:val="000000"/>
            </w:rPr>
            <w:t>Island</w:t>
          </w:r>
        </w:smartTag>
      </w:smartTag>
      <w:r>
        <w:rPr>
          <w:color w:val="000000"/>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mean maximum daily air temperature recorded at </w:t>
      </w:r>
      <w:smartTag w:uri="urn:schemas-microsoft-com:office:smarttags" w:element="place">
        <w:smartTag w:uri="urn:schemas-microsoft-com:office:smarttags" w:element="PlaceName">
          <w:r w:rsidRPr="00370E70">
            <w:rPr>
              <w:rFonts w:cs="TimesNewRoman"/>
              <w:color w:val="000000"/>
              <w:szCs w:val="22"/>
            </w:rPr>
            <w:t>Hamilton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smartTag>
      <w:r w:rsidRPr="00370E70">
        <w:rPr>
          <w:rFonts w:cs="TimesNewRoman"/>
          <w:color w:val="000000"/>
          <w:szCs w:val="22"/>
        </w:rPr>
        <w:t xml:space="preserve"> during 2011/12 was 25.9°C. Although similar to the previous period, it was 0.6°C and 0.8°C cooler than decadal and long-term (17yrs) averages, respectively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 The highest recorded daily maximum temperature in 2011/12 was 32.8 °C.</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lastRenderedPageBreak/>
        <w:t>2011/12 was a wet year (1642mm), with 17% more rain than the decadal average. It was however 9% drier than the long-term (26yrs) and was approximately half the annual total of the previous period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 Mean wind speed in 2011/12 was 29.5 km.hr</w:t>
      </w:r>
      <w:r w:rsidRPr="00370E70">
        <w:rPr>
          <w:rFonts w:cs="TimesNewRoman"/>
          <w:color w:val="000000"/>
          <w:szCs w:val="22"/>
          <w:vertAlign w:val="superscript"/>
        </w:rPr>
        <w:t>-</w:t>
      </w:r>
      <w:proofErr w:type="gramStart"/>
      <w:r w:rsidRPr="00370E70">
        <w:rPr>
          <w:rFonts w:cs="TimesNewRoman"/>
          <w:color w:val="000000"/>
          <w:szCs w:val="22"/>
          <w:vertAlign w:val="superscript"/>
        </w:rPr>
        <w:t>1</w:t>
      </w:r>
      <w:r w:rsidRPr="00370E70">
        <w:rPr>
          <w:rFonts w:cs="TimesNewRoman"/>
          <w:color w:val="000000"/>
          <w:szCs w:val="22"/>
        </w:rPr>
        <w:t>,</w:t>
      </w:r>
      <w:proofErr w:type="gramEnd"/>
      <w:r w:rsidRPr="00370E70">
        <w:rPr>
          <w:rFonts w:cs="TimesNewRoman"/>
          <w:color w:val="000000"/>
          <w:szCs w:val="22"/>
        </w:rPr>
        <w:t xml:space="preserve"> this was on average 8% lower than the previous decade and 7% higher than the long-term (17 year) (</w:t>
      </w:r>
      <w:r w:rsidRPr="00370E70">
        <w:fldChar w:fldCharType="begin"/>
      </w:r>
      <w:r w:rsidRPr="00370E70">
        <w:instrText xml:space="preserve"> REF _Ref276117933 \h  \* MERGEFORMAT </w:instrText>
      </w:r>
      <w:r w:rsidRPr="00370E70">
        <w:fldChar w:fldCharType="separate"/>
      </w:r>
      <w:r w:rsidR="005B5FD6" w:rsidRPr="005B5FD6">
        <w:rPr>
          <w:szCs w:val="22"/>
        </w:rPr>
        <w:t xml:space="preserve">Figure </w:t>
      </w:r>
      <w:r w:rsidR="005B5FD6" w:rsidRPr="005B5FD6">
        <w:rPr>
          <w:noProof/>
          <w:color w:val="000000"/>
          <w:szCs w:val="22"/>
        </w:rPr>
        <w:t>137</w:t>
      </w:r>
      <w:r w:rsidRPr="00370E70">
        <w:fldChar w:fldCharType="end"/>
      </w:r>
      <w:r w:rsidRPr="00370E70">
        <w:rPr>
          <w:rFonts w:cs="TimesNewRoman"/>
          <w:color w:val="000000"/>
          <w:szCs w:val="22"/>
        </w:rPr>
        <w:t>).</w:t>
      </w:r>
    </w:p>
    <w:p w:rsidR="005132EF" w:rsidRPr="00370E70" w:rsidRDefault="007B15AB" w:rsidP="00034AD4">
      <w:pPr>
        <w:keepNext/>
        <w:autoSpaceDE w:val="0"/>
        <w:autoSpaceDN w:val="0"/>
        <w:adjustRightInd w:val="0"/>
        <w:jc w:val="center"/>
        <w:rPr>
          <w:color w:val="000000"/>
          <w:szCs w:val="22"/>
        </w:rPr>
      </w:pPr>
      <w:r>
        <w:rPr>
          <w:noProof/>
          <w:lang w:eastAsia="en-AU"/>
        </w:rPr>
        <w:drawing>
          <wp:inline distT="0" distB="0" distL="0" distR="0">
            <wp:extent cx="4276090" cy="3657600"/>
            <wp:effectExtent l="0" t="0" r="0" b="0"/>
            <wp:docPr id="181" name="Picture 178" descr="Graphs of total monthly rainfall, mean monthly daily maximum temperature, mean monthly cloud cover, and mean monthly 3pm wind speed for Hamiton Island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Graphs of total monthly rainfall, mean monthly daily maximum temperature, mean monthly cloud cover, and mean monthly 3pm wind speed for Hamiton Island sites"/>
                    <pic:cNvPicPr>
                      <a:picLocks noChangeAspect="1" noChangeArrowheads="1"/>
                    </pic:cNvPicPr>
                  </pic:nvPicPr>
                  <pic:blipFill>
                    <a:blip r:embed="rId207" cstate="print">
                      <a:extLst>
                        <a:ext uri="{28A0092B-C50C-407E-A947-70E740481C1C}">
                          <a14:useLocalDpi xmlns:a14="http://schemas.microsoft.com/office/drawing/2010/main" val="0"/>
                        </a:ext>
                      </a:extLst>
                    </a:blip>
                    <a:srcRect t="7426" b="2007"/>
                    <a:stretch>
                      <a:fillRect/>
                    </a:stretch>
                  </pic:blipFill>
                  <pic:spPr bwMode="auto">
                    <a:xfrm>
                      <a:off x="0" y="0"/>
                      <a:ext cx="4276090" cy="3657600"/>
                    </a:xfrm>
                    <a:prstGeom prst="rect">
                      <a:avLst/>
                    </a:prstGeom>
                    <a:noFill/>
                    <a:ln>
                      <a:noFill/>
                    </a:ln>
                  </pic:spPr>
                </pic:pic>
              </a:graphicData>
            </a:graphic>
          </wp:inline>
        </w:drawing>
      </w:r>
    </w:p>
    <w:p w:rsidR="00823673" w:rsidRPr="00370E70" w:rsidRDefault="005132EF" w:rsidP="00823673">
      <w:pPr>
        <w:pStyle w:val="Caption"/>
        <w:rPr>
          <w:i/>
          <w:vanish/>
          <w:color w:val="000000"/>
          <w:szCs w:val="22"/>
          <w:lang w:val="en-AU"/>
          <w:specVanish/>
        </w:rPr>
      </w:pPr>
      <w:bookmarkStart w:id="634" w:name="_Ref276117933"/>
      <w:bookmarkStart w:id="635" w:name="_Toc38419648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137</w:t>
      </w:r>
      <w:r w:rsidRPr="00370E70">
        <w:rPr>
          <w:lang w:val="en-AU"/>
        </w:rPr>
        <w:fldChar w:fldCharType="end"/>
      </w:r>
      <w:bookmarkEnd w:id="634"/>
      <w:r w:rsidRPr="00370E70">
        <w:rPr>
          <w:rStyle w:val="StyleCaptionCaptionCharCharLatinCalibri11ptBlackChar"/>
          <w:lang w:val="en-AU"/>
        </w:rPr>
        <w:t xml:space="preserve">. </w:t>
      </w:r>
      <w:r w:rsidRPr="00370E70">
        <w:rPr>
          <w:i/>
          <w:lang w:val="en-AU"/>
        </w:rPr>
        <w:t>Mean monthly daily maximum temperature</w:t>
      </w:r>
      <w:r w:rsidR="00823673" w:rsidRPr="00370E70">
        <w:rPr>
          <w:i/>
          <w:lang w:val="en-AU"/>
        </w:rPr>
        <w:t xml:space="preserve"> (line)</w:t>
      </w:r>
      <w:r w:rsidRPr="00370E70">
        <w:rPr>
          <w:i/>
          <w:lang w:val="en-AU"/>
        </w:rPr>
        <w:t>, total monthly rainfall</w:t>
      </w:r>
      <w:r w:rsidR="00823673" w:rsidRPr="00370E70">
        <w:rPr>
          <w:i/>
          <w:lang w:val="en-AU"/>
        </w:rPr>
        <w:t xml:space="preserve"> (bar)</w:t>
      </w:r>
      <w:r w:rsidRPr="00370E70">
        <w:rPr>
          <w:i/>
          <w:lang w:val="en-AU"/>
        </w:rPr>
        <w:t>, mean monthly cloud cover</w:t>
      </w:r>
      <w:r w:rsidR="00823673" w:rsidRPr="00370E70">
        <w:rPr>
          <w:i/>
          <w:lang w:val="en-AU"/>
        </w:rPr>
        <w:t xml:space="preserve"> (heavy line)</w:t>
      </w:r>
      <w:r w:rsidRPr="00370E70">
        <w:rPr>
          <w:i/>
          <w:lang w:val="en-AU"/>
        </w:rPr>
        <w:t>, and mean monthly 3pm wind speed recorded at Hamilton Island, located 1.5km from monitoring sites.</w:t>
      </w:r>
      <w:bookmarkEnd w:id="635"/>
      <w:r w:rsidR="00823673" w:rsidRPr="00370E70">
        <w:rPr>
          <w:i/>
          <w:lang w:val="en-AU"/>
        </w:rPr>
        <w:t xml:space="preserve"> </w:t>
      </w:r>
    </w:p>
    <w:p w:rsidR="00823673" w:rsidRPr="003C440C" w:rsidRDefault="00823673" w:rsidP="00823673">
      <w:pPr>
        <w:pStyle w:val="Caption"/>
        <w:rPr>
          <w:lang w:val="fr-FR"/>
        </w:rPr>
      </w:pPr>
      <w:r w:rsidRPr="003C440C">
        <w:rPr>
          <w:i/>
          <w:lang w:val="fr-FR"/>
        </w:rPr>
        <w:t>Source: BOM station 033106, www.bom.gov.au.</w:t>
      </w:r>
      <w:r w:rsidRPr="003C440C">
        <w:rPr>
          <w:lang w:val="fr-FR"/>
        </w:rPr>
        <w:t xml:space="preserve"> </w:t>
      </w:r>
    </w:p>
    <w:p w:rsidR="005132EF" w:rsidRPr="003C440C" w:rsidRDefault="0002225C" w:rsidP="00034AD4">
      <w:pPr>
        <w:pStyle w:val="Heading5"/>
        <w:rPr>
          <w:color w:val="000000"/>
          <w:lang w:val="fr-FR"/>
        </w:rPr>
      </w:pPr>
      <w:r w:rsidRPr="003C440C">
        <w:rPr>
          <w:color w:val="000000"/>
          <w:lang w:val="fr-FR"/>
        </w:rPr>
        <w:t>Inshore estuarine habitats (</w:t>
      </w:r>
      <w:r w:rsidR="005132EF" w:rsidRPr="003C440C">
        <w:rPr>
          <w:color w:val="000000"/>
          <w:lang w:val="fr-FR"/>
        </w:rPr>
        <w:t>Sarina Inlet</w:t>
      </w:r>
      <w:r w:rsidRPr="003C440C">
        <w:rPr>
          <w:color w:val="000000"/>
          <w:lang w:val="fr-FR"/>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mean maximum daily air temperature recorded in Mackay (27km from monitoring location) during 2011/12 was 26.9°C, this was 1.0°C warmer than 10/11, 0.5°C cooler than decade, and similar to long-term (62yrs) average. The highest recorded daily maximum temperature in 2011/12 was 34.2°C. </w:t>
      </w:r>
    </w:p>
    <w:p w:rsidR="005132EF" w:rsidRPr="00370E70" w:rsidRDefault="005132EF" w:rsidP="00C31A51">
      <w:pPr>
        <w:autoSpaceDE w:val="0"/>
        <w:autoSpaceDN w:val="0"/>
        <w:adjustRightInd w:val="0"/>
        <w:rPr>
          <w:rFonts w:cs="TimesNewRoman"/>
          <w:color w:val="000000"/>
          <w:szCs w:val="22"/>
        </w:rPr>
      </w:pPr>
      <w:r w:rsidRPr="00370E70">
        <w:rPr>
          <w:rFonts w:cs="TimesNewRoman"/>
          <w:color w:val="000000"/>
          <w:szCs w:val="22"/>
        </w:rPr>
        <w:t>Rainfall in Mackay in 2011/12 (1447mm) was half that of 2010/11, but similar to decade and long-term (63yrs) averages (</w:t>
      </w:r>
      <w:r w:rsidRPr="00370E70">
        <w:fldChar w:fldCharType="begin"/>
      </w:r>
      <w:r w:rsidRPr="00370E70">
        <w:instrText xml:space="preserve"> REF _Ref276117952 \h  \* MERGEFORMAT </w:instrText>
      </w:r>
      <w:r w:rsidRPr="00370E70">
        <w:fldChar w:fldCharType="separate"/>
      </w:r>
      <w:r w:rsidR="005B5FD6" w:rsidRPr="005B5FD6">
        <w:rPr>
          <w:szCs w:val="22"/>
        </w:rPr>
        <w:t xml:space="preserve">Figure </w:t>
      </w:r>
      <w:r w:rsidR="005B5FD6" w:rsidRPr="005B5FD6">
        <w:rPr>
          <w:noProof/>
          <w:color w:val="000000"/>
          <w:szCs w:val="22"/>
        </w:rPr>
        <w:t>138</w:t>
      </w:r>
      <w:r w:rsidRPr="00370E70">
        <w:fldChar w:fldCharType="end"/>
      </w:r>
      <w:r w:rsidRPr="00370E70">
        <w:rPr>
          <w:rFonts w:cs="TimesNewRoman"/>
          <w:color w:val="000000"/>
          <w:szCs w:val="22"/>
        </w:rPr>
        <w:t>). In 2011/12 the Plane Creek Sugar Mill (9.5km from monitoring location) reported the second highest rainfall (2421mm) in the last 2 decades. Although lower than the 2010/11 total rainfall (3569mm), it was 40% higher than the 100 year average (1711mm). Cloud cover at Mackay was lower than the previous period, but similar to decade and long-term (60yrs) averages. Mean wind speed at Mackay in 2011/12 (24.8 km.hr</w:t>
      </w:r>
      <w:r w:rsidRPr="00370E70">
        <w:rPr>
          <w:rFonts w:cs="TimesNewRoman"/>
          <w:color w:val="000000"/>
          <w:szCs w:val="22"/>
          <w:vertAlign w:val="superscript"/>
        </w:rPr>
        <w:t>-1</w:t>
      </w:r>
      <w:r w:rsidRPr="00370E70">
        <w:rPr>
          <w:rFonts w:cs="TimesNewRoman"/>
          <w:color w:val="000000"/>
          <w:szCs w:val="22"/>
        </w:rPr>
        <w:t>), which was on average much higher (42%) than 2010/11, the decade (9%) and long-term (13%) wind speeds (</w:t>
      </w:r>
      <w:r w:rsidRPr="00370E70">
        <w:fldChar w:fldCharType="begin"/>
      </w:r>
      <w:r w:rsidRPr="00370E70">
        <w:instrText xml:space="preserve"> REF _Ref276117952 \h  \* MERGEFORMAT </w:instrText>
      </w:r>
      <w:r w:rsidRPr="00370E70">
        <w:fldChar w:fldCharType="separate"/>
      </w:r>
      <w:r w:rsidR="005B5FD6" w:rsidRPr="005B5FD6">
        <w:rPr>
          <w:szCs w:val="22"/>
        </w:rPr>
        <w:t xml:space="preserve">Figure </w:t>
      </w:r>
      <w:r w:rsidR="005B5FD6" w:rsidRPr="005B5FD6">
        <w:rPr>
          <w:noProof/>
          <w:color w:val="000000"/>
          <w:szCs w:val="22"/>
        </w:rPr>
        <w:t>138</w:t>
      </w:r>
      <w:r w:rsidRPr="00370E70">
        <w:fldChar w:fldCharType="end"/>
      </w:r>
      <w:r w:rsidRPr="00370E70">
        <w:rPr>
          <w:rFonts w:cs="TimesNewRoman"/>
          <w:color w:val="000000"/>
          <w:szCs w:val="22"/>
        </w:rPr>
        <w:t>).</w:t>
      </w:r>
    </w:p>
    <w:p w:rsidR="005132EF" w:rsidRPr="00370E70" w:rsidRDefault="007B15AB" w:rsidP="00034AD4">
      <w:pPr>
        <w:autoSpaceDE w:val="0"/>
        <w:autoSpaceDN w:val="0"/>
        <w:adjustRightInd w:val="0"/>
        <w:jc w:val="center"/>
        <w:rPr>
          <w:color w:val="000000"/>
          <w:szCs w:val="22"/>
        </w:rPr>
      </w:pPr>
      <w:r>
        <w:rPr>
          <w:noProof/>
          <w:lang w:eastAsia="en-AU"/>
        </w:rPr>
        <w:lastRenderedPageBreak/>
        <w:drawing>
          <wp:inline distT="0" distB="0" distL="0" distR="0">
            <wp:extent cx="4276090" cy="3554730"/>
            <wp:effectExtent l="0" t="0" r="0" b="7620"/>
            <wp:docPr id="182" name="Picture 179" descr="Graphs of total monthly rainfall, mean monthly daily maximum temperature, mean monthly cloud cover, and mean monthly 3pm wind speed for Sarina Inlet monitro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Graphs of total monthly rainfall, mean monthly daily maximum temperature, mean monthly cloud cover, and mean monthly 3pm wind speed for Sarina Inlet monitroing sites"/>
                    <pic:cNvPicPr>
                      <a:picLocks noChangeAspect="1" noChangeArrowheads="1"/>
                    </pic:cNvPicPr>
                  </pic:nvPicPr>
                  <pic:blipFill>
                    <a:blip r:embed="rId208" cstate="print">
                      <a:extLst>
                        <a:ext uri="{28A0092B-C50C-407E-A947-70E740481C1C}">
                          <a14:useLocalDpi xmlns:a14="http://schemas.microsoft.com/office/drawing/2010/main" val="0"/>
                        </a:ext>
                      </a:extLst>
                    </a:blip>
                    <a:srcRect t="7283" b="2272"/>
                    <a:stretch>
                      <a:fillRect/>
                    </a:stretch>
                  </pic:blipFill>
                  <pic:spPr bwMode="auto">
                    <a:xfrm>
                      <a:off x="0" y="0"/>
                      <a:ext cx="4276090" cy="3554730"/>
                    </a:xfrm>
                    <a:prstGeom prst="rect">
                      <a:avLst/>
                    </a:prstGeom>
                    <a:noFill/>
                    <a:ln>
                      <a:noFill/>
                    </a:ln>
                  </pic:spPr>
                </pic:pic>
              </a:graphicData>
            </a:graphic>
          </wp:inline>
        </w:drawing>
      </w:r>
    </w:p>
    <w:p w:rsidR="00A91077" w:rsidRPr="00370E70" w:rsidRDefault="005132EF" w:rsidP="00A91077">
      <w:pPr>
        <w:pStyle w:val="Caption"/>
        <w:rPr>
          <w:i/>
          <w:vanish/>
          <w:lang w:val="en-AU"/>
          <w:specVanish/>
        </w:rPr>
      </w:pPr>
      <w:bookmarkStart w:id="636" w:name="_Ref276117952"/>
      <w:bookmarkStart w:id="637" w:name="_Toc38419648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138</w:t>
      </w:r>
      <w:r w:rsidRPr="00370E70">
        <w:rPr>
          <w:lang w:val="en-AU"/>
        </w:rPr>
        <w:fldChar w:fldCharType="end"/>
      </w:r>
      <w:bookmarkEnd w:id="636"/>
      <w:r w:rsidRPr="00370E70">
        <w:rPr>
          <w:rStyle w:val="StyleCaptionCaptionCharCharLatinCalibri11ptBlackChar"/>
          <w:lang w:val="en-AU"/>
        </w:rPr>
        <w:t xml:space="preserve">. </w:t>
      </w:r>
      <w:r w:rsidR="00A91077" w:rsidRPr="00370E70">
        <w:rPr>
          <w:i/>
          <w:lang w:val="en-AU"/>
        </w:rPr>
        <w:t>Mean monthly daily maximum temperature (black line), t</w:t>
      </w:r>
      <w:r w:rsidRPr="00370E70">
        <w:rPr>
          <w:i/>
          <w:lang w:val="en-AU"/>
        </w:rPr>
        <w:t>otal monthly rainfall (grey bars)</w:t>
      </w:r>
      <w:r w:rsidR="00A91077" w:rsidRPr="00370E70">
        <w:rPr>
          <w:i/>
          <w:lang w:val="en-AU"/>
        </w:rPr>
        <w:t>,</w:t>
      </w:r>
      <w:r w:rsidRPr="00370E70">
        <w:rPr>
          <w:i/>
          <w:lang w:val="en-AU"/>
        </w:rPr>
        <w:t xml:space="preserve"> </w:t>
      </w:r>
      <w:r w:rsidR="00A91077" w:rsidRPr="00370E70">
        <w:rPr>
          <w:i/>
          <w:lang w:val="en-AU"/>
        </w:rPr>
        <w:t>mean monthly cloud cover (black line), and mean monthly 3pm wind speed (grey line) for</w:t>
      </w:r>
      <w:r w:rsidRPr="00370E70">
        <w:rPr>
          <w:i/>
          <w:lang w:val="en-AU"/>
        </w:rPr>
        <w:t xml:space="preserve"> Sarina Inlet monitoring sites.</w:t>
      </w:r>
      <w:bookmarkEnd w:id="637"/>
      <w:r w:rsidRPr="00370E70">
        <w:rPr>
          <w:i/>
          <w:lang w:val="en-AU"/>
        </w:rPr>
        <w:t xml:space="preserve"> </w:t>
      </w:r>
    </w:p>
    <w:p w:rsidR="00A91077" w:rsidRPr="00370E70" w:rsidRDefault="00A91077" w:rsidP="00A91077">
      <w:pPr>
        <w:pStyle w:val="Caption"/>
        <w:rPr>
          <w:lang w:val="en-AU"/>
        </w:rPr>
      </w:pPr>
      <w:r w:rsidRPr="00370E70">
        <w:rPr>
          <w:i/>
          <w:lang w:val="en-AU"/>
        </w:rPr>
        <w:t xml:space="preserve">Total monthly rainfall recorded at Plane Creek Sugar Mill (BOM station 033059, source www.bom.gov.au), located 10km from Sarina Inlet monitoring sites.  Temperature, cloud cover, and wind speed recorded at </w:t>
      </w:r>
      <w:smartTag w:uri="urn:schemas-microsoft-com:office:smarttags" w:element="place">
        <w:smartTag w:uri="urn:schemas-microsoft-com:office:smarttags" w:element="PlaceName">
          <w:r w:rsidRPr="00370E70">
            <w:rPr>
              <w:i/>
              <w:lang w:val="en-AU"/>
            </w:rPr>
            <w:t>Mackay</w:t>
          </w:r>
        </w:smartTag>
        <w:r w:rsidRPr="00370E70">
          <w:rPr>
            <w:i/>
            <w:lang w:val="en-AU"/>
          </w:rPr>
          <w:t xml:space="preserve"> </w:t>
        </w:r>
        <w:smartTag w:uri="urn:schemas-microsoft-com:office:smarttags" w:element="PlaceType">
          <w:r w:rsidRPr="00370E70">
            <w:rPr>
              <w:i/>
              <w:lang w:val="en-AU"/>
            </w:rPr>
            <w:t>Airport</w:t>
          </w:r>
        </w:smartTag>
      </w:smartTag>
      <w:r w:rsidRPr="00370E70">
        <w:rPr>
          <w:i/>
          <w:lang w:val="en-AU"/>
        </w:rPr>
        <w:t xml:space="preserve"> (BOM station 033045, source www.bom.gov.au), approximately 28km from Sarina Inlet monitoring sites.</w:t>
      </w:r>
      <w:r w:rsidRPr="00370E70">
        <w:rPr>
          <w:lang w:val="en-AU"/>
        </w:rPr>
        <w:t xml:space="preserve"> </w:t>
      </w:r>
    </w:p>
    <w:p w:rsidR="005132EF" w:rsidRPr="00370E70" w:rsidRDefault="005132EF" w:rsidP="00034AD4">
      <w:pPr>
        <w:pStyle w:val="Heading4"/>
        <w:rPr>
          <w:b/>
          <w:iCs/>
          <w:color w:val="000000"/>
        </w:rPr>
      </w:pPr>
      <w:bookmarkStart w:id="638" w:name="_Toc184102022"/>
      <w:r w:rsidRPr="00370E70">
        <w:rPr>
          <w:b/>
          <w:iCs/>
          <w:color w:val="000000"/>
        </w:rPr>
        <w:t>River discharge</w:t>
      </w:r>
      <w:bookmarkEnd w:id="638"/>
    </w:p>
    <w:p w:rsidR="005132EF" w:rsidRPr="00370E70" w:rsidRDefault="005132EF" w:rsidP="00034AD4">
      <w:pPr>
        <w:autoSpaceDE w:val="0"/>
        <w:autoSpaceDN w:val="0"/>
        <w:adjustRightInd w:val="0"/>
        <w:rPr>
          <w:rFonts w:cs="TimesNewRoman"/>
          <w:color w:val="000000"/>
          <w:szCs w:val="22"/>
        </w:rPr>
      </w:pPr>
      <w:r w:rsidRPr="00370E70">
        <w:rPr>
          <w:rFonts w:cs="TimesNewRoman"/>
          <w:szCs w:val="22"/>
        </w:rPr>
        <w:t>Several large rivers discharge into the coastal waters of the Mackay Whitsunday and during floods their plumes extend to locations where seagrass monitoring sites occur. In the north, p</w:t>
      </w:r>
      <w:r w:rsidRPr="00370E70">
        <w:rPr>
          <w:szCs w:val="22"/>
        </w:rPr>
        <w:t xml:space="preserve">rimary-secondary </w:t>
      </w:r>
      <w:r w:rsidRPr="00370E70">
        <w:rPr>
          <w:rFonts w:cs="TimesNewRoman"/>
          <w:szCs w:val="22"/>
        </w:rPr>
        <w:t xml:space="preserve">flood waters from the Proserpine and O'Connell Rivers extend from </w:t>
      </w:r>
      <w:smartTag w:uri="urn:schemas-microsoft-com:office:smarttags" w:element="PlaceName">
        <w:r w:rsidRPr="00370E70">
          <w:rPr>
            <w:rFonts w:cs="TimesNewRoman"/>
            <w:szCs w:val="22"/>
          </w:rPr>
          <w:t>Repulse</w:t>
        </w:r>
      </w:smartTag>
      <w:r w:rsidRPr="00370E70">
        <w:rPr>
          <w:rFonts w:cs="TimesNewRoman"/>
          <w:szCs w:val="22"/>
        </w:rPr>
        <w:t xml:space="preserve"> </w:t>
      </w:r>
      <w:smartTag w:uri="urn:schemas-microsoft-com:office:smarttags" w:element="PlaceType">
        <w:r w:rsidRPr="00370E70">
          <w:rPr>
            <w:rFonts w:cs="TimesNewRoman"/>
            <w:szCs w:val="22"/>
          </w:rPr>
          <w:t>Bay</w:t>
        </w:r>
      </w:smartTag>
      <w:r w:rsidRPr="00370E70">
        <w:rPr>
          <w:rFonts w:cs="TimesNewRoman"/>
          <w:szCs w:val="22"/>
        </w:rPr>
        <w:t xml:space="preserve"> to include </w:t>
      </w:r>
      <w:smartTag w:uri="urn:schemas-microsoft-com:office:smarttags" w:element="PlaceName">
        <w:r w:rsidRPr="00370E70">
          <w:rPr>
            <w:rFonts w:cs="TimesNewRoman"/>
            <w:color w:val="000000"/>
            <w:szCs w:val="22"/>
          </w:rPr>
          <w:t>Hamilton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r w:rsidRPr="00370E70">
        <w:rPr>
          <w:rFonts w:cs="TimesNewRoman"/>
          <w:color w:val="000000"/>
          <w:szCs w:val="22"/>
        </w:rPr>
        <w:t xml:space="preserve"> (50 km to the north) and </w:t>
      </w:r>
      <w:r w:rsidRPr="00370E70">
        <w:rPr>
          <w:color w:val="000000"/>
          <w:szCs w:val="22"/>
        </w:rPr>
        <w:t xml:space="preserve">secondary-tertiary flood waters extend to </w:t>
      </w:r>
      <w:smartTag w:uri="urn:schemas-microsoft-com:office:smarttags" w:element="place">
        <w:smartTag w:uri="urn:schemas-microsoft-com:office:smarttags" w:element="PlaceName">
          <w:r w:rsidRPr="00370E70">
            <w:rPr>
              <w:rFonts w:cs="TimesNewRoman"/>
              <w:color w:val="000000"/>
              <w:szCs w:val="22"/>
            </w:rPr>
            <w:t>Pioneer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smartTag>
      <w:r w:rsidRPr="00370E70">
        <w:rPr>
          <w:rFonts w:cs="TimesNewRoman"/>
          <w:color w:val="000000"/>
          <w:szCs w:val="22"/>
        </w:rPr>
        <w:t xml:space="preserve"> (85 km to the north). No major river discharges into Sarina Inlet where the estuarine seagrass monitorin</w:t>
      </w:r>
      <w:r w:rsidR="0002225C">
        <w:rPr>
          <w:rFonts w:cs="TimesNewRoman"/>
          <w:color w:val="000000"/>
          <w:szCs w:val="22"/>
        </w:rPr>
        <w:t>g sites are located, and there wa</w:t>
      </w:r>
      <w:r w:rsidRPr="00370E70">
        <w:rPr>
          <w:rFonts w:cs="TimesNewRoman"/>
          <w:color w:val="000000"/>
          <w:szCs w:val="22"/>
        </w:rPr>
        <w:t xml:space="preserve">s no flow data available for Plane Creek which flows into the Inlet. However it could be expected that flows from the </w:t>
      </w:r>
      <w:smartTag w:uri="urn:schemas-microsoft-com:office:smarttags" w:element="place">
        <w:smartTag w:uri="urn:schemas-microsoft-com:office:smarttags" w:element="PlaceName">
          <w:r w:rsidRPr="00370E70">
            <w:rPr>
              <w:rFonts w:cs="TimesNewRoman"/>
              <w:color w:val="000000"/>
              <w:szCs w:val="22"/>
            </w:rPr>
            <w:t>Pioneer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during floods could travel south for some extent to expose Sarina Inlet (30 km to the south) to p</w:t>
      </w:r>
      <w:r w:rsidRPr="00370E70">
        <w:rPr>
          <w:color w:val="000000"/>
          <w:szCs w:val="22"/>
        </w:rPr>
        <w:t>rimary-secondary plumes.</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The exposure of the seagrass monitoring sites to elevated Total Suspended Solids was rated as medium in 2010, whereas chlorophyll-</w:t>
      </w:r>
      <w:r w:rsidRPr="00370E70">
        <w:rPr>
          <w:rFonts w:cs="TimesNewRoman"/>
          <w:i/>
          <w:color w:val="000000"/>
          <w:szCs w:val="22"/>
        </w:rPr>
        <w:t>a</w:t>
      </w:r>
      <w:r w:rsidRPr="00370E70">
        <w:rPr>
          <w:rFonts w:cs="TimesNewRoman"/>
          <w:color w:val="000000"/>
          <w:szCs w:val="22"/>
        </w:rPr>
        <w:t xml:space="preserve"> and PSII herbicide exposure was rated as high. Overall, the probability of exceeding the GBR WQ Guidelines for chlorophyll-</w:t>
      </w:r>
      <w:r w:rsidRPr="00370E70">
        <w:rPr>
          <w:rFonts w:cs="TimesNewRoman"/>
          <w:i/>
          <w:color w:val="000000"/>
          <w:szCs w:val="22"/>
        </w:rPr>
        <w:t xml:space="preserve">a </w:t>
      </w:r>
      <w:r w:rsidRPr="00370E70">
        <w:rPr>
          <w:rFonts w:cs="TimesNewRoman"/>
          <w:color w:val="000000"/>
          <w:szCs w:val="22"/>
        </w:rPr>
        <w:t>at</w:t>
      </w:r>
      <w:r w:rsidRPr="00370E70">
        <w:rPr>
          <w:rFonts w:cs="TimesNewRoman"/>
          <w:i/>
          <w:color w:val="000000"/>
          <w:szCs w:val="22"/>
        </w:rPr>
        <w:t xml:space="preserve"> </w:t>
      </w:r>
      <w:r w:rsidRPr="00370E70">
        <w:rPr>
          <w:rFonts w:cs="TimesNewRoman"/>
          <w:color w:val="000000"/>
          <w:szCs w:val="22"/>
        </w:rPr>
        <w:t>estuarine sites was high</w:t>
      </w:r>
      <w:r w:rsidRPr="00370E70">
        <w:rPr>
          <w:rFonts w:cs="TimesNewRoman"/>
          <w:i/>
          <w:color w:val="000000"/>
          <w:szCs w:val="22"/>
        </w:rPr>
        <w:t xml:space="preserve">, </w:t>
      </w:r>
      <w:r w:rsidRPr="00370E70">
        <w:rPr>
          <w:rFonts w:cs="TimesNewRoman"/>
          <w:color w:val="000000"/>
          <w:szCs w:val="22"/>
        </w:rPr>
        <w:t>reef sites was medium-high and coastal sites was medium (pers. comm. Michelle Devlin, JCU).</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period 2011/12 was the 6th consecutive year above median volumes of freshwater were discharged from the major rivers in the region.  The </w:t>
      </w:r>
      <w:r w:rsidRPr="00370E70">
        <w:rPr>
          <w:color w:val="000000"/>
          <w:szCs w:val="22"/>
        </w:rPr>
        <w:t xml:space="preserve">estimated volume discharged from </w:t>
      </w:r>
      <w:r w:rsidRPr="00370E70">
        <w:rPr>
          <w:rFonts w:cs="TimesNewRoman"/>
          <w:color w:val="000000"/>
          <w:szCs w:val="22"/>
        </w:rPr>
        <w:t xml:space="preserve">the Proserpine River </w:t>
      </w:r>
      <w:r w:rsidRPr="00370E70">
        <w:rPr>
          <w:color w:val="000000"/>
          <w:szCs w:val="22"/>
        </w:rPr>
        <w:t xml:space="preserve">over the monitoring period </w:t>
      </w:r>
      <w:r w:rsidRPr="00370E70">
        <w:rPr>
          <w:rFonts w:cs="TimesNewRoman"/>
          <w:color w:val="000000"/>
          <w:szCs w:val="22"/>
        </w:rPr>
        <w:t>was 50,817 ML, where 88% of the volume discharged occurred between February and April 2012, with the greatest average flows in March (1,028 ML day</w:t>
      </w:r>
      <w:r w:rsidRPr="00370E70">
        <w:rPr>
          <w:rFonts w:cs="TimesNewRoman"/>
          <w:color w:val="000000"/>
          <w:szCs w:val="22"/>
          <w:vertAlign w:val="superscript"/>
        </w:rPr>
        <w:noBreakHyphen/>
        <w:t>1</w:t>
      </w:r>
      <w:r w:rsidRPr="00370E70">
        <w:rPr>
          <w:rFonts w:cs="TimesNewRoman"/>
          <w:color w:val="000000"/>
          <w:szCs w:val="22"/>
        </w:rPr>
        <w:t>)</w:t>
      </w:r>
      <w:r w:rsidRPr="00370E70">
        <w:rPr>
          <w:color w:val="000000"/>
          <w:szCs w:val="22"/>
        </w:rPr>
        <w:t xml:space="preserve"> (</w:t>
      </w:r>
      <w:r w:rsidRPr="00370E70">
        <w:fldChar w:fldCharType="begin"/>
      </w:r>
      <w:r w:rsidRPr="00370E70">
        <w:instrText xml:space="preserve"> REF _Ref305161757 \h  \* MERGEFORMAT </w:instrText>
      </w:r>
      <w:r w:rsidRPr="00370E70">
        <w:fldChar w:fldCharType="separate"/>
      </w:r>
      <w:r w:rsidR="005B5FD6" w:rsidRPr="00370E70">
        <w:rPr>
          <w:color w:val="000000"/>
          <w:szCs w:val="22"/>
        </w:rPr>
        <w:t xml:space="preserve">Figure </w:t>
      </w:r>
      <w:r w:rsidR="005B5FD6">
        <w:rPr>
          <w:noProof/>
          <w:color w:val="000000"/>
          <w:szCs w:val="22"/>
        </w:rPr>
        <w:t>139</w:t>
      </w:r>
      <w:r w:rsidRPr="00370E70">
        <w:fldChar w:fldCharType="end"/>
      </w:r>
      <w:r w:rsidRPr="00370E70">
        <w:rPr>
          <w:color w:val="000000"/>
          <w:szCs w:val="22"/>
        </w:rPr>
        <w:t>).</w:t>
      </w:r>
    </w:p>
    <w:p w:rsidR="005132EF" w:rsidRPr="00370E70" w:rsidRDefault="005132EF" w:rsidP="00BA10B6">
      <w:pPr>
        <w:autoSpaceDE w:val="0"/>
        <w:autoSpaceDN w:val="0"/>
        <w:adjustRightInd w:val="0"/>
        <w:rPr>
          <w:rFonts w:cs="TimesNewRoman"/>
          <w:color w:val="000000"/>
          <w:szCs w:val="22"/>
        </w:rPr>
      </w:pPr>
      <w:r w:rsidRPr="00370E70">
        <w:rPr>
          <w:rFonts w:cs="TimesNewRoman"/>
          <w:color w:val="000000"/>
          <w:szCs w:val="22"/>
        </w:rPr>
        <w:t xml:space="preserve">The 2011/12 volumes discharged from the </w:t>
      </w:r>
      <w:r w:rsidRPr="00370E70">
        <w:rPr>
          <w:color w:val="000000"/>
          <w:szCs w:val="22"/>
        </w:rPr>
        <w:t xml:space="preserve">O'Connell and Pioneer Rivers </w:t>
      </w:r>
      <w:r w:rsidRPr="00370E70">
        <w:rPr>
          <w:rFonts w:cs="TimesNewRoman"/>
          <w:color w:val="000000"/>
          <w:szCs w:val="22"/>
        </w:rPr>
        <w:t xml:space="preserve">was just under half the volume discharged in 2010/11. Between 77 - 90% of total volume discharged from the </w:t>
      </w:r>
      <w:r w:rsidRPr="00370E70">
        <w:rPr>
          <w:color w:val="000000"/>
          <w:szCs w:val="22"/>
        </w:rPr>
        <w:t xml:space="preserve">O'Connell and </w:t>
      </w:r>
      <w:smartTag w:uri="urn:schemas-microsoft-com:office:smarttags" w:element="place">
        <w:smartTag w:uri="urn:schemas-microsoft-com:office:smarttags" w:element="PlaceName">
          <w:r w:rsidRPr="00370E70">
            <w:rPr>
              <w:color w:val="000000"/>
              <w:szCs w:val="22"/>
            </w:rPr>
            <w:t>Pioneer</w:t>
          </w:r>
        </w:smartTag>
        <w:r w:rsidRPr="00370E70">
          <w:rPr>
            <w:color w:val="000000"/>
            <w:szCs w:val="22"/>
          </w:rPr>
          <w:t xml:space="preserve"> </w:t>
        </w:r>
        <w:smartTag w:uri="urn:schemas-microsoft-com:office:smarttags" w:element="PlaceType">
          <w:r w:rsidRPr="00370E70">
            <w:rPr>
              <w:color w:val="000000"/>
              <w:szCs w:val="22"/>
            </w:rPr>
            <w:t>Rivers</w:t>
          </w:r>
        </w:smartTag>
      </w:smartTag>
      <w:r w:rsidRPr="00370E70">
        <w:rPr>
          <w:color w:val="000000"/>
          <w:szCs w:val="22"/>
        </w:rPr>
        <w:t xml:space="preserve"> </w:t>
      </w:r>
      <w:r w:rsidR="002C6536" w:rsidRPr="00370E70">
        <w:rPr>
          <w:color w:val="000000"/>
          <w:szCs w:val="22"/>
        </w:rPr>
        <w:t>respectively</w:t>
      </w:r>
      <w:r w:rsidRPr="00370E70">
        <w:rPr>
          <w:color w:val="000000"/>
          <w:szCs w:val="22"/>
        </w:rPr>
        <w:t xml:space="preserve"> </w:t>
      </w:r>
      <w:r w:rsidR="002C6536" w:rsidRPr="00370E70">
        <w:rPr>
          <w:rFonts w:cs="TimesNewRoman"/>
          <w:color w:val="000000"/>
          <w:szCs w:val="22"/>
        </w:rPr>
        <w:t>occurred</w:t>
      </w:r>
      <w:r w:rsidRPr="00370E70">
        <w:rPr>
          <w:rFonts w:cs="TimesNewRoman"/>
          <w:color w:val="000000"/>
          <w:szCs w:val="22"/>
        </w:rPr>
        <w:t xml:space="preserve"> between January and March 2012, with the greatest discharges in March </w:t>
      </w:r>
      <w:r w:rsidRPr="00370E70">
        <w:rPr>
          <w:color w:val="000000"/>
          <w:szCs w:val="22"/>
        </w:rPr>
        <w:t>(</w:t>
      </w:r>
      <w:r w:rsidRPr="00370E70">
        <w:fldChar w:fldCharType="begin"/>
      </w:r>
      <w:r w:rsidRPr="00370E70">
        <w:instrText xml:space="preserve"> REF _Ref305161757 \h  \* MERGEFORMAT </w:instrText>
      </w:r>
      <w:r w:rsidRPr="00370E70">
        <w:fldChar w:fldCharType="separate"/>
      </w:r>
      <w:r w:rsidR="005B5FD6" w:rsidRPr="00370E70">
        <w:rPr>
          <w:color w:val="000000"/>
          <w:szCs w:val="22"/>
        </w:rPr>
        <w:t xml:space="preserve">Figure </w:t>
      </w:r>
      <w:r w:rsidR="005B5FD6">
        <w:rPr>
          <w:noProof/>
          <w:color w:val="000000"/>
          <w:szCs w:val="22"/>
        </w:rPr>
        <w:t>139</w:t>
      </w:r>
      <w:r w:rsidRPr="00370E70">
        <w:fldChar w:fldCharType="end"/>
      </w:r>
      <w:r w:rsidRPr="00370E70">
        <w:rPr>
          <w:color w:val="000000"/>
          <w:szCs w:val="22"/>
        </w:rPr>
        <w:t xml:space="preserve">, </w:t>
      </w:r>
      <w:r w:rsidRPr="00370E70">
        <w:fldChar w:fldCharType="begin"/>
      </w:r>
      <w:r w:rsidRPr="00370E70">
        <w:instrText xml:space="preserve"> REF _Ref305161792 \h  \* MERGEFORMAT </w:instrText>
      </w:r>
      <w:r w:rsidRPr="00370E70">
        <w:fldChar w:fldCharType="separate"/>
      </w:r>
      <w:r w:rsidR="005B5FD6" w:rsidRPr="00370E70">
        <w:rPr>
          <w:color w:val="000000"/>
          <w:szCs w:val="22"/>
        </w:rPr>
        <w:t xml:space="preserve">Figure </w:t>
      </w:r>
      <w:r w:rsidR="005B5FD6">
        <w:rPr>
          <w:noProof/>
          <w:color w:val="000000"/>
          <w:szCs w:val="22"/>
        </w:rPr>
        <w:t>140</w:t>
      </w:r>
      <w:r w:rsidRPr="00370E70">
        <w:fldChar w:fldCharType="end"/>
      </w:r>
      <w:r w:rsidRPr="00370E70">
        <w:rPr>
          <w:color w:val="000000"/>
          <w:szCs w:val="22"/>
        </w:rPr>
        <w:t>).</w:t>
      </w:r>
    </w:p>
    <w:p w:rsidR="005132EF" w:rsidRPr="00370E70" w:rsidRDefault="007B15AB" w:rsidP="00034AD4">
      <w:pPr>
        <w:keepNext/>
        <w:jc w:val="center"/>
      </w:pPr>
      <w:r>
        <w:rPr>
          <w:noProof/>
          <w:lang w:eastAsia="en-AU"/>
        </w:rPr>
        <w:lastRenderedPageBreak/>
        <w:drawing>
          <wp:inline distT="0" distB="0" distL="0" distR="0">
            <wp:extent cx="4314190" cy="2910840"/>
            <wp:effectExtent l="0" t="0" r="0" b="3810"/>
            <wp:docPr id="183" name="Picture 180" descr="Graph of average daily flow (ML day-1) per month from the main rivers impacting coastal and reef seagrass monitoring site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Graph of average daily flow (ML day-1) per month from the main rivers impacting coastal and reef seagrass monitoring sites in the Mackay Whitsunday region "/>
                    <pic:cNvPicPr>
                      <a:picLocks noChangeAspect="1" noChangeArrowheads="1"/>
                    </pic:cNvPicPr>
                  </pic:nvPicPr>
                  <pic:blipFill>
                    <a:blip r:embed="rId209">
                      <a:extLst>
                        <a:ext uri="{28A0092B-C50C-407E-A947-70E740481C1C}">
                          <a14:useLocalDpi xmlns:a14="http://schemas.microsoft.com/office/drawing/2010/main" val="0"/>
                        </a:ext>
                      </a:extLst>
                    </a:blip>
                    <a:srcRect b="3137"/>
                    <a:stretch>
                      <a:fillRect/>
                    </a:stretch>
                  </pic:blipFill>
                  <pic:spPr bwMode="auto">
                    <a:xfrm>
                      <a:off x="0" y="0"/>
                      <a:ext cx="4314190" cy="2910840"/>
                    </a:xfrm>
                    <a:prstGeom prst="rect">
                      <a:avLst/>
                    </a:prstGeom>
                    <a:noFill/>
                    <a:ln>
                      <a:noFill/>
                    </a:ln>
                  </pic:spPr>
                </pic:pic>
              </a:graphicData>
            </a:graphic>
          </wp:inline>
        </w:drawing>
      </w:r>
    </w:p>
    <w:p w:rsidR="00823673" w:rsidRPr="00370E70" w:rsidRDefault="005132EF" w:rsidP="00823673">
      <w:pPr>
        <w:rPr>
          <w:i/>
          <w:vanish/>
          <w:color w:val="000000"/>
          <w:szCs w:val="22"/>
          <w:specVanish/>
        </w:rPr>
      </w:pPr>
      <w:bookmarkStart w:id="639" w:name="_Ref305161757"/>
      <w:bookmarkStart w:id="640" w:name="_Toc384196486"/>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139</w:t>
      </w:r>
      <w:r w:rsidRPr="00370E70">
        <w:rPr>
          <w:color w:val="000000"/>
          <w:szCs w:val="22"/>
        </w:rPr>
        <w:fldChar w:fldCharType="end"/>
      </w:r>
      <w:bookmarkEnd w:id="639"/>
      <w:r w:rsidRPr="00370E70">
        <w:rPr>
          <w:color w:val="000000"/>
          <w:szCs w:val="22"/>
        </w:rPr>
        <w:t xml:space="preserve">. </w:t>
      </w:r>
      <w:r w:rsidRPr="00370E70">
        <w:rPr>
          <w:i/>
          <w:color w:val="000000"/>
          <w:szCs w:val="22"/>
        </w:rPr>
        <w:t>Average daily flow (ML day</w:t>
      </w:r>
      <w:r w:rsidRPr="00370E70">
        <w:rPr>
          <w:i/>
          <w:color w:val="000000"/>
          <w:szCs w:val="22"/>
          <w:vertAlign w:val="superscript"/>
        </w:rPr>
        <w:t>-1</w:t>
      </w:r>
      <w:r w:rsidRPr="00370E70">
        <w:rPr>
          <w:i/>
          <w:color w:val="000000"/>
          <w:szCs w:val="22"/>
        </w:rPr>
        <w:t>) per month from the main rivers impacting coastal and reef seagrass monitoring sites in the Mackay Whitsunday region</w:t>
      </w:r>
      <w:bookmarkEnd w:id="640"/>
      <w:r w:rsidRPr="00370E70">
        <w:rPr>
          <w:i/>
          <w:color w:val="000000"/>
          <w:szCs w:val="22"/>
        </w:rPr>
        <w:t xml:space="preserve"> </w:t>
      </w:r>
    </w:p>
    <w:p w:rsidR="00823673" w:rsidRPr="00370E70" w:rsidRDefault="00823673" w:rsidP="00823673">
      <w:pPr>
        <w:rPr>
          <w:i/>
          <w:color w:val="000000"/>
          <w:szCs w:val="22"/>
        </w:rPr>
      </w:pPr>
      <w:r w:rsidRPr="00370E70">
        <w:rPr>
          <w:i/>
          <w:color w:val="000000"/>
          <w:szCs w:val="22"/>
        </w:rPr>
        <w:t xml:space="preserve"> </w:t>
      </w:r>
      <w:r w:rsidR="005132EF" w:rsidRPr="00370E70">
        <w:rPr>
          <w:i/>
          <w:color w:val="000000"/>
          <w:szCs w:val="22"/>
        </w:rPr>
        <w:t>(DERM station 122005A - Proserpine River at Proserpine, 20.39166667</w:t>
      </w:r>
      <w:r w:rsidR="005132EF" w:rsidRPr="00370E70">
        <w:rPr>
          <w:rFonts w:cs="TimesNewRoman"/>
          <w:i/>
          <w:color w:val="000000"/>
          <w:szCs w:val="22"/>
        </w:rPr>
        <w:t>°S</w:t>
      </w:r>
      <w:r w:rsidR="005132EF" w:rsidRPr="00370E70">
        <w:rPr>
          <w:i/>
          <w:color w:val="000000"/>
          <w:szCs w:val="22"/>
        </w:rPr>
        <w:t xml:space="preserve"> 148.59833333</w:t>
      </w:r>
      <w:r w:rsidR="005132EF" w:rsidRPr="00370E70">
        <w:rPr>
          <w:rFonts w:cs="TimesNewRoman"/>
          <w:i/>
          <w:color w:val="000000"/>
          <w:szCs w:val="22"/>
        </w:rPr>
        <w:t xml:space="preserve">°E, </w:t>
      </w:r>
      <w:r w:rsidR="005132EF" w:rsidRPr="00370E70">
        <w:rPr>
          <w:i/>
          <w:color w:val="000000"/>
          <w:szCs w:val="22"/>
        </w:rPr>
        <w:t>Elev 7m; 124001B - O'Connell River at Stafford's Crossing 20.65255556</w:t>
      </w:r>
      <w:r w:rsidR="005132EF" w:rsidRPr="00370E70">
        <w:rPr>
          <w:rFonts w:cs="TimesNewRoman"/>
          <w:i/>
          <w:color w:val="000000"/>
          <w:szCs w:val="22"/>
        </w:rPr>
        <w:t>°S</w:t>
      </w:r>
      <w:r w:rsidR="005132EF" w:rsidRPr="00370E70">
        <w:rPr>
          <w:i/>
          <w:color w:val="000000"/>
          <w:szCs w:val="22"/>
        </w:rPr>
        <w:t xml:space="preserve"> 148.573</w:t>
      </w:r>
      <w:r w:rsidR="005132EF" w:rsidRPr="00370E70">
        <w:rPr>
          <w:rFonts w:cs="TimesNewRoman"/>
          <w:i/>
          <w:color w:val="000000"/>
          <w:szCs w:val="22"/>
        </w:rPr>
        <w:t xml:space="preserve">°E, </w:t>
      </w:r>
      <w:r w:rsidR="005132EF" w:rsidRPr="00370E70">
        <w:rPr>
          <w:i/>
          <w:color w:val="000000"/>
          <w:szCs w:val="22"/>
        </w:rPr>
        <w:t xml:space="preserve">Elev:0m) (source The State of </w:t>
      </w:r>
      <w:smartTag w:uri="urn:schemas-microsoft-com:office:smarttags" w:element="place">
        <w:smartTag w:uri="urn:schemas-microsoft-com:office:smarttags" w:element="State">
          <w:r w:rsidR="005132EF" w:rsidRPr="00370E70">
            <w:rPr>
              <w:i/>
              <w:color w:val="000000"/>
              <w:szCs w:val="22"/>
            </w:rPr>
            <w:t>Queensland</w:t>
          </w:r>
        </w:smartTag>
      </w:smartTag>
      <w:r w:rsidR="005132EF" w:rsidRPr="00370E70">
        <w:rPr>
          <w:i/>
          <w:color w:val="000000"/>
          <w:szCs w:val="22"/>
        </w:rPr>
        <w:t xml:space="preserve"> (Department of Environment and Resource Management) 2012, watermonitoring.derm.qld.gov.au).</w:t>
      </w:r>
      <w:r w:rsidRPr="00370E70">
        <w:rPr>
          <w:i/>
          <w:color w:val="000000"/>
          <w:szCs w:val="22"/>
        </w:rPr>
        <w:t xml:space="preserve"> </w:t>
      </w:r>
    </w:p>
    <w:p w:rsidR="00823673" w:rsidRPr="00370E70" w:rsidRDefault="00823673" w:rsidP="00034AD4">
      <w:pPr>
        <w:rPr>
          <w:color w:val="000000"/>
        </w:rPr>
      </w:pPr>
    </w:p>
    <w:p w:rsidR="005132EF" w:rsidRPr="00370E70" w:rsidRDefault="007B15AB" w:rsidP="00034AD4">
      <w:pPr>
        <w:keepNext/>
        <w:jc w:val="center"/>
      </w:pPr>
      <w:r>
        <w:rPr>
          <w:noProof/>
          <w:lang w:eastAsia="en-AU"/>
        </w:rPr>
        <w:drawing>
          <wp:inline distT="0" distB="0" distL="0" distR="0">
            <wp:extent cx="4314190" cy="1558290"/>
            <wp:effectExtent l="0" t="0" r="0" b="3810"/>
            <wp:docPr id="184" name="Picture 181" descr="Graph of the average daily flow (ML day-1) per month from the main river impacting estuarine seagrass monitoring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Graph of the average daily flow (ML day-1) per month from the main river impacting estuarine seagrass monitoring sites in the Mackay Whitsunday region"/>
                    <pic:cNvPicPr>
                      <a:picLocks noChangeAspect="1" noChangeArrowheads="1"/>
                    </pic:cNvPicPr>
                  </pic:nvPicPr>
                  <pic:blipFill>
                    <a:blip r:embed="rId210">
                      <a:extLst>
                        <a:ext uri="{28A0092B-C50C-407E-A947-70E740481C1C}">
                          <a14:useLocalDpi xmlns:a14="http://schemas.microsoft.com/office/drawing/2010/main" val="0"/>
                        </a:ext>
                      </a:extLst>
                    </a:blip>
                    <a:srcRect b="5951"/>
                    <a:stretch>
                      <a:fillRect/>
                    </a:stretch>
                  </pic:blipFill>
                  <pic:spPr bwMode="auto">
                    <a:xfrm>
                      <a:off x="0" y="0"/>
                      <a:ext cx="4314190" cy="1558290"/>
                    </a:xfrm>
                    <a:prstGeom prst="rect">
                      <a:avLst/>
                    </a:prstGeom>
                    <a:noFill/>
                    <a:ln>
                      <a:noFill/>
                    </a:ln>
                  </pic:spPr>
                </pic:pic>
              </a:graphicData>
            </a:graphic>
          </wp:inline>
        </w:drawing>
      </w:r>
    </w:p>
    <w:p w:rsidR="00823673" w:rsidRPr="00370E70" w:rsidRDefault="005132EF" w:rsidP="00823673">
      <w:pPr>
        <w:rPr>
          <w:i/>
          <w:vanish/>
          <w:color w:val="000000"/>
          <w:szCs w:val="22"/>
          <w:specVanish/>
        </w:rPr>
      </w:pPr>
      <w:bookmarkStart w:id="641" w:name="_Ref305161792"/>
      <w:bookmarkStart w:id="642" w:name="_Toc384196487"/>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140</w:t>
      </w:r>
      <w:r w:rsidRPr="00370E70">
        <w:rPr>
          <w:color w:val="000000"/>
          <w:szCs w:val="22"/>
        </w:rPr>
        <w:fldChar w:fldCharType="end"/>
      </w:r>
      <w:bookmarkEnd w:id="641"/>
      <w:r w:rsidRPr="00370E70">
        <w:rPr>
          <w:color w:val="000000"/>
          <w:szCs w:val="22"/>
        </w:rPr>
        <w:t xml:space="preserve">. </w:t>
      </w:r>
      <w:r w:rsidRPr="00370E70">
        <w:rPr>
          <w:i/>
          <w:color w:val="000000"/>
          <w:szCs w:val="22"/>
        </w:rPr>
        <w:t>Average daily flow (ML day</w:t>
      </w:r>
      <w:r w:rsidRPr="00370E70">
        <w:rPr>
          <w:i/>
          <w:color w:val="000000"/>
          <w:szCs w:val="22"/>
          <w:vertAlign w:val="superscript"/>
        </w:rPr>
        <w:t>-1</w:t>
      </w:r>
      <w:r w:rsidRPr="00370E70">
        <w:rPr>
          <w:i/>
          <w:color w:val="000000"/>
          <w:szCs w:val="22"/>
        </w:rPr>
        <w:t>) per month from the main river impacting estuarine seagrass monitoring sites in the Mackay Whitsunday region</w:t>
      </w:r>
      <w:bookmarkEnd w:id="642"/>
    </w:p>
    <w:p w:rsidR="00823673" w:rsidRPr="00A74DFB" w:rsidRDefault="005132EF" w:rsidP="00034AD4">
      <w:pPr>
        <w:rPr>
          <w:color w:val="000000"/>
        </w:rPr>
      </w:pPr>
      <w:r w:rsidRPr="00370E70">
        <w:rPr>
          <w:i/>
          <w:color w:val="000000"/>
          <w:szCs w:val="22"/>
        </w:rPr>
        <w:t xml:space="preserve"> (DERM station 125016A - </w:t>
      </w:r>
      <w:smartTag w:uri="urn:schemas-microsoft-com:office:smarttags" w:element="place">
        <w:smartTag w:uri="urn:schemas-microsoft-com:office:smarttags" w:element="PlaceName">
          <w:r w:rsidRPr="00370E70">
            <w:rPr>
              <w:i/>
              <w:color w:val="000000"/>
              <w:szCs w:val="22"/>
            </w:rPr>
            <w:t>Pioneer</w:t>
          </w:r>
        </w:smartTag>
        <w:r w:rsidRPr="00370E70">
          <w:rPr>
            <w:i/>
            <w:color w:val="000000"/>
            <w:szCs w:val="22"/>
          </w:rPr>
          <w:t xml:space="preserve"> </w:t>
        </w:r>
        <w:smartTag w:uri="urn:schemas-microsoft-com:office:smarttags" w:element="PlaceType">
          <w:r w:rsidRPr="00370E70">
            <w:rPr>
              <w:i/>
              <w:color w:val="000000"/>
              <w:szCs w:val="22"/>
            </w:rPr>
            <w:t>River</w:t>
          </w:r>
        </w:smartTag>
      </w:smartTag>
      <w:r w:rsidRPr="00370E70">
        <w:rPr>
          <w:i/>
          <w:color w:val="000000"/>
          <w:szCs w:val="22"/>
        </w:rPr>
        <w:t xml:space="preserve"> at Dumbleton Weir T/W 21.14236111</w:t>
      </w:r>
      <w:r w:rsidRPr="00370E70">
        <w:rPr>
          <w:rFonts w:cs="TimesNewRoman"/>
          <w:i/>
          <w:color w:val="000000"/>
          <w:szCs w:val="22"/>
        </w:rPr>
        <w:t>°S</w:t>
      </w:r>
      <w:r w:rsidRPr="00370E70">
        <w:rPr>
          <w:i/>
          <w:color w:val="000000"/>
          <w:szCs w:val="22"/>
        </w:rPr>
        <w:t xml:space="preserve"> 149.07625</w:t>
      </w:r>
      <w:r w:rsidRPr="00370E70">
        <w:rPr>
          <w:rFonts w:cs="TimesNewRoman"/>
          <w:i/>
          <w:color w:val="000000"/>
          <w:szCs w:val="22"/>
        </w:rPr>
        <w:t xml:space="preserve">°E, </w:t>
      </w:r>
      <w:r w:rsidRPr="00370E70">
        <w:rPr>
          <w:i/>
          <w:color w:val="000000"/>
          <w:szCs w:val="22"/>
        </w:rPr>
        <w:t xml:space="preserve">Elev 10m) (source ©The State of </w:t>
      </w:r>
      <w:smartTag w:uri="urn:schemas-microsoft-com:office:smarttags" w:element="place">
        <w:smartTag w:uri="urn:schemas-microsoft-com:office:smarttags" w:element="State">
          <w:r w:rsidRPr="00370E70">
            <w:rPr>
              <w:i/>
              <w:color w:val="000000"/>
              <w:szCs w:val="22"/>
            </w:rPr>
            <w:t>Queensland</w:t>
          </w:r>
        </w:smartTag>
      </w:smartTag>
      <w:r w:rsidRPr="00370E70">
        <w:rPr>
          <w:i/>
          <w:color w:val="000000"/>
          <w:szCs w:val="22"/>
        </w:rPr>
        <w:t xml:space="preserve"> </w:t>
      </w:r>
      <w:r w:rsidRPr="00A74DFB">
        <w:rPr>
          <w:i/>
          <w:color w:val="000000"/>
          <w:szCs w:val="22"/>
        </w:rPr>
        <w:t>(Department of Environment and Resource Management) 2012, watermonitoring.derm.qld.gov.au).</w:t>
      </w:r>
      <w:r w:rsidR="00823673" w:rsidRPr="00A74DFB">
        <w:rPr>
          <w:color w:val="000000"/>
        </w:rPr>
        <w:t xml:space="preserve"> </w:t>
      </w:r>
    </w:p>
    <w:p w:rsidR="00BC37A3" w:rsidRPr="00A74DFB" w:rsidRDefault="00BC37A3">
      <w:pPr>
        <w:rPr>
          <w:color w:val="000000"/>
          <w:szCs w:val="22"/>
        </w:rPr>
      </w:pPr>
    </w:p>
    <w:p w:rsidR="005132EF" w:rsidRPr="00370E70" w:rsidRDefault="005132EF">
      <w:pPr>
        <w:rPr>
          <w:color w:val="000000"/>
        </w:rPr>
      </w:pPr>
      <w:r w:rsidRPr="00370E70">
        <w:rPr>
          <w:color w:val="000080"/>
          <w:szCs w:val="22"/>
        </w:rPr>
        <w:br w:type="page"/>
      </w:r>
      <w:r w:rsidR="007B15AB">
        <w:rPr>
          <w:noProof/>
          <w:color w:val="000000"/>
          <w:lang w:eastAsia="en-AU"/>
        </w:rPr>
        <w:lastRenderedPageBreak/>
        <w:drawing>
          <wp:inline distT="0" distB="0" distL="0" distR="0">
            <wp:extent cx="5744210" cy="2073275"/>
            <wp:effectExtent l="0" t="0" r="8890" b="3175"/>
            <wp:docPr id="185" name="Picture 182" descr="Photograph of seagrass meadows in Shoalwat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Photograph of seagrass meadows in Shoalwater Bay"/>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5744210" cy="207327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643" w:name="_Toc175991085"/>
      <w:bookmarkStart w:id="644" w:name="_Toc232845930"/>
      <w:bookmarkStart w:id="645" w:name="_Toc184102023"/>
      <w:bookmarkStart w:id="646" w:name="_Toc384196146"/>
      <w:bookmarkStart w:id="647" w:name="_Toc170191647"/>
      <w:r w:rsidRPr="00370E70">
        <w:rPr>
          <w:rFonts w:ascii="Century Gothic" w:hAnsi="Century Gothic"/>
          <w:color w:val="000000"/>
        </w:rPr>
        <w:t>Fitzroy</w:t>
      </w:r>
      <w:bookmarkEnd w:id="643"/>
      <w:bookmarkEnd w:id="644"/>
      <w:bookmarkEnd w:id="645"/>
      <w:bookmarkEnd w:id="646"/>
    </w:p>
    <w:p w:rsidR="005132EF" w:rsidRPr="00370E70" w:rsidRDefault="005132EF" w:rsidP="00034AD4">
      <w:pPr>
        <w:pStyle w:val="Heading3"/>
        <w:rPr>
          <w:color w:val="000000"/>
        </w:rPr>
      </w:pPr>
      <w:bookmarkStart w:id="648" w:name="_Toc184102024"/>
      <w:bookmarkStart w:id="649" w:name="_Toc384196147"/>
      <w:bookmarkEnd w:id="647"/>
      <w:r w:rsidRPr="00370E70">
        <w:rPr>
          <w:color w:val="000000"/>
        </w:rPr>
        <w:t>2011/12 Summary</w:t>
      </w:r>
      <w:bookmarkEnd w:id="648"/>
      <w:bookmarkEnd w:id="649"/>
    </w:p>
    <w:p w:rsidR="005132EF" w:rsidRPr="00370E70" w:rsidRDefault="005132EF" w:rsidP="00034AD4">
      <w:pPr>
        <w:rPr>
          <w:color w:val="000000"/>
          <w:szCs w:val="22"/>
        </w:rPr>
      </w:pPr>
      <w:r w:rsidRPr="00370E70">
        <w:rPr>
          <w:color w:val="000000"/>
          <w:szCs w:val="22"/>
        </w:rPr>
        <w:t xml:space="preserve">Intertidal seagrass meadows in the Fitzroy region are located on the large sand/mud banks in sheltered areas of the region’s estuaries and coasts, and occur on the fringing reef flat habitats of offshore islands. All three habitat types are monitored. Environmental drivers include high turbidity and desiccation (which is linked primarily to the large tide regime). </w:t>
      </w:r>
    </w:p>
    <w:p w:rsidR="002A515E" w:rsidRPr="00370E70" w:rsidRDefault="00F31E72" w:rsidP="002A515E">
      <w:pPr>
        <w:rPr>
          <w:color w:val="000000"/>
          <w:szCs w:val="22"/>
        </w:rPr>
      </w:pPr>
      <w:r w:rsidRPr="00370E70">
        <w:rPr>
          <w:color w:val="000000"/>
          <w:szCs w:val="22"/>
        </w:rPr>
        <w:t>Although seagrass abundance was low at reef habitats prior to the extreme weather events of 2011, it remained low throughout 2011/12</w:t>
      </w:r>
      <w:r w:rsidR="00D07A80" w:rsidRPr="00370E70">
        <w:rPr>
          <w:color w:val="000000"/>
          <w:szCs w:val="22"/>
        </w:rPr>
        <w:t xml:space="preserve"> and meadow extent declined</w:t>
      </w:r>
      <w:r w:rsidRPr="00370E70">
        <w:rPr>
          <w:color w:val="000000"/>
          <w:szCs w:val="22"/>
        </w:rPr>
        <w:t xml:space="preserve">. </w:t>
      </w:r>
      <w:r w:rsidR="002A515E" w:rsidRPr="00370E70">
        <w:rPr>
          <w:color w:val="000000"/>
          <w:szCs w:val="22"/>
        </w:rPr>
        <w:t xml:space="preserve">The extent of the meadows in coastal and reef habitats remained stable in 2011/12, however seagrass abundance declined in the coastal meadows and increased in estuarine meadows. The decline in the coastal meadows may be a consequence of local scale disturbances, evident by the increase of the colonising species </w:t>
      </w:r>
      <w:r w:rsidR="002A515E" w:rsidRPr="00370E70">
        <w:rPr>
          <w:i/>
          <w:color w:val="000000"/>
          <w:szCs w:val="22"/>
        </w:rPr>
        <w:t>Halophila ovalis.</w:t>
      </w:r>
      <w:r w:rsidR="002A515E" w:rsidRPr="00370E70">
        <w:rPr>
          <w:color w:val="000000"/>
          <w:szCs w:val="22"/>
        </w:rPr>
        <w:t xml:space="preserve"> The seagrass abundances observed at the estuarine meadows in 2011/12 were some of the highest recorded since monitoring was established in the region. Although reproductive health declined relative to the previous monitoring period, an increase in the seed banks at estuary and coast locations indicates a high recovery potential. Seed banks remain absent at reef sites, which coupled with very poor reproductive health, suggests th</w:t>
      </w:r>
      <w:r w:rsidR="00E9353B" w:rsidRPr="00370E70">
        <w:rPr>
          <w:color w:val="000000"/>
          <w:szCs w:val="22"/>
        </w:rPr>
        <w:t xml:space="preserve">ese meadows are </w:t>
      </w:r>
      <w:r w:rsidR="002A515E" w:rsidRPr="00370E70">
        <w:rPr>
          <w:color w:val="000000"/>
          <w:szCs w:val="22"/>
        </w:rPr>
        <w:t>struggl</w:t>
      </w:r>
      <w:r w:rsidR="00E9353B" w:rsidRPr="00370E70">
        <w:rPr>
          <w:color w:val="000000"/>
          <w:szCs w:val="22"/>
        </w:rPr>
        <w:t>ing</w:t>
      </w:r>
      <w:r w:rsidR="002A515E" w:rsidRPr="00370E70">
        <w:rPr>
          <w:color w:val="000000"/>
          <w:szCs w:val="22"/>
        </w:rPr>
        <w:t xml:space="preserve"> to recover and r</w:t>
      </w:r>
      <w:r w:rsidR="00E9353B" w:rsidRPr="00370E70">
        <w:rPr>
          <w:color w:val="000000"/>
          <w:szCs w:val="22"/>
        </w:rPr>
        <w:t>emain</w:t>
      </w:r>
      <w:r w:rsidR="002A515E" w:rsidRPr="00370E70">
        <w:rPr>
          <w:color w:val="000000"/>
          <w:szCs w:val="22"/>
        </w:rPr>
        <w:t xml:space="preserve"> vulnerable.</w:t>
      </w:r>
    </w:p>
    <w:p w:rsidR="00194D1D" w:rsidRPr="00370E70" w:rsidRDefault="003D69FA" w:rsidP="00194D1D">
      <w:pPr>
        <w:rPr>
          <w:color w:val="000000"/>
          <w:szCs w:val="22"/>
        </w:rPr>
      </w:pPr>
      <w:r w:rsidRPr="00370E70">
        <w:rPr>
          <w:color w:val="000000"/>
          <w:szCs w:val="22"/>
        </w:rPr>
        <w:t>Seagrass leaf t</w:t>
      </w:r>
      <w:r w:rsidR="00194D1D" w:rsidRPr="00370E70">
        <w:rPr>
          <w:color w:val="000000"/>
          <w:szCs w:val="22"/>
        </w:rPr>
        <w:t xml:space="preserve">issue </w:t>
      </w:r>
      <w:r w:rsidRPr="00370E70">
        <w:rPr>
          <w:color w:val="000000"/>
          <w:szCs w:val="22"/>
        </w:rPr>
        <w:t>nutrients</w:t>
      </w:r>
      <w:r w:rsidR="00194D1D" w:rsidRPr="00370E70">
        <w:rPr>
          <w:color w:val="000000"/>
          <w:szCs w:val="22"/>
        </w:rPr>
        <w:t xml:space="preserve"> </w:t>
      </w:r>
      <w:r w:rsidRPr="00370E70">
        <w:rPr>
          <w:color w:val="000000"/>
          <w:szCs w:val="22"/>
        </w:rPr>
        <w:t>varied between habitats across the region. Seagrass tissue ratios suggest N</w:t>
      </w:r>
      <w:r w:rsidR="00194D1D" w:rsidRPr="00370E70">
        <w:rPr>
          <w:color w:val="000000"/>
          <w:szCs w:val="22"/>
        </w:rPr>
        <w:t xml:space="preserve"> </w:t>
      </w:r>
      <w:r w:rsidRPr="00370E70">
        <w:rPr>
          <w:color w:val="000000"/>
          <w:szCs w:val="22"/>
        </w:rPr>
        <w:t>limitation</w:t>
      </w:r>
      <w:r w:rsidR="00194D1D" w:rsidRPr="00370E70">
        <w:rPr>
          <w:color w:val="000000"/>
          <w:szCs w:val="22"/>
        </w:rPr>
        <w:t xml:space="preserve"> </w:t>
      </w:r>
      <w:r w:rsidRPr="00370E70">
        <w:rPr>
          <w:color w:val="000000"/>
          <w:szCs w:val="22"/>
        </w:rPr>
        <w:t>in estuary habitats, while P and N were surplus to C requirements in</w:t>
      </w:r>
      <w:r w:rsidR="00194D1D" w:rsidRPr="00370E70">
        <w:rPr>
          <w:color w:val="000000"/>
          <w:szCs w:val="22"/>
        </w:rPr>
        <w:t xml:space="preserve"> coast and reef</w:t>
      </w:r>
      <w:r w:rsidRPr="00370E70">
        <w:rPr>
          <w:color w:val="000000"/>
          <w:szCs w:val="22"/>
        </w:rPr>
        <w:t xml:space="preserve"> habitats. The primary source of elevated nitrogen in coastal habitats </w:t>
      </w:r>
      <w:r w:rsidR="00044EF7" w:rsidRPr="00370E70">
        <w:rPr>
          <w:color w:val="000000"/>
          <w:szCs w:val="22"/>
        </w:rPr>
        <w:t>was possibly anthropogenically influenced by fertiliser</w:t>
      </w:r>
      <w:r w:rsidRPr="00370E70">
        <w:rPr>
          <w:color w:val="000000"/>
          <w:szCs w:val="22"/>
        </w:rPr>
        <w:t xml:space="preserve">. </w:t>
      </w:r>
      <w:r w:rsidR="00353AF2" w:rsidRPr="00370E70">
        <w:rPr>
          <w:color w:val="000000"/>
          <w:szCs w:val="22"/>
        </w:rPr>
        <w:t>Epiphyte abundance remained relatively unchanged, except on reef habitats where it increased to pre-2010 values. Adequate light was available for growth at coastal habitats, however there was limited data for reef and estuarine habitats due to equipment failure.</w:t>
      </w:r>
    </w:p>
    <w:p w:rsidR="00353AF2" w:rsidRPr="00370E70" w:rsidRDefault="00353AF2" w:rsidP="00353AF2">
      <w:pPr>
        <w:rPr>
          <w:szCs w:val="22"/>
        </w:rPr>
      </w:pPr>
      <w:r w:rsidRPr="00370E70">
        <w:rPr>
          <w:szCs w:val="22"/>
        </w:rPr>
        <w:t>Extreme water temperatures (&gt;38</w:t>
      </w:r>
      <w:r w:rsidRPr="00370E70">
        <w:rPr>
          <w:rFonts w:cs="TimesNewRoman"/>
          <w:color w:val="000000"/>
          <w:szCs w:val="22"/>
        </w:rPr>
        <w:t>°C</w:t>
      </w:r>
      <w:r w:rsidRPr="00370E70">
        <w:rPr>
          <w:szCs w:val="22"/>
        </w:rPr>
        <w:t xml:space="preserve">) were </w:t>
      </w:r>
      <w:r w:rsidRPr="00370E70">
        <w:rPr>
          <w:rFonts w:cs="Calibri"/>
          <w:szCs w:val="22"/>
        </w:rPr>
        <w:t xml:space="preserve">recorded </w:t>
      </w:r>
      <w:r w:rsidRPr="00370E70">
        <w:rPr>
          <w:szCs w:val="22"/>
        </w:rPr>
        <w:t>within the seagrass canopy over the monitoring period across the region, with the highest in March 2012, however temperatures were on average cooler in 2011/12 than 2010/11.</w:t>
      </w:r>
      <w:r w:rsidRPr="00370E70">
        <w:rPr>
          <w:rFonts w:cs="TimesNewRoman"/>
          <w:szCs w:val="22"/>
        </w:rPr>
        <w:t xml:space="preserve"> Climate across the region was on average wetter nearshore and windier at the reef habitats</w:t>
      </w:r>
      <w:r w:rsidRPr="00370E70">
        <w:rPr>
          <w:szCs w:val="22"/>
        </w:rPr>
        <w:t xml:space="preserve"> than the previous decade.</w:t>
      </w:r>
      <w:r w:rsidRPr="00370E70">
        <w:rPr>
          <w:rFonts w:cs="TimesNewRoman"/>
          <w:szCs w:val="22"/>
        </w:rPr>
        <w:t xml:space="preserve"> Higher rainfall across the catchments resulted in </w:t>
      </w:r>
      <w:r w:rsidRPr="00370E70">
        <w:rPr>
          <w:rFonts w:cs="TimesNewRoman"/>
          <w:color w:val="000000"/>
          <w:szCs w:val="22"/>
        </w:rPr>
        <w:t xml:space="preserve">2011/12 being the 3rd consecutive period where the total discharge from the </w:t>
      </w:r>
      <w:r w:rsidR="00D2630A" w:rsidRPr="00370E70">
        <w:rPr>
          <w:rFonts w:cs="TimesNewRoman"/>
          <w:color w:val="000000"/>
          <w:szCs w:val="22"/>
        </w:rPr>
        <w:t>major r</w:t>
      </w:r>
      <w:r w:rsidRPr="00370E70">
        <w:rPr>
          <w:rFonts w:cs="TimesNewRoman"/>
          <w:color w:val="000000"/>
          <w:szCs w:val="22"/>
        </w:rPr>
        <w:t>ivers was above the long-term median</w:t>
      </w:r>
      <w:r w:rsidR="00D2630A" w:rsidRPr="00370E70">
        <w:rPr>
          <w:rFonts w:cs="TimesNewRoman"/>
          <w:color w:val="000000"/>
          <w:szCs w:val="22"/>
        </w:rPr>
        <w:t xml:space="preserve">. </w:t>
      </w:r>
      <w:r w:rsidRPr="00370E70">
        <w:rPr>
          <w:szCs w:val="22"/>
        </w:rPr>
        <w:t xml:space="preserve">Overall the status of seagrass condition in the Burdekin region improved slightly in 2011/12, but still remained </w:t>
      </w:r>
      <w:r w:rsidRPr="00370E70">
        <w:rPr>
          <w:b/>
          <w:szCs w:val="22"/>
        </w:rPr>
        <w:t>poor</w:t>
      </w:r>
      <w:r w:rsidRPr="00370E70">
        <w:rPr>
          <w:szCs w:val="22"/>
        </w:rPr>
        <w:t xml:space="preserve"> (</w:t>
      </w:r>
      <w:r w:rsidR="00D2630A" w:rsidRPr="00370E70">
        <w:rPr>
          <w:szCs w:val="22"/>
        </w:rPr>
        <w:fldChar w:fldCharType="begin"/>
      </w:r>
      <w:r w:rsidR="00D2630A" w:rsidRPr="00370E70">
        <w:rPr>
          <w:szCs w:val="22"/>
        </w:rPr>
        <w:instrText xml:space="preserve"> REF _Ref305323923 \h </w:instrText>
      </w:r>
      <w:r w:rsidR="00D2630A" w:rsidRPr="00370E70">
        <w:rPr>
          <w:szCs w:val="22"/>
        </w:rPr>
      </w:r>
      <w:r w:rsidR="00D2630A" w:rsidRPr="00370E70">
        <w:rPr>
          <w:szCs w:val="22"/>
        </w:rPr>
        <w:fldChar w:fldCharType="separate"/>
      </w:r>
      <w:r w:rsidR="005B5FD6" w:rsidRPr="00370E70">
        <w:rPr>
          <w:color w:val="000000"/>
          <w:szCs w:val="22"/>
        </w:rPr>
        <w:t xml:space="preserve">Table </w:t>
      </w:r>
      <w:r w:rsidR="005B5FD6">
        <w:rPr>
          <w:noProof/>
          <w:color w:val="000000"/>
          <w:szCs w:val="22"/>
        </w:rPr>
        <w:t>30</w:t>
      </w:r>
      <w:r w:rsidR="00D2630A" w:rsidRPr="00370E70">
        <w:rPr>
          <w:szCs w:val="22"/>
        </w:rPr>
        <w:fldChar w:fldCharType="end"/>
      </w:r>
      <w:r w:rsidRPr="00370E70">
        <w:rPr>
          <w:szCs w:val="22"/>
        </w:rPr>
        <w:t xml:space="preserve">). </w:t>
      </w:r>
    </w:p>
    <w:p w:rsidR="005132EF" w:rsidRPr="00370E70" w:rsidRDefault="005132EF" w:rsidP="00034AD4">
      <w:pPr>
        <w:rPr>
          <w:color w:val="000000"/>
          <w:szCs w:val="22"/>
        </w:rPr>
      </w:pPr>
    </w:p>
    <w:p w:rsidR="00F6594D" w:rsidRPr="00370E70" w:rsidRDefault="005132EF" w:rsidP="00F6594D">
      <w:pPr>
        <w:keepNext/>
        <w:jc w:val="center"/>
        <w:rPr>
          <w:i/>
          <w:vanish/>
          <w:szCs w:val="22"/>
          <w:specVanish/>
        </w:rPr>
      </w:pPr>
      <w:bookmarkStart w:id="650" w:name="_Ref305323923"/>
      <w:bookmarkStart w:id="651" w:name="_Toc384196566"/>
      <w:r w:rsidRPr="00370E70">
        <w:rPr>
          <w:color w:val="000000"/>
          <w:szCs w:val="22"/>
        </w:rPr>
        <w:lastRenderedPageBreak/>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30</w:t>
      </w:r>
      <w:r w:rsidRPr="00370E70">
        <w:rPr>
          <w:color w:val="000000"/>
          <w:szCs w:val="22"/>
        </w:rPr>
        <w:fldChar w:fldCharType="end"/>
      </w:r>
      <w:bookmarkEnd w:id="650"/>
      <w:r w:rsidRPr="00370E70">
        <w:rPr>
          <w:color w:val="000000"/>
          <w:szCs w:val="22"/>
        </w:rPr>
        <w:t xml:space="preserve">. </w:t>
      </w:r>
      <w:r w:rsidRPr="00370E70">
        <w:rPr>
          <w:i/>
          <w:color w:val="000000"/>
          <w:szCs w:val="22"/>
        </w:rPr>
        <w:t>Report card for seagrass status (community &amp; environment) for the Fitzroy NRM region: July 2011 – May 2012.</w:t>
      </w:r>
      <w:bookmarkEnd w:id="651"/>
      <w:r w:rsidRPr="00370E70">
        <w:rPr>
          <w:i/>
          <w:color w:val="000000"/>
          <w:szCs w:val="22"/>
        </w:rPr>
        <w:t xml:space="preserve"> </w:t>
      </w:r>
    </w:p>
    <w:p w:rsidR="00F6594D" w:rsidRPr="00370E70" w:rsidRDefault="005132EF" w:rsidP="0034068E">
      <w:pPr>
        <w:keepNext/>
        <w:jc w:val="center"/>
        <w:rPr>
          <w:i/>
          <w:color w:val="000000"/>
          <w:szCs w:val="22"/>
        </w:rPr>
      </w:pPr>
      <w:r w:rsidRPr="00370E70">
        <w:rPr>
          <w:i/>
          <w:color w:val="000000"/>
          <w:szCs w:val="22"/>
        </w:rPr>
        <w:t>Values</w:t>
      </w:r>
      <w:r w:rsidRPr="00370E70">
        <w:rPr>
          <w:i/>
          <w:szCs w:val="22"/>
        </w:rPr>
        <w:t xml:space="preserve"> are indexed scores scaled from 0-100; </w:t>
      </w:r>
      <w:r w:rsidRPr="00370E70">
        <w:rPr>
          <w:rFonts w:ascii="Arial" w:hAnsi="Arial" w:cs="Arial"/>
          <w:i/>
          <w:color w:val="008000"/>
          <w:szCs w:val="22"/>
        </w:rPr>
        <w:t>■ </w:t>
      </w:r>
      <w:r w:rsidRPr="00370E70">
        <w:rPr>
          <w:i/>
          <w:szCs w:val="22"/>
        </w:rPr>
        <w:t xml:space="preserve">= very good (80-100), </w:t>
      </w:r>
      <w:r w:rsidRPr="00370E70">
        <w:rPr>
          <w:rFonts w:ascii="Arial" w:hAnsi="Arial" w:cs="Arial"/>
          <w:i/>
          <w:color w:val="92D050"/>
          <w:szCs w:val="22"/>
        </w:rPr>
        <w:t>■</w:t>
      </w:r>
      <w:r w:rsidRPr="00370E70">
        <w:rPr>
          <w:i/>
          <w:szCs w:val="22"/>
        </w:rPr>
        <w:t xml:space="preserve"> = good (60 - &lt;80), </w:t>
      </w:r>
      <w:r w:rsidRPr="00370E70">
        <w:rPr>
          <w:rFonts w:ascii="Arial" w:hAnsi="Arial" w:cs="Arial"/>
          <w:i/>
          <w:color w:val="FFFF00"/>
          <w:szCs w:val="22"/>
        </w:rPr>
        <w:t>■</w:t>
      </w:r>
      <w:r w:rsidRPr="00370E70">
        <w:rPr>
          <w:i/>
          <w:szCs w:val="22"/>
        </w:rPr>
        <w:t xml:space="preserve"> = moderate (40 - &lt;60), </w:t>
      </w:r>
      <w:r w:rsidRPr="00370E70">
        <w:rPr>
          <w:rFonts w:ascii="Arial" w:hAnsi="Arial" w:cs="Arial"/>
          <w:i/>
          <w:color w:val="FFC000"/>
          <w:szCs w:val="22"/>
        </w:rPr>
        <w:t>■</w:t>
      </w:r>
      <w:r w:rsidRPr="00370E70">
        <w:rPr>
          <w:i/>
          <w:szCs w:val="22"/>
        </w:rPr>
        <w:t xml:space="preserve"> = poor (20 - &lt;40), </w:t>
      </w:r>
      <w:r w:rsidRPr="00370E70">
        <w:rPr>
          <w:rFonts w:ascii="Arial" w:hAnsi="Arial" w:cs="Arial"/>
          <w:i/>
          <w:color w:val="FF0000"/>
          <w:szCs w:val="22"/>
        </w:rPr>
        <w:t>■</w:t>
      </w:r>
      <w:r w:rsidRPr="00370E70">
        <w:rPr>
          <w:i/>
          <w:szCs w:val="22"/>
        </w:rPr>
        <w:t> = very poor (0 - &lt;20).</w:t>
      </w:r>
      <w:r w:rsidR="00F6594D" w:rsidRPr="00370E70">
        <w:rPr>
          <w:i/>
          <w:color w:val="000000"/>
          <w:szCs w:val="22"/>
        </w:rPr>
        <w:t xml:space="preserve"> </w:t>
      </w:r>
    </w:p>
    <w:tbl>
      <w:tblPr>
        <w:tblW w:w="8717" w:type="dxa"/>
        <w:jc w:val="center"/>
        <w:tblLayout w:type="fixed"/>
        <w:tblLook w:val="0000" w:firstRow="0" w:lastRow="0" w:firstColumn="0" w:lastColumn="0" w:noHBand="0" w:noVBand="0"/>
      </w:tblPr>
      <w:tblGrid>
        <w:gridCol w:w="2040"/>
        <w:gridCol w:w="1531"/>
        <w:gridCol w:w="1531"/>
        <w:gridCol w:w="2083"/>
        <w:gridCol w:w="1532"/>
      </w:tblGrid>
      <w:tr w:rsidR="005132EF" w:rsidRPr="00370E70" w:rsidTr="0034068E">
        <w:trPr>
          <w:trHeight w:val="437"/>
          <w:jc w:val="center"/>
        </w:trPr>
        <w:tc>
          <w:tcPr>
            <w:tcW w:w="2040"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Habitat</w:t>
            </w:r>
          </w:p>
        </w:tc>
        <w:tc>
          <w:tcPr>
            <w:tcW w:w="1531"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Abundance</w:t>
            </w:r>
          </w:p>
        </w:tc>
        <w:tc>
          <w:tcPr>
            <w:tcW w:w="1531"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 xml:space="preserve">Reproductive </w:t>
            </w:r>
          </w:p>
          <w:p w:rsidR="005132EF" w:rsidRPr="00370E70" w:rsidRDefault="005132EF" w:rsidP="00034AD4">
            <w:pPr>
              <w:keepNext/>
              <w:spacing w:before="0" w:after="0"/>
              <w:jc w:val="center"/>
              <w:rPr>
                <w:color w:val="000000"/>
              </w:rPr>
            </w:pPr>
            <w:r w:rsidRPr="00370E70">
              <w:rPr>
                <w:color w:val="000000"/>
                <w:szCs w:val="22"/>
              </w:rPr>
              <w:t>Effort</w:t>
            </w:r>
          </w:p>
        </w:tc>
        <w:tc>
          <w:tcPr>
            <w:tcW w:w="2083"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color w:val="000000"/>
              </w:rPr>
            </w:pPr>
            <w:r w:rsidRPr="00370E70">
              <w:rPr>
                <w:color w:val="000000"/>
                <w:szCs w:val="22"/>
              </w:rPr>
              <w:t>Nutrient status</w:t>
            </w:r>
          </w:p>
          <w:p w:rsidR="005132EF" w:rsidRPr="00370E70" w:rsidRDefault="005132EF" w:rsidP="00034AD4">
            <w:pPr>
              <w:keepNext/>
              <w:spacing w:before="0" w:after="0"/>
              <w:jc w:val="center"/>
              <w:rPr>
                <w:color w:val="000000"/>
              </w:rPr>
            </w:pPr>
            <w:r w:rsidRPr="00370E70">
              <w:rPr>
                <w:color w:val="000000"/>
                <w:szCs w:val="22"/>
              </w:rPr>
              <w:t>(C:N ratio)</w:t>
            </w:r>
          </w:p>
        </w:tc>
        <w:tc>
          <w:tcPr>
            <w:tcW w:w="1532" w:type="dxa"/>
            <w:tcBorders>
              <w:top w:val="single" w:sz="4" w:space="0" w:color="000000"/>
              <w:left w:val="nil"/>
              <w:bottom w:val="single" w:sz="4" w:space="0" w:color="000000"/>
              <w:right w:val="nil"/>
            </w:tcBorders>
            <w:vAlign w:val="center"/>
          </w:tcPr>
          <w:p w:rsidR="005132EF" w:rsidRPr="00370E70" w:rsidRDefault="005132EF" w:rsidP="00034AD4">
            <w:pPr>
              <w:keepNext/>
              <w:spacing w:before="0" w:after="0"/>
              <w:jc w:val="center"/>
              <w:rPr>
                <w:b/>
                <w:bCs/>
                <w:color w:val="000000"/>
              </w:rPr>
            </w:pPr>
            <w:r w:rsidRPr="00370E70">
              <w:rPr>
                <w:b/>
                <w:bCs/>
                <w:color w:val="000000"/>
                <w:szCs w:val="22"/>
              </w:rPr>
              <w:t>Seagrass</w:t>
            </w:r>
          </w:p>
          <w:p w:rsidR="005132EF" w:rsidRPr="00370E70" w:rsidRDefault="005132EF" w:rsidP="00034AD4">
            <w:pPr>
              <w:keepNext/>
              <w:spacing w:before="0" w:after="0"/>
              <w:jc w:val="center"/>
              <w:rPr>
                <w:b/>
                <w:bCs/>
                <w:color w:val="000000"/>
              </w:rPr>
            </w:pPr>
            <w:r w:rsidRPr="00370E70">
              <w:rPr>
                <w:b/>
                <w:bCs/>
                <w:color w:val="000000"/>
                <w:szCs w:val="22"/>
              </w:rPr>
              <w:t>Index</w:t>
            </w:r>
          </w:p>
        </w:tc>
      </w:tr>
      <w:tr w:rsidR="005132EF" w:rsidRPr="00370E70" w:rsidTr="003357B3">
        <w:trPr>
          <w:trHeight w:val="315"/>
          <w:jc w:val="center"/>
        </w:trPr>
        <w:tc>
          <w:tcPr>
            <w:tcW w:w="2040" w:type="dxa"/>
            <w:tcBorders>
              <w:top w:val="single" w:sz="4" w:space="0" w:color="000000"/>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reef intertidal</w:t>
            </w:r>
          </w:p>
        </w:tc>
        <w:tc>
          <w:tcPr>
            <w:tcW w:w="1531"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6</w:t>
            </w:r>
          </w:p>
        </w:tc>
        <w:tc>
          <w:tcPr>
            <w:tcW w:w="1531"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25</w:t>
            </w:r>
          </w:p>
        </w:tc>
        <w:tc>
          <w:tcPr>
            <w:tcW w:w="2083"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17</w:t>
            </w:r>
          </w:p>
        </w:tc>
        <w:tc>
          <w:tcPr>
            <w:tcW w:w="1532"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keepNext/>
              <w:spacing w:before="0" w:after="0"/>
              <w:jc w:val="center"/>
              <w:rPr>
                <w:b/>
                <w:color w:val="000000"/>
                <w:sz w:val="20"/>
                <w:szCs w:val="20"/>
              </w:rPr>
            </w:pPr>
            <w:r w:rsidRPr="00370E70">
              <w:rPr>
                <w:b/>
                <w:color w:val="000000"/>
                <w:sz w:val="20"/>
                <w:szCs w:val="20"/>
              </w:rPr>
              <w:t>16</w:t>
            </w:r>
          </w:p>
        </w:tc>
      </w:tr>
      <w:tr w:rsidR="005132EF" w:rsidRPr="00370E70" w:rsidTr="0034068E">
        <w:trPr>
          <w:trHeight w:val="315"/>
          <w:jc w:val="center"/>
        </w:trPr>
        <w:tc>
          <w:tcPr>
            <w:tcW w:w="2040"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coastal intertidal</w:t>
            </w:r>
          </w:p>
        </w:tc>
        <w:tc>
          <w:tcPr>
            <w:tcW w:w="1531"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25</w:t>
            </w:r>
          </w:p>
        </w:tc>
        <w:tc>
          <w:tcPr>
            <w:tcW w:w="153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0</w:t>
            </w:r>
          </w:p>
        </w:tc>
        <w:tc>
          <w:tcPr>
            <w:tcW w:w="2083"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46</w:t>
            </w:r>
          </w:p>
        </w:tc>
        <w:tc>
          <w:tcPr>
            <w:tcW w:w="153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5132EF" w:rsidRPr="00370E70" w:rsidRDefault="005132EF" w:rsidP="00034AD4">
            <w:pPr>
              <w:keepNext/>
              <w:spacing w:before="0" w:after="0"/>
              <w:jc w:val="center"/>
              <w:rPr>
                <w:b/>
                <w:color w:val="000000"/>
                <w:sz w:val="20"/>
                <w:szCs w:val="20"/>
              </w:rPr>
            </w:pPr>
            <w:r w:rsidRPr="00370E70">
              <w:rPr>
                <w:b/>
                <w:color w:val="000000"/>
                <w:sz w:val="20"/>
                <w:szCs w:val="20"/>
              </w:rPr>
              <w:t>24</w:t>
            </w:r>
          </w:p>
        </w:tc>
      </w:tr>
      <w:tr w:rsidR="005132EF" w:rsidRPr="00370E70" w:rsidTr="003357B3">
        <w:trPr>
          <w:trHeight w:val="315"/>
          <w:jc w:val="center"/>
        </w:trPr>
        <w:tc>
          <w:tcPr>
            <w:tcW w:w="2040" w:type="dxa"/>
            <w:tcBorders>
              <w:top w:val="single" w:sz="4" w:space="0" w:color="FFFFFF"/>
              <w:left w:val="single" w:sz="4" w:space="0" w:color="FFFFFF"/>
              <w:bottom w:val="single" w:sz="4" w:space="0" w:color="000000"/>
              <w:right w:val="single" w:sz="4" w:space="0" w:color="FFFFFF"/>
            </w:tcBorders>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estuarine intertidal</w:t>
            </w:r>
          </w:p>
        </w:tc>
        <w:tc>
          <w:tcPr>
            <w:tcW w:w="1531"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47</w:t>
            </w:r>
          </w:p>
        </w:tc>
        <w:tc>
          <w:tcPr>
            <w:tcW w:w="1531" w:type="dxa"/>
            <w:tcBorders>
              <w:top w:val="single" w:sz="4" w:space="0" w:color="FFFFFF"/>
              <w:left w:val="single" w:sz="4" w:space="0" w:color="FFFFFF"/>
              <w:bottom w:val="single" w:sz="4" w:space="0" w:color="000000"/>
              <w:right w:val="single" w:sz="4" w:space="0" w:color="FFFFFF"/>
            </w:tcBorders>
            <w:shd w:val="clear" w:color="auto" w:fill="FFC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25</w:t>
            </w:r>
          </w:p>
        </w:tc>
        <w:tc>
          <w:tcPr>
            <w:tcW w:w="2083" w:type="dxa"/>
            <w:tcBorders>
              <w:top w:val="single" w:sz="4" w:space="0" w:color="FFFFFF"/>
              <w:left w:val="single" w:sz="4" w:space="0" w:color="FFFFFF"/>
              <w:bottom w:val="single" w:sz="4" w:space="0" w:color="000000"/>
              <w:right w:val="single" w:sz="4" w:space="0" w:color="FFFFFF"/>
            </w:tcBorders>
            <w:shd w:val="clear" w:color="auto" w:fill="008000"/>
            <w:noWrap/>
            <w:vAlign w:val="center"/>
          </w:tcPr>
          <w:p w:rsidR="005132EF" w:rsidRPr="00370E70" w:rsidRDefault="005132EF" w:rsidP="00034AD4">
            <w:pPr>
              <w:keepNext/>
              <w:spacing w:before="0" w:after="0"/>
              <w:jc w:val="center"/>
              <w:rPr>
                <w:color w:val="000000"/>
                <w:sz w:val="20"/>
                <w:szCs w:val="20"/>
              </w:rPr>
            </w:pPr>
            <w:r w:rsidRPr="00370E70">
              <w:rPr>
                <w:color w:val="000000"/>
                <w:sz w:val="20"/>
                <w:szCs w:val="20"/>
              </w:rPr>
              <w:t>87</w:t>
            </w:r>
          </w:p>
        </w:tc>
        <w:tc>
          <w:tcPr>
            <w:tcW w:w="1532"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keepNext/>
              <w:spacing w:before="0" w:after="0"/>
              <w:jc w:val="center"/>
              <w:rPr>
                <w:b/>
                <w:color w:val="000000"/>
                <w:sz w:val="20"/>
                <w:szCs w:val="20"/>
              </w:rPr>
            </w:pPr>
            <w:r w:rsidRPr="00370E70">
              <w:rPr>
                <w:b/>
                <w:color w:val="000000"/>
                <w:sz w:val="20"/>
                <w:szCs w:val="20"/>
              </w:rPr>
              <w:t>53</w:t>
            </w:r>
          </w:p>
        </w:tc>
      </w:tr>
      <w:tr w:rsidR="005132EF" w:rsidRPr="00370E70" w:rsidTr="003357B3">
        <w:trPr>
          <w:trHeight w:val="315"/>
          <w:jc w:val="center"/>
        </w:trPr>
        <w:tc>
          <w:tcPr>
            <w:tcW w:w="2040"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34AD4">
            <w:pPr>
              <w:keepNext/>
              <w:spacing w:before="0" w:after="0"/>
              <w:jc w:val="center"/>
              <w:rPr>
                <w:color w:val="000000"/>
              </w:rPr>
            </w:pPr>
            <w:r w:rsidRPr="00370E70">
              <w:rPr>
                <w:color w:val="000000"/>
                <w:szCs w:val="22"/>
              </w:rPr>
              <w:t>Fitzroy</w:t>
            </w:r>
          </w:p>
        </w:tc>
        <w:tc>
          <w:tcPr>
            <w:tcW w:w="1531"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5132EF" w:rsidRPr="00370E70" w:rsidRDefault="005132EF" w:rsidP="00034AD4">
            <w:pPr>
              <w:keepNext/>
              <w:spacing w:before="0" w:after="0"/>
              <w:jc w:val="center"/>
              <w:rPr>
                <w:color w:val="000000"/>
              </w:rPr>
            </w:pPr>
            <w:r w:rsidRPr="00370E70">
              <w:rPr>
                <w:color w:val="000000"/>
                <w:szCs w:val="22"/>
              </w:rPr>
              <w:t>31</w:t>
            </w:r>
          </w:p>
        </w:tc>
        <w:tc>
          <w:tcPr>
            <w:tcW w:w="1531"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keepNext/>
              <w:spacing w:before="0" w:after="0"/>
              <w:jc w:val="center"/>
              <w:rPr>
                <w:color w:val="000000"/>
              </w:rPr>
            </w:pPr>
            <w:r w:rsidRPr="00370E70">
              <w:rPr>
                <w:color w:val="000000"/>
                <w:szCs w:val="22"/>
              </w:rPr>
              <w:t>17</w:t>
            </w:r>
          </w:p>
        </w:tc>
        <w:tc>
          <w:tcPr>
            <w:tcW w:w="2083" w:type="dxa"/>
            <w:tcBorders>
              <w:top w:val="single" w:sz="4" w:space="0" w:color="000000"/>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keepNext/>
              <w:spacing w:before="0" w:after="0"/>
              <w:jc w:val="center"/>
              <w:rPr>
                <w:color w:val="000000"/>
              </w:rPr>
            </w:pPr>
            <w:r w:rsidRPr="00370E70">
              <w:rPr>
                <w:color w:val="000000"/>
                <w:szCs w:val="22"/>
              </w:rPr>
              <w:t>50</w:t>
            </w:r>
          </w:p>
        </w:tc>
        <w:tc>
          <w:tcPr>
            <w:tcW w:w="1532"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5132EF" w:rsidRPr="00370E70" w:rsidRDefault="005132EF" w:rsidP="00034AD4">
            <w:pPr>
              <w:keepNext/>
              <w:spacing w:before="0" w:after="0"/>
              <w:jc w:val="center"/>
              <w:rPr>
                <w:b/>
                <w:color w:val="000000"/>
              </w:rPr>
            </w:pPr>
            <w:r w:rsidRPr="00370E70">
              <w:rPr>
                <w:b/>
                <w:color w:val="000000"/>
                <w:szCs w:val="22"/>
              </w:rPr>
              <w:t>33</w:t>
            </w:r>
          </w:p>
        </w:tc>
      </w:tr>
    </w:tbl>
    <w:p w:rsidR="005132EF" w:rsidRPr="00370E70" w:rsidRDefault="005132EF" w:rsidP="00034AD4">
      <w:pPr>
        <w:rPr>
          <w:color w:val="000000"/>
          <w:szCs w:val="22"/>
        </w:rPr>
      </w:pPr>
    </w:p>
    <w:p w:rsidR="005132EF" w:rsidRPr="00370E70" w:rsidRDefault="005132EF" w:rsidP="00034AD4">
      <w:pPr>
        <w:pStyle w:val="Heading3"/>
        <w:rPr>
          <w:color w:val="000000"/>
        </w:rPr>
      </w:pPr>
      <w:bookmarkStart w:id="652" w:name="_Toc184102025"/>
      <w:bookmarkStart w:id="653" w:name="_Toc384196148"/>
      <w:r w:rsidRPr="00370E70">
        <w:rPr>
          <w:color w:val="000000"/>
        </w:rPr>
        <w:t>Background</w:t>
      </w:r>
      <w:bookmarkEnd w:id="652"/>
      <w:bookmarkEnd w:id="653"/>
    </w:p>
    <w:p w:rsidR="005132EF" w:rsidRPr="00370E70" w:rsidRDefault="005132EF" w:rsidP="00034AD4">
      <w:pPr>
        <w:rPr>
          <w:color w:val="000000"/>
          <w:szCs w:val="22"/>
        </w:rPr>
      </w:pPr>
      <w:r w:rsidRPr="00370E70">
        <w:rPr>
          <w:color w:val="000000"/>
          <w:szCs w:val="22"/>
        </w:rPr>
        <w:t>The Fitzroy region covers an area of nearly 300,000 km</w:t>
      </w:r>
      <w:r w:rsidRPr="00370E70">
        <w:rPr>
          <w:color w:val="000000"/>
          <w:szCs w:val="22"/>
          <w:vertAlign w:val="superscript"/>
        </w:rPr>
        <w:t>2</w:t>
      </w:r>
      <w:r w:rsidRPr="00370E70">
        <w:rPr>
          <w:color w:val="000000"/>
          <w:szCs w:val="22"/>
        </w:rPr>
        <w:t>. It extends from Nebo in the north to Wandoan in the south, and to the Gemfields in the west and encompasses the major systems of the Fitzroy, Boyne, and Calliope rivers as well as the catchments of the smaller coastal streams of the Capricorn and Curtis Coasts (</w:t>
      </w:r>
      <w:hyperlink w:anchor="_ENREF_48" w:tooltip="Commonwealth of Australia, 2013 #9683" w:history="1">
        <w:r w:rsidR="00964A70" w:rsidRPr="00370E70">
          <w:rPr>
            <w:color w:val="000000"/>
          </w:rPr>
          <w:fldChar w:fldCharType="begin"/>
        </w:r>
        <w:r w:rsidR="00964A70" w:rsidRPr="00370E70">
          <w:rPr>
            <w:color w:val="000000"/>
          </w:rPr>
          <w:instrText xml:space="preserve"> ADDIN EN.CITE &lt;EndNote&gt;&lt;Cite&gt;&lt;Author&gt;Commonwealth of Australia&lt;/Author&gt;&lt;Year&gt;2013&lt;/Year&gt;&lt;RecNum&gt;9683&lt;/RecNum&gt;&lt;DisplayText&gt;Commonwealth of Australia 2013c&lt;/DisplayText&gt;&lt;record&gt;&lt;rec-number&gt;9683&lt;/rec-number&gt;&lt;foreign-keys&gt;&lt;key app="EN" db-id="0eve55x9y5vfd6e9dacxtew4eatve2dzds9a"&gt;9683&lt;/key&gt;&lt;/foreign-keys&gt;&lt;ref-type name="Web Page"&gt;12&lt;/ref-type&gt;&lt;contributors&gt;&lt;authors&gt;&lt;author&gt;Commonwealth of Australia,&lt;/author&gt;&lt;/authors&gt;&lt;/contributors&gt;&lt;titles&gt;&lt;title&gt;Fitzroy Natural Resource Management region, http://www.nrm.gov.au/about/nrm/regions/qld-fitz.html&lt;/title&gt;&lt;/titles&gt;&lt;number&gt;18 February 2014&lt;/number&gt;&lt;dates&gt;&lt;year&gt;2013&lt;/year&gt;&lt;/dates&gt;&lt;urls&gt;&lt;related-urls&gt;&lt;url&gt;http://www.nrm.gov.au/about/nrm/regions/qld-fitz.html&lt;/url&gt;&lt;/related-urls&gt;&lt;/urls&gt;&lt;/record&gt;&lt;/Cite&gt;&lt;/EndNote&gt;</w:instrText>
        </w:r>
        <w:r w:rsidR="00964A70" w:rsidRPr="00370E70">
          <w:rPr>
            <w:color w:val="000000"/>
          </w:rPr>
          <w:fldChar w:fldCharType="separate"/>
        </w:r>
        <w:r w:rsidR="00964A70" w:rsidRPr="00370E70">
          <w:rPr>
            <w:noProof/>
            <w:color w:val="000000"/>
          </w:rPr>
          <w:t>Commonwealth of Australia 2013c</w:t>
        </w:r>
        <w:r w:rsidR="00964A70" w:rsidRPr="00370E70">
          <w:rPr>
            <w:color w:val="000000"/>
          </w:rPr>
          <w:fldChar w:fldCharType="end"/>
        </w:r>
      </w:hyperlink>
      <w:r w:rsidRPr="00370E70">
        <w:rPr>
          <w:color w:val="000000"/>
          <w:szCs w:val="22"/>
        </w:rPr>
        <w:t xml:space="preserve">). The </w:t>
      </w:r>
      <w:smartTag w:uri="urn:schemas-microsoft-com:office:smarttags" w:element="PlaceName">
        <w:r w:rsidRPr="00370E70">
          <w:rPr>
            <w:color w:val="000000"/>
            <w:szCs w:val="22"/>
          </w:rPr>
          <w:t>Fitzroy</w:t>
        </w:r>
      </w:smartTag>
      <w:r w:rsidRPr="00370E70">
        <w:rPr>
          <w:color w:val="000000"/>
          <w:szCs w:val="22"/>
        </w:rPr>
        <w:t xml:space="preserve"> </w:t>
      </w:r>
      <w:smartTag w:uri="urn:schemas-microsoft-com:office:smarttags" w:element="PlaceType">
        <w:r w:rsidRPr="00370E70">
          <w:rPr>
            <w:color w:val="000000"/>
            <w:szCs w:val="22"/>
          </w:rPr>
          <w:t>River</w:t>
        </w:r>
      </w:smartTag>
      <w:r w:rsidRPr="00370E70">
        <w:rPr>
          <w:color w:val="000000"/>
          <w:szCs w:val="22"/>
        </w:rPr>
        <w:t xml:space="preserve"> is the largest river system running to the east coast of </w:t>
      </w:r>
      <w:smartTag w:uri="urn:schemas-microsoft-com:office:smarttags" w:element="place">
        <w:smartTag w:uri="urn:schemas-microsoft-com:office:smarttags" w:element="country-region">
          <w:r w:rsidRPr="00370E70">
            <w:rPr>
              <w:color w:val="000000"/>
              <w:szCs w:val="22"/>
            </w:rPr>
            <w:t>Australia</w:t>
          </w:r>
        </w:smartTag>
      </w:smartTag>
      <w:r w:rsidRPr="00370E70">
        <w:rPr>
          <w:color w:val="000000"/>
          <w:szCs w:val="22"/>
        </w:rPr>
        <w:t xml:space="preserve">. The Boyne and </w:t>
      </w:r>
      <w:smartTag w:uri="urn:schemas-microsoft-com:office:smarttags" w:element="PlaceName">
        <w:r w:rsidRPr="00370E70">
          <w:rPr>
            <w:color w:val="000000"/>
            <w:szCs w:val="22"/>
          </w:rPr>
          <w:t>Calliope</w:t>
        </w:r>
      </w:smartTag>
      <w:r w:rsidRPr="00370E70">
        <w:rPr>
          <w:color w:val="000000"/>
          <w:szCs w:val="22"/>
        </w:rPr>
        <w:t xml:space="preserve"> </w:t>
      </w:r>
      <w:smartTag w:uri="urn:schemas-microsoft-com:office:smarttags" w:element="PlaceType">
        <w:r w:rsidRPr="00370E70">
          <w:rPr>
            <w:color w:val="000000"/>
            <w:szCs w:val="22"/>
          </w:rPr>
          <w:t>Rivers</w:t>
        </w:r>
      </w:smartTag>
      <w:r w:rsidRPr="00370E70">
        <w:rPr>
          <w:color w:val="000000"/>
          <w:szCs w:val="22"/>
        </w:rPr>
        <w:t xml:space="preserve"> drain the southern part of the region, entering the GBR lagoon at </w:t>
      </w:r>
      <w:smartTag w:uri="urn:schemas-microsoft-com:office:smarttags" w:element="place">
        <w:smartTag w:uri="urn:schemas-microsoft-com:office:smarttags" w:element="City">
          <w:r w:rsidRPr="00370E70">
            <w:rPr>
              <w:color w:val="000000"/>
              <w:szCs w:val="22"/>
            </w:rPr>
            <w:t>Gladstone</w:t>
          </w:r>
        </w:smartTag>
      </w:smartTag>
      <w:r w:rsidRPr="00370E70">
        <w:rPr>
          <w:color w:val="000000"/>
          <w:szCs w:val="22"/>
        </w:rPr>
        <w:t xml:space="preserve">. The region covers ten percent of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’s land area and is home to approximately 200,000 people. It is one of the richest areas in the state in terms of land, mineral and water resources and supports grazing, irrigated and dryland agriculture, mining, forestry and tourism land uses (</w:t>
      </w:r>
      <w:hyperlink w:anchor="_ENREF_35" w:tooltip="Christensen, 2006 #9684" w:history="1">
        <w:r w:rsidR="00964A70" w:rsidRPr="00370E70">
          <w:rPr>
            <w:color w:val="000000"/>
            <w:szCs w:val="22"/>
          </w:rPr>
          <w:fldChar w:fldCharType="begin"/>
        </w:r>
        <w:r w:rsidR="00964A70" w:rsidRPr="00370E70">
          <w:rPr>
            <w:color w:val="000000"/>
            <w:szCs w:val="22"/>
          </w:rPr>
          <w:instrText xml:space="preserve"> ADDIN EN.CITE &lt;EndNote&gt;&lt;Cite&gt;&lt;Author&gt;Christensen&lt;/Author&gt;&lt;Year&gt;2006&lt;/Year&gt;&lt;RecNum&gt;9684&lt;/RecNum&gt;&lt;DisplayText&gt;Christensen&lt;style face="italic"&gt; et al.&lt;/style&gt; 2006&lt;/DisplayText&gt;&lt;record&gt;&lt;rec-number&gt;9684&lt;/rec-number&gt;&lt;foreign-keys&gt;&lt;key app="EN" db-id="0eve55x9y5vfd6e9dacxtew4eatve2dzds9a"&gt;9684&lt;/key&gt;&lt;/foreign-keys&gt;&lt;ref-type name="Book"&gt;6&lt;/ref-type&gt;&lt;contributors&gt;&lt;authors&gt;&lt;author&gt;Christensen, Suzie&lt;/author&gt;&lt;author&gt;Rodgers, Claire&lt;/author&gt;&lt;author&gt;Fitzroy Basin Association, Inc&lt;/author&gt;&lt;/authors&gt;&lt;/contributors&gt;&lt;titles&gt;&lt;title&gt;Central Queensland strategy for sustainability : 2004 and beyond. &lt;/title&gt;&lt;/titles&gt;&lt;pages&gt; 238&lt;/pages&gt;&lt;dates&gt;&lt;year&gt;2006&lt;/year&gt;&lt;/dates&gt;&lt;pub-location&gt;Rockhampton, Qld&lt;/pub-location&gt;&lt;publisher&gt;Fitzroy Basin Association&lt;/publisher&gt;&lt;urls&gt;&lt;/urls&gt;&lt;/record&gt;&lt;/Cite&gt;&lt;/EndNote&gt;</w:instrText>
        </w:r>
        <w:r w:rsidR="00964A70" w:rsidRPr="00370E70">
          <w:rPr>
            <w:color w:val="000000"/>
            <w:szCs w:val="22"/>
          </w:rPr>
          <w:fldChar w:fldCharType="separate"/>
        </w:r>
        <w:r w:rsidR="00964A70" w:rsidRPr="00370E70">
          <w:rPr>
            <w:noProof/>
            <w:color w:val="000000"/>
            <w:szCs w:val="22"/>
          </w:rPr>
          <w:t>Christensen</w:t>
        </w:r>
        <w:r w:rsidR="00964A70" w:rsidRPr="00370E70">
          <w:rPr>
            <w:i/>
            <w:noProof/>
            <w:color w:val="000000"/>
            <w:szCs w:val="22"/>
          </w:rPr>
          <w:t xml:space="preserve"> et al.</w:t>
        </w:r>
        <w:r w:rsidR="00964A70" w:rsidRPr="00370E70">
          <w:rPr>
            <w:noProof/>
            <w:color w:val="000000"/>
            <w:szCs w:val="22"/>
          </w:rPr>
          <w:t xml:space="preserve"> 2006</w:t>
        </w:r>
        <w:r w:rsidR="00964A70" w:rsidRPr="00370E70">
          <w:rPr>
            <w:color w:val="000000"/>
            <w:szCs w:val="22"/>
          </w:rPr>
          <w:fldChar w:fldCharType="end"/>
        </w:r>
      </w:hyperlink>
      <w:r w:rsidRPr="00370E70">
        <w:rPr>
          <w:color w:val="000000"/>
          <w:szCs w:val="22"/>
        </w:rPr>
        <w:t xml:space="preserve">). Agricultural production constitutes the largest land use in </w:t>
      </w:r>
      <w:smartTag w:uri="urn:schemas-microsoft-com:office:smarttags" w:element="place">
        <w:r w:rsidRPr="00370E70">
          <w:rPr>
            <w:color w:val="000000"/>
            <w:szCs w:val="22"/>
          </w:rPr>
          <w:t>Central Queensland</w:t>
        </w:r>
      </w:smartTag>
      <w:r w:rsidRPr="00370E70">
        <w:rPr>
          <w:color w:val="000000"/>
          <w:szCs w:val="22"/>
        </w:rPr>
        <w:t xml:space="preserve">, with nearly 90% of the land under agricultural production. Concomitant with this land use is the usual concern of the quality of the water that is entering the GBR lagoon. While streams further north deliver water to the lagoon every year, about once per decade the Fitzroy floods to an extent that affects the Reef. However, the smaller annual flows deliver sediments and nutrients affecting coastal habitats. </w:t>
      </w:r>
    </w:p>
    <w:p w:rsidR="005132EF" w:rsidRPr="00370E70" w:rsidRDefault="005132EF" w:rsidP="00034AD4">
      <w:pPr>
        <w:rPr>
          <w:color w:val="000000"/>
          <w:szCs w:val="22"/>
        </w:rPr>
      </w:pPr>
      <w:r w:rsidRPr="00370E70">
        <w:rPr>
          <w:color w:val="000000"/>
          <w:szCs w:val="22"/>
        </w:rPr>
        <w:t xml:space="preserve">The Fitzroy region experiences a tropical to subtropical humid to semi arid climate. Annual median rainfall throughout the region is highly variable, ranging from about 600 mm annually at Emerald to more than 800 mm along the coast, and over 1000mm in the north, where coastal ranges trap moist on-shore airflow. Most rain falls in the summer, with many winters experiencing no rain at all. Because of the tropical influence on rainfall patterns, heavy storms can trigger flash flooding, and occasional cyclones wreak havoc. </w:t>
      </w:r>
    </w:p>
    <w:p w:rsidR="005132EF" w:rsidRPr="00370E70" w:rsidRDefault="005132EF" w:rsidP="00034AD4">
      <w:pPr>
        <w:rPr>
          <w:color w:val="000000"/>
          <w:szCs w:val="22"/>
        </w:rPr>
      </w:pPr>
      <w:r w:rsidRPr="00370E70">
        <w:rPr>
          <w:color w:val="000000"/>
          <w:szCs w:val="22"/>
        </w:rPr>
        <w:t xml:space="preserve">Reef Rescue monitoring sites within this region are located in coastal, estuarine or fringing-reef seagrass habitats. Coastal sites are monitored in </w:t>
      </w:r>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w:t>
      </w:r>
      <w:r w:rsidR="00044EF7" w:rsidRPr="00370E70">
        <w:rPr>
          <w:color w:val="000000"/>
          <w:szCs w:val="22"/>
        </w:rPr>
        <w:t>(</w:t>
      </w:r>
      <w:r w:rsidR="00044EF7" w:rsidRPr="00370E70">
        <w:rPr>
          <w:color w:val="000000"/>
          <w:szCs w:val="22"/>
        </w:rPr>
        <w:fldChar w:fldCharType="begin"/>
      </w:r>
      <w:r w:rsidR="00044EF7" w:rsidRPr="00370E70">
        <w:rPr>
          <w:color w:val="000000"/>
          <w:szCs w:val="22"/>
        </w:rPr>
        <w:instrText xml:space="preserve"> REF _Ref179509250 \h </w:instrText>
      </w:r>
      <w:r w:rsidR="00044EF7" w:rsidRPr="00370E70">
        <w:rPr>
          <w:color w:val="000000"/>
          <w:szCs w:val="22"/>
        </w:rPr>
      </w:r>
      <w:r w:rsidR="00044EF7"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141</w:t>
      </w:r>
      <w:r w:rsidR="00044EF7" w:rsidRPr="00370E70">
        <w:rPr>
          <w:color w:val="000000"/>
          <w:szCs w:val="22"/>
        </w:rPr>
        <w:fldChar w:fldCharType="end"/>
      </w:r>
      <w:r w:rsidR="00044EF7" w:rsidRPr="00370E70">
        <w:rPr>
          <w:color w:val="000000"/>
          <w:szCs w:val="22"/>
        </w:rPr>
        <w:t xml:space="preserve">) </w:t>
      </w:r>
      <w:r w:rsidRPr="00370E70">
        <w:rPr>
          <w:color w:val="000000"/>
          <w:szCs w:val="22"/>
        </w:rPr>
        <w:t xml:space="preserve">and are located on the large intertidal flats of the north western shores of </w:t>
      </w:r>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The remoteness of this area (due to its zoning as a military exclusion zone) represents a near pristine environment, removed form anthropogenic influence. In contrast, the estuarine sites are located within </w:t>
      </w:r>
      <w:smartTag w:uri="urn:schemas-microsoft-com:office:smarttags" w:element="place">
        <w:smartTag w:uri="urn:schemas-microsoft-com:office:smarttags" w:element="PlaceName">
          <w:r w:rsidRPr="00370E70">
            <w:rPr>
              <w:color w:val="000000"/>
              <w:szCs w:val="22"/>
            </w:rPr>
            <w:t>Gladstone</w:t>
          </w:r>
        </w:smartTag>
        <w:r w:rsidRPr="00370E70">
          <w:rPr>
            <w:color w:val="000000"/>
            <w:szCs w:val="22"/>
          </w:rPr>
          <w:t xml:space="preserve"> </w:t>
        </w:r>
        <w:smartTag w:uri="urn:schemas-microsoft-com:office:smarttags" w:element="PlaceType">
          <w:r w:rsidRPr="00370E70">
            <w:rPr>
              <w:color w:val="000000"/>
              <w:szCs w:val="22"/>
            </w:rPr>
            <w:t>Harbour</w:t>
          </w:r>
        </w:smartTag>
      </w:smartTag>
      <w:r w:rsidRPr="00370E70">
        <w:rPr>
          <w:color w:val="000000"/>
          <w:szCs w:val="22"/>
        </w:rPr>
        <w:t xml:space="preserve">: a heavily industrialized port. </w:t>
      </w:r>
      <w:r w:rsidR="0051765B" w:rsidRPr="00370E70">
        <w:rPr>
          <w:color w:val="000000"/>
          <w:szCs w:val="22"/>
        </w:rPr>
        <w:t>R</w:t>
      </w:r>
      <w:r w:rsidRPr="00370E70">
        <w:rPr>
          <w:color w:val="000000"/>
          <w:szCs w:val="22"/>
        </w:rPr>
        <w:t xml:space="preserve">eef sites are located at </w:t>
      </w:r>
      <w:smartTag w:uri="urn:schemas-microsoft-com:office:smarttags" w:element="PlaceName">
        <w:r w:rsidRPr="00370E70">
          <w:rPr>
            <w:color w:val="000000"/>
            <w:szCs w:val="22"/>
          </w:rPr>
          <w:t>Monkey</w:t>
        </w:r>
      </w:smartTag>
      <w:r w:rsidRPr="00370E70">
        <w:rPr>
          <w:color w:val="000000"/>
          <w:szCs w:val="22"/>
        </w:rPr>
        <w:t xml:space="preserve"> </w:t>
      </w:r>
      <w:smartTag w:uri="urn:schemas-microsoft-com:office:smarttags" w:element="PlaceType">
        <w:r w:rsidRPr="00370E70">
          <w:rPr>
            <w:color w:val="000000"/>
            <w:szCs w:val="22"/>
          </w:rPr>
          <w:t>Beach</w:t>
        </w:r>
      </w:smartTag>
      <w:r w:rsidRPr="00370E70">
        <w:rPr>
          <w:color w:val="000000"/>
          <w:szCs w:val="22"/>
        </w:rPr>
        <w:t xml:space="preserve">,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00044EF7" w:rsidRPr="00370E70">
        <w:rPr>
          <w:color w:val="000000"/>
          <w:szCs w:val="22"/>
        </w:rPr>
        <w:t xml:space="preserve"> (</w:t>
      </w:r>
      <w:r w:rsidR="00044EF7" w:rsidRPr="00370E70">
        <w:rPr>
          <w:color w:val="000000"/>
          <w:szCs w:val="22"/>
        </w:rPr>
        <w:fldChar w:fldCharType="begin"/>
      </w:r>
      <w:r w:rsidR="00044EF7" w:rsidRPr="00370E70">
        <w:rPr>
          <w:color w:val="000000"/>
          <w:szCs w:val="22"/>
        </w:rPr>
        <w:instrText xml:space="preserve"> REF _Ref179509250 \h </w:instrText>
      </w:r>
      <w:r w:rsidR="00044EF7" w:rsidRPr="00370E70">
        <w:rPr>
          <w:color w:val="000000"/>
          <w:szCs w:val="22"/>
        </w:rPr>
      </w:r>
      <w:r w:rsidR="00044EF7"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141</w:t>
      </w:r>
      <w:r w:rsidR="00044EF7" w:rsidRPr="00370E70">
        <w:rPr>
          <w:color w:val="000000"/>
          <w:szCs w:val="22"/>
        </w:rPr>
        <w:fldChar w:fldCharType="end"/>
      </w:r>
      <w:r w:rsidR="00044EF7" w:rsidRPr="00370E70">
        <w:rPr>
          <w:color w:val="000000"/>
          <w:szCs w:val="22"/>
        </w:rPr>
        <w:t>)</w:t>
      </w:r>
      <w:r w:rsidRPr="00370E70">
        <w:rPr>
          <w:color w:val="000000"/>
          <w:szCs w:val="22"/>
        </w:rPr>
        <w:t>.</w:t>
      </w:r>
    </w:p>
    <w:p w:rsidR="005132EF" w:rsidRPr="00370E70" w:rsidRDefault="005132EF" w:rsidP="00034AD4">
      <w:pPr>
        <w:rPr>
          <w:color w:val="000000"/>
          <w:szCs w:val="22"/>
        </w:rPr>
      </w:pPr>
      <w:r w:rsidRPr="00370E70">
        <w:rPr>
          <w:color w:val="000000"/>
          <w:szCs w:val="22"/>
        </w:rPr>
        <w:t xml:space="preserve">The </w:t>
      </w:r>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monitoring sites are located in a bay which is a continuation of an estuarine meadow that is protected by headlands. A feature of the region is the large tidal amplitudes and consequent strong tidal currents (</w:t>
      </w:r>
      <w:r w:rsidRPr="00370E70">
        <w:rPr>
          <w:color w:val="000000"/>
        </w:rPr>
        <w:fldChar w:fldCharType="begin"/>
      </w:r>
      <w:r w:rsidRPr="00370E70">
        <w:rPr>
          <w:color w:val="000000"/>
        </w:rPr>
        <w:instrText xml:space="preserve"> REF _Ref179509173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142</w:t>
      </w:r>
      <w:r w:rsidRPr="00370E70">
        <w:rPr>
          <w:color w:val="000000"/>
        </w:rPr>
        <w:fldChar w:fldCharType="end"/>
      </w:r>
      <w:r w:rsidRPr="00370E70">
        <w:rPr>
          <w:color w:val="000000"/>
          <w:szCs w:val="22"/>
        </w:rPr>
        <w:t xml:space="preserve">). As part of this tidal regime, large intertidal banks are formed which are left exposed for many hours. Pooling of water in the high intertidal, results in small isolated seagrass patches 1-2m above Mean Sea Level (MSL). </w:t>
      </w:r>
    </w:p>
    <w:p w:rsidR="001E675A" w:rsidRPr="00370E70" w:rsidRDefault="007B15AB" w:rsidP="001E675A">
      <w:pPr>
        <w:pStyle w:val="normaltext"/>
        <w:keepNext/>
        <w:spacing w:before="240"/>
        <w:rPr>
          <w:color w:val="000000"/>
        </w:rPr>
      </w:pPr>
      <w:r>
        <w:rPr>
          <w:noProof/>
          <w:color w:val="000000"/>
          <w:lang w:eastAsia="en-AU"/>
        </w:rPr>
        <w:lastRenderedPageBreak/>
        <w:drawing>
          <wp:inline distT="0" distB="0" distL="0" distR="0">
            <wp:extent cx="5756910" cy="7225030"/>
            <wp:effectExtent l="0" t="0" r="0" b="0"/>
            <wp:docPr id="186" name="Picture 186" descr="Map showing the location of Fitzroy region long-term monitoring site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Map showing the location of Fitzroy region long-term monitoring sites and the seagrass species composition at each site"/>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1E675A" w:rsidRPr="00370E70" w:rsidRDefault="001E675A" w:rsidP="001E675A">
      <w:pPr>
        <w:pStyle w:val="Caption"/>
        <w:rPr>
          <w:i/>
          <w:vanish/>
          <w:color w:val="000000"/>
          <w:szCs w:val="22"/>
          <w:lang w:val="en-AU"/>
          <w:specVanish/>
        </w:rPr>
      </w:pPr>
      <w:bookmarkStart w:id="654" w:name="_Ref179509250"/>
      <w:bookmarkStart w:id="655" w:name="_Toc384196488"/>
      <w:bookmarkStart w:id="656" w:name="_Toc176158917"/>
      <w:bookmarkStart w:id="657" w:name="_Toc23284601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141</w:t>
      </w:r>
      <w:r w:rsidRPr="00370E70">
        <w:rPr>
          <w:lang w:val="en-AU"/>
        </w:rPr>
        <w:fldChar w:fldCharType="end"/>
      </w:r>
      <w:bookmarkEnd w:id="654"/>
      <w:r w:rsidRPr="00370E70">
        <w:rPr>
          <w:rStyle w:val="StyleCaptionCaptionCharCharLatinCalibri11ptBlackChar"/>
          <w:lang w:val="en-AU"/>
        </w:rPr>
        <w:t>.</w:t>
      </w:r>
      <w:r w:rsidRPr="00370E70">
        <w:rPr>
          <w:lang w:val="en-AU"/>
        </w:rPr>
        <w:t xml:space="preserve"> </w:t>
      </w:r>
      <w:r w:rsidRPr="00370E70">
        <w:rPr>
          <w:i/>
          <w:lang w:val="en-AU"/>
        </w:rPr>
        <w:t>Location of Fitzroy region long-term monitoring sites and the seagrass species composition at each site.</w:t>
      </w:r>
      <w:bookmarkEnd w:id="655"/>
      <w:r w:rsidRPr="00370E70">
        <w:rPr>
          <w:i/>
          <w:lang w:val="en-AU"/>
        </w:rPr>
        <w:t xml:space="preserve"> </w:t>
      </w:r>
      <w:bookmarkEnd w:id="656"/>
      <w:bookmarkEnd w:id="657"/>
    </w:p>
    <w:p w:rsidR="001E675A" w:rsidRPr="00370E70" w:rsidRDefault="001E675A" w:rsidP="001E675A">
      <w:pPr>
        <w:pStyle w:val="Caption"/>
        <w:rPr>
          <w:lang w:val="en-AU"/>
        </w:rPr>
      </w:pPr>
      <w:r w:rsidRPr="00370E70">
        <w:rPr>
          <w:i/>
          <w:lang w:val="en-AU"/>
        </w:rPr>
        <w:t>Please note: some replicate sites within 500m of each other.</w:t>
      </w:r>
      <w:r w:rsidRPr="00370E70">
        <w:rPr>
          <w:lang w:val="en-AU"/>
        </w:rPr>
        <w:t xml:space="preserve"> </w:t>
      </w:r>
    </w:p>
    <w:p w:rsidR="001E675A" w:rsidRPr="00370E70" w:rsidRDefault="001E675A" w:rsidP="00034AD4">
      <w:pPr>
        <w:rPr>
          <w:color w:val="000000"/>
          <w:szCs w:val="22"/>
        </w:rPr>
      </w:pPr>
    </w:p>
    <w:p w:rsidR="005132EF" w:rsidRPr="00370E70" w:rsidRDefault="007B15AB" w:rsidP="00034AD4">
      <w:pPr>
        <w:keepNext/>
        <w:jc w:val="center"/>
        <w:rPr>
          <w:color w:val="000000"/>
          <w:szCs w:val="22"/>
        </w:rPr>
      </w:pPr>
      <w:r>
        <w:rPr>
          <w:noProof/>
          <w:color w:val="000000"/>
          <w:szCs w:val="22"/>
          <w:lang w:eastAsia="en-AU"/>
        </w:rPr>
        <w:lastRenderedPageBreak/>
        <w:drawing>
          <wp:inline distT="0" distB="0" distL="0" distR="0">
            <wp:extent cx="5756910" cy="2189480"/>
            <wp:effectExtent l="0" t="0" r="0" b="1270"/>
            <wp:docPr id="187" name="Picture 187" descr="Conceptual diagram of coastal habitat in the Fitzroy region – major control is pulsed light, salinity and temperature extremes: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Conceptual diagram of coastal habitat in the Fitzroy region – major control is pulsed light, salinity and temperature extremes: general habitat, seagrass meadow processes and threats/impacts"/>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5756910" cy="2189480"/>
                    </a:xfrm>
                    <a:prstGeom prst="rect">
                      <a:avLst/>
                    </a:prstGeom>
                    <a:noFill/>
                    <a:ln>
                      <a:noFill/>
                    </a:ln>
                  </pic:spPr>
                </pic:pic>
              </a:graphicData>
            </a:graphic>
          </wp:inline>
        </w:drawing>
      </w:r>
    </w:p>
    <w:p w:rsidR="00F6594D" w:rsidRPr="00370E70" w:rsidRDefault="005132EF" w:rsidP="00F6594D">
      <w:pPr>
        <w:pStyle w:val="Caption"/>
        <w:rPr>
          <w:i/>
          <w:vanish/>
          <w:color w:val="000000"/>
          <w:szCs w:val="22"/>
          <w:lang w:val="en-AU"/>
          <w:specVanish/>
        </w:rPr>
      </w:pPr>
      <w:bookmarkStart w:id="658" w:name="_Ref179509173"/>
      <w:bookmarkStart w:id="659" w:name="_Toc384196489"/>
      <w:bookmarkStart w:id="660" w:name="_Toc176158915"/>
      <w:bookmarkStart w:id="661" w:name="_Toc23284601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142</w:t>
      </w:r>
      <w:r w:rsidRPr="00370E70">
        <w:rPr>
          <w:lang w:val="en-AU"/>
        </w:rPr>
        <w:fldChar w:fldCharType="end"/>
      </w:r>
      <w:bookmarkEnd w:id="658"/>
      <w:r w:rsidRPr="00370E70">
        <w:rPr>
          <w:rStyle w:val="StyleCaptionCaptionCharCharLatinCalibri11ptBlackChar"/>
          <w:lang w:val="en-AU"/>
        </w:rPr>
        <w:t>.</w:t>
      </w:r>
      <w:r w:rsidRPr="00370E70">
        <w:rPr>
          <w:lang w:val="en-AU"/>
        </w:rPr>
        <w:t xml:space="preserve"> </w:t>
      </w:r>
      <w:r w:rsidRPr="00370E70">
        <w:rPr>
          <w:i/>
          <w:lang w:val="en-AU"/>
        </w:rPr>
        <w:t>Conceptual diagram of coastal habitat in the Fitzroy region</w:t>
      </w:r>
      <w:bookmarkEnd w:id="659"/>
    </w:p>
    <w:p w:rsidR="00F6594D" w:rsidRPr="00370E70" w:rsidRDefault="005132EF" w:rsidP="00F6594D">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pulsed light, salinity and temperature extremes: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660"/>
      <w:bookmarkEnd w:id="661"/>
      <w:r w:rsidR="00F6594D" w:rsidRPr="00370E70">
        <w:rPr>
          <w:i/>
          <w:lang w:val="en-AU"/>
        </w:rPr>
        <w:t xml:space="preserve"> </w:t>
      </w:r>
    </w:p>
    <w:p w:rsidR="00044EF7" w:rsidRPr="00370E70" w:rsidRDefault="00202432" w:rsidP="00034AD4">
      <w:pPr>
        <w:rPr>
          <w:color w:val="000000"/>
          <w:szCs w:val="22"/>
        </w:rPr>
      </w:pPr>
      <w:r w:rsidRPr="00370E70">
        <w:rPr>
          <w:color w:val="000000"/>
          <w:szCs w:val="22"/>
        </w:rPr>
        <w:t xml:space="preserve">Inshore reef habitat seagrass meadows </w:t>
      </w:r>
      <w:r w:rsidR="00044EF7" w:rsidRPr="00370E70">
        <w:rPr>
          <w:color w:val="000000"/>
          <w:szCs w:val="22"/>
        </w:rPr>
        <w:t xml:space="preserve">are </w:t>
      </w:r>
      <w:r w:rsidRPr="00370E70">
        <w:rPr>
          <w:color w:val="000000"/>
          <w:szCs w:val="22"/>
        </w:rPr>
        <w:t xml:space="preserve">uncommon throughout the region, and are restricted to fringing reefs associated with islands in this region. Inshore turbidity in high due to the large tides, which also </w:t>
      </w:r>
      <w:r w:rsidR="001E675A" w:rsidRPr="00370E70">
        <w:rPr>
          <w:color w:val="000000"/>
          <w:szCs w:val="22"/>
        </w:rPr>
        <w:t>restrict</w:t>
      </w:r>
      <w:r w:rsidRPr="00370E70">
        <w:rPr>
          <w:color w:val="000000"/>
          <w:szCs w:val="22"/>
        </w:rPr>
        <w:t xml:space="preserve"> seagrass to shallow banks.</w:t>
      </w:r>
      <w:r w:rsidR="001E675A" w:rsidRPr="00370E70">
        <w:rPr>
          <w:color w:val="000000"/>
          <w:szCs w:val="22"/>
        </w:rPr>
        <w:t xml:space="preserve"> </w:t>
      </w:r>
      <w:r w:rsidRPr="00370E70">
        <w:rPr>
          <w:color w:val="000000"/>
          <w:szCs w:val="22"/>
        </w:rPr>
        <w:t>The drivers of these habitats are light and temperatures extremes and benthic sheer from the large tides (</w:t>
      </w:r>
      <w:r w:rsidRPr="00370E70">
        <w:rPr>
          <w:color w:val="000000"/>
          <w:szCs w:val="22"/>
        </w:rPr>
        <w:fldChar w:fldCharType="begin"/>
      </w:r>
      <w:r w:rsidRPr="00370E70">
        <w:rPr>
          <w:color w:val="000000"/>
          <w:szCs w:val="22"/>
        </w:rPr>
        <w:instrText xml:space="preserve"> REF _Ref382902269 \h </w:instrText>
      </w:r>
      <w:r w:rsidRPr="00370E70">
        <w:rPr>
          <w:color w:val="000000"/>
          <w:szCs w:val="22"/>
        </w:rPr>
      </w:r>
      <w:r w:rsidRPr="00370E70">
        <w:rPr>
          <w:color w:val="000000"/>
          <w:szCs w:val="22"/>
        </w:rPr>
        <w:fldChar w:fldCharType="separate"/>
      </w:r>
      <w:r w:rsidR="005B5FD6" w:rsidRPr="00370E70">
        <w:t xml:space="preserve">Figure </w:t>
      </w:r>
      <w:r w:rsidR="005B5FD6">
        <w:rPr>
          <w:noProof/>
        </w:rPr>
        <w:t>143</w:t>
      </w:r>
      <w:r w:rsidRPr="00370E70">
        <w:rPr>
          <w:color w:val="000000"/>
          <w:szCs w:val="22"/>
        </w:rPr>
        <w:fldChar w:fldCharType="end"/>
      </w:r>
      <w:r w:rsidRPr="00370E70">
        <w:rPr>
          <w:color w:val="000000"/>
          <w:szCs w:val="22"/>
        </w:rPr>
        <w:t xml:space="preserve">). The monitoring sites are </w:t>
      </w:r>
      <w:r w:rsidR="00044EF7" w:rsidRPr="00370E70">
        <w:rPr>
          <w:color w:val="000000"/>
          <w:szCs w:val="22"/>
        </w:rPr>
        <w:t xml:space="preserve">located on the shallow fringing reef </w:t>
      </w:r>
      <w:r w:rsidRPr="00370E70">
        <w:rPr>
          <w:color w:val="000000"/>
          <w:szCs w:val="22"/>
        </w:rPr>
        <w:t xml:space="preserve">in </w:t>
      </w:r>
      <w:smartTag w:uri="urn:schemas-microsoft-com:office:smarttags" w:element="PlaceName">
        <w:r w:rsidRPr="00370E70">
          <w:rPr>
            <w:color w:val="000000"/>
            <w:szCs w:val="22"/>
          </w:rPr>
          <w:t>Monkey</w:t>
        </w:r>
      </w:smartTag>
      <w:r w:rsidRPr="00370E70">
        <w:rPr>
          <w:color w:val="000000"/>
          <w:szCs w:val="22"/>
        </w:rPr>
        <w:t xml:space="preserve"> </w:t>
      </w:r>
      <w:smartTag w:uri="urn:schemas-microsoft-com:office:smarttags" w:element="PlaceType">
        <w:r w:rsidRPr="00370E70">
          <w:rPr>
            <w:color w:val="000000"/>
            <w:szCs w:val="22"/>
          </w:rPr>
          <w:t>Beach</w:t>
        </w:r>
      </w:smartTag>
      <w:r w:rsidRPr="00370E70">
        <w:rPr>
          <w:color w:val="000000"/>
          <w:szCs w:val="22"/>
        </w:rPr>
        <w:t xml:space="preserve">, </w:t>
      </w:r>
      <w:r w:rsidR="00044EF7" w:rsidRPr="00370E70">
        <w:rPr>
          <w:color w:val="000000"/>
          <w:szCs w:val="22"/>
        </w:rPr>
        <w:t xml:space="preserve">on the south-western shores of </w:t>
      </w:r>
      <w:smartTag w:uri="urn:schemas-microsoft-com:office:smarttags" w:element="place">
        <w:smartTag w:uri="urn:schemas-microsoft-com:office:smarttags" w:element="PlaceName">
          <w:r w:rsidR="00044EF7" w:rsidRPr="00370E70">
            <w:rPr>
              <w:color w:val="000000"/>
              <w:szCs w:val="22"/>
            </w:rPr>
            <w:t>Great</w:t>
          </w:r>
        </w:smartTag>
        <w:r w:rsidR="00044EF7" w:rsidRPr="00370E70">
          <w:rPr>
            <w:color w:val="000000"/>
            <w:szCs w:val="22"/>
          </w:rPr>
          <w:t xml:space="preserve"> </w:t>
        </w:r>
        <w:smartTag w:uri="urn:schemas-microsoft-com:office:smarttags" w:element="PlaceName">
          <w:r w:rsidR="00044EF7" w:rsidRPr="00370E70">
            <w:rPr>
              <w:color w:val="000000"/>
              <w:szCs w:val="22"/>
            </w:rPr>
            <w:t>Keppel</w:t>
          </w:r>
        </w:smartTag>
        <w:r w:rsidR="00044EF7" w:rsidRPr="00370E70">
          <w:rPr>
            <w:color w:val="000000"/>
            <w:szCs w:val="22"/>
          </w:rPr>
          <w:t xml:space="preserve"> </w:t>
        </w:r>
        <w:smartTag w:uri="urn:schemas-microsoft-com:office:smarttags" w:element="PlaceType">
          <w:r w:rsidR="00044EF7" w:rsidRPr="00370E70">
            <w:rPr>
              <w:color w:val="000000"/>
              <w:szCs w:val="22"/>
            </w:rPr>
            <w:t>Island</w:t>
          </w:r>
        </w:smartTag>
      </w:smartTag>
      <w:r w:rsidR="0051765B" w:rsidRPr="00370E70">
        <w:rPr>
          <w:color w:val="000000"/>
          <w:szCs w:val="22"/>
        </w:rPr>
        <w:t xml:space="preserve"> (</w:t>
      </w:r>
      <w:r w:rsidR="0051765B" w:rsidRPr="00370E70">
        <w:rPr>
          <w:color w:val="000000"/>
          <w:szCs w:val="22"/>
        </w:rPr>
        <w:fldChar w:fldCharType="begin"/>
      </w:r>
      <w:r w:rsidR="0051765B" w:rsidRPr="00370E70">
        <w:rPr>
          <w:color w:val="000000"/>
          <w:szCs w:val="22"/>
        </w:rPr>
        <w:instrText xml:space="preserve"> REF _Ref179509250 \h </w:instrText>
      </w:r>
      <w:r w:rsidR="0051765B" w:rsidRPr="00370E70">
        <w:rPr>
          <w:color w:val="000000"/>
          <w:szCs w:val="22"/>
        </w:rPr>
      </w:r>
      <w:r w:rsidR="0051765B"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141</w:t>
      </w:r>
      <w:r w:rsidR="0051765B" w:rsidRPr="00370E70">
        <w:rPr>
          <w:color w:val="000000"/>
          <w:szCs w:val="22"/>
        </w:rPr>
        <w:fldChar w:fldCharType="end"/>
      </w:r>
      <w:r w:rsidR="0051765B" w:rsidRPr="00370E70">
        <w:rPr>
          <w:color w:val="000000"/>
          <w:szCs w:val="22"/>
        </w:rPr>
        <w:t>)</w:t>
      </w:r>
      <w:r w:rsidR="00044EF7" w:rsidRPr="00370E70">
        <w:rPr>
          <w:color w:val="000000"/>
          <w:szCs w:val="22"/>
        </w:rPr>
        <w:t>.</w:t>
      </w:r>
    </w:p>
    <w:p w:rsidR="00044EF7" w:rsidRPr="00370E70" w:rsidRDefault="007B15AB" w:rsidP="00034AD4">
      <w:pPr>
        <w:rPr>
          <w:color w:val="000000"/>
          <w:szCs w:val="22"/>
        </w:rPr>
      </w:pPr>
      <w:r>
        <w:rPr>
          <w:noProof/>
          <w:color w:val="000000"/>
          <w:szCs w:val="22"/>
          <w:lang w:eastAsia="en-AU"/>
        </w:rPr>
        <w:drawing>
          <wp:inline distT="0" distB="0" distL="0" distR="0">
            <wp:extent cx="5756910" cy="2189480"/>
            <wp:effectExtent l="0" t="0" r="0" b="1270"/>
            <wp:docPr id="188" name="Picture 188" descr="Conceptual diagram of reef habitat in the Fitzroy region - major control is light and temperature extremes and benthic shear from tidal current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Conceptual diagram of reef habitat in the Fitzroy region - major control is light and temperature extremes and benthic shear from tidal currents: general habitat, seagrass meadow processes and threats/impacts "/>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5756910" cy="2189480"/>
                    </a:xfrm>
                    <a:prstGeom prst="rect">
                      <a:avLst/>
                    </a:prstGeom>
                    <a:noFill/>
                    <a:ln>
                      <a:noFill/>
                    </a:ln>
                  </pic:spPr>
                </pic:pic>
              </a:graphicData>
            </a:graphic>
          </wp:inline>
        </w:drawing>
      </w:r>
    </w:p>
    <w:p w:rsidR="00044EF7" w:rsidRPr="00370E70" w:rsidRDefault="00044EF7" w:rsidP="00044EF7">
      <w:pPr>
        <w:pStyle w:val="Caption"/>
        <w:rPr>
          <w:i/>
          <w:vanish/>
          <w:lang w:val="en-AU"/>
          <w:specVanish/>
        </w:rPr>
      </w:pPr>
      <w:bookmarkStart w:id="662" w:name="_Ref382902269"/>
      <w:bookmarkStart w:id="663" w:name="_Toc384196490"/>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143</w:t>
      </w:r>
      <w:r w:rsidRPr="00370E70">
        <w:rPr>
          <w:lang w:val="en-AU"/>
        </w:rPr>
        <w:fldChar w:fldCharType="end"/>
      </w:r>
      <w:bookmarkEnd w:id="662"/>
      <w:r w:rsidRPr="00370E70">
        <w:rPr>
          <w:lang w:val="en-AU"/>
        </w:rPr>
        <w:t xml:space="preserve">. </w:t>
      </w:r>
      <w:r w:rsidRPr="00370E70">
        <w:rPr>
          <w:i/>
          <w:lang w:val="en-AU"/>
        </w:rPr>
        <w:t>Conceptual diagram of reef habitat in the Fitzroy region</w:t>
      </w:r>
      <w:bookmarkEnd w:id="663"/>
    </w:p>
    <w:p w:rsidR="00044EF7" w:rsidRPr="00370E70" w:rsidRDefault="00044EF7" w:rsidP="00044EF7">
      <w:pPr>
        <w:pStyle w:val="Caption"/>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light and temperature extremes and benthic shear from tidal currents: general habitat, seagrass meadow processes and threats/impacts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szCs w:val="22"/>
          <w:lang w:val="en-AU"/>
        </w:rPr>
        <w:t xml:space="preserve">Figure </w:t>
      </w:r>
      <w:r w:rsidR="005B5FD6" w:rsidRPr="005B5FD6">
        <w:rPr>
          <w:i/>
          <w:noProof/>
          <w:szCs w:val="22"/>
          <w:lang w:val="en-AU"/>
        </w:rPr>
        <w:t>4</w:t>
      </w:r>
      <w:r w:rsidRPr="00370E70">
        <w:rPr>
          <w:i/>
          <w:lang w:val="en-AU"/>
        </w:rPr>
        <w:fldChar w:fldCharType="end"/>
      </w:r>
      <w:r w:rsidRPr="00370E70">
        <w:rPr>
          <w:i/>
          <w:lang w:val="en-AU"/>
        </w:rPr>
        <w:t xml:space="preserve"> for icon explanation).</w:t>
      </w:r>
      <w:r w:rsidRPr="00370E70">
        <w:rPr>
          <w:lang w:val="en-AU"/>
        </w:rPr>
        <w:t xml:space="preserve"> </w:t>
      </w:r>
    </w:p>
    <w:p w:rsidR="005132EF" w:rsidRPr="00370E70" w:rsidRDefault="005132EF" w:rsidP="00034AD4">
      <w:pPr>
        <w:rPr>
          <w:color w:val="000000"/>
          <w:szCs w:val="22"/>
        </w:rPr>
      </w:pPr>
      <w:r w:rsidRPr="00370E70">
        <w:rPr>
          <w:color w:val="000000"/>
          <w:szCs w:val="22"/>
        </w:rPr>
        <w:t>Estuarine seagrass habitats in the southern Fitzroy region tend to be intertidal, on the large sand/mud banks in sheltered areas of the estuaries. Tidal amplitude is not as great as in the north and estuaries that are protected by coastal islands and headlands support meadows of seagrass. These habitats feature scouring, high turbidity and desiccation (linked to this large tide regime), and are the main drivers of distribution and composition of seagrass meadows in this area (</w:t>
      </w:r>
      <w:r w:rsidRPr="00370E70">
        <w:rPr>
          <w:color w:val="000000"/>
        </w:rPr>
        <w:fldChar w:fldCharType="begin"/>
      </w:r>
      <w:r w:rsidRPr="00370E70">
        <w:rPr>
          <w:color w:val="000000"/>
        </w:rPr>
        <w:instrText xml:space="preserve"> REF _Ref273689018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144</w:t>
      </w:r>
      <w:r w:rsidRPr="00370E70">
        <w:rPr>
          <w:color w:val="000000"/>
        </w:rPr>
        <w:fldChar w:fldCharType="end"/>
      </w:r>
      <w:r w:rsidRPr="00370E70">
        <w:rPr>
          <w:color w:val="000000"/>
          <w:szCs w:val="22"/>
        </w:rPr>
        <w:t xml:space="preserve"> ). These southern estuary seagrasses (Gladstone, Port Curtis) </w:t>
      </w:r>
      <w:r w:rsidR="00044EF7" w:rsidRPr="00370E70">
        <w:rPr>
          <w:color w:val="000000"/>
          <w:szCs w:val="22"/>
        </w:rPr>
        <w:t>(</w:t>
      </w:r>
      <w:r w:rsidR="00044EF7" w:rsidRPr="00370E70">
        <w:rPr>
          <w:color w:val="000000"/>
          <w:szCs w:val="22"/>
        </w:rPr>
        <w:fldChar w:fldCharType="begin"/>
      </w:r>
      <w:r w:rsidR="00044EF7" w:rsidRPr="00370E70">
        <w:rPr>
          <w:color w:val="000000"/>
          <w:szCs w:val="22"/>
        </w:rPr>
        <w:instrText xml:space="preserve"> REF _Ref179509250 \h </w:instrText>
      </w:r>
      <w:r w:rsidR="00044EF7" w:rsidRPr="00370E70">
        <w:rPr>
          <w:color w:val="000000"/>
          <w:szCs w:val="22"/>
        </w:rPr>
      </w:r>
      <w:r w:rsidR="00044EF7"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141</w:t>
      </w:r>
      <w:r w:rsidR="00044EF7" w:rsidRPr="00370E70">
        <w:rPr>
          <w:color w:val="000000"/>
          <w:szCs w:val="22"/>
        </w:rPr>
        <w:fldChar w:fldCharType="end"/>
      </w:r>
      <w:r w:rsidR="00044EF7" w:rsidRPr="00370E70">
        <w:rPr>
          <w:color w:val="000000"/>
          <w:szCs w:val="22"/>
        </w:rPr>
        <w:t xml:space="preserve">) </w:t>
      </w:r>
      <w:r w:rsidRPr="00370E70">
        <w:rPr>
          <w:color w:val="000000"/>
          <w:szCs w:val="22"/>
        </w:rPr>
        <w:t xml:space="preserve">are highly susceptible to impacts from local industry and inputs from the </w:t>
      </w:r>
      <w:smartTag w:uri="urn:schemas-microsoft-com:office:smarttags" w:element="place">
        <w:smartTag w:uri="urn:schemas-microsoft-com:office:smarttags" w:element="PlaceName">
          <w:r w:rsidRPr="00370E70">
            <w:rPr>
              <w:color w:val="000000"/>
              <w:szCs w:val="22"/>
            </w:rPr>
            <w:t>Calliope</w:t>
          </w:r>
        </w:smartTag>
        <w:r w:rsidRPr="00370E70">
          <w:rPr>
            <w:color w:val="000000"/>
            <w:szCs w:val="22"/>
          </w:rPr>
          <w:t xml:space="preserve"> </w:t>
        </w:r>
        <w:smartTag w:uri="urn:schemas-microsoft-com:office:smarttags" w:element="PlaceType">
          <w:r w:rsidRPr="00370E70">
            <w:rPr>
              <w:color w:val="000000"/>
              <w:szCs w:val="22"/>
            </w:rPr>
            <w:t>River</w:t>
          </w:r>
        </w:smartTag>
      </w:smartTag>
      <w:r w:rsidRPr="00370E70">
        <w:rPr>
          <w:color w:val="000000"/>
          <w:szCs w:val="22"/>
        </w:rPr>
        <w:t xml:space="preserve">. Port Curtis is highly industrial with the world’s largest alumina refinery, </w:t>
      </w:r>
      <w:smartTag w:uri="urn:schemas-microsoft-com:office:smarttags" w:element="country-region">
        <w:r w:rsidRPr="00370E70">
          <w:rPr>
            <w:color w:val="000000"/>
            <w:szCs w:val="22"/>
          </w:rPr>
          <w:t>Australia</w:t>
        </w:r>
      </w:smartTag>
      <w:r w:rsidRPr="00370E70">
        <w:rPr>
          <w:color w:val="000000"/>
          <w:szCs w:val="22"/>
        </w:rPr>
        <w:t xml:space="preserve">’s largest aluminium smelter and </w:t>
      </w:r>
      <w:smartTag w:uri="urn:schemas-microsoft-com:office:smarttags" w:element="place">
        <w:smartTag w:uri="urn:schemas-microsoft-com:office:smarttags" w:element="State">
          <w:r w:rsidRPr="00370E70">
            <w:rPr>
              <w:color w:val="000000"/>
              <w:szCs w:val="22"/>
            </w:rPr>
            <w:t>Queensland</w:t>
          </w:r>
        </w:smartTag>
      </w:smartTag>
      <w:r w:rsidRPr="00370E70">
        <w:rPr>
          <w:color w:val="000000"/>
          <w:szCs w:val="22"/>
        </w:rPr>
        <w:t xml:space="preserve">’s biggest power station. In addition, Port Curtis contains </w:t>
      </w:r>
      <w:smartTag w:uri="urn:schemas-microsoft-com:office:smarttags" w:element="State">
        <w:r w:rsidRPr="00370E70">
          <w:rPr>
            <w:color w:val="000000"/>
            <w:szCs w:val="22"/>
          </w:rPr>
          <w:t>Queensland</w:t>
        </w:r>
      </w:smartTag>
      <w:r w:rsidRPr="00370E70">
        <w:rPr>
          <w:color w:val="000000"/>
          <w:szCs w:val="22"/>
        </w:rPr>
        <w:t>’s largest multi-cargo port (</w:t>
      </w:r>
      <w:smartTag w:uri="urn:schemas-microsoft-com:office:smarttags" w:element="place">
        <w:smartTag w:uri="urn:schemas-microsoft-com:office:smarttags" w:element="PlaceType">
          <w:r w:rsidRPr="00370E70">
            <w:rPr>
              <w:color w:val="000000"/>
              <w:szCs w:val="22"/>
            </w:rPr>
            <w:t>Port</w:t>
          </w:r>
        </w:smartTag>
        <w:r w:rsidRPr="00370E70">
          <w:rPr>
            <w:color w:val="000000"/>
            <w:szCs w:val="22"/>
          </w:rPr>
          <w:t xml:space="preserve"> of </w:t>
        </w:r>
        <w:smartTag w:uri="urn:schemas-microsoft-com:office:smarttags" w:element="PlaceName">
          <w:r w:rsidRPr="00370E70">
            <w:rPr>
              <w:color w:val="000000"/>
              <w:szCs w:val="22"/>
            </w:rPr>
            <w:t>Gladstone</w:t>
          </w:r>
        </w:smartTag>
      </w:smartTag>
      <w:r w:rsidRPr="00370E70">
        <w:rPr>
          <w:color w:val="000000"/>
          <w:szCs w:val="22"/>
        </w:rPr>
        <w:t>) with 50 million tonnes of coal passing through the port annually.</w:t>
      </w:r>
    </w:p>
    <w:p w:rsidR="005132EF" w:rsidRPr="00370E70" w:rsidRDefault="007B15AB" w:rsidP="00034AD4">
      <w:pPr>
        <w:keepNext/>
        <w:jc w:val="center"/>
        <w:rPr>
          <w:color w:val="000000"/>
          <w:szCs w:val="22"/>
        </w:rPr>
      </w:pPr>
      <w:bookmarkStart w:id="664" w:name="_Ref179509195"/>
      <w:bookmarkStart w:id="665" w:name="_Toc176158916"/>
      <w:bookmarkStart w:id="666" w:name="_Toc232846011"/>
      <w:bookmarkStart w:id="667" w:name="_Toc175991086"/>
      <w:r>
        <w:rPr>
          <w:noProof/>
          <w:color w:val="000000"/>
          <w:szCs w:val="22"/>
          <w:lang w:eastAsia="en-AU"/>
        </w:rPr>
        <w:lastRenderedPageBreak/>
        <w:drawing>
          <wp:inline distT="0" distB="0" distL="0" distR="0">
            <wp:extent cx="5756910" cy="2176780"/>
            <wp:effectExtent l="0" t="0" r="0" b="0"/>
            <wp:docPr id="189" name="Picture 189" descr="Conceptual diagram of estuary habitat in the Fitzroy region – major control variable rainfall and tidal regime: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Conceptual diagram of estuary habitat in the Fitzroy region – major control variable rainfall and tidal regime: general habitat, seagrass meadow processes and threats/impacts"/>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5756910" cy="2176780"/>
                    </a:xfrm>
                    <a:prstGeom prst="rect">
                      <a:avLst/>
                    </a:prstGeom>
                    <a:noFill/>
                    <a:ln>
                      <a:noFill/>
                    </a:ln>
                  </pic:spPr>
                </pic:pic>
              </a:graphicData>
            </a:graphic>
          </wp:inline>
        </w:drawing>
      </w:r>
    </w:p>
    <w:p w:rsidR="00F6594D" w:rsidRPr="00370E70" w:rsidRDefault="005132EF" w:rsidP="00F6594D">
      <w:pPr>
        <w:pStyle w:val="Caption"/>
        <w:rPr>
          <w:i/>
          <w:vanish/>
          <w:color w:val="000000"/>
          <w:szCs w:val="22"/>
          <w:lang w:val="en-AU"/>
          <w:specVanish/>
        </w:rPr>
      </w:pPr>
      <w:bookmarkStart w:id="668" w:name="_Ref273689018"/>
      <w:bookmarkStart w:id="669" w:name="_Toc38419649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144</w:t>
      </w:r>
      <w:r w:rsidRPr="00370E70">
        <w:rPr>
          <w:lang w:val="en-AU"/>
        </w:rPr>
        <w:fldChar w:fldCharType="end"/>
      </w:r>
      <w:bookmarkEnd w:id="664"/>
      <w:bookmarkEnd w:id="668"/>
      <w:r w:rsidRPr="00370E70">
        <w:rPr>
          <w:rStyle w:val="StyleCaptionCaptionCharCharLatinCalibri11ptBlackChar"/>
          <w:lang w:val="en-AU"/>
        </w:rPr>
        <w:t>.</w:t>
      </w:r>
      <w:r w:rsidRPr="00370E70">
        <w:rPr>
          <w:lang w:val="en-AU"/>
        </w:rPr>
        <w:t xml:space="preserve"> </w:t>
      </w:r>
      <w:r w:rsidRPr="00370E70">
        <w:rPr>
          <w:i/>
          <w:lang w:val="en-AU"/>
        </w:rPr>
        <w:t>Conceptual diagram of estuary habitat in the Fitzroy region</w:t>
      </w:r>
      <w:bookmarkEnd w:id="669"/>
    </w:p>
    <w:p w:rsidR="00F6594D" w:rsidRPr="00370E70" w:rsidRDefault="005132EF" w:rsidP="00F6594D">
      <w:pPr>
        <w:pStyle w:val="Caption"/>
        <w:rPr>
          <w:lang w:val="en-AU"/>
        </w:rPr>
      </w:pPr>
      <w:r w:rsidRPr="00370E70">
        <w:rPr>
          <w:i/>
          <w:lang w:val="en-AU"/>
        </w:rPr>
        <w:t xml:space="preserve"> – major control variable rainfall and tidal regime: general habitat, seagrass meadow processes and threats/impacts (see Figure 2 for icon explanation).</w:t>
      </w:r>
      <w:bookmarkEnd w:id="665"/>
      <w:bookmarkEnd w:id="666"/>
      <w:r w:rsidR="00F6594D" w:rsidRPr="00370E70">
        <w:rPr>
          <w:lang w:val="en-AU"/>
        </w:rPr>
        <w:t xml:space="preserve"> </w:t>
      </w:r>
    </w:p>
    <w:p w:rsidR="005132EF" w:rsidRPr="00370E70" w:rsidRDefault="005132EF" w:rsidP="00034AD4">
      <w:pPr>
        <w:pStyle w:val="Heading3"/>
        <w:rPr>
          <w:color w:val="000000"/>
        </w:rPr>
      </w:pPr>
      <w:bookmarkStart w:id="670" w:name="_Toc184102026"/>
      <w:bookmarkStart w:id="671" w:name="_Toc384196149"/>
      <w:bookmarkEnd w:id="667"/>
      <w:r w:rsidRPr="00370E70">
        <w:rPr>
          <w:color w:val="000000"/>
        </w:rPr>
        <w:t>Status of the seagrass community</w:t>
      </w:r>
      <w:bookmarkEnd w:id="670"/>
      <w:bookmarkEnd w:id="671"/>
    </w:p>
    <w:p w:rsidR="004B4D7F" w:rsidRPr="00370E70" w:rsidRDefault="004B4D7F" w:rsidP="004B4D7F">
      <w:pPr>
        <w:rPr>
          <w:lang w:eastAsia="en-AU"/>
        </w:rPr>
      </w:pPr>
      <w:r w:rsidRPr="00370E70">
        <w:rPr>
          <w:lang w:eastAsia="en-AU"/>
        </w:rPr>
        <w:t>The condition of inshore seagrass in the Fitzroy region remained poor in 2011</w:t>
      </w:r>
      <w:r w:rsidR="00253A22" w:rsidRPr="00370E70">
        <w:rPr>
          <w:lang w:eastAsia="en-AU"/>
        </w:rPr>
        <w:t>/</w:t>
      </w:r>
      <w:r w:rsidRPr="00370E70">
        <w:rPr>
          <w:lang w:eastAsia="en-AU"/>
        </w:rPr>
        <w:t>12, driven largely by a decline in seagrass reproduction to very poor</w:t>
      </w:r>
      <w:r w:rsidR="0051765B" w:rsidRPr="00370E70">
        <w:rPr>
          <w:lang w:eastAsia="en-AU"/>
        </w:rPr>
        <w:t xml:space="preserve"> (</w:t>
      </w:r>
      <w:r w:rsidR="0051765B" w:rsidRPr="00370E70">
        <w:rPr>
          <w:lang w:eastAsia="en-AU"/>
        </w:rPr>
        <w:fldChar w:fldCharType="begin"/>
      </w:r>
      <w:r w:rsidR="0051765B" w:rsidRPr="00370E70">
        <w:rPr>
          <w:lang w:eastAsia="en-AU"/>
        </w:rPr>
        <w:instrText xml:space="preserve"> REF _Ref382902734 \h </w:instrText>
      </w:r>
      <w:r w:rsidR="0051765B" w:rsidRPr="00370E70">
        <w:rPr>
          <w:lang w:eastAsia="en-AU"/>
        </w:rPr>
      </w:r>
      <w:r w:rsidR="0051765B" w:rsidRPr="00370E70">
        <w:rPr>
          <w:lang w:eastAsia="en-AU"/>
        </w:rPr>
        <w:fldChar w:fldCharType="separate"/>
      </w:r>
      <w:r w:rsidR="005B5FD6" w:rsidRPr="00370E70">
        <w:t xml:space="preserve">Figure </w:t>
      </w:r>
      <w:r w:rsidR="005B5FD6">
        <w:rPr>
          <w:noProof/>
        </w:rPr>
        <w:t>145</w:t>
      </w:r>
      <w:r w:rsidR="0051765B" w:rsidRPr="00370E70">
        <w:rPr>
          <w:lang w:eastAsia="en-AU"/>
        </w:rPr>
        <w:fldChar w:fldCharType="end"/>
      </w:r>
      <w:r w:rsidR="0051765B" w:rsidRPr="00370E70">
        <w:rPr>
          <w:lang w:eastAsia="en-AU"/>
        </w:rPr>
        <w:t>)</w:t>
      </w:r>
      <w:r w:rsidRPr="00370E70">
        <w:rPr>
          <w:lang w:eastAsia="en-AU"/>
        </w:rPr>
        <w:t>.</w:t>
      </w:r>
      <w:r w:rsidR="00253A22" w:rsidRPr="00370E70">
        <w:rPr>
          <w:lang w:eastAsia="en-AU"/>
        </w:rPr>
        <w:t xml:space="preserve"> </w:t>
      </w:r>
      <w:r w:rsidRPr="00370E70">
        <w:rPr>
          <w:lang w:eastAsia="en-AU"/>
        </w:rPr>
        <w:t>Seagrass abundance remained relatively stable across habitats and was rated poor overall in 2011</w:t>
      </w:r>
      <w:r w:rsidR="00253A22" w:rsidRPr="00370E70">
        <w:rPr>
          <w:lang w:eastAsia="en-AU"/>
        </w:rPr>
        <w:t>/</w:t>
      </w:r>
      <w:r w:rsidRPr="00370E70">
        <w:rPr>
          <w:lang w:eastAsia="en-AU"/>
        </w:rPr>
        <w:t>12. Reproductive effort was very poor, suggesting a low capacity to recover from disturbance. The nutrient status of seagrass tissue was moderate overall and variations between habitats reflected differences in nutrient and light availability.</w:t>
      </w:r>
    </w:p>
    <w:p w:rsidR="004B4D7F" w:rsidRPr="00370E70" w:rsidRDefault="007B15AB" w:rsidP="00253A22">
      <w:pPr>
        <w:keepNext/>
        <w:jc w:val="center"/>
        <w:rPr>
          <w:lang w:eastAsia="en-AU"/>
        </w:rPr>
      </w:pPr>
      <w:r>
        <w:rPr>
          <w:noProof/>
          <w:lang w:eastAsia="en-AU"/>
        </w:rPr>
        <w:drawing>
          <wp:inline distT="0" distB="0" distL="0" distR="0">
            <wp:extent cx="3593465" cy="1880235"/>
            <wp:effectExtent l="0" t="0" r="6985" b="5715"/>
            <wp:docPr id="190" name="Picture 190" descr="Figure showing report card of seagrass status indicators and index for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Figure showing report card of seagrass status indicators and index for the Fitzroy NRM region"/>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593465" cy="1880235"/>
                    </a:xfrm>
                    <a:prstGeom prst="rect">
                      <a:avLst/>
                    </a:prstGeom>
                    <a:noFill/>
                    <a:ln>
                      <a:noFill/>
                    </a:ln>
                  </pic:spPr>
                </pic:pic>
              </a:graphicData>
            </a:graphic>
          </wp:inline>
        </w:drawing>
      </w:r>
    </w:p>
    <w:p w:rsidR="004B4D7F" w:rsidRPr="00370E70" w:rsidRDefault="004B4D7F" w:rsidP="004B4D7F">
      <w:pPr>
        <w:rPr>
          <w:i/>
          <w:vanish/>
          <w:color w:val="000000"/>
          <w:szCs w:val="22"/>
          <w:specVanish/>
        </w:rPr>
      </w:pPr>
      <w:bookmarkStart w:id="672" w:name="_Ref382902734"/>
      <w:bookmarkStart w:id="673" w:name="_Toc384196492"/>
      <w:r w:rsidRPr="00370E70">
        <w:t xml:space="preserve">Figure </w:t>
      </w:r>
      <w:r w:rsidR="009A14B8">
        <w:fldChar w:fldCharType="begin"/>
      </w:r>
      <w:r w:rsidR="009A14B8">
        <w:instrText xml:space="preserve"> SEQ Figure \* ARABIC </w:instrText>
      </w:r>
      <w:r w:rsidR="009A14B8">
        <w:fldChar w:fldCharType="separate"/>
      </w:r>
      <w:r w:rsidR="005B5FD6">
        <w:rPr>
          <w:noProof/>
        </w:rPr>
        <w:t>145</w:t>
      </w:r>
      <w:r w:rsidR="009A14B8">
        <w:rPr>
          <w:noProof/>
        </w:rPr>
        <w:fldChar w:fldCharType="end"/>
      </w:r>
      <w:bookmarkEnd w:id="672"/>
      <w:r w:rsidRPr="00370E70">
        <w:t xml:space="preserve">. </w:t>
      </w:r>
      <w:r w:rsidRPr="00370E70">
        <w:rPr>
          <w:i/>
          <w:color w:val="000000"/>
          <w:szCs w:val="22"/>
        </w:rPr>
        <w:t>Report card of seagrass status indicators and index for the Fitzroy NRM region</w:t>
      </w:r>
      <w:bookmarkEnd w:id="673"/>
    </w:p>
    <w:p w:rsidR="004B4D7F" w:rsidRPr="00370E70" w:rsidRDefault="004B4D7F" w:rsidP="004B4D7F">
      <w:pPr>
        <w:pStyle w:val="Caption"/>
        <w:rPr>
          <w:lang w:val="en-AU" w:eastAsia="en-AU"/>
        </w:rPr>
      </w:pPr>
      <w:r w:rsidRPr="00370E70">
        <w:rPr>
          <w:i/>
          <w:color w:val="000000"/>
          <w:szCs w:val="22"/>
          <w:lang w:val="en-AU"/>
        </w:rPr>
        <w:t xml:space="preserve"> (averaged across sites). Values are indexed scores scaled from 0-100; </w:t>
      </w:r>
      <w:r w:rsidRPr="00370E70">
        <w:rPr>
          <w:rFonts w:ascii="Arial" w:hAnsi="Arial" w:cs="Arial"/>
          <w:i/>
          <w:color w:val="008000"/>
          <w:szCs w:val="22"/>
          <w:lang w:val="en-AU"/>
        </w:rPr>
        <w:t>■ </w:t>
      </w:r>
      <w:r w:rsidRPr="00370E70">
        <w:rPr>
          <w:i/>
          <w:szCs w:val="22"/>
          <w:lang w:val="en-AU"/>
        </w:rPr>
        <w:t xml:space="preserve">= very good (80-100), </w:t>
      </w:r>
      <w:r w:rsidRPr="00370E70">
        <w:rPr>
          <w:rFonts w:ascii="Arial" w:hAnsi="Arial" w:cs="Arial"/>
          <w:i/>
          <w:color w:val="92D050"/>
          <w:szCs w:val="22"/>
          <w:lang w:val="en-AU"/>
        </w:rPr>
        <w:t>■</w:t>
      </w:r>
      <w:r w:rsidRPr="00370E70">
        <w:rPr>
          <w:i/>
          <w:szCs w:val="22"/>
          <w:lang w:val="en-AU"/>
        </w:rPr>
        <w:t xml:space="preserve"> = good (60 - &lt;80), </w:t>
      </w:r>
      <w:r w:rsidRPr="00370E70">
        <w:rPr>
          <w:rFonts w:ascii="Arial" w:hAnsi="Arial" w:cs="Arial"/>
          <w:i/>
          <w:color w:val="FFFF00"/>
          <w:szCs w:val="22"/>
          <w:lang w:val="en-AU"/>
        </w:rPr>
        <w:t>■</w:t>
      </w:r>
      <w:r w:rsidRPr="00370E70">
        <w:rPr>
          <w:i/>
          <w:szCs w:val="22"/>
          <w:lang w:val="en-AU"/>
        </w:rPr>
        <w:t xml:space="preserve"> = moderate (40 - &lt;60), </w:t>
      </w:r>
      <w:r w:rsidRPr="00370E70">
        <w:rPr>
          <w:rFonts w:ascii="Arial" w:hAnsi="Arial" w:cs="Arial"/>
          <w:i/>
          <w:color w:val="FFC000"/>
          <w:szCs w:val="22"/>
          <w:lang w:val="en-AU"/>
        </w:rPr>
        <w:t>■</w:t>
      </w:r>
      <w:r w:rsidRPr="00370E70">
        <w:rPr>
          <w:i/>
          <w:szCs w:val="22"/>
          <w:lang w:val="en-AU"/>
        </w:rPr>
        <w:t xml:space="preserve"> = poor (20 - &lt;40), </w:t>
      </w:r>
      <w:r w:rsidRPr="00370E70">
        <w:rPr>
          <w:rFonts w:ascii="Arial" w:hAnsi="Arial" w:cs="Arial"/>
          <w:i/>
          <w:color w:val="FF0000"/>
          <w:szCs w:val="22"/>
          <w:lang w:val="en-AU"/>
        </w:rPr>
        <w:t>■</w:t>
      </w:r>
      <w:r w:rsidRPr="00370E70">
        <w:rPr>
          <w:i/>
          <w:szCs w:val="22"/>
          <w:lang w:val="en-AU"/>
        </w:rPr>
        <w:t> = very poor (0 - &lt;20)</w:t>
      </w:r>
      <w:r w:rsidRPr="00370E70">
        <w:rPr>
          <w:i/>
          <w:color w:val="000000"/>
          <w:szCs w:val="22"/>
          <w:lang w:val="en-AU"/>
        </w:rPr>
        <w:t>.</w:t>
      </w:r>
    </w:p>
    <w:p w:rsidR="005132EF" w:rsidRPr="00370E70" w:rsidRDefault="005132EF" w:rsidP="00034AD4">
      <w:pPr>
        <w:pStyle w:val="Heading4"/>
        <w:rPr>
          <w:b/>
          <w:color w:val="000000"/>
        </w:rPr>
      </w:pPr>
      <w:bookmarkStart w:id="674" w:name="_Toc184102027"/>
      <w:r w:rsidRPr="00370E70">
        <w:rPr>
          <w:b/>
          <w:color w:val="000000"/>
        </w:rPr>
        <w:t>Seagrass abundance and composition</w:t>
      </w:r>
      <w:bookmarkEnd w:id="674"/>
    </w:p>
    <w:p w:rsidR="005132EF" w:rsidRPr="00370E70" w:rsidRDefault="005132EF" w:rsidP="004E2560">
      <w:pPr>
        <w:pStyle w:val="Heading5"/>
        <w:rPr>
          <w:szCs w:val="22"/>
        </w:rPr>
      </w:pPr>
      <w:r w:rsidRPr="00370E70">
        <w:rPr>
          <w:szCs w:val="22"/>
        </w:rPr>
        <w:t>Coastal</w:t>
      </w:r>
    </w:p>
    <w:p w:rsidR="005132EF" w:rsidRPr="00370E70" w:rsidRDefault="005132EF" w:rsidP="00034AD4">
      <w:pPr>
        <w:rPr>
          <w:color w:val="000000"/>
          <w:szCs w:val="22"/>
        </w:rPr>
      </w:pPr>
      <w:r w:rsidRPr="00370E70">
        <w:rPr>
          <w:color w:val="000000"/>
          <w:szCs w:val="22"/>
        </w:rPr>
        <w:t xml:space="preserve">Coastal meadows monitored in </w:t>
      </w:r>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at Ross Creek (RC1) and Wheelans Hut (WH1) remained dominated by </w:t>
      </w:r>
      <w:r w:rsidRPr="00370E70">
        <w:rPr>
          <w:i/>
          <w:color w:val="000000"/>
          <w:szCs w:val="22"/>
        </w:rPr>
        <w:t xml:space="preserve">Zostera </w:t>
      </w:r>
      <w:r w:rsidR="00145BB9" w:rsidRPr="00370E70">
        <w:rPr>
          <w:i/>
          <w:color w:val="000000"/>
          <w:szCs w:val="22"/>
        </w:rPr>
        <w:t>muelleri</w:t>
      </w:r>
      <w:r w:rsidRPr="00370E70">
        <w:rPr>
          <w:i/>
          <w:color w:val="000000"/>
          <w:szCs w:val="22"/>
        </w:rPr>
        <w:t xml:space="preserve">, </w:t>
      </w:r>
      <w:r w:rsidRPr="00370E70">
        <w:rPr>
          <w:color w:val="000000"/>
          <w:szCs w:val="22"/>
        </w:rPr>
        <w:t>but over the monitoring period the higher contributions of the colonising species</w:t>
      </w:r>
      <w:r w:rsidRPr="00370E70">
        <w:rPr>
          <w:i/>
          <w:color w:val="000000"/>
          <w:szCs w:val="22"/>
        </w:rPr>
        <w:t xml:space="preserve"> Halophila ovalis </w:t>
      </w:r>
      <w:r w:rsidRPr="00370E70">
        <w:rPr>
          <w:color w:val="000000"/>
          <w:szCs w:val="22"/>
        </w:rPr>
        <w:t xml:space="preserve">may </w:t>
      </w:r>
      <w:r w:rsidR="002C6536" w:rsidRPr="00370E70">
        <w:rPr>
          <w:color w:val="000000"/>
          <w:szCs w:val="22"/>
        </w:rPr>
        <w:t>indicate</w:t>
      </w:r>
      <w:r w:rsidRPr="00370E70">
        <w:rPr>
          <w:color w:val="000000"/>
          <w:szCs w:val="22"/>
        </w:rPr>
        <w:t xml:space="preserve"> a level of </w:t>
      </w:r>
      <w:r w:rsidR="002C6536" w:rsidRPr="00370E70">
        <w:rPr>
          <w:color w:val="000000"/>
          <w:szCs w:val="22"/>
        </w:rPr>
        <w:t>disturbance</w:t>
      </w:r>
      <w:r w:rsidRPr="00370E70">
        <w:rPr>
          <w:color w:val="000000"/>
          <w:szCs w:val="22"/>
        </w:rPr>
        <w:t xml:space="preserve"> across the </w:t>
      </w:r>
      <w:proofErr w:type="gramStart"/>
      <w:r w:rsidRPr="00370E70">
        <w:rPr>
          <w:color w:val="000000"/>
          <w:szCs w:val="22"/>
        </w:rPr>
        <w:t>meadows  (</w:t>
      </w:r>
      <w:proofErr w:type="gramEnd"/>
      <w:r w:rsidRPr="00370E70">
        <w:fldChar w:fldCharType="begin"/>
      </w:r>
      <w:r w:rsidRPr="00370E70">
        <w:instrText xml:space="preserve"> REF _Ref179509250 \h  \* MERGEFORMAT </w:instrText>
      </w:r>
      <w:r w:rsidRPr="00370E70">
        <w:fldChar w:fldCharType="separate"/>
      </w:r>
      <w:r w:rsidR="005B5FD6" w:rsidRPr="005B5FD6">
        <w:rPr>
          <w:szCs w:val="22"/>
        </w:rPr>
        <w:t xml:space="preserve">Figure </w:t>
      </w:r>
      <w:r w:rsidR="005B5FD6" w:rsidRPr="005B5FD6">
        <w:rPr>
          <w:noProof/>
          <w:color w:val="000000"/>
          <w:szCs w:val="22"/>
        </w:rPr>
        <w:t>141</w:t>
      </w:r>
      <w:r w:rsidRPr="00370E70">
        <w:fldChar w:fldCharType="end"/>
      </w:r>
      <w:r w:rsidRPr="00370E70">
        <w:rPr>
          <w:color w:val="000000"/>
          <w:szCs w:val="22"/>
        </w:rPr>
        <w:t xml:space="preserve">). Over the 2011/12 </w:t>
      </w:r>
      <w:r w:rsidR="002C6536" w:rsidRPr="00370E70">
        <w:rPr>
          <w:color w:val="000000"/>
          <w:szCs w:val="22"/>
        </w:rPr>
        <w:t>monitoring</w:t>
      </w:r>
      <w:r w:rsidRPr="00370E70">
        <w:rPr>
          <w:color w:val="000000"/>
          <w:szCs w:val="22"/>
        </w:rPr>
        <w:t xml:space="preserve"> period, the declines in seagrass abundance experienced at the coastal sites since 2009 appear to have abated (</w:t>
      </w:r>
      <w:r w:rsidRPr="00370E70">
        <w:fldChar w:fldCharType="begin"/>
      </w:r>
      <w:r w:rsidRPr="00370E70">
        <w:instrText xml:space="preserve"> REF _Ref179509292 \h  \* MERGEFORMAT </w:instrText>
      </w:r>
      <w:r w:rsidRPr="00370E70">
        <w:fldChar w:fldCharType="separate"/>
      </w:r>
      <w:r w:rsidR="005B5FD6" w:rsidRPr="005B5FD6">
        <w:rPr>
          <w:szCs w:val="22"/>
        </w:rPr>
        <w:t xml:space="preserve">Figure </w:t>
      </w:r>
      <w:r w:rsidR="005B5FD6" w:rsidRPr="005B5FD6">
        <w:rPr>
          <w:noProof/>
          <w:color w:val="000000"/>
          <w:szCs w:val="22"/>
        </w:rPr>
        <w:t>146</w:t>
      </w:r>
      <w:r w:rsidRPr="00370E70">
        <w:fldChar w:fldCharType="end"/>
      </w:r>
      <w:r w:rsidRPr="00370E70">
        <w:rPr>
          <w:color w:val="000000"/>
          <w:szCs w:val="22"/>
        </w:rPr>
        <w:t>).</w:t>
      </w:r>
    </w:p>
    <w:p w:rsidR="005132EF" w:rsidRPr="00370E70" w:rsidRDefault="007B15AB" w:rsidP="00034AD4">
      <w:pPr>
        <w:pStyle w:val="normaltext"/>
        <w:keepNext/>
        <w:spacing w:before="0"/>
        <w:jc w:val="center"/>
        <w:rPr>
          <w:color w:val="000000"/>
          <w:szCs w:val="22"/>
        </w:rPr>
      </w:pPr>
      <w:r>
        <w:rPr>
          <w:noProof/>
          <w:color w:val="000000"/>
          <w:lang w:eastAsia="en-AU"/>
        </w:rPr>
        <w:lastRenderedPageBreak/>
        <w:drawing>
          <wp:inline distT="0" distB="0" distL="0" distR="0">
            <wp:extent cx="2884805" cy="2047875"/>
            <wp:effectExtent l="0" t="0" r="0" b="9525"/>
            <wp:docPr id="191" name="Picture 186" descr="Graph showing long-term changes in seagrass abundance (% cover) at coastal intertidal meadows in Shoalwater Bay (Fitzroy region) from 2001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Graph showing long-term changes in seagrass abundance (% cover) at coastal intertidal meadows in Shoalwater Bay (Fitzroy region) from 2001 to 2011"/>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2884805" cy="2047875"/>
                    </a:xfrm>
                    <a:prstGeom prst="rect">
                      <a:avLst/>
                    </a:prstGeom>
                    <a:noFill/>
                    <a:ln>
                      <a:noFill/>
                    </a:ln>
                  </pic:spPr>
                </pic:pic>
              </a:graphicData>
            </a:graphic>
          </wp:inline>
        </w:drawing>
      </w:r>
    </w:p>
    <w:p w:rsidR="00F6594D" w:rsidRPr="00370E70" w:rsidRDefault="005132EF" w:rsidP="00F6594D">
      <w:pPr>
        <w:pStyle w:val="Caption"/>
        <w:rPr>
          <w:i/>
          <w:vanish/>
          <w:color w:val="000000"/>
          <w:szCs w:val="22"/>
          <w:lang w:val="en-AU"/>
          <w:specVanish/>
        </w:rPr>
      </w:pPr>
      <w:bookmarkStart w:id="675" w:name="_Ref179509292"/>
      <w:bookmarkStart w:id="676" w:name="_Toc176158918"/>
      <w:bookmarkStart w:id="677" w:name="_Toc232846013"/>
      <w:bookmarkStart w:id="678" w:name="_Toc38419649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146</w:t>
      </w:r>
      <w:r w:rsidRPr="00370E70">
        <w:rPr>
          <w:lang w:val="en-AU"/>
        </w:rPr>
        <w:fldChar w:fldCharType="end"/>
      </w:r>
      <w:bookmarkEnd w:id="675"/>
      <w:r w:rsidRPr="00370E70">
        <w:rPr>
          <w:rStyle w:val="StyleCaptionCaptionCharCharLatinCalibri11ptBlackChar"/>
          <w:lang w:val="en-AU"/>
        </w:rPr>
        <w:t>.</w:t>
      </w:r>
      <w:r w:rsidRPr="00370E70">
        <w:rPr>
          <w:lang w:val="en-AU"/>
        </w:rPr>
        <w:t xml:space="preserve"> </w:t>
      </w:r>
      <w:bookmarkEnd w:id="676"/>
      <w:bookmarkEnd w:id="677"/>
      <w:r w:rsidRPr="00370E70">
        <w:rPr>
          <w:i/>
          <w:lang w:val="en-AU"/>
        </w:rPr>
        <w:t xml:space="preserve">Changes in seagrass abundance (% cover ±Standard Error) at </w:t>
      </w:r>
      <w:r w:rsidR="0002225C">
        <w:rPr>
          <w:i/>
          <w:lang w:val="en-AU"/>
        </w:rPr>
        <w:t xml:space="preserve">inshore </w:t>
      </w:r>
      <w:r w:rsidR="0002225C" w:rsidRPr="00370E70">
        <w:rPr>
          <w:i/>
          <w:lang w:val="en-AU"/>
        </w:rPr>
        <w:t xml:space="preserve">intertidal </w:t>
      </w:r>
      <w:r w:rsidRPr="00370E70">
        <w:rPr>
          <w:i/>
          <w:lang w:val="en-AU"/>
        </w:rPr>
        <w:t xml:space="preserve">coastal </w:t>
      </w:r>
      <w:r w:rsidR="0002225C">
        <w:rPr>
          <w:i/>
          <w:lang w:val="en-AU"/>
        </w:rPr>
        <w:t>habitats</w:t>
      </w:r>
      <w:r w:rsidRPr="00370E70">
        <w:rPr>
          <w:i/>
          <w:lang w:val="en-AU"/>
        </w:rPr>
        <w:t xml:space="preserve"> </w:t>
      </w:r>
      <w:r w:rsidR="0002225C">
        <w:rPr>
          <w:i/>
          <w:lang w:val="en-AU"/>
        </w:rPr>
        <w:t>(</w:t>
      </w:r>
      <w:smartTag w:uri="urn:schemas-microsoft-com:office:smarttags" w:element="place">
        <w:smartTag w:uri="urn:schemas-microsoft-com:office:smarttags" w:element="PlaceName">
          <w:r w:rsidR="0002225C" w:rsidRPr="00370E70">
            <w:rPr>
              <w:i/>
              <w:lang w:val="en-AU"/>
            </w:rPr>
            <w:t>Shoalwater</w:t>
          </w:r>
        </w:smartTag>
        <w:r w:rsidR="0002225C" w:rsidRPr="00370E70">
          <w:rPr>
            <w:i/>
            <w:lang w:val="en-AU"/>
          </w:rPr>
          <w:t xml:space="preserve"> </w:t>
        </w:r>
        <w:smartTag w:uri="urn:schemas-microsoft-com:office:smarttags" w:element="PlaceType">
          <w:r w:rsidR="0002225C" w:rsidRPr="00370E70">
            <w:rPr>
              <w:i/>
              <w:lang w:val="en-AU"/>
            </w:rPr>
            <w:t>Bay</w:t>
          </w:r>
        </w:smartTag>
      </w:smartTag>
      <w:r w:rsidR="0002225C">
        <w:rPr>
          <w:i/>
          <w:lang w:val="en-AU"/>
        </w:rPr>
        <w:t>)</w:t>
      </w:r>
      <w:r w:rsidR="0002225C" w:rsidRPr="00370E70">
        <w:rPr>
          <w:i/>
          <w:lang w:val="en-AU"/>
        </w:rPr>
        <w:t xml:space="preserve"> </w:t>
      </w:r>
      <w:r w:rsidRPr="00370E70">
        <w:rPr>
          <w:i/>
          <w:lang w:val="en-AU"/>
        </w:rPr>
        <w:t xml:space="preserve">in </w:t>
      </w:r>
      <w:r w:rsidR="0002225C">
        <w:rPr>
          <w:i/>
          <w:lang w:val="en-AU"/>
        </w:rPr>
        <w:t xml:space="preserve">the </w:t>
      </w:r>
      <w:r w:rsidRPr="00370E70">
        <w:rPr>
          <w:i/>
          <w:lang w:val="en-AU"/>
        </w:rPr>
        <w:t>Fitzroy region from 2001 to 201</w:t>
      </w:r>
      <w:r w:rsidR="0002225C">
        <w:rPr>
          <w:i/>
          <w:lang w:val="en-AU"/>
        </w:rPr>
        <w:t>2</w:t>
      </w:r>
      <w:r w:rsidRPr="00370E70">
        <w:rPr>
          <w:i/>
          <w:lang w:val="en-AU"/>
        </w:rPr>
        <w:t>.</w:t>
      </w:r>
      <w:bookmarkEnd w:id="678"/>
      <w:r w:rsidRPr="00370E70">
        <w:rPr>
          <w:i/>
          <w:lang w:val="en-AU"/>
        </w:rPr>
        <w:t xml:space="preserve"> </w:t>
      </w:r>
    </w:p>
    <w:p w:rsidR="00F6594D" w:rsidRPr="00370E70" w:rsidRDefault="005132EF" w:rsidP="00F6594D">
      <w:pPr>
        <w:pStyle w:val="Caption"/>
        <w:rPr>
          <w:lang w:val="en-AU"/>
        </w:rPr>
      </w:pPr>
      <w:r w:rsidRPr="00370E70">
        <w:rPr>
          <w:i/>
          <w:lang w:val="en-AU"/>
        </w:rPr>
        <w:t>Trendline is 3</w:t>
      </w:r>
      <w:r w:rsidRPr="00370E70">
        <w:rPr>
          <w:i/>
          <w:vertAlign w:val="superscript"/>
          <w:lang w:val="en-AU"/>
        </w:rPr>
        <w:t>rd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0.667.</w:t>
      </w:r>
      <w:r w:rsidR="00F6594D" w:rsidRPr="00370E70">
        <w:rPr>
          <w:lang w:val="en-AU"/>
        </w:rPr>
        <w:t xml:space="preserve"> </w:t>
      </w:r>
    </w:p>
    <w:p w:rsidR="005132EF" w:rsidRPr="00370E70" w:rsidRDefault="005132EF" w:rsidP="00034AD4">
      <w:pPr>
        <w:rPr>
          <w:color w:val="000000"/>
          <w:szCs w:val="22"/>
        </w:rPr>
      </w:pPr>
      <w:r w:rsidRPr="00370E70">
        <w:rPr>
          <w:color w:val="000000"/>
          <w:szCs w:val="22"/>
        </w:rPr>
        <w:t xml:space="preserve">Since monitoring was established, </w:t>
      </w:r>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seagrass abundance has shown little within year variance, </w:t>
      </w:r>
      <w:r w:rsidR="002C6536" w:rsidRPr="00370E70">
        <w:rPr>
          <w:color w:val="000000"/>
          <w:szCs w:val="22"/>
        </w:rPr>
        <w:t>within</w:t>
      </w:r>
      <w:r w:rsidRPr="00370E70">
        <w:rPr>
          <w:color w:val="000000"/>
          <w:szCs w:val="22"/>
        </w:rPr>
        <w:t xml:space="preserve"> only a slight indication of lower </w:t>
      </w:r>
      <w:r w:rsidR="002C6536" w:rsidRPr="00370E70">
        <w:rPr>
          <w:color w:val="000000"/>
          <w:szCs w:val="22"/>
        </w:rPr>
        <w:t>abundances</w:t>
      </w:r>
      <w:r w:rsidRPr="00370E70">
        <w:rPr>
          <w:color w:val="000000"/>
          <w:szCs w:val="22"/>
        </w:rPr>
        <w:t xml:space="preserve"> during the monsoon (</w:t>
      </w:r>
      <w:r w:rsidRPr="00370E70">
        <w:fldChar w:fldCharType="begin"/>
      </w:r>
      <w:r w:rsidRPr="00370E70">
        <w:instrText xml:space="preserve"> REF _Ref179509462 \h  \* MERGEFORMAT </w:instrText>
      </w:r>
      <w:r w:rsidRPr="00370E70">
        <w:fldChar w:fldCharType="separate"/>
      </w:r>
      <w:r w:rsidR="005B5FD6" w:rsidRPr="005B5FD6">
        <w:rPr>
          <w:szCs w:val="22"/>
        </w:rPr>
        <w:t xml:space="preserve">Figure </w:t>
      </w:r>
      <w:r w:rsidR="005B5FD6" w:rsidRPr="005B5FD6">
        <w:rPr>
          <w:noProof/>
          <w:color w:val="000000"/>
          <w:szCs w:val="22"/>
        </w:rPr>
        <w:t>147</w:t>
      </w:r>
      <w:r w:rsidRPr="00370E70">
        <w:fldChar w:fldCharType="end"/>
      </w:r>
      <w:r w:rsidRPr="00370E70">
        <w:rPr>
          <w:color w:val="000000"/>
          <w:szCs w:val="22"/>
        </w:rPr>
        <w:t>).</w:t>
      </w:r>
    </w:p>
    <w:p w:rsidR="005132EF" w:rsidRPr="00370E70" w:rsidRDefault="007B15AB" w:rsidP="00034AD4">
      <w:pPr>
        <w:keepNext/>
        <w:spacing w:before="240"/>
        <w:jc w:val="center"/>
        <w:rPr>
          <w:color w:val="000000"/>
        </w:rPr>
      </w:pPr>
      <w:r>
        <w:rPr>
          <w:noProof/>
          <w:lang w:eastAsia="en-AU"/>
        </w:rPr>
        <w:drawing>
          <wp:inline distT="0" distB="0" distL="0" distR="0">
            <wp:extent cx="4314190" cy="1609725"/>
            <wp:effectExtent l="0" t="0" r="0" b="9525"/>
            <wp:docPr id="192" name="Picture 187" descr="Graph showing seasonality of mean percentage seagrass cover (all species pooled) at Shoalwater Bay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Graph showing seasonality of mean percentage seagrass cover (all species pooled) at Shoalwater Bay long-term monitoring sites at time of year."/>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F6594D" w:rsidRPr="00370E70" w:rsidRDefault="005132EF" w:rsidP="00F6594D">
      <w:pPr>
        <w:pStyle w:val="Caption"/>
        <w:rPr>
          <w:i/>
          <w:vanish/>
          <w:color w:val="000000"/>
          <w:szCs w:val="22"/>
          <w:lang w:val="en-AU"/>
          <w:specVanish/>
        </w:rPr>
      </w:pPr>
      <w:bookmarkStart w:id="679" w:name="_Ref179509462"/>
      <w:bookmarkStart w:id="680" w:name="_Toc384196494"/>
      <w:bookmarkStart w:id="681" w:name="_Toc232846014"/>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147</w:t>
      </w:r>
      <w:r w:rsidRPr="00370E70">
        <w:rPr>
          <w:lang w:val="en-AU"/>
        </w:rPr>
        <w:fldChar w:fldCharType="end"/>
      </w:r>
      <w:bookmarkEnd w:id="679"/>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02225C">
        <w:rPr>
          <w:i/>
          <w:lang w:val="en-AU"/>
        </w:rPr>
        <w:t xml:space="preserve">inshore </w:t>
      </w:r>
      <w:r w:rsidR="0002225C" w:rsidRPr="00370E70">
        <w:rPr>
          <w:i/>
          <w:lang w:val="en-AU"/>
        </w:rPr>
        <w:t xml:space="preserve">intertidal coastal </w:t>
      </w:r>
      <w:r w:rsidR="0002225C">
        <w:rPr>
          <w:i/>
          <w:lang w:val="en-AU"/>
        </w:rPr>
        <w:t>habitats</w:t>
      </w:r>
      <w:r w:rsidR="0002225C" w:rsidRPr="00370E70">
        <w:rPr>
          <w:i/>
          <w:lang w:val="en-AU"/>
        </w:rPr>
        <w:t xml:space="preserve"> </w:t>
      </w:r>
      <w:r w:rsidR="0002225C">
        <w:rPr>
          <w:i/>
          <w:lang w:val="en-AU"/>
        </w:rPr>
        <w:t>(</w:t>
      </w:r>
      <w:smartTag w:uri="urn:schemas-microsoft-com:office:smarttags" w:element="place">
        <w:smartTag w:uri="urn:schemas-microsoft-com:office:smarttags" w:element="PlaceName">
          <w:r w:rsidR="0002225C" w:rsidRPr="00370E70">
            <w:rPr>
              <w:i/>
              <w:lang w:val="en-AU"/>
            </w:rPr>
            <w:t>Shoalwater</w:t>
          </w:r>
        </w:smartTag>
        <w:r w:rsidR="0002225C" w:rsidRPr="00370E70">
          <w:rPr>
            <w:i/>
            <w:lang w:val="en-AU"/>
          </w:rPr>
          <w:t xml:space="preserve"> </w:t>
        </w:r>
        <w:smartTag w:uri="urn:schemas-microsoft-com:office:smarttags" w:element="PlaceType">
          <w:r w:rsidR="0002225C" w:rsidRPr="00370E70">
            <w:rPr>
              <w:i/>
              <w:lang w:val="en-AU"/>
            </w:rPr>
            <w:t>Bay</w:t>
          </w:r>
        </w:smartTag>
      </w:smartTag>
      <w:r w:rsidR="0002225C">
        <w:rPr>
          <w:i/>
          <w:lang w:val="en-AU"/>
        </w:rPr>
        <w:t>)</w:t>
      </w:r>
      <w:r w:rsidR="0002225C" w:rsidRPr="00370E70">
        <w:rPr>
          <w:i/>
          <w:lang w:val="en-AU"/>
        </w:rPr>
        <w:t xml:space="preserve"> in </w:t>
      </w:r>
      <w:r w:rsidR="0002225C">
        <w:rPr>
          <w:i/>
          <w:lang w:val="en-AU"/>
        </w:rPr>
        <w:t xml:space="preserve">the </w:t>
      </w:r>
      <w:r w:rsidR="0002225C" w:rsidRPr="00370E70">
        <w:rPr>
          <w:i/>
          <w:lang w:val="en-AU"/>
        </w:rPr>
        <w:t xml:space="preserve">Fitzroy region </w:t>
      </w:r>
      <w:r w:rsidRPr="00370E70">
        <w:rPr>
          <w:i/>
          <w:lang w:val="en-AU"/>
        </w:rPr>
        <w:t>at time of year.</w:t>
      </w:r>
      <w:bookmarkEnd w:id="680"/>
      <w:r w:rsidRPr="00370E70">
        <w:rPr>
          <w:i/>
          <w:lang w:val="en-AU"/>
        </w:rPr>
        <w:t xml:space="preserve"> </w:t>
      </w:r>
    </w:p>
    <w:p w:rsidR="00F6594D" w:rsidRPr="00370E70" w:rsidRDefault="005132EF" w:rsidP="00F6594D">
      <w:pPr>
        <w:pStyle w:val="Caption"/>
        <w:rPr>
          <w:lang w:val="en-AU"/>
        </w:rPr>
      </w:pPr>
      <w:r w:rsidRPr="00370E70">
        <w:rPr>
          <w:i/>
          <w:lang w:val="en-AU"/>
        </w:rPr>
        <w:t>NB: Polynomial trendline for all years pooled.</w:t>
      </w:r>
      <w:bookmarkEnd w:id="681"/>
      <w:r w:rsidR="00F6594D" w:rsidRPr="00370E70">
        <w:rPr>
          <w:lang w:val="en-AU"/>
        </w:rPr>
        <w:t xml:space="preserve"> </w:t>
      </w:r>
    </w:p>
    <w:p w:rsidR="005132EF" w:rsidRPr="00370E70" w:rsidRDefault="005132EF" w:rsidP="004E2560">
      <w:pPr>
        <w:pStyle w:val="Heading5"/>
        <w:rPr>
          <w:szCs w:val="22"/>
        </w:rPr>
      </w:pPr>
      <w:r w:rsidRPr="00370E70">
        <w:rPr>
          <w:szCs w:val="22"/>
        </w:rPr>
        <w:t>Estuary</w:t>
      </w:r>
    </w:p>
    <w:p w:rsidR="005132EF" w:rsidRPr="00370E70" w:rsidRDefault="005132EF" w:rsidP="00034AD4">
      <w:pPr>
        <w:rPr>
          <w:color w:val="000000"/>
          <w:szCs w:val="22"/>
        </w:rPr>
      </w:pPr>
      <w:smartTag w:uri="urn:schemas-microsoft-com:office:smarttags" w:element="PlaceName">
        <w:r w:rsidRPr="00370E70">
          <w:rPr>
            <w:color w:val="000000"/>
            <w:szCs w:val="22"/>
          </w:rPr>
          <w:t>Gladstone</w:t>
        </w:r>
      </w:smartTag>
      <w:r w:rsidRPr="00370E70">
        <w:rPr>
          <w:color w:val="000000"/>
          <w:szCs w:val="22"/>
        </w:rPr>
        <w:t xml:space="preserve"> </w:t>
      </w:r>
      <w:smartTag w:uri="urn:schemas-microsoft-com:office:smarttags" w:element="PlaceType">
        <w:r w:rsidRPr="00370E70">
          <w:rPr>
            <w:color w:val="000000"/>
            <w:szCs w:val="22"/>
          </w:rPr>
          <w:t>Harbour</w:t>
        </w:r>
      </w:smartTag>
      <w:r w:rsidRPr="00370E70">
        <w:rPr>
          <w:color w:val="000000"/>
          <w:szCs w:val="22"/>
        </w:rPr>
        <w:t xml:space="preserve"> estuarine sites were located in a large </w:t>
      </w:r>
      <w:r w:rsidRPr="00370E70">
        <w:rPr>
          <w:i/>
          <w:color w:val="000000"/>
          <w:szCs w:val="22"/>
        </w:rPr>
        <w:t xml:space="preserve">Zostera </w:t>
      </w:r>
      <w:r w:rsidR="00145BB9" w:rsidRPr="00370E70">
        <w:rPr>
          <w:i/>
          <w:color w:val="000000"/>
          <w:szCs w:val="22"/>
        </w:rPr>
        <w:t>muelleri</w:t>
      </w:r>
      <w:r w:rsidRPr="00370E70">
        <w:rPr>
          <w:i/>
          <w:color w:val="000000"/>
          <w:szCs w:val="22"/>
        </w:rPr>
        <w:t xml:space="preserve"> </w:t>
      </w:r>
      <w:r w:rsidRPr="00370E70">
        <w:rPr>
          <w:color w:val="000000"/>
          <w:szCs w:val="22"/>
        </w:rPr>
        <w:t>dominated meadow (</w:t>
      </w:r>
      <w:r w:rsidRPr="00370E70">
        <w:fldChar w:fldCharType="begin"/>
      </w:r>
      <w:r w:rsidRPr="00370E70">
        <w:instrText xml:space="preserve"> REF _Ref179509250 \h  \* MERGEFORMAT </w:instrText>
      </w:r>
      <w:r w:rsidRPr="00370E70">
        <w:fldChar w:fldCharType="separate"/>
      </w:r>
      <w:r w:rsidR="005B5FD6" w:rsidRPr="005B5FD6">
        <w:rPr>
          <w:szCs w:val="22"/>
        </w:rPr>
        <w:t xml:space="preserve">Figure </w:t>
      </w:r>
      <w:r w:rsidR="005B5FD6" w:rsidRPr="005B5FD6">
        <w:rPr>
          <w:noProof/>
          <w:color w:val="000000"/>
          <w:szCs w:val="22"/>
        </w:rPr>
        <w:t>141</w:t>
      </w:r>
      <w:r w:rsidRPr="00370E70">
        <w:fldChar w:fldCharType="end"/>
      </w:r>
      <w:r w:rsidRPr="00370E70">
        <w:rPr>
          <w:color w:val="000000"/>
          <w:szCs w:val="22"/>
        </w:rPr>
        <w:t xml:space="preserve">) on the extensive intertidal Pelican Banks at the southern end of </w:t>
      </w:r>
      <w:smartTag w:uri="urn:schemas-microsoft-com:office:smarttags" w:element="place">
        <w:smartTag w:uri="urn:schemas-microsoft-com:office:smarttags" w:element="PlaceName">
          <w:r w:rsidRPr="00370E70">
            <w:rPr>
              <w:color w:val="000000"/>
              <w:szCs w:val="22"/>
            </w:rPr>
            <w:t>Curtis</w:t>
          </w:r>
        </w:smartTag>
        <w:r w:rsidRPr="00370E70">
          <w:rPr>
            <w:color w:val="000000"/>
            <w:szCs w:val="22"/>
          </w:rPr>
          <w:t xml:space="preserve"> </w:t>
        </w:r>
        <w:smartTag w:uri="urn:schemas-microsoft-com:office:smarttags" w:element="PlaceName">
          <w:r w:rsidRPr="00370E70">
            <w:rPr>
              <w:color w:val="000000"/>
              <w:szCs w:val="22"/>
            </w:rPr>
            <w:t>Island</w:t>
          </w:r>
        </w:smartTag>
      </w:smartTag>
      <w:r w:rsidRPr="00370E70">
        <w:rPr>
          <w:color w:val="000000"/>
          <w:szCs w:val="22"/>
        </w:rPr>
        <w:t>. Species composition has remained stable; however abundance has differed greatly within and between years (</w:t>
      </w:r>
      <w:r w:rsidRPr="00370E70">
        <w:fldChar w:fldCharType="begin"/>
      </w:r>
      <w:r w:rsidRPr="00370E70">
        <w:instrText xml:space="preserve"> REF _Ref211933877 \h  \* MERGEFORMAT </w:instrText>
      </w:r>
      <w:r w:rsidRPr="00370E70">
        <w:fldChar w:fldCharType="separate"/>
      </w:r>
      <w:r w:rsidR="005B5FD6" w:rsidRPr="005B5FD6">
        <w:rPr>
          <w:szCs w:val="22"/>
        </w:rPr>
        <w:t xml:space="preserve">Figure </w:t>
      </w:r>
      <w:r w:rsidR="005B5FD6" w:rsidRPr="005B5FD6">
        <w:rPr>
          <w:noProof/>
          <w:color w:val="000000"/>
          <w:szCs w:val="22"/>
        </w:rPr>
        <w:t>148</w:t>
      </w:r>
      <w:r w:rsidRPr="00370E70">
        <w:fldChar w:fldCharType="end"/>
      </w:r>
      <w:r w:rsidRPr="00370E70">
        <w:rPr>
          <w:color w:val="000000"/>
          <w:szCs w:val="22"/>
        </w:rPr>
        <w:t>).  Abundances observed in late 2011 were some of the highest recorded since monitoring was established in 2005, and although in early 2012 abundances declined, they remained nearly twice as high as experienced the same time in the previous year (</w:t>
      </w:r>
      <w:r w:rsidRPr="00370E70">
        <w:fldChar w:fldCharType="begin"/>
      </w:r>
      <w:r w:rsidRPr="00370E70">
        <w:instrText xml:space="preserve"> REF _Ref211933877 \h  \* MERGEFORMAT </w:instrText>
      </w:r>
      <w:r w:rsidRPr="00370E70">
        <w:fldChar w:fldCharType="separate"/>
      </w:r>
      <w:r w:rsidR="005B5FD6" w:rsidRPr="005B5FD6">
        <w:rPr>
          <w:szCs w:val="22"/>
        </w:rPr>
        <w:t xml:space="preserve">Figure </w:t>
      </w:r>
      <w:r w:rsidR="005B5FD6" w:rsidRPr="005B5FD6">
        <w:rPr>
          <w:noProof/>
          <w:color w:val="000000"/>
          <w:szCs w:val="22"/>
        </w:rPr>
        <w:t>148</w:t>
      </w:r>
      <w:r w:rsidRPr="00370E70">
        <w:fldChar w:fldCharType="end"/>
      </w:r>
      <w:r w:rsidRPr="00370E70">
        <w:rPr>
          <w:color w:val="000000"/>
          <w:szCs w:val="22"/>
        </w:rPr>
        <w:t>). Estuarine seagrasses appear to change seasonally, increasing throughout the year until the late monsoon (</w:t>
      </w:r>
      <w:r w:rsidRPr="00370E70">
        <w:fldChar w:fldCharType="begin"/>
      </w:r>
      <w:r w:rsidRPr="00370E70">
        <w:instrText xml:space="preserve"> REF _Ref233175077 \h  \* MERGEFORMAT </w:instrText>
      </w:r>
      <w:r w:rsidRPr="00370E70">
        <w:fldChar w:fldCharType="separate"/>
      </w:r>
      <w:r w:rsidR="005B5FD6" w:rsidRPr="005B5FD6">
        <w:rPr>
          <w:szCs w:val="22"/>
        </w:rPr>
        <w:t xml:space="preserve">Figure </w:t>
      </w:r>
      <w:r w:rsidR="005B5FD6" w:rsidRPr="005B5FD6">
        <w:rPr>
          <w:noProof/>
          <w:color w:val="000000"/>
          <w:szCs w:val="22"/>
        </w:rPr>
        <w:t>149</w:t>
      </w:r>
      <w:r w:rsidRPr="00370E70">
        <w:fldChar w:fldCharType="end"/>
      </w:r>
      <w:r w:rsidRPr="00370E70">
        <w:rPr>
          <w:color w:val="000000"/>
          <w:szCs w:val="22"/>
        </w:rPr>
        <w:t xml:space="preserve">). </w:t>
      </w:r>
    </w:p>
    <w:p w:rsidR="005132EF" w:rsidRPr="00370E70" w:rsidRDefault="007B15AB" w:rsidP="00034AD4">
      <w:pPr>
        <w:keepNext/>
        <w:spacing w:after="0"/>
        <w:jc w:val="center"/>
        <w:rPr>
          <w:color w:val="000000"/>
        </w:rPr>
      </w:pPr>
      <w:r>
        <w:rPr>
          <w:noProof/>
          <w:color w:val="000000"/>
          <w:lang w:eastAsia="en-AU"/>
        </w:rPr>
        <w:lastRenderedPageBreak/>
        <w:drawing>
          <wp:inline distT="0" distB="0" distL="0" distR="0">
            <wp:extent cx="2884805" cy="2035175"/>
            <wp:effectExtent l="0" t="0" r="0" b="3175"/>
            <wp:docPr id="193" name="Picture 188" descr="Graph of changes in seagrass abundance (% cover) at estuarine intertidal meadows in Gladstone Harbour (Fitzroy region) from 200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Graph of changes in seagrass abundance (% cover) at estuarine intertidal meadows in Gladstone Harbour (Fitzroy region) from 2005 to 2011"/>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2884805" cy="2035175"/>
                    </a:xfrm>
                    <a:prstGeom prst="rect">
                      <a:avLst/>
                    </a:prstGeom>
                    <a:noFill/>
                    <a:ln>
                      <a:noFill/>
                    </a:ln>
                  </pic:spPr>
                </pic:pic>
              </a:graphicData>
            </a:graphic>
          </wp:inline>
        </w:drawing>
      </w:r>
    </w:p>
    <w:p w:rsidR="0064478C" w:rsidRPr="00370E70" w:rsidRDefault="005132EF" w:rsidP="0064478C">
      <w:pPr>
        <w:pStyle w:val="Caption"/>
        <w:spacing w:before="0"/>
        <w:rPr>
          <w:i/>
          <w:vanish/>
          <w:lang w:val="en-AU"/>
          <w:specVanish/>
        </w:rPr>
      </w:pPr>
      <w:bookmarkStart w:id="682" w:name="_Ref211933877"/>
      <w:bookmarkStart w:id="683" w:name="_Toc232846015"/>
      <w:bookmarkStart w:id="684" w:name="_Toc38419649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148</w:t>
      </w:r>
      <w:r w:rsidRPr="00370E70">
        <w:rPr>
          <w:lang w:val="en-AU"/>
        </w:rPr>
        <w:fldChar w:fldCharType="end"/>
      </w:r>
      <w:bookmarkEnd w:id="682"/>
      <w:r w:rsidRPr="00370E70">
        <w:rPr>
          <w:rStyle w:val="StyleCaptionCaptionCharCharLatinCalibri11ptBlackChar"/>
          <w:lang w:val="en-AU"/>
        </w:rPr>
        <w:t xml:space="preserve">. </w:t>
      </w:r>
      <w:bookmarkEnd w:id="683"/>
      <w:r w:rsidRPr="00370E70">
        <w:rPr>
          <w:i/>
          <w:lang w:val="en-AU"/>
        </w:rPr>
        <w:t xml:space="preserve">Changes in seagrass abundance (% cover ±Standard Error) at </w:t>
      </w:r>
      <w:r w:rsidR="0002225C">
        <w:rPr>
          <w:i/>
          <w:lang w:val="en-AU"/>
        </w:rPr>
        <w:t xml:space="preserve">inshore </w:t>
      </w:r>
      <w:r w:rsidR="0002225C" w:rsidRPr="00370E70">
        <w:rPr>
          <w:i/>
          <w:lang w:val="en-AU"/>
        </w:rPr>
        <w:t xml:space="preserve">intertidal </w:t>
      </w:r>
      <w:r w:rsidRPr="00370E70">
        <w:rPr>
          <w:i/>
          <w:lang w:val="en-AU"/>
        </w:rPr>
        <w:t xml:space="preserve">estuarine </w:t>
      </w:r>
      <w:r w:rsidR="0002225C">
        <w:rPr>
          <w:i/>
          <w:lang w:val="en-AU"/>
        </w:rPr>
        <w:t>habitats (</w:t>
      </w:r>
      <w:smartTag w:uri="urn:schemas-microsoft-com:office:smarttags" w:element="place">
        <w:smartTag w:uri="urn:schemas-microsoft-com:office:smarttags" w:element="PlaceName">
          <w:r w:rsidRPr="00370E70">
            <w:rPr>
              <w:i/>
              <w:lang w:val="en-AU"/>
            </w:rPr>
            <w:t>Gladstone</w:t>
          </w:r>
        </w:smartTag>
        <w:r w:rsidRPr="00370E70">
          <w:rPr>
            <w:i/>
            <w:lang w:val="en-AU"/>
          </w:rPr>
          <w:t xml:space="preserve"> </w:t>
        </w:r>
        <w:smartTag w:uri="urn:schemas-microsoft-com:office:smarttags" w:element="PlaceType">
          <w:r w:rsidRPr="00370E70">
            <w:rPr>
              <w:i/>
              <w:lang w:val="en-AU"/>
            </w:rPr>
            <w:t>Harbour</w:t>
          </w:r>
        </w:smartTag>
      </w:smartTag>
      <w:r w:rsidR="0002225C">
        <w:rPr>
          <w:i/>
          <w:lang w:val="en-AU"/>
        </w:rPr>
        <w:t xml:space="preserve">) in the </w:t>
      </w:r>
      <w:r w:rsidRPr="00370E70">
        <w:rPr>
          <w:i/>
          <w:lang w:val="en-AU"/>
        </w:rPr>
        <w:t>Fitzroy region from 2005 to 201</w:t>
      </w:r>
      <w:r w:rsidR="0002225C">
        <w:rPr>
          <w:i/>
          <w:lang w:val="en-AU"/>
        </w:rPr>
        <w:t>2</w:t>
      </w:r>
      <w:r w:rsidRPr="00370E70">
        <w:rPr>
          <w:i/>
          <w:lang w:val="en-AU"/>
        </w:rPr>
        <w:t>.</w:t>
      </w:r>
      <w:bookmarkEnd w:id="684"/>
      <w:r w:rsidR="00641CBD" w:rsidRPr="00370E70">
        <w:rPr>
          <w:i/>
          <w:vanish/>
          <w:color w:val="000000"/>
          <w:szCs w:val="22"/>
          <w:lang w:val="en-AU"/>
          <w:specVanish/>
        </w:rPr>
        <w:t xml:space="preserve"> </w:t>
      </w:r>
      <w:r w:rsidRPr="00370E70">
        <w:rPr>
          <w:i/>
          <w:lang w:val="en-AU"/>
        </w:rPr>
        <w:t xml:space="preserve"> </w:t>
      </w:r>
    </w:p>
    <w:p w:rsidR="0064478C" w:rsidRPr="00370E70" w:rsidRDefault="005132EF" w:rsidP="0064478C">
      <w:pPr>
        <w:pStyle w:val="Caption"/>
        <w:spacing w:before="0"/>
        <w:rPr>
          <w:lang w:val="en-AU"/>
        </w:rPr>
      </w:pPr>
      <w:r w:rsidRPr="00370E70">
        <w:rPr>
          <w:i/>
          <w:lang w:val="en-AU"/>
        </w:rPr>
        <w:t>Trendline is 3</w:t>
      </w:r>
      <w:r w:rsidRPr="00370E70">
        <w:rPr>
          <w:i/>
          <w:vertAlign w:val="superscript"/>
          <w:lang w:val="en-AU"/>
        </w:rPr>
        <w:t>rd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0.072.</w:t>
      </w:r>
      <w:r w:rsidR="00641CBD" w:rsidRPr="00370E70">
        <w:rPr>
          <w:i/>
          <w:lang w:val="en-AU"/>
        </w:rPr>
        <w:t xml:space="preserve"> </w:t>
      </w:r>
    </w:p>
    <w:p w:rsidR="005132EF" w:rsidRPr="00370E70" w:rsidRDefault="007B15AB" w:rsidP="00F6594D">
      <w:pPr>
        <w:keepNext/>
        <w:jc w:val="center"/>
        <w:rPr>
          <w:color w:val="000000"/>
        </w:rPr>
      </w:pPr>
      <w:r>
        <w:rPr>
          <w:noProof/>
          <w:lang w:eastAsia="en-AU"/>
        </w:rPr>
        <w:drawing>
          <wp:inline distT="0" distB="0" distL="0" distR="0">
            <wp:extent cx="4314190" cy="1609725"/>
            <wp:effectExtent l="0" t="0" r="0" b="9525"/>
            <wp:docPr id="194" name="Picture 189" descr="Graph showing seasonality of mean percentage seagrass cover (all species pooled) at Gladstone Harbour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Graph showing seasonality of mean percentage seagrass cover (all species pooled) at Gladstone Harbour long-term monitoring sites at time of year. "/>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641CBD" w:rsidRPr="00370E70" w:rsidRDefault="005132EF" w:rsidP="00641CBD">
      <w:pPr>
        <w:pStyle w:val="Caption"/>
        <w:rPr>
          <w:i/>
          <w:vanish/>
          <w:color w:val="000000"/>
          <w:szCs w:val="22"/>
          <w:lang w:val="en-AU"/>
          <w:specVanish/>
        </w:rPr>
      </w:pPr>
      <w:bookmarkStart w:id="685" w:name="_Ref233175077"/>
      <w:bookmarkStart w:id="686" w:name="_Toc384196496"/>
      <w:bookmarkStart w:id="687" w:name="_Toc23284601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149</w:t>
      </w:r>
      <w:r w:rsidRPr="00370E70">
        <w:rPr>
          <w:lang w:val="en-AU"/>
        </w:rPr>
        <w:fldChar w:fldCharType="end"/>
      </w:r>
      <w:bookmarkEnd w:id="685"/>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02225C">
        <w:rPr>
          <w:i/>
          <w:lang w:val="en-AU"/>
        </w:rPr>
        <w:t xml:space="preserve">inshore </w:t>
      </w:r>
      <w:r w:rsidR="0002225C" w:rsidRPr="00370E70">
        <w:rPr>
          <w:i/>
          <w:lang w:val="en-AU"/>
        </w:rPr>
        <w:t xml:space="preserve">intertidal estuarine </w:t>
      </w:r>
      <w:r w:rsidR="0002225C">
        <w:rPr>
          <w:i/>
          <w:lang w:val="en-AU"/>
        </w:rPr>
        <w:t>habitats (</w:t>
      </w:r>
      <w:smartTag w:uri="urn:schemas-microsoft-com:office:smarttags" w:element="place">
        <w:smartTag w:uri="urn:schemas-microsoft-com:office:smarttags" w:element="PlaceName">
          <w:r w:rsidR="0002225C" w:rsidRPr="00370E70">
            <w:rPr>
              <w:i/>
              <w:lang w:val="en-AU"/>
            </w:rPr>
            <w:t>Gladstone</w:t>
          </w:r>
        </w:smartTag>
        <w:r w:rsidR="0002225C" w:rsidRPr="00370E70">
          <w:rPr>
            <w:i/>
            <w:lang w:val="en-AU"/>
          </w:rPr>
          <w:t xml:space="preserve"> </w:t>
        </w:r>
        <w:smartTag w:uri="urn:schemas-microsoft-com:office:smarttags" w:element="PlaceType">
          <w:r w:rsidR="0002225C" w:rsidRPr="00370E70">
            <w:rPr>
              <w:i/>
              <w:lang w:val="en-AU"/>
            </w:rPr>
            <w:t>Harbour</w:t>
          </w:r>
        </w:smartTag>
      </w:smartTag>
      <w:r w:rsidR="0002225C">
        <w:rPr>
          <w:i/>
          <w:lang w:val="en-AU"/>
        </w:rPr>
        <w:t xml:space="preserve">) in the </w:t>
      </w:r>
      <w:r w:rsidR="0002225C" w:rsidRPr="00370E70">
        <w:rPr>
          <w:i/>
          <w:lang w:val="en-AU"/>
        </w:rPr>
        <w:t xml:space="preserve">Fitzroy region </w:t>
      </w:r>
      <w:r w:rsidRPr="00370E70">
        <w:rPr>
          <w:i/>
          <w:lang w:val="en-AU"/>
        </w:rPr>
        <w:t>at time of year.</w:t>
      </w:r>
      <w:bookmarkEnd w:id="686"/>
      <w:r w:rsidRPr="00370E70">
        <w:rPr>
          <w:i/>
          <w:lang w:val="en-AU"/>
        </w:rPr>
        <w:t xml:space="preserve"> </w:t>
      </w:r>
    </w:p>
    <w:p w:rsidR="00641CBD" w:rsidRPr="00370E70" w:rsidRDefault="005132EF" w:rsidP="00641CBD">
      <w:pPr>
        <w:pStyle w:val="Caption"/>
        <w:rPr>
          <w:lang w:val="en-AU"/>
        </w:rPr>
      </w:pPr>
      <w:r w:rsidRPr="00370E70">
        <w:rPr>
          <w:i/>
          <w:lang w:val="en-AU"/>
        </w:rPr>
        <w:t>NB: Polynomial trendline for all years pooled.</w:t>
      </w:r>
      <w:bookmarkEnd w:id="687"/>
      <w:r w:rsidR="00641CBD" w:rsidRPr="00370E70">
        <w:rPr>
          <w:lang w:val="en-AU"/>
        </w:rPr>
        <w:t xml:space="preserve"> </w:t>
      </w:r>
    </w:p>
    <w:p w:rsidR="005132EF" w:rsidRPr="00370E70" w:rsidRDefault="005132EF" w:rsidP="004E2560">
      <w:pPr>
        <w:pStyle w:val="Heading5"/>
        <w:rPr>
          <w:szCs w:val="22"/>
        </w:rPr>
      </w:pPr>
      <w:r w:rsidRPr="00370E70">
        <w:rPr>
          <w:szCs w:val="22"/>
        </w:rPr>
        <w:t>Inshore reef habitat</w:t>
      </w:r>
    </w:p>
    <w:p w:rsidR="005132EF" w:rsidRPr="00370E70" w:rsidRDefault="005132EF" w:rsidP="00034AD4">
      <w:pPr>
        <w:rPr>
          <w:color w:val="000000"/>
          <w:szCs w:val="22"/>
        </w:rPr>
      </w:pPr>
      <w:r w:rsidRPr="00370E70">
        <w:rPr>
          <w:color w:val="000000"/>
          <w:szCs w:val="22"/>
        </w:rPr>
        <w:t xml:space="preserve">The monitoring sites at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(GK1 and GK2) differ greatly from the inshore sites, being composed predominately of </w:t>
      </w:r>
      <w:r w:rsidRPr="00370E70">
        <w:rPr>
          <w:i/>
          <w:color w:val="000000"/>
          <w:szCs w:val="22"/>
        </w:rPr>
        <w:t>H. uninervis</w:t>
      </w:r>
      <w:r w:rsidRPr="00370E70">
        <w:rPr>
          <w:color w:val="000000"/>
          <w:szCs w:val="22"/>
        </w:rPr>
        <w:t xml:space="preserve"> on sand substrate (</w:t>
      </w:r>
      <w:r w:rsidRPr="00370E70">
        <w:fldChar w:fldCharType="begin"/>
      </w:r>
      <w:r w:rsidRPr="00370E70">
        <w:instrText xml:space="preserve"> REF _Ref179509250 \h  \* MERGEFORMAT </w:instrText>
      </w:r>
      <w:r w:rsidRPr="00370E70">
        <w:fldChar w:fldCharType="separate"/>
      </w:r>
      <w:r w:rsidR="005B5FD6" w:rsidRPr="005B5FD6">
        <w:rPr>
          <w:szCs w:val="22"/>
        </w:rPr>
        <w:t xml:space="preserve">Figure </w:t>
      </w:r>
      <w:r w:rsidR="005B5FD6" w:rsidRPr="005B5FD6">
        <w:rPr>
          <w:noProof/>
          <w:color w:val="000000"/>
          <w:szCs w:val="22"/>
        </w:rPr>
        <w:t>141</w:t>
      </w:r>
      <w:r w:rsidRPr="00370E70">
        <w:fldChar w:fldCharType="end"/>
      </w:r>
      <w:r w:rsidRPr="00370E70">
        <w:rPr>
          <w:color w:val="000000"/>
          <w:szCs w:val="22"/>
        </w:rPr>
        <w:t>). Although seagrass abundance has continued to remain low since monitoring was established in 2007 (</w:t>
      </w:r>
      <w:r w:rsidRPr="00370E70">
        <w:fldChar w:fldCharType="begin"/>
      </w:r>
      <w:r w:rsidRPr="00370E70">
        <w:instrText xml:space="preserve"> REF _Ref211933926 \h  \* MERGEFORMAT </w:instrText>
      </w:r>
      <w:r w:rsidRPr="00370E70">
        <w:fldChar w:fldCharType="separate"/>
      </w:r>
      <w:r w:rsidR="005B5FD6" w:rsidRPr="005B5FD6">
        <w:rPr>
          <w:szCs w:val="22"/>
        </w:rPr>
        <w:t xml:space="preserve">Figure </w:t>
      </w:r>
      <w:r w:rsidR="005B5FD6" w:rsidRPr="005B5FD6">
        <w:rPr>
          <w:noProof/>
          <w:color w:val="000000"/>
          <w:szCs w:val="22"/>
        </w:rPr>
        <w:t>150</w:t>
      </w:r>
      <w:r w:rsidRPr="00370E70">
        <w:fldChar w:fldCharType="end"/>
      </w:r>
      <w:r w:rsidRPr="00370E70">
        <w:rPr>
          <w:color w:val="000000"/>
          <w:szCs w:val="22"/>
        </w:rPr>
        <w:t xml:space="preserve">), </w:t>
      </w:r>
      <w:r w:rsidR="002C6536" w:rsidRPr="00370E70">
        <w:rPr>
          <w:color w:val="000000"/>
          <w:szCs w:val="22"/>
        </w:rPr>
        <w:t>abundances</w:t>
      </w:r>
      <w:r w:rsidRPr="00370E70">
        <w:rPr>
          <w:color w:val="000000"/>
          <w:szCs w:val="22"/>
        </w:rPr>
        <w:t xml:space="preserve"> are relatively higher in</w:t>
      </w:r>
      <w:r w:rsidR="002C6536" w:rsidRPr="00370E70">
        <w:rPr>
          <w:color w:val="000000"/>
          <w:szCs w:val="22"/>
        </w:rPr>
        <w:t xml:space="preserve"> </w:t>
      </w:r>
      <w:r w:rsidRPr="00370E70">
        <w:rPr>
          <w:color w:val="000000"/>
          <w:szCs w:val="22"/>
        </w:rPr>
        <w:t>th</w:t>
      </w:r>
      <w:r w:rsidR="002C6536" w:rsidRPr="00370E70">
        <w:rPr>
          <w:color w:val="000000"/>
          <w:szCs w:val="22"/>
        </w:rPr>
        <w:t>e</w:t>
      </w:r>
      <w:r w:rsidRPr="00370E70">
        <w:rPr>
          <w:color w:val="000000"/>
          <w:szCs w:val="22"/>
        </w:rPr>
        <w:t xml:space="preserve"> late dry than the last monsoon (</w:t>
      </w:r>
      <w:r w:rsidRPr="00370E70">
        <w:fldChar w:fldCharType="begin"/>
      </w:r>
      <w:r w:rsidRPr="00370E70">
        <w:instrText xml:space="preserve"> REF _Ref233175217 \h  \* MERGEFORMAT </w:instrText>
      </w:r>
      <w:r w:rsidRPr="00370E70">
        <w:fldChar w:fldCharType="separate"/>
      </w:r>
      <w:r w:rsidR="005B5FD6" w:rsidRPr="005B5FD6">
        <w:rPr>
          <w:szCs w:val="22"/>
        </w:rPr>
        <w:t xml:space="preserve">Figure </w:t>
      </w:r>
      <w:r w:rsidR="005B5FD6" w:rsidRPr="005B5FD6">
        <w:rPr>
          <w:noProof/>
          <w:color w:val="000000"/>
          <w:szCs w:val="22"/>
        </w:rPr>
        <w:t>151</w:t>
      </w:r>
      <w:r w:rsidRPr="00370E70">
        <w:fldChar w:fldCharType="end"/>
      </w:r>
      <w:r w:rsidRPr="00370E70">
        <w:rPr>
          <w:color w:val="000000"/>
          <w:szCs w:val="22"/>
        </w:rPr>
        <w:t>).</w:t>
      </w:r>
    </w:p>
    <w:p w:rsidR="005132EF" w:rsidRPr="00370E70" w:rsidRDefault="007B15AB" w:rsidP="00034AD4">
      <w:pPr>
        <w:keepNext/>
        <w:jc w:val="center"/>
        <w:rPr>
          <w:color w:val="000000"/>
        </w:rPr>
      </w:pPr>
      <w:r>
        <w:rPr>
          <w:noProof/>
          <w:lang w:eastAsia="en-AU"/>
        </w:rPr>
        <w:drawing>
          <wp:inline distT="0" distB="0" distL="0" distR="0">
            <wp:extent cx="2884805" cy="2099310"/>
            <wp:effectExtent l="0" t="0" r="0" b="0"/>
            <wp:docPr id="195" name="Picture 190" descr="Graph of changes in seagrass abundance (% cover) at intertidal fringing –reef meadows at Great Keppel Island (Fitzroy region) from 200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Graph of changes in seagrass abundance (% cover) at intertidal fringing –reef meadows at Great Keppel Island (Fitzroy region) from 2005 to 2011"/>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2884805" cy="2099310"/>
                    </a:xfrm>
                    <a:prstGeom prst="rect">
                      <a:avLst/>
                    </a:prstGeom>
                    <a:noFill/>
                    <a:ln>
                      <a:noFill/>
                    </a:ln>
                  </pic:spPr>
                </pic:pic>
              </a:graphicData>
            </a:graphic>
          </wp:inline>
        </w:drawing>
      </w:r>
    </w:p>
    <w:p w:rsidR="00641CBD" w:rsidRPr="00370E70" w:rsidRDefault="005132EF" w:rsidP="00641CBD">
      <w:pPr>
        <w:pStyle w:val="Caption"/>
        <w:rPr>
          <w:i/>
          <w:vanish/>
          <w:color w:val="000000"/>
          <w:szCs w:val="22"/>
          <w:lang w:val="en-AU"/>
          <w:specVanish/>
        </w:rPr>
      </w:pPr>
      <w:bookmarkStart w:id="688" w:name="_Ref211933926"/>
      <w:bookmarkStart w:id="689" w:name="_Toc232846017"/>
      <w:bookmarkStart w:id="690" w:name="_Toc38419649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150</w:t>
      </w:r>
      <w:r w:rsidRPr="00370E70">
        <w:rPr>
          <w:lang w:val="en-AU"/>
        </w:rPr>
        <w:fldChar w:fldCharType="end"/>
      </w:r>
      <w:bookmarkEnd w:id="688"/>
      <w:r w:rsidRPr="00370E70">
        <w:rPr>
          <w:rStyle w:val="StyleCaptionCaptionCharCharLatinCalibri11ptBlackChar"/>
          <w:lang w:val="en-AU"/>
        </w:rPr>
        <w:t xml:space="preserve">. </w:t>
      </w:r>
      <w:bookmarkEnd w:id="689"/>
      <w:r w:rsidRPr="00370E70">
        <w:rPr>
          <w:i/>
          <w:lang w:val="en-AU"/>
        </w:rPr>
        <w:t xml:space="preserve">Changes in seagrass abundance (% cover ±Standard Error) at </w:t>
      </w:r>
      <w:r w:rsidR="005567C5">
        <w:rPr>
          <w:i/>
          <w:lang w:val="en-AU"/>
        </w:rPr>
        <w:t xml:space="preserve">inshore </w:t>
      </w:r>
      <w:r w:rsidRPr="00370E70">
        <w:rPr>
          <w:i/>
          <w:lang w:val="en-AU"/>
        </w:rPr>
        <w:t>intertidal</w:t>
      </w:r>
      <w:r w:rsidR="005567C5">
        <w:rPr>
          <w:i/>
          <w:lang w:val="en-AU"/>
        </w:rPr>
        <w:t xml:space="preserve"> </w:t>
      </w:r>
      <w:r w:rsidRPr="00370E70">
        <w:rPr>
          <w:i/>
          <w:lang w:val="en-AU"/>
        </w:rPr>
        <w:t xml:space="preserve">reef </w:t>
      </w:r>
      <w:r w:rsidR="005567C5">
        <w:rPr>
          <w:i/>
          <w:lang w:val="en-AU"/>
        </w:rPr>
        <w:t>habitats (</w:t>
      </w:r>
      <w:smartTag w:uri="urn:schemas-microsoft-com:office:smarttags" w:element="place">
        <w:smartTag w:uri="urn:schemas-microsoft-com:office:smarttags" w:element="PlaceName">
          <w:r w:rsidRPr="00370E70">
            <w:rPr>
              <w:i/>
              <w:lang w:val="en-AU"/>
            </w:rPr>
            <w:t>Great</w:t>
          </w:r>
        </w:smartTag>
        <w:r w:rsidRPr="00370E70">
          <w:rPr>
            <w:i/>
            <w:lang w:val="en-AU"/>
          </w:rPr>
          <w:t xml:space="preserve"> </w:t>
        </w:r>
        <w:smartTag w:uri="urn:schemas-microsoft-com:office:smarttags" w:element="PlaceName">
          <w:r w:rsidRPr="00370E70">
            <w:rPr>
              <w:i/>
              <w:lang w:val="en-AU"/>
            </w:rPr>
            <w:t>Keppel</w:t>
          </w:r>
        </w:smartTag>
        <w:r w:rsidRPr="00370E70">
          <w:rPr>
            <w:i/>
            <w:lang w:val="en-AU"/>
          </w:rPr>
          <w:t xml:space="preserve"> </w:t>
        </w:r>
        <w:smartTag w:uri="urn:schemas-microsoft-com:office:smarttags" w:element="PlaceType">
          <w:r w:rsidRPr="00370E70">
            <w:rPr>
              <w:i/>
              <w:lang w:val="en-AU"/>
            </w:rPr>
            <w:t>Island</w:t>
          </w:r>
        </w:smartTag>
      </w:smartTag>
      <w:r w:rsidR="005567C5">
        <w:rPr>
          <w:i/>
          <w:lang w:val="en-AU"/>
        </w:rPr>
        <w:t xml:space="preserve">) in the </w:t>
      </w:r>
      <w:r w:rsidRPr="00370E70">
        <w:rPr>
          <w:i/>
          <w:lang w:val="en-AU"/>
        </w:rPr>
        <w:t>Fitzroy region from 2005 to 201</w:t>
      </w:r>
      <w:r w:rsidR="005567C5">
        <w:rPr>
          <w:i/>
          <w:lang w:val="en-AU"/>
        </w:rPr>
        <w:t>2</w:t>
      </w:r>
      <w:r w:rsidRPr="00370E70">
        <w:rPr>
          <w:i/>
          <w:lang w:val="en-AU"/>
        </w:rPr>
        <w:t>.</w:t>
      </w:r>
      <w:bookmarkEnd w:id="690"/>
      <w:r w:rsidRPr="00370E70">
        <w:rPr>
          <w:i/>
          <w:lang w:val="en-AU"/>
        </w:rPr>
        <w:t xml:space="preserve"> </w:t>
      </w:r>
    </w:p>
    <w:p w:rsidR="00641CBD" w:rsidRPr="00370E70" w:rsidRDefault="005132EF" w:rsidP="00641CBD">
      <w:pPr>
        <w:pStyle w:val="Caption"/>
        <w:rPr>
          <w:lang w:val="en-AU"/>
        </w:rPr>
      </w:pPr>
      <w:r w:rsidRPr="00370E70">
        <w:rPr>
          <w:i/>
          <w:lang w:val="en-AU"/>
        </w:rPr>
        <w:t>Trendline is 3</w:t>
      </w:r>
      <w:r w:rsidRPr="00370E70">
        <w:rPr>
          <w:i/>
          <w:vertAlign w:val="superscript"/>
          <w:lang w:val="en-AU"/>
        </w:rPr>
        <w:t>rd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0.416.</w:t>
      </w:r>
      <w:r w:rsidR="00641CBD" w:rsidRPr="00370E70">
        <w:rPr>
          <w:lang w:val="en-AU"/>
        </w:rPr>
        <w:t xml:space="preserve"> </w:t>
      </w:r>
    </w:p>
    <w:p w:rsidR="005132EF" w:rsidRPr="00370E70" w:rsidRDefault="007B15AB" w:rsidP="00641CBD">
      <w:pPr>
        <w:jc w:val="center"/>
        <w:rPr>
          <w:color w:val="000000"/>
        </w:rPr>
      </w:pPr>
      <w:r>
        <w:rPr>
          <w:noProof/>
          <w:lang w:eastAsia="en-AU"/>
        </w:rPr>
        <w:lastRenderedPageBreak/>
        <w:drawing>
          <wp:inline distT="0" distB="0" distL="0" distR="0">
            <wp:extent cx="4314190" cy="1609725"/>
            <wp:effectExtent l="0" t="0" r="0" b="9525"/>
            <wp:docPr id="196" name="Picture 191" descr="Graph showing seasonality of mean percentage seagrass cover (all species pooled)  at Great Keppel Island long-term monitoring sites at time of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Graph showing seasonality of mean percentage seagrass cover (all species pooled)  at Great Keppel Island long-term monitoring sites at time of year. "/>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641CBD" w:rsidRPr="00370E70" w:rsidRDefault="005132EF" w:rsidP="00641CBD">
      <w:pPr>
        <w:pStyle w:val="Caption"/>
        <w:rPr>
          <w:i/>
          <w:vanish/>
          <w:color w:val="000000"/>
          <w:szCs w:val="22"/>
          <w:lang w:val="en-AU"/>
          <w:specVanish/>
        </w:rPr>
      </w:pPr>
      <w:bookmarkStart w:id="691" w:name="_Ref233175217"/>
      <w:bookmarkStart w:id="692" w:name="_Toc384196498"/>
      <w:bookmarkStart w:id="693" w:name="_Toc232846018"/>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151</w:t>
      </w:r>
      <w:r w:rsidRPr="00370E70">
        <w:rPr>
          <w:lang w:val="en-AU"/>
        </w:rPr>
        <w:fldChar w:fldCharType="end"/>
      </w:r>
      <w:bookmarkEnd w:id="691"/>
      <w:r w:rsidRPr="00370E70">
        <w:rPr>
          <w:rStyle w:val="StyleCaptionCaptionCharCharLatinCalibri11ptBlackChar"/>
          <w:lang w:val="en-AU"/>
        </w:rPr>
        <w:t xml:space="preserve">. </w:t>
      </w:r>
      <w:r w:rsidRPr="00370E70">
        <w:rPr>
          <w:i/>
          <w:lang w:val="en-AU"/>
        </w:rPr>
        <w:t xml:space="preserve">Mean percentage seagrass cover (all species pooled) (± Standard Error) at </w:t>
      </w:r>
      <w:r w:rsidR="005567C5">
        <w:rPr>
          <w:i/>
          <w:lang w:val="en-AU"/>
        </w:rPr>
        <w:t xml:space="preserve">inshore </w:t>
      </w:r>
      <w:r w:rsidR="005567C5" w:rsidRPr="00370E70">
        <w:rPr>
          <w:i/>
          <w:lang w:val="en-AU"/>
        </w:rPr>
        <w:t>intertidal</w:t>
      </w:r>
      <w:r w:rsidR="005567C5">
        <w:rPr>
          <w:i/>
          <w:lang w:val="en-AU"/>
        </w:rPr>
        <w:t xml:space="preserve"> </w:t>
      </w:r>
      <w:r w:rsidR="005567C5" w:rsidRPr="00370E70">
        <w:rPr>
          <w:i/>
          <w:lang w:val="en-AU"/>
        </w:rPr>
        <w:t xml:space="preserve">reef </w:t>
      </w:r>
      <w:r w:rsidR="005567C5">
        <w:rPr>
          <w:i/>
          <w:lang w:val="en-AU"/>
        </w:rPr>
        <w:t>habitats (</w:t>
      </w:r>
      <w:smartTag w:uri="urn:schemas-microsoft-com:office:smarttags" w:element="place">
        <w:smartTag w:uri="urn:schemas-microsoft-com:office:smarttags" w:element="PlaceName">
          <w:r w:rsidR="005567C5" w:rsidRPr="00370E70">
            <w:rPr>
              <w:i/>
              <w:lang w:val="en-AU"/>
            </w:rPr>
            <w:t>Great</w:t>
          </w:r>
        </w:smartTag>
        <w:r w:rsidR="005567C5" w:rsidRPr="00370E70">
          <w:rPr>
            <w:i/>
            <w:lang w:val="en-AU"/>
          </w:rPr>
          <w:t xml:space="preserve"> </w:t>
        </w:r>
        <w:smartTag w:uri="urn:schemas-microsoft-com:office:smarttags" w:element="PlaceName">
          <w:r w:rsidR="005567C5" w:rsidRPr="00370E70">
            <w:rPr>
              <w:i/>
              <w:lang w:val="en-AU"/>
            </w:rPr>
            <w:t>Keppel</w:t>
          </w:r>
        </w:smartTag>
        <w:r w:rsidR="005567C5" w:rsidRPr="00370E70">
          <w:rPr>
            <w:i/>
            <w:lang w:val="en-AU"/>
          </w:rPr>
          <w:t xml:space="preserve"> </w:t>
        </w:r>
        <w:smartTag w:uri="urn:schemas-microsoft-com:office:smarttags" w:element="PlaceType">
          <w:r w:rsidR="005567C5" w:rsidRPr="00370E70">
            <w:rPr>
              <w:i/>
              <w:lang w:val="en-AU"/>
            </w:rPr>
            <w:t>Island</w:t>
          </w:r>
        </w:smartTag>
      </w:smartTag>
      <w:r w:rsidR="005567C5">
        <w:rPr>
          <w:i/>
          <w:lang w:val="en-AU"/>
        </w:rPr>
        <w:t xml:space="preserve">) in the </w:t>
      </w:r>
      <w:r w:rsidR="005567C5" w:rsidRPr="00370E70">
        <w:rPr>
          <w:i/>
          <w:lang w:val="en-AU"/>
        </w:rPr>
        <w:t>Fitzroy region</w:t>
      </w:r>
      <w:r w:rsidRPr="00370E70">
        <w:rPr>
          <w:i/>
          <w:lang w:val="en-AU"/>
        </w:rPr>
        <w:t xml:space="preserve"> at time of year.</w:t>
      </w:r>
      <w:bookmarkEnd w:id="692"/>
      <w:r w:rsidRPr="00370E70">
        <w:rPr>
          <w:i/>
          <w:lang w:val="en-AU"/>
        </w:rPr>
        <w:t xml:space="preserve"> </w:t>
      </w:r>
    </w:p>
    <w:p w:rsidR="00641CBD" w:rsidRPr="00370E70" w:rsidRDefault="005132EF" w:rsidP="00641CBD">
      <w:pPr>
        <w:pStyle w:val="Caption"/>
        <w:rPr>
          <w:lang w:val="en-AU"/>
        </w:rPr>
      </w:pPr>
      <w:r w:rsidRPr="00370E70">
        <w:rPr>
          <w:i/>
          <w:lang w:val="en-AU"/>
        </w:rPr>
        <w:t>NB: Polynomial trendline for all years pooled.</w:t>
      </w:r>
      <w:bookmarkEnd w:id="693"/>
      <w:r w:rsidR="00641CBD" w:rsidRPr="00370E70">
        <w:rPr>
          <w:i/>
          <w:lang w:val="en-AU"/>
        </w:rPr>
        <w:t xml:space="preserve"> </w:t>
      </w:r>
    </w:p>
    <w:p w:rsidR="005132EF" w:rsidRPr="00370E70" w:rsidRDefault="005132EF" w:rsidP="00034AD4">
      <w:pPr>
        <w:rPr>
          <w:color w:val="000000"/>
          <w:szCs w:val="22"/>
        </w:rPr>
      </w:pPr>
      <w:bookmarkStart w:id="694" w:name="_Toc176158946"/>
      <w:bookmarkStart w:id="695" w:name="_Ref211934301"/>
      <w:r w:rsidRPr="00370E70">
        <w:rPr>
          <w:color w:val="000000"/>
          <w:szCs w:val="22"/>
        </w:rPr>
        <w:t>Seagrass meadow edge mapping was conducted within a 100m radius of all monitoring sites in September/October and March/April of each year (</w:t>
      </w:r>
      <w:r w:rsidRPr="00370E70">
        <w:fldChar w:fldCharType="begin"/>
      </w:r>
      <w:r w:rsidRPr="00370E70">
        <w:instrText xml:space="preserve"> REF _Ref233187351 \h  \* MERGEFORMAT </w:instrText>
      </w:r>
      <w:r w:rsidRPr="00370E70">
        <w:fldChar w:fldCharType="separate"/>
      </w:r>
      <w:r w:rsidR="005B5FD6" w:rsidRPr="005B5FD6">
        <w:rPr>
          <w:szCs w:val="22"/>
        </w:rPr>
        <w:t xml:space="preserve">Table </w:t>
      </w:r>
      <w:r w:rsidR="005B5FD6" w:rsidRPr="005B5FD6">
        <w:rPr>
          <w:noProof/>
          <w:color w:val="000000"/>
          <w:szCs w:val="22"/>
        </w:rPr>
        <w:t>31</w:t>
      </w:r>
      <w:r w:rsidRPr="00370E70">
        <w:fldChar w:fldCharType="end"/>
      </w:r>
      <w:r w:rsidRPr="00370E70">
        <w:rPr>
          <w:color w:val="000000"/>
          <w:szCs w:val="22"/>
        </w:rPr>
        <w:t xml:space="preserve">) </w:t>
      </w:r>
      <w:bookmarkStart w:id="696" w:name="OLE_LINK31"/>
      <w:r w:rsidRPr="00370E70">
        <w:rPr>
          <w:color w:val="000000"/>
          <w:szCs w:val="22"/>
        </w:rPr>
        <w:t xml:space="preserve">to determine if changes in abundance were a consequence of the meadow edges changing. </w:t>
      </w:r>
      <w:bookmarkEnd w:id="696"/>
      <w:r w:rsidRPr="00370E70">
        <w:rPr>
          <w:color w:val="000000"/>
          <w:szCs w:val="22"/>
        </w:rPr>
        <w:t>The coastal meadows in Shoalwater Bay (RC1 and WH1) have remained stable in extent since monitoring began, however the meadows at the reef (Great Keppel Island) habitat have decreased overall (</w:t>
      </w:r>
      <w:r w:rsidRPr="00370E70">
        <w:fldChar w:fldCharType="begin"/>
      </w:r>
      <w:r w:rsidRPr="00370E70">
        <w:instrText xml:space="preserve"> REF _Ref179512152 \h  \* MERGEFORMAT </w:instrText>
      </w:r>
      <w:r w:rsidRPr="00370E70">
        <w:fldChar w:fldCharType="separate"/>
      </w:r>
      <w:r w:rsidR="005B5FD6" w:rsidRPr="005B5FD6">
        <w:rPr>
          <w:szCs w:val="22"/>
        </w:rPr>
        <w:t xml:space="preserve">Figure </w:t>
      </w:r>
      <w:r w:rsidR="005B5FD6">
        <w:rPr>
          <w:noProof/>
          <w:color w:val="000000"/>
          <w:szCs w:val="22"/>
        </w:rPr>
        <w:t>152</w:t>
      </w:r>
      <w:r w:rsidRPr="00370E70">
        <w:fldChar w:fldCharType="end"/>
      </w:r>
      <w:r w:rsidRPr="00370E70">
        <w:rPr>
          <w:color w:val="000000"/>
          <w:szCs w:val="22"/>
        </w:rPr>
        <w:t xml:space="preserve">). At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the meadows reduced by 30% and 50% (at sites GK1 and GK2 respectively) from early to late 2011 (</w:t>
      </w:r>
      <w:r w:rsidRPr="00370E70">
        <w:fldChar w:fldCharType="begin"/>
      </w:r>
      <w:r w:rsidRPr="00370E70">
        <w:instrText xml:space="preserve"> REF _Ref233187351 \h  \* MERGEFORMAT </w:instrText>
      </w:r>
      <w:r w:rsidRPr="00370E70">
        <w:fldChar w:fldCharType="separate"/>
      </w:r>
      <w:r w:rsidR="005B5FD6" w:rsidRPr="005B5FD6">
        <w:rPr>
          <w:szCs w:val="22"/>
        </w:rPr>
        <w:t xml:space="preserve">Table </w:t>
      </w:r>
      <w:r w:rsidR="005B5FD6" w:rsidRPr="005B5FD6">
        <w:rPr>
          <w:noProof/>
          <w:color w:val="000000"/>
          <w:szCs w:val="22"/>
        </w:rPr>
        <w:t>31</w:t>
      </w:r>
      <w:r w:rsidRPr="00370E70">
        <w:fldChar w:fldCharType="end"/>
      </w:r>
      <w:r w:rsidRPr="00370E70">
        <w:rPr>
          <w:color w:val="000000"/>
          <w:szCs w:val="22"/>
        </w:rPr>
        <w:t xml:space="preserve">, </w:t>
      </w:r>
      <w:r w:rsidRPr="00370E70">
        <w:fldChar w:fldCharType="begin"/>
      </w:r>
      <w:r w:rsidRPr="00370E70">
        <w:instrText xml:space="preserve"> REF _Ref179512152 \h  \* MERGEFORMAT </w:instrText>
      </w:r>
      <w:r w:rsidRPr="00370E70">
        <w:fldChar w:fldCharType="separate"/>
      </w:r>
      <w:r w:rsidR="005B5FD6" w:rsidRPr="005B5FD6">
        <w:rPr>
          <w:szCs w:val="22"/>
        </w:rPr>
        <w:t xml:space="preserve">Figure </w:t>
      </w:r>
      <w:r w:rsidR="005B5FD6">
        <w:rPr>
          <w:noProof/>
          <w:color w:val="000000"/>
          <w:szCs w:val="22"/>
        </w:rPr>
        <w:t>152</w:t>
      </w:r>
      <w:r w:rsidRPr="00370E70">
        <w:fldChar w:fldCharType="end"/>
      </w:r>
      <w:r w:rsidRPr="00370E70">
        <w:rPr>
          <w:color w:val="000000"/>
          <w:szCs w:val="22"/>
        </w:rPr>
        <w:t xml:space="preserve">). </w:t>
      </w:r>
      <w:proofErr w:type="gramStart"/>
      <w:r w:rsidRPr="00370E70">
        <w:rPr>
          <w:color w:val="000000"/>
          <w:szCs w:val="22"/>
        </w:rPr>
        <w:t>The Gladstone Harbour meadow, which was absent in early 2006, has since recovered and stabilised over the last two years (</w:t>
      </w:r>
      <w:r w:rsidRPr="00370E70">
        <w:fldChar w:fldCharType="begin"/>
      </w:r>
      <w:r w:rsidRPr="00370E70">
        <w:instrText xml:space="preserve"> REF _Ref233187351 \h  \* MERGEFORMAT </w:instrText>
      </w:r>
      <w:r w:rsidRPr="00370E70">
        <w:fldChar w:fldCharType="separate"/>
      </w:r>
      <w:r w:rsidR="005B5FD6" w:rsidRPr="005B5FD6">
        <w:rPr>
          <w:szCs w:val="22"/>
        </w:rPr>
        <w:t xml:space="preserve">Table </w:t>
      </w:r>
      <w:r w:rsidR="005B5FD6" w:rsidRPr="005B5FD6">
        <w:rPr>
          <w:noProof/>
          <w:color w:val="000000"/>
          <w:szCs w:val="22"/>
        </w:rPr>
        <w:t>31</w:t>
      </w:r>
      <w:r w:rsidRPr="00370E70">
        <w:fldChar w:fldCharType="end"/>
      </w:r>
      <w:r w:rsidRPr="00370E70">
        <w:rPr>
          <w:color w:val="000000"/>
          <w:szCs w:val="22"/>
        </w:rPr>
        <w:t xml:space="preserve">, </w:t>
      </w:r>
      <w:r w:rsidRPr="00370E70">
        <w:fldChar w:fldCharType="begin"/>
      </w:r>
      <w:r w:rsidRPr="00370E70">
        <w:instrText xml:space="preserve"> REF _Ref179512152 \h  \* MERGEFORMAT </w:instrText>
      </w:r>
      <w:r w:rsidRPr="00370E70">
        <w:fldChar w:fldCharType="separate"/>
      </w:r>
      <w:r w:rsidR="005B5FD6" w:rsidRPr="005B5FD6">
        <w:rPr>
          <w:szCs w:val="22"/>
        </w:rPr>
        <w:t xml:space="preserve">Figure </w:t>
      </w:r>
      <w:r w:rsidR="005B5FD6">
        <w:rPr>
          <w:noProof/>
          <w:color w:val="000000"/>
          <w:szCs w:val="22"/>
        </w:rPr>
        <w:t>152</w:t>
      </w:r>
      <w:r w:rsidRPr="00370E70">
        <w:fldChar w:fldCharType="end"/>
      </w:r>
      <w:r w:rsidRPr="00370E70">
        <w:rPr>
          <w:color w:val="000000"/>
          <w:szCs w:val="22"/>
        </w:rPr>
        <w:t>), with only a minor fluctuations during the 2011/12 monitoring period.</w:t>
      </w:r>
      <w:proofErr w:type="gramEnd"/>
      <w:r w:rsidRPr="00370E70">
        <w:rPr>
          <w:color w:val="000000"/>
          <w:szCs w:val="22"/>
        </w:rPr>
        <w:t xml:space="preserve"> </w:t>
      </w:r>
    </w:p>
    <w:p w:rsidR="005132EF" w:rsidRPr="00370E70" w:rsidRDefault="007B15AB" w:rsidP="00034AD4">
      <w:pPr>
        <w:keepNext/>
      </w:pPr>
      <w:r>
        <w:rPr>
          <w:noProof/>
          <w:lang w:eastAsia="en-AU"/>
        </w:rPr>
        <w:drawing>
          <wp:inline distT="0" distB="0" distL="0" distR="0">
            <wp:extent cx="5396230" cy="1816100"/>
            <wp:effectExtent l="0" t="0" r="0" b="0"/>
            <wp:docPr id="197" name="Picture 192" descr="Graphs of Extent of area (100m radius of monitoring site) covered by seagrass at each monitoring site at inshore intertidal coastal (Shoalwater Bay), reef (Great Keppel Island) and estuary (Gladstone Harbour) habitat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5396230" cy="1816100"/>
                    </a:xfrm>
                    <a:prstGeom prst="rect">
                      <a:avLst/>
                    </a:prstGeom>
                    <a:noFill/>
                    <a:ln>
                      <a:noFill/>
                    </a:ln>
                  </pic:spPr>
                </pic:pic>
              </a:graphicData>
            </a:graphic>
          </wp:inline>
        </w:drawing>
      </w:r>
    </w:p>
    <w:p w:rsidR="005132EF" w:rsidRPr="00370E70" w:rsidRDefault="007B15AB" w:rsidP="00034AD4">
      <w:pPr>
        <w:keepNext/>
        <w:rPr>
          <w:color w:val="000000"/>
        </w:rPr>
      </w:pPr>
      <w:r>
        <w:rPr>
          <w:noProof/>
          <w:lang w:eastAsia="en-AU"/>
        </w:rPr>
        <w:drawing>
          <wp:inline distT="0" distB="0" distL="0" distR="0">
            <wp:extent cx="2691765" cy="1816100"/>
            <wp:effectExtent l="0" t="0" r="0" b="0"/>
            <wp:docPr id="198" name="Picture 193" descr="Graphs showing long-term changes in extent of area (100m radius of monitoring site) covered by seagrass at each monitoring site at Shoalwater Bay, Great Keppel Island and Gladstone Harbour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Graphs showing long-term changes in extent of area (100m radius of monitoring site) covered by seagrass at each monitoring site at Shoalwater Bay, Great Keppel Island and Gladstone Harbour locations"/>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2691765" cy="181610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697" w:name="_Ref179512152"/>
      <w:bookmarkStart w:id="698" w:name="_Toc176158920"/>
      <w:bookmarkStart w:id="699" w:name="_Toc232846022"/>
      <w:bookmarkStart w:id="700" w:name="_Toc38419649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152</w:t>
      </w:r>
      <w:r w:rsidRPr="00370E70">
        <w:rPr>
          <w:color w:val="000000"/>
          <w:szCs w:val="22"/>
          <w:lang w:val="en-AU"/>
        </w:rPr>
        <w:fldChar w:fldCharType="end"/>
      </w:r>
      <w:bookmarkEnd w:id="697"/>
      <w:r w:rsidRPr="00370E70">
        <w:rPr>
          <w:rStyle w:val="StyleCaptionCaptionCharCharLatinCalibri11ptBlackChar"/>
          <w:lang w:val="en-AU"/>
        </w:rPr>
        <w:t xml:space="preserve">. </w:t>
      </w:r>
      <w:r w:rsidRPr="00370E70">
        <w:rPr>
          <w:i/>
          <w:color w:val="000000"/>
          <w:szCs w:val="22"/>
          <w:lang w:val="en-AU"/>
        </w:rPr>
        <w:t xml:space="preserve">Extent of area (100m radius of monitoring site) covered by seagrass at each monitoring site at </w:t>
      </w:r>
      <w:r w:rsidR="005567C5">
        <w:rPr>
          <w:i/>
          <w:color w:val="000000"/>
          <w:szCs w:val="22"/>
          <w:lang w:val="en-AU"/>
        </w:rPr>
        <w:t>inshore intertidal coastal (</w:t>
      </w:r>
      <w:smartTag w:uri="urn:schemas-microsoft-com:office:smarttags" w:element="PlaceName">
        <w:r w:rsidRPr="00370E70">
          <w:rPr>
            <w:i/>
            <w:color w:val="000000"/>
            <w:szCs w:val="22"/>
            <w:lang w:val="en-AU"/>
          </w:rPr>
          <w:t>Shoalwater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005567C5">
        <w:rPr>
          <w:i/>
          <w:color w:val="000000"/>
          <w:szCs w:val="22"/>
          <w:lang w:val="en-AU"/>
        </w:rPr>
        <w:t>)</w:t>
      </w:r>
      <w:r w:rsidRPr="00370E70">
        <w:rPr>
          <w:i/>
          <w:color w:val="000000"/>
          <w:szCs w:val="22"/>
          <w:lang w:val="en-AU"/>
        </w:rPr>
        <w:t>,</w:t>
      </w:r>
      <w:r w:rsidR="005567C5">
        <w:rPr>
          <w:i/>
          <w:color w:val="000000"/>
          <w:szCs w:val="22"/>
          <w:lang w:val="en-AU"/>
        </w:rPr>
        <w:t xml:space="preserve"> reef</w:t>
      </w:r>
      <w:r w:rsidRPr="00370E70">
        <w:rPr>
          <w:i/>
          <w:color w:val="000000"/>
          <w:szCs w:val="22"/>
          <w:lang w:val="en-AU"/>
        </w:rPr>
        <w:t xml:space="preserve"> </w:t>
      </w:r>
      <w:r w:rsidR="005567C5">
        <w:rPr>
          <w:i/>
          <w:color w:val="000000"/>
          <w:szCs w:val="22"/>
          <w:lang w:val="en-AU"/>
        </w:rPr>
        <w:t>(</w:t>
      </w:r>
      <w:smartTag w:uri="urn:schemas-microsoft-com:office:smarttags" w:element="PlaceName">
        <w:r w:rsidRPr="00370E70">
          <w:rPr>
            <w:i/>
            <w:color w:val="000000"/>
            <w:szCs w:val="22"/>
            <w:lang w:val="en-AU"/>
          </w:rPr>
          <w:t>Great</w:t>
        </w:r>
      </w:smartTag>
      <w:r w:rsidRPr="00370E70">
        <w:rPr>
          <w:i/>
          <w:color w:val="000000"/>
          <w:szCs w:val="22"/>
          <w:lang w:val="en-AU"/>
        </w:rPr>
        <w:t xml:space="preserve"> </w:t>
      </w:r>
      <w:smartTag w:uri="urn:schemas-microsoft-com:office:smarttags" w:element="PlaceName">
        <w:r w:rsidRPr="00370E70">
          <w:rPr>
            <w:i/>
            <w:color w:val="000000"/>
            <w:szCs w:val="22"/>
            <w:lang w:val="en-AU"/>
          </w:rPr>
          <w:t>Keppel</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005567C5">
        <w:rPr>
          <w:i/>
          <w:color w:val="000000"/>
          <w:szCs w:val="22"/>
          <w:lang w:val="en-AU"/>
        </w:rPr>
        <w:t>)</w:t>
      </w:r>
      <w:r w:rsidRPr="00370E70">
        <w:rPr>
          <w:i/>
          <w:color w:val="000000"/>
          <w:szCs w:val="22"/>
          <w:lang w:val="en-AU"/>
        </w:rPr>
        <w:t xml:space="preserve"> and </w:t>
      </w:r>
      <w:r w:rsidR="005567C5">
        <w:rPr>
          <w:i/>
          <w:color w:val="000000"/>
          <w:szCs w:val="22"/>
          <w:lang w:val="en-AU"/>
        </w:rPr>
        <w:t>estuary (</w:t>
      </w:r>
      <w:smartTag w:uri="urn:schemas-microsoft-com:office:smarttags" w:element="place">
        <w:smartTag w:uri="urn:schemas-microsoft-com:office:smarttags" w:element="PlaceName">
          <w:r w:rsidRPr="00370E70">
            <w:rPr>
              <w:i/>
              <w:color w:val="000000"/>
              <w:szCs w:val="22"/>
              <w:lang w:val="en-AU"/>
            </w:rPr>
            <w:t>Gladstone</w:t>
          </w:r>
        </w:smartTag>
        <w:r w:rsidRPr="00370E70">
          <w:rPr>
            <w:i/>
            <w:color w:val="000000"/>
            <w:szCs w:val="22"/>
            <w:lang w:val="en-AU"/>
          </w:rPr>
          <w:t xml:space="preserve"> </w:t>
        </w:r>
        <w:smartTag w:uri="urn:schemas-microsoft-com:office:smarttags" w:element="PlaceType">
          <w:r w:rsidRPr="00370E70">
            <w:rPr>
              <w:i/>
              <w:color w:val="000000"/>
              <w:szCs w:val="22"/>
              <w:lang w:val="en-AU"/>
            </w:rPr>
            <w:t>Harbour</w:t>
          </w:r>
        </w:smartTag>
      </w:smartTag>
      <w:r w:rsidR="005567C5">
        <w:rPr>
          <w:i/>
          <w:color w:val="000000"/>
          <w:szCs w:val="22"/>
          <w:lang w:val="en-AU"/>
        </w:rPr>
        <w:t>)</w:t>
      </w:r>
      <w:r w:rsidRPr="00370E70">
        <w:rPr>
          <w:i/>
          <w:color w:val="000000"/>
          <w:szCs w:val="22"/>
          <w:lang w:val="en-AU"/>
        </w:rPr>
        <w:t xml:space="preserve"> </w:t>
      </w:r>
      <w:r w:rsidR="005567C5">
        <w:rPr>
          <w:i/>
          <w:color w:val="000000"/>
          <w:szCs w:val="22"/>
          <w:lang w:val="en-AU"/>
        </w:rPr>
        <w:t>habitats in the Fitzroy region</w:t>
      </w:r>
      <w:r w:rsidRPr="00370E70">
        <w:rPr>
          <w:i/>
          <w:color w:val="000000"/>
          <w:szCs w:val="22"/>
          <w:lang w:val="en-AU"/>
        </w:rPr>
        <w:t>.</w:t>
      </w:r>
      <w:bookmarkEnd w:id="698"/>
      <w:bookmarkEnd w:id="699"/>
      <w:bookmarkEnd w:id="700"/>
    </w:p>
    <w:p w:rsidR="00641CBD" w:rsidRPr="00370E70" w:rsidRDefault="005132EF" w:rsidP="00641CBD">
      <w:pPr>
        <w:pStyle w:val="Caption"/>
        <w:keepNext/>
        <w:jc w:val="center"/>
        <w:rPr>
          <w:i/>
          <w:vanish/>
          <w:color w:val="000000"/>
          <w:szCs w:val="22"/>
          <w:lang w:val="en-AU"/>
          <w:specVanish/>
        </w:rPr>
      </w:pPr>
      <w:bookmarkStart w:id="701" w:name="_Ref233187351"/>
      <w:bookmarkStart w:id="702" w:name="_Toc384196567"/>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31</w:t>
      </w:r>
      <w:r w:rsidRPr="00370E70">
        <w:rPr>
          <w:lang w:val="en-AU"/>
        </w:rPr>
        <w:fldChar w:fldCharType="end"/>
      </w:r>
      <w:bookmarkEnd w:id="701"/>
      <w:r w:rsidRPr="00370E70">
        <w:rPr>
          <w:rStyle w:val="StyleCaptionCaptionCharCharLatinCalibri11ptBlackChar"/>
          <w:lang w:val="en-AU"/>
        </w:rPr>
        <w:t>.</w:t>
      </w:r>
      <w:r w:rsidRPr="00370E70">
        <w:rPr>
          <w:lang w:val="en-AU"/>
        </w:rPr>
        <w:t xml:space="preserve"> </w:t>
      </w:r>
      <w:r w:rsidRPr="00370E70">
        <w:rPr>
          <w:i/>
          <w:lang w:val="en-AU"/>
        </w:rPr>
        <w:t>Area (ha) of seagrass meadow within 100m radius of each monitoring site.</w:t>
      </w:r>
      <w:bookmarkEnd w:id="702"/>
      <w:r w:rsidRPr="00370E70">
        <w:rPr>
          <w:i/>
          <w:lang w:val="en-AU"/>
        </w:rPr>
        <w:t xml:space="preserve"> </w:t>
      </w:r>
    </w:p>
    <w:p w:rsidR="00641CBD" w:rsidRPr="00370E70" w:rsidRDefault="005132EF" w:rsidP="00641CBD">
      <w:pPr>
        <w:pStyle w:val="Caption"/>
        <w:keepNext/>
        <w:jc w:val="center"/>
        <w:rPr>
          <w:lang w:val="en-AU"/>
        </w:rPr>
      </w:pPr>
      <w:r w:rsidRPr="00370E70">
        <w:rPr>
          <w:i/>
          <w:lang w:val="en-AU"/>
        </w:rPr>
        <w:t>Value in parenthesis is % change from the baseline and description of change from previous mapping. Shading indicates decrease in area since baseline. NA=no data available as site not established.</w:t>
      </w:r>
      <w:r w:rsidR="00641CBD" w:rsidRPr="00370E70">
        <w:rPr>
          <w:lang w:val="en-AU"/>
        </w:rPr>
        <w:t xml:space="preserve"> </w:t>
      </w:r>
    </w:p>
    <w:tbl>
      <w:tblPr>
        <w:tblW w:w="9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7"/>
        <w:gridCol w:w="1418"/>
        <w:gridCol w:w="1418"/>
        <w:gridCol w:w="1418"/>
        <w:gridCol w:w="1418"/>
        <w:gridCol w:w="1418"/>
        <w:gridCol w:w="1418"/>
      </w:tblGrid>
      <w:tr w:rsidR="005132EF" w:rsidRPr="00370E70">
        <w:trPr>
          <w:jc w:val="center"/>
        </w:trPr>
        <w:tc>
          <w:tcPr>
            <w:tcW w:w="1057" w:type="dxa"/>
            <w:tcBorders>
              <w:top w:val="nil"/>
              <w:left w:val="nil"/>
            </w:tcBorders>
            <w:vAlign w:val="center"/>
          </w:tcPr>
          <w:p w:rsidR="005132EF" w:rsidRPr="00370E70" w:rsidRDefault="005132EF" w:rsidP="00034AD4">
            <w:pPr>
              <w:keepNext/>
              <w:spacing w:before="0" w:after="0"/>
              <w:rPr>
                <w:b/>
                <w:color w:val="000000"/>
              </w:rPr>
            </w:pPr>
          </w:p>
        </w:tc>
        <w:tc>
          <w:tcPr>
            <w:tcW w:w="2836" w:type="dxa"/>
            <w:gridSpan w:val="2"/>
            <w:vAlign w:val="center"/>
          </w:tcPr>
          <w:p w:rsidR="005132EF" w:rsidRPr="00370E70" w:rsidRDefault="005132EF" w:rsidP="00034AD4">
            <w:pPr>
              <w:keepNext/>
              <w:spacing w:before="0" w:after="0"/>
              <w:jc w:val="center"/>
              <w:rPr>
                <w:b/>
                <w:color w:val="000000"/>
              </w:rPr>
            </w:pPr>
            <w:smartTag w:uri="urn:schemas-microsoft-com:office:smarttags" w:element="place">
              <w:smartTag w:uri="urn:schemas-microsoft-com:office:smarttags" w:element="PlaceName">
                <w:r w:rsidRPr="00370E70">
                  <w:rPr>
                    <w:b/>
                    <w:color w:val="000000"/>
                  </w:rPr>
                  <w:t>Shoalwater</w:t>
                </w:r>
              </w:smartTag>
              <w:r w:rsidRPr="00370E70">
                <w:rPr>
                  <w:b/>
                  <w:color w:val="000000"/>
                </w:rPr>
                <w:t xml:space="preserve"> </w:t>
              </w:r>
              <w:smartTag w:uri="urn:schemas-microsoft-com:office:smarttags" w:element="PlaceType">
                <w:r w:rsidRPr="00370E70">
                  <w:rPr>
                    <w:b/>
                    <w:color w:val="000000"/>
                  </w:rPr>
                  <w:t>Bay</w:t>
                </w:r>
              </w:smartTag>
            </w:smartTag>
          </w:p>
        </w:tc>
        <w:tc>
          <w:tcPr>
            <w:tcW w:w="2836" w:type="dxa"/>
            <w:gridSpan w:val="2"/>
            <w:vAlign w:val="center"/>
          </w:tcPr>
          <w:p w:rsidR="005132EF" w:rsidRPr="00370E70" w:rsidRDefault="005132EF" w:rsidP="00034AD4">
            <w:pPr>
              <w:keepNext/>
              <w:spacing w:before="0" w:after="0"/>
              <w:jc w:val="center"/>
              <w:rPr>
                <w:b/>
                <w:color w:val="000000"/>
              </w:rPr>
            </w:pPr>
            <w:smartTag w:uri="urn:schemas-microsoft-com:office:smarttags" w:element="place">
              <w:smartTag w:uri="urn:schemas-microsoft-com:office:smarttags" w:element="PlaceName">
                <w:r w:rsidRPr="00370E70">
                  <w:rPr>
                    <w:b/>
                    <w:color w:val="000000"/>
                  </w:rPr>
                  <w:t>Gladstone</w:t>
                </w:r>
              </w:smartTag>
              <w:r w:rsidRPr="00370E70">
                <w:rPr>
                  <w:b/>
                  <w:color w:val="000000"/>
                </w:rPr>
                <w:t xml:space="preserve"> </w:t>
              </w:r>
              <w:smartTag w:uri="urn:schemas-microsoft-com:office:smarttags" w:element="PlaceType">
                <w:r w:rsidRPr="00370E70">
                  <w:rPr>
                    <w:b/>
                    <w:color w:val="000000"/>
                  </w:rPr>
                  <w:t>Harbour</w:t>
                </w:r>
              </w:smartTag>
            </w:smartTag>
          </w:p>
        </w:tc>
        <w:tc>
          <w:tcPr>
            <w:tcW w:w="2836" w:type="dxa"/>
            <w:gridSpan w:val="2"/>
            <w:vAlign w:val="center"/>
          </w:tcPr>
          <w:p w:rsidR="005132EF" w:rsidRPr="00370E70" w:rsidRDefault="005132EF" w:rsidP="00034AD4">
            <w:pPr>
              <w:keepNext/>
              <w:spacing w:before="0" w:after="0"/>
              <w:jc w:val="center"/>
              <w:rPr>
                <w:b/>
                <w:color w:val="000000"/>
              </w:rPr>
            </w:pPr>
            <w:smartTag w:uri="urn:schemas-microsoft-com:office:smarttags" w:element="place">
              <w:smartTag w:uri="urn:schemas-microsoft-com:office:smarttags" w:element="PlaceName">
                <w:r w:rsidRPr="00370E70">
                  <w:rPr>
                    <w:b/>
                    <w:color w:val="000000"/>
                  </w:rPr>
                  <w:t>Great</w:t>
                </w:r>
              </w:smartTag>
              <w:r w:rsidRPr="00370E70">
                <w:rPr>
                  <w:b/>
                  <w:color w:val="000000"/>
                </w:rPr>
                <w:t xml:space="preserve"> </w:t>
              </w:r>
              <w:smartTag w:uri="urn:schemas-microsoft-com:office:smarttags" w:element="PlaceName">
                <w:r w:rsidRPr="00370E70">
                  <w:rPr>
                    <w:b/>
                    <w:color w:val="000000"/>
                  </w:rPr>
                  <w:t>Keppel</w:t>
                </w:r>
              </w:smartTag>
              <w:r w:rsidRPr="00370E70">
                <w:rPr>
                  <w:b/>
                  <w:color w:val="000000"/>
                </w:rPr>
                <w:t xml:space="preserve"> </w:t>
              </w:r>
              <w:smartTag w:uri="urn:schemas-microsoft-com:office:smarttags" w:element="PlaceType">
                <w:r w:rsidRPr="00370E70">
                  <w:rPr>
                    <w:b/>
                    <w:color w:val="000000"/>
                  </w:rPr>
                  <w:t>Island</w:t>
                </w:r>
              </w:smartTag>
            </w:smartTag>
          </w:p>
        </w:tc>
      </w:tr>
      <w:tr w:rsidR="005132EF" w:rsidRPr="00370E70">
        <w:trPr>
          <w:jc w:val="center"/>
        </w:trPr>
        <w:tc>
          <w:tcPr>
            <w:tcW w:w="1057" w:type="dxa"/>
            <w:vAlign w:val="center"/>
          </w:tcPr>
          <w:p w:rsidR="005132EF" w:rsidRPr="00370E70" w:rsidRDefault="005132EF" w:rsidP="00034AD4">
            <w:pPr>
              <w:keepNext/>
              <w:spacing w:before="0" w:after="0"/>
              <w:jc w:val="center"/>
              <w:rPr>
                <w:b/>
                <w:color w:val="000000"/>
              </w:rPr>
            </w:pPr>
            <w:r w:rsidRPr="00370E70">
              <w:rPr>
                <w:b/>
                <w:color w:val="000000"/>
              </w:rPr>
              <w:t>Date</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RC1</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WH1</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GH1</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GH2</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GK1</w:t>
            </w:r>
          </w:p>
        </w:tc>
        <w:tc>
          <w:tcPr>
            <w:tcW w:w="1418" w:type="dxa"/>
            <w:vAlign w:val="center"/>
          </w:tcPr>
          <w:p w:rsidR="005132EF" w:rsidRPr="00370E70" w:rsidRDefault="005132EF" w:rsidP="00034AD4">
            <w:pPr>
              <w:keepNext/>
              <w:spacing w:before="0" w:after="0"/>
              <w:jc w:val="center"/>
              <w:rPr>
                <w:b/>
                <w:color w:val="000000"/>
              </w:rPr>
            </w:pPr>
            <w:r w:rsidRPr="00370E70">
              <w:rPr>
                <w:b/>
                <w:color w:val="000000"/>
              </w:rPr>
              <w:t>GK2</w:t>
            </w:r>
          </w:p>
        </w:tc>
      </w:tr>
      <w:tr w:rsidR="005132EF" w:rsidRPr="00370E70">
        <w:trPr>
          <w:jc w:val="center"/>
        </w:trPr>
        <w:tc>
          <w:tcPr>
            <w:tcW w:w="1057" w:type="dxa"/>
            <w:vAlign w:val="center"/>
          </w:tcPr>
          <w:p w:rsidR="005132EF" w:rsidRPr="00370E70" w:rsidRDefault="005132EF" w:rsidP="00BC5E5C">
            <w:pPr>
              <w:keepNext/>
              <w:spacing w:before="0" w:after="0"/>
              <w:jc w:val="center"/>
              <w:rPr>
                <w:color w:val="000000"/>
              </w:rPr>
            </w:pPr>
            <w:r w:rsidRPr="00370E70">
              <w:rPr>
                <w:b/>
                <w:color w:val="000000"/>
                <w:sz w:val="20"/>
                <w:szCs w:val="20"/>
              </w:rPr>
              <w:t xml:space="preserve">October 2005 </w:t>
            </w:r>
            <w:r w:rsidRPr="00370E70">
              <w:rPr>
                <w:color w:val="000000"/>
                <w:sz w:val="20"/>
                <w:szCs w:val="20"/>
              </w:rPr>
              <w:t>(baseline)</w:t>
            </w:r>
          </w:p>
        </w:tc>
        <w:tc>
          <w:tcPr>
            <w:tcW w:w="1418" w:type="dxa"/>
          </w:tcPr>
          <w:p w:rsidR="005132EF" w:rsidRPr="00370E70" w:rsidRDefault="005132EF" w:rsidP="00BC5E5C">
            <w:pPr>
              <w:keepNext/>
              <w:spacing w:before="0" w:after="0"/>
              <w:ind w:left="-692" w:firstLine="692"/>
              <w:jc w:val="center"/>
              <w:rPr>
                <w:rFonts w:cs="Arial"/>
                <w:b/>
                <w:color w:val="000000"/>
              </w:rPr>
            </w:pPr>
            <w:r w:rsidRPr="00370E70">
              <w:rPr>
                <w:b/>
                <w:color w:val="000000"/>
              </w:rPr>
              <w:t>5.38</w:t>
            </w:r>
          </w:p>
        </w:tc>
        <w:tc>
          <w:tcPr>
            <w:tcW w:w="1418" w:type="dxa"/>
          </w:tcPr>
          <w:p w:rsidR="005132EF" w:rsidRPr="00370E70" w:rsidRDefault="005132EF" w:rsidP="00BC5E5C">
            <w:pPr>
              <w:keepNext/>
              <w:spacing w:before="0" w:after="0"/>
              <w:ind w:left="-692" w:firstLine="692"/>
              <w:jc w:val="center"/>
              <w:rPr>
                <w:rFonts w:cs="Arial"/>
                <w:b/>
                <w:color w:val="000000"/>
              </w:rPr>
            </w:pPr>
            <w:r w:rsidRPr="00370E70">
              <w:rPr>
                <w:b/>
                <w:color w:val="000000"/>
              </w:rPr>
              <w:t>5.397</w:t>
            </w:r>
          </w:p>
        </w:tc>
        <w:tc>
          <w:tcPr>
            <w:tcW w:w="1418" w:type="dxa"/>
          </w:tcPr>
          <w:p w:rsidR="005132EF" w:rsidRPr="00370E70" w:rsidRDefault="005132EF" w:rsidP="00BC5E5C">
            <w:pPr>
              <w:keepNext/>
              <w:spacing w:before="0" w:after="0"/>
              <w:ind w:left="-692" w:firstLine="692"/>
              <w:jc w:val="center"/>
              <w:rPr>
                <w:rFonts w:cs="Arial"/>
                <w:b/>
                <w:color w:val="000000"/>
              </w:rPr>
            </w:pPr>
            <w:r w:rsidRPr="00370E70">
              <w:rPr>
                <w:b/>
                <w:color w:val="000000"/>
              </w:rPr>
              <w:t>5.394</w:t>
            </w:r>
          </w:p>
        </w:tc>
        <w:tc>
          <w:tcPr>
            <w:tcW w:w="1418" w:type="dxa"/>
          </w:tcPr>
          <w:p w:rsidR="005132EF" w:rsidRPr="00370E70" w:rsidRDefault="005132EF" w:rsidP="00BC5E5C">
            <w:pPr>
              <w:keepNext/>
              <w:spacing w:before="0" w:after="0"/>
              <w:ind w:left="-692" w:firstLine="692"/>
              <w:jc w:val="center"/>
              <w:rPr>
                <w:rFonts w:cs="Arial"/>
                <w:b/>
                <w:color w:val="000000"/>
              </w:rPr>
            </w:pPr>
            <w:r w:rsidRPr="00370E70">
              <w:rPr>
                <w:b/>
                <w:color w:val="000000"/>
              </w:rPr>
              <w:t>5.174</w:t>
            </w:r>
          </w:p>
        </w:tc>
        <w:tc>
          <w:tcPr>
            <w:tcW w:w="1418" w:type="dxa"/>
            <w:vAlign w:val="center"/>
          </w:tcPr>
          <w:p w:rsidR="005132EF" w:rsidRPr="00370E70" w:rsidRDefault="005132EF" w:rsidP="00BC5E5C">
            <w:pPr>
              <w:keepNext/>
              <w:spacing w:before="0" w:after="0"/>
              <w:jc w:val="center"/>
              <w:rPr>
                <w:color w:val="000000"/>
              </w:rPr>
            </w:pPr>
            <w:r w:rsidRPr="00370E70">
              <w:rPr>
                <w:rFonts w:cs="Arial"/>
                <w:i/>
                <w:color w:val="000000"/>
              </w:rPr>
              <w:t>NA</w:t>
            </w:r>
          </w:p>
        </w:tc>
        <w:tc>
          <w:tcPr>
            <w:tcW w:w="1418" w:type="dxa"/>
            <w:vAlign w:val="center"/>
          </w:tcPr>
          <w:p w:rsidR="005132EF" w:rsidRPr="00370E70" w:rsidRDefault="005132EF" w:rsidP="00BC5E5C">
            <w:pPr>
              <w:keepNext/>
              <w:spacing w:before="0" w:after="0"/>
              <w:jc w:val="center"/>
              <w:rPr>
                <w:color w:val="000000"/>
              </w:rPr>
            </w:pPr>
            <w:r w:rsidRPr="00370E70">
              <w:rPr>
                <w:rFonts w:cs="Arial"/>
                <w:i/>
                <w:color w:val="000000"/>
              </w:rPr>
              <w:t>NA</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color w:val="000000"/>
              </w:rPr>
            </w:pPr>
            <w:r w:rsidRPr="00370E70">
              <w:rPr>
                <w:b/>
                <w:color w:val="000000"/>
                <w:sz w:val="20"/>
                <w:szCs w:val="20"/>
              </w:rPr>
              <w:t>2006</w:t>
            </w:r>
          </w:p>
        </w:tc>
        <w:tc>
          <w:tcPr>
            <w:tcW w:w="1418" w:type="dxa"/>
          </w:tcPr>
          <w:p w:rsidR="005132EF" w:rsidRPr="00370E70" w:rsidRDefault="005132EF" w:rsidP="00BC5E5C">
            <w:pPr>
              <w:keepNext/>
              <w:spacing w:before="0" w:after="0"/>
              <w:ind w:left="-692" w:firstLine="692"/>
              <w:jc w:val="center"/>
              <w:rPr>
                <w:rFonts w:cs="Arial"/>
                <w:color w:val="000000"/>
              </w:rPr>
            </w:pPr>
            <w:r w:rsidRPr="00370E70">
              <w:rPr>
                <w:color w:val="000000"/>
              </w:rPr>
              <w:t>5.38</w:t>
            </w:r>
          </w:p>
          <w:p w:rsidR="005132EF" w:rsidRPr="00370E70" w:rsidRDefault="005132EF" w:rsidP="00BC5E5C">
            <w:pPr>
              <w:keepNext/>
              <w:spacing w:before="0" w:after="0"/>
              <w:ind w:left="-14" w:firstLine="14"/>
              <w:jc w:val="center"/>
              <w:rPr>
                <w:rFonts w:cs="Arial"/>
                <w:i/>
                <w:color w:val="000000"/>
                <w:sz w:val="16"/>
                <w:szCs w:val="16"/>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tcPr>
          <w:p w:rsidR="005132EF" w:rsidRPr="00370E70" w:rsidRDefault="005132EF" w:rsidP="00BC5E5C">
            <w:pPr>
              <w:keepNext/>
              <w:spacing w:before="0" w:after="0"/>
              <w:ind w:left="-14" w:firstLine="14"/>
              <w:jc w:val="center"/>
              <w:rPr>
                <w:rFonts w:cs="Arial"/>
                <w:color w:val="000000"/>
              </w:rPr>
            </w:pPr>
            <w:r w:rsidRPr="00370E70">
              <w:rPr>
                <w:color w:val="000000"/>
              </w:rPr>
              <w:t>5.397</w:t>
            </w:r>
          </w:p>
          <w:p w:rsidR="005132EF" w:rsidRPr="00370E70" w:rsidRDefault="005132EF" w:rsidP="00BC5E5C">
            <w:pPr>
              <w:keepNext/>
              <w:spacing w:before="0" w:after="0"/>
              <w:ind w:left="-14" w:firstLine="14"/>
              <w:jc w:val="center"/>
              <w:rPr>
                <w:rFonts w:cs="Arial"/>
                <w:i/>
                <w:color w:val="000000"/>
                <w:sz w:val="16"/>
                <w:szCs w:val="16"/>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shd w:val="clear" w:color="auto" w:fill="E6E6E6"/>
            <w:vAlign w:val="center"/>
          </w:tcPr>
          <w:p w:rsidR="005132EF" w:rsidRPr="00370E70" w:rsidRDefault="005132EF" w:rsidP="00BC5E5C">
            <w:pPr>
              <w:keepNext/>
              <w:spacing w:before="0" w:after="0"/>
              <w:ind w:left="-14" w:firstLine="14"/>
              <w:jc w:val="center"/>
              <w:rPr>
                <w:rFonts w:cs="Arial"/>
                <w:color w:val="000000"/>
              </w:rPr>
            </w:pPr>
            <w:r w:rsidRPr="00370E70">
              <w:rPr>
                <w:color w:val="000000"/>
              </w:rPr>
              <w:t>0</w:t>
            </w:r>
          </w:p>
          <w:p w:rsidR="005132EF" w:rsidRPr="00370E70" w:rsidRDefault="005132EF" w:rsidP="00BC5E5C">
            <w:pPr>
              <w:keepNext/>
              <w:spacing w:before="0" w:after="0"/>
              <w:ind w:left="-14" w:firstLine="14"/>
              <w:jc w:val="center"/>
              <w:rPr>
                <w:rFonts w:cs="Arial"/>
                <w:color w:val="000000"/>
                <w:sz w:val="20"/>
                <w:szCs w:val="20"/>
              </w:rPr>
            </w:pPr>
            <w:r w:rsidRPr="00370E70">
              <w:rPr>
                <w:rFonts w:cs="Arial"/>
                <w:i/>
                <w:color w:val="000000"/>
                <w:sz w:val="16"/>
                <w:szCs w:val="16"/>
              </w:rPr>
              <w:t>(</w:t>
            </w:r>
            <w:r w:rsidRPr="00370E70">
              <w:rPr>
                <w:i/>
                <w:iCs/>
                <w:color w:val="000000"/>
                <w:sz w:val="16"/>
                <w:szCs w:val="16"/>
              </w:rPr>
              <w:t>-100%,</w:t>
            </w:r>
            <w:r w:rsidRPr="00370E70">
              <w:rPr>
                <w:i/>
                <w:color w:val="000000"/>
                <w:sz w:val="16"/>
                <w:szCs w:val="16"/>
              </w:rPr>
              <w:t xml:space="preserve"> meadow absent</w:t>
            </w:r>
            <w:r w:rsidRPr="00370E70">
              <w:rPr>
                <w:rFonts w:cs="Arial"/>
                <w:i/>
                <w:color w:val="000000"/>
                <w:sz w:val="16"/>
                <w:szCs w:val="16"/>
              </w:rPr>
              <w:t>)</w:t>
            </w:r>
          </w:p>
        </w:tc>
        <w:tc>
          <w:tcPr>
            <w:tcW w:w="1418" w:type="dxa"/>
            <w:shd w:val="clear" w:color="auto" w:fill="E6E6E6"/>
            <w:vAlign w:val="center"/>
          </w:tcPr>
          <w:p w:rsidR="005132EF" w:rsidRPr="00370E70" w:rsidRDefault="005132EF" w:rsidP="00BC5E5C">
            <w:pPr>
              <w:keepNext/>
              <w:spacing w:before="0" w:after="0"/>
              <w:ind w:left="-14" w:firstLine="14"/>
              <w:jc w:val="center"/>
              <w:rPr>
                <w:rFonts w:cs="Arial"/>
                <w:color w:val="000000"/>
              </w:rPr>
            </w:pPr>
            <w:r w:rsidRPr="00370E70">
              <w:rPr>
                <w:color w:val="000000"/>
              </w:rPr>
              <w:t>0</w:t>
            </w:r>
          </w:p>
          <w:p w:rsidR="005132EF" w:rsidRPr="00370E70" w:rsidRDefault="005132EF" w:rsidP="00BC5E5C">
            <w:pPr>
              <w:keepNext/>
              <w:spacing w:before="0" w:after="0"/>
              <w:ind w:left="-14" w:firstLine="14"/>
              <w:jc w:val="center"/>
              <w:rPr>
                <w:rFonts w:cs="Arial"/>
                <w:color w:val="000000"/>
                <w:sz w:val="20"/>
                <w:szCs w:val="20"/>
              </w:rPr>
            </w:pPr>
            <w:r w:rsidRPr="00370E70">
              <w:rPr>
                <w:rFonts w:cs="Arial"/>
                <w:i/>
                <w:color w:val="000000"/>
                <w:sz w:val="16"/>
                <w:szCs w:val="16"/>
              </w:rPr>
              <w:t>(</w:t>
            </w:r>
            <w:r w:rsidRPr="00370E70">
              <w:rPr>
                <w:i/>
                <w:iCs/>
                <w:color w:val="000000"/>
                <w:sz w:val="16"/>
                <w:szCs w:val="16"/>
              </w:rPr>
              <w:t>-100%,</w:t>
            </w:r>
            <w:r w:rsidRPr="00370E70">
              <w:rPr>
                <w:i/>
                <w:color w:val="000000"/>
                <w:sz w:val="16"/>
                <w:szCs w:val="16"/>
              </w:rPr>
              <w:t xml:space="preserve"> Meadow absent</w:t>
            </w:r>
            <w:r w:rsidRPr="00370E70">
              <w:rPr>
                <w:rFonts w:cs="Arial"/>
                <w:i/>
                <w:color w:val="000000"/>
                <w:sz w:val="16"/>
                <w:szCs w:val="16"/>
              </w:rPr>
              <w:t>)</w:t>
            </w:r>
          </w:p>
        </w:tc>
        <w:tc>
          <w:tcPr>
            <w:tcW w:w="1418" w:type="dxa"/>
          </w:tcPr>
          <w:p w:rsidR="005132EF" w:rsidRPr="00370E70" w:rsidRDefault="005132EF" w:rsidP="00BC5E5C">
            <w:pPr>
              <w:keepNext/>
              <w:spacing w:before="0" w:after="0"/>
              <w:ind w:left="-14" w:firstLine="14"/>
              <w:jc w:val="center"/>
              <w:rPr>
                <w:rFonts w:cs="Arial"/>
                <w:color w:val="000000"/>
                <w:sz w:val="20"/>
                <w:szCs w:val="20"/>
              </w:rPr>
            </w:pPr>
            <w:r w:rsidRPr="00370E70">
              <w:rPr>
                <w:rFonts w:cs="Arial"/>
                <w:i/>
                <w:color w:val="000000"/>
              </w:rPr>
              <w:t>NA</w:t>
            </w:r>
          </w:p>
        </w:tc>
        <w:tc>
          <w:tcPr>
            <w:tcW w:w="1418" w:type="dxa"/>
          </w:tcPr>
          <w:p w:rsidR="005132EF" w:rsidRPr="00370E70" w:rsidRDefault="005132EF" w:rsidP="00BC5E5C">
            <w:pPr>
              <w:keepNext/>
              <w:spacing w:before="0" w:after="0"/>
              <w:ind w:left="-14" w:firstLine="14"/>
              <w:jc w:val="center"/>
              <w:rPr>
                <w:rFonts w:cs="Arial"/>
                <w:color w:val="000000"/>
                <w:sz w:val="20"/>
                <w:szCs w:val="20"/>
              </w:rPr>
            </w:pPr>
            <w:r w:rsidRPr="00370E70">
              <w:rPr>
                <w:rFonts w:cs="Arial"/>
                <w:i/>
                <w:color w:val="000000"/>
              </w:rPr>
              <w:t>NA</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October</w:t>
            </w:r>
          </w:p>
          <w:p w:rsidR="005132EF" w:rsidRPr="00370E70" w:rsidRDefault="005132EF" w:rsidP="00BC5E5C">
            <w:pPr>
              <w:keepNext/>
              <w:spacing w:before="0" w:after="0"/>
              <w:jc w:val="center"/>
              <w:rPr>
                <w:color w:val="000000"/>
              </w:rPr>
            </w:pPr>
            <w:r w:rsidRPr="00370E70">
              <w:rPr>
                <w:b/>
                <w:color w:val="000000"/>
                <w:sz w:val="20"/>
                <w:szCs w:val="20"/>
              </w:rPr>
              <w:t>2006</w:t>
            </w:r>
          </w:p>
        </w:tc>
        <w:tc>
          <w:tcPr>
            <w:tcW w:w="1418" w:type="dxa"/>
            <w:vAlign w:val="center"/>
          </w:tcPr>
          <w:p w:rsidR="005132EF" w:rsidRPr="00370E70" w:rsidRDefault="005132EF" w:rsidP="00BC5E5C">
            <w:pPr>
              <w:keepNext/>
              <w:spacing w:before="0" w:after="0"/>
              <w:jc w:val="center"/>
              <w:rPr>
                <w:rFonts w:cs="Arial"/>
                <w:color w:val="000000"/>
              </w:rPr>
            </w:pPr>
            <w:r w:rsidRPr="00370E70">
              <w:rPr>
                <w:color w:val="000000"/>
              </w:rPr>
              <w:t>5.396</w:t>
            </w:r>
          </w:p>
          <w:p w:rsidR="005132EF" w:rsidRPr="00370E70" w:rsidRDefault="005132EF" w:rsidP="00BC5E5C">
            <w:pPr>
              <w:keepNext/>
              <w:spacing w:before="0" w:after="0"/>
              <w:jc w:val="center"/>
              <w:rPr>
                <w:rFonts w:cs="Arial"/>
                <w:b/>
                <w:i/>
                <w:color w:val="000000"/>
                <w:sz w:val="20"/>
                <w:szCs w:val="20"/>
              </w:rPr>
            </w:pPr>
            <w:r w:rsidRPr="00370E70">
              <w:rPr>
                <w:rFonts w:cs="Arial"/>
                <w:i/>
                <w:color w:val="000000"/>
                <w:sz w:val="16"/>
                <w:szCs w:val="16"/>
              </w:rPr>
              <w:t>(0.3%, increase shoreward)</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b/>
                <w:i/>
                <w:color w:val="000000"/>
                <w:sz w:val="20"/>
                <w:szCs w:val="2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tcPr>
          <w:p w:rsidR="005132EF" w:rsidRPr="00370E70" w:rsidRDefault="005132EF" w:rsidP="00BC5E5C">
            <w:pPr>
              <w:keepNext/>
              <w:spacing w:before="0" w:after="0"/>
              <w:jc w:val="center"/>
              <w:rPr>
                <w:color w:val="000000"/>
              </w:rPr>
            </w:pPr>
            <w:r w:rsidRPr="00370E70">
              <w:rPr>
                <w:color w:val="000000"/>
              </w:rPr>
              <w:t>5.394</w:t>
            </w:r>
          </w:p>
          <w:p w:rsidR="005132EF" w:rsidRPr="00370E70" w:rsidRDefault="005132EF" w:rsidP="00BC5E5C">
            <w:pPr>
              <w:keepNext/>
              <w:spacing w:before="0" w:after="0"/>
              <w:jc w:val="center"/>
              <w:rPr>
                <w:rFonts w:cs="Arial"/>
                <w:color w:val="000000"/>
                <w:sz w:val="20"/>
                <w:szCs w:val="20"/>
              </w:rPr>
            </w:pPr>
            <w:r w:rsidRPr="00370E70">
              <w:rPr>
                <w:i/>
                <w:iCs/>
                <w:color w:val="000000"/>
                <w:sz w:val="16"/>
                <w:szCs w:val="16"/>
              </w:rPr>
              <w:t>(</w:t>
            </w:r>
            <w:r w:rsidRPr="00370E70">
              <w:rPr>
                <w:i/>
                <w:color w:val="000000"/>
                <w:sz w:val="16"/>
                <w:szCs w:val="16"/>
              </w:rPr>
              <w:t>meadow recovered</w:t>
            </w:r>
            <w:r w:rsidRPr="00370E70">
              <w:rPr>
                <w:rFonts w:cs="Arial"/>
                <w:i/>
                <w:color w:val="000000"/>
                <w:sz w:val="16"/>
                <w:szCs w:val="16"/>
              </w:rPr>
              <w:t>)</w:t>
            </w:r>
          </w:p>
        </w:tc>
        <w:tc>
          <w:tcPr>
            <w:tcW w:w="1418" w:type="dxa"/>
          </w:tcPr>
          <w:p w:rsidR="005132EF" w:rsidRPr="00370E70" w:rsidRDefault="005132EF" w:rsidP="00BC5E5C">
            <w:pPr>
              <w:keepNext/>
              <w:spacing w:before="0" w:after="0"/>
              <w:jc w:val="center"/>
              <w:rPr>
                <w:color w:val="000000"/>
              </w:rPr>
            </w:pPr>
            <w:r w:rsidRPr="00370E70">
              <w:rPr>
                <w:color w:val="000000"/>
              </w:rPr>
              <w:t>5.394</w:t>
            </w:r>
          </w:p>
          <w:p w:rsidR="005132EF" w:rsidRPr="00370E70" w:rsidRDefault="005132EF" w:rsidP="00BC5E5C">
            <w:pPr>
              <w:keepNext/>
              <w:spacing w:before="0" w:after="0"/>
              <w:jc w:val="center"/>
              <w:rPr>
                <w:rFonts w:cs="Arial"/>
                <w:color w:val="000000"/>
                <w:sz w:val="20"/>
                <w:szCs w:val="20"/>
              </w:rPr>
            </w:pPr>
            <w:r w:rsidRPr="00370E70">
              <w:rPr>
                <w:i/>
                <w:iCs/>
                <w:color w:val="000000"/>
                <w:sz w:val="16"/>
                <w:szCs w:val="16"/>
              </w:rPr>
              <w:t xml:space="preserve">(4.3%, </w:t>
            </w:r>
            <w:r w:rsidRPr="00370E70">
              <w:rPr>
                <w:i/>
                <w:color w:val="000000"/>
                <w:sz w:val="16"/>
                <w:szCs w:val="16"/>
              </w:rPr>
              <w:t>Meadow recovered</w:t>
            </w:r>
            <w:r w:rsidRPr="00370E70">
              <w:rPr>
                <w:rFonts w:cs="Arial"/>
                <w:i/>
                <w:color w:val="000000"/>
                <w:sz w:val="16"/>
                <w:szCs w:val="16"/>
              </w:rPr>
              <w:t>)</w:t>
            </w:r>
          </w:p>
        </w:tc>
        <w:tc>
          <w:tcPr>
            <w:tcW w:w="1418" w:type="dxa"/>
          </w:tcPr>
          <w:p w:rsidR="005132EF" w:rsidRPr="00370E70" w:rsidRDefault="005132EF" w:rsidP="00BC5E5C">
            <w:pPr>
              <w:keepNext/>
              <w:spacing w:before="0" w:after="0"/>
              <w:jc w:val="center"/>
              <w:rPr>
                <w:rFonts w:cs="Arial"/>
                <w:color w:val="000000"/>
                <w:sz w:val="20"/>
                <w:szCs w:val="20"/>
              </w:rPr>
            </w:pPr>
            <w:r w:rsidRPr="00370E70">
              <w:rPr>
                <w:rFonts w:cs="Arial"/>
                <w:i/>
                <w:color w:val="000000"/>
              </w:rPr>
              <w:t>NA</w:t>
            </w:r>
          </w:p>
        </w:tc>
        <w:tc>
          <w:tcPr>
            <w:tcW w:w="1418" w:type="dxa"/>
          </w:tcPr>
          <w:p w:rsidR="005132EF" w:rsidRPr="00370E70" w:rsidRDefault="005132EF" w:rsidP="00BC5E5C">
            <w:pPr>
              <w:keepNext/>
              <w:spacing w:before="0" w:after="0"/>
              <w:jc w:val="center"/>
              <w:rPr>
                <w:rFonts w:cs="Arial"/>
                <w:color w:val="000000"/>
                <w:sz w:val="20"/>
                <w:szCs w:val="20"/>
              </w:rPr>
            </w:pPr>
            <w:r w:rsidRPr="00370E70">
              <w:rPr>
                <w:rFonts w:cs="Arial"/>
                <w:i/>
                <w:color w:val="000000"/>
              </w:rPr>
              <w:t>NA</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color w:val="000000"/>
              </w:rPr>
            </w:pPr>
            <w:r w:rsidRPr="00370E70">
              <w:rPr>
                <w:b/>
                <w:color w:val="000000"/>
                <w:sz w:val="20"/>
                <w:szCs w:val="20"/>
              </w:rPr>
              <w:t>2007</w:t>
            </w:r>
          </w:p>
        </w:tc>
        <w:tc>
          <w:tcPr>
            <w:tcW w:w="1418" w:type="dxa"/>
            <w:vAlign w:val="center"/>
          </w:tcPr>
          <w:p w:rsidR="005132EF" w:rsidRPr="00370E70" w:rsidRDefault="005132EF" w:rsidP="00BC5E5C">
            <w:pPr>
              <w:keepNext/>
              <w:spacing w:before="0" w:after="0"/>
              <w:jc w:val="center"/>
              <w:rPr>
                <w:rFonts w:cs="Arial"/>
                <w:color w:val="000000"/>
              </w:rPr>
            </w:pPr>
            <w:r w:rsidRPr="00370E70">
              <w:rPr>
                <w:color w:val="000000"/>
              </w:rPr>
              <w:t>5.384</w:t>
            </w:r>
          </w:p>
          <w:p w:rsidR="005132EF" w:rsidRPr="00370E70" w:rsidRDefault="005132EF" w:rsidP="00BC5E5C">
            <w:pPr>
              <w:keepNext/>
              <w:spacing w:before="0" w:after="0"/>
              <w:jc w:val="center"/>
              <w:rPr>
                <w:rFonts w:cs="Arial"/>
                <w:b/>
                <w:i/>
                <w:color w:val="000000"/>
                <w:sz w:val="20"/>
                <w:szCs w:val="20"/>
              </w:rPr>
            </w:pPr>
            <w:r w:rsidRPr="00370E70">
              <w:rPr>
                <w:rFonts w:cs="Arial"/>
                <w:i/>
                <w:color w:val="000000"/>
                <w:sz w:val="16"/>
                <w:szCs w:val="16"/>
              </w:rPr>
              <w:t>(0.01%, increase shoreward)</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b/>
                <w:i/>
                <w:color w:val="000000"/>
                <w:sz w:val="20"/>
                <w:szCs w:val="2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tcPr>
          <w:p w:rsidR="005132EF" w:rsidRPr="00370E70" w:rsidRDefault="005132EF" w:rsidP="00BC5E5C">
            <w:pPr>
              <w:keepNext/>
              <w:spacing w:before="0" w:after="0"/>
              <w:jc w:val="center"/>
              <w:rPr>
                <w:color w:val="000000"/>
              </w:rPr>
            </w:pPr>
            <w:r w:rsidRPr="00370E70">
              <w:rPr>
                <w:color w:val="000000"/>
              </w:rPr>
              <w:t>5.394</w:t>
            </w:r>
          </w:p>
          <w:p w:rsidR="005132EF" w:rsidRPr="00370E70" w:rsidRDefault="005132EF" w:rsidP="00BC5E5C">
            <w:pPr>
              <w:keepNext/>
              <w:spacing w:before="0" w:after="0"/>
              <w:jc w:val="center"/>
              <w:rPr>
                <w:rFonts w:cs="Arial"/>
                <w:color w:val="000000"/>
                <w:sz w:val="20"/>
                <w:szCs w:val="20"/>
              </w:rPr>
            </w:pPr>
            <w:r w:rsidRPr="00370E70">
              <w:rPr>
                <w:i/>
                <w:iCs/>
                <w:color w:val="000000"/>
                <w:sz w:val="16"/>
                <w:szCs w:val="16"/>
              </w:rPr>
              <w:t>(</w:t>
            </w:r>
            <w:r w:rsidRPr="00370E70">
              <w:rPr>
                <w:i/>
                <w:color w:val="000000"/>
                <w:sz w:val="16"/>
                <w:szCs w:val="16"/>
              </w:rPr>
              <w:t>meadow recovered</w:t>
            </w:r>
            <w:r w:rsidRPr="00370E70">
              <w:rPr>
                <w:rFonts w:cs="Arial"/>
                <w:i/>
                <w:color w:val="000000"/>
                <w:sz w:val="16"/>
                <w:szCs w:val="16"/>
              </w:rPr>
              <w:t>)</w:t>
            </w:r>
          </w:p>
        </w:tc>
        <w:tc>
          <w:tcPr>
            <w:tcW w:w="1418" w:type="dxa"/>
          </w:tcPr>
          <w:p w:rsidR="005132EF" w:rsidRPr="00370E70" w:rsidRDefault="005132EF" w:rsidP="00BC5E5C">
            <w:pPr>
              <w:keepNext/>
              <w:spacing w:before="0" w:after="0"/>
              <w:jc w:val="center"/>
              <w:rPr>
                <w:color w:val="000000"/>
              </w:rPr>
            </w:pPr>
            <w:r w:rsidRPr="00370E70">
              <w:rPr>
                <w:color w:val="000000"/>
              </w:rPr>
              <w:t>5.174</w:t>
            </w:r>
          </w:p>
          <w:p w:rsidR="005132EF" w:rsidRPr="00370E70" w:rsidRDefault="005132EF" w:rsidP="00BC5E5C">
            <w:pPr>
              <w:keepNext/>
              <w:spacing w:before="0" w:after="0"/>
              <w:jc w:val="center"/>
              <w:rPr>
                <w:rFonts w:cs="Arial"/>
                <w:color w:val="000000"/>
                <w:sz w:val="20"/>
                <w:szCs w:val="20"/>
              </w:rPr>
            </w:pPr>
            <w:r w:rsidRPr="00370E70">
              <w:rPr>
                <w:i/>
                <w:iCs/>
                <w:color w:val="000000"/>
                <w:sz w:val="16"/>
                <w:szCs w:val="16"/>
              </w:rPr>
              <w:t xml:space="preserve">(0.01%, </w:t>
            </w:r>
            <w:r w:rsidRPr="00370E70">
              <w:rPr>
                <w:rFonts w:cs="Arial"/>
                <w:i/>
                <w:color w:val="000000"/>
                <w:sz w:val="16"/>
                <w:szCs w:val="16"/>
              </w:rPr>
              <w:t>decrease seaward)</w:t>
            </w:r>
          </w:p>
        </w:tc>
        <w:tc>
          <w:tcPr>
            <w:tcW w:w="1418" w:type="dxa"/>
          </w:tcPr>
          <w:p w:rsidR="005132EF" w:rsidRPr="00370E70" w:rsidRDefault="005132EF" w:rsidP="00BC5E5C">
            <w:pPr>
              <w:keepNext/>
              <w:spacing w:before="0" w:after="0"/>
              <w:jc w:val="center"/>
              <w:rPr>
                <w:rFonts w:cs="Arial"/>
                <w:color w:val="000000"/>
                <w:sz w:val="20"/>
                <w:szCs w:val="20"/>
              </w:rPr>
            </w:pPr>
            <w:r w:rsidRPr="00370E70">
              <w:rPr>
                <w:rFonts w:cs="Arial"/>
                <w:i/>
                <w:color w:val="000000"/>
              </w:rPr>
              <w:t>NA</w:t>
            </w:r>
          </w:p>
        </w:tc>
        <w:tc>
          <w:tcPr>
            <w:tcW w:w="1418" w:type="dxa"/>
          </w:tcPr>
          <w:p w:rsidR="005132EF" w:rsidRPr="00370E70" w:rsidRDefault="005132EF" w:rsidP="00BC5E5C">
            <w:pPr>
              <w:keepNext/>
              <w:spacing w:before="0" w:after="0"/>
              <w:jc w:val="center"/>
              <w:rPr>
                <w:rFonts w:cs="Arial"/>
                <w:color w:val="000000"/>
                <w:sz w:val="20"/>
                <w:szCs w:val="20"/>
              </w:rPr>
            </w:pPr>
            <w:r w:rsidRPr="00370E70">
              <w:rPr>
                <w:rFonts w:cs="Arial"/>
                <w:i/>
                <w:color w:val="000000"/>
              </w:rPr>
              <w:t>NA</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October</w:t>
            </w:r>
          </w:p>
          <w:p w:rsidR="005132EF" w:rsidRPr="00370E70" w:rsidRDefault="005132EF" w:rsidP="00BC5E5C">
            <w:pPr>
              <w:keepNext/>
              <w:spacing w:before="0" w:after="0"/>
              <w:jc w:val="center"/>
              <w:rPr>
                <w:color w:val="000000"/>
              </w:rPr>
            </w:pPr>
            <w:r w:rsidRPr="00370E70">
              <w:rPr>
                <w:b/>
                <w:color w:val="000000"/>
                <w:sz w:val="20"/>
                <w:szCs w:val="20"/>
              </w:rPr>
              <w:t>2007</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(0.3%, negligible)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4.179</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(-22.5%,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4.733</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(-8.5%, decrease seaward)</w:t>
            </w:r>
          </w:p>
        </w:tc>
        <w:tc>
          <w:tcPr>
            <w:tcW w:w="1418" w:type="dxa"/>
          </w:tcPr>
          <w:p w:rsidR="005132EF" w:rsidRPr="00370E70" w:rsidRDefault="005132EF" w:rsidP="00BC5E5C">
            <w:pPr>
              <w:keepNext/>
              <w:spacing w:before="0" w:after="0"/>
              <w:jc w:val="center"/>
              <w:rPr>
                <w:rFonts w:cs="Arial"/>
                <w:b/>
                <w:color w:val="000000"/>
              </w:rPr>
            </w:pPr>
            <w:r w:rsidRPr="00370E70">
              <w:rPr>
                <w:rFonts w:cs="Arial"/>
                <w:b/>
                <w:color w:val="000000"/>
              </w:rPr>
              <w:t>2.513</w:t>
            </w:r>
          </w:p>
        </w:tc>
        <w:tc>
          <w:tcPr>
            <w:tcW w:w="1418" w:type="dxa"/>
          </w:tcPr>
          <w:p w:rsidR="005132EF" w:rsidRPr="00370E70" w:rsidRDefault="005132EF" w:rsidP="00BC5E5C">
            <w:pPr>
              <w:keepNext/>
              <w:spacing w:before="0" w:after="0"/>
              <w:jc w:val="center"/>
              <w:rPr>
                <w:rFonts w:cs="Arial"/>
                <w:b/>
                <w:color w:val="000000"/>
              </w:rPr>
            </w:pPr>
            <w:r w:rsidRPr="00370E70">
              <w:rPr>
                <w:rFonts w:cs="Arial"/>
                <w:b/>
                <w:color w:val="000000"/>
              </w:rPr>
              <w:t>3.998</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b/>
                <w:color w:val="000000"/>
                <w:sz w:val="20"/>
                <w:szCs w:val="20"/>
              </w:rPr>
            </w:pPr>
            <w:r w:rsidRPr="00370E70">
              <w:rPr>
                <w:b/>
                <w:color w:val="000000"/>
                <w:sz w:val="20"/>
                <w:szCs w:val="20"/>
              </w:rPr>
              <w:t>2008</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(0.3%, stable)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4.487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(-16.8%,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5.087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(-1.7%, increase shoreward)</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0.526</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(-79.1%,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2.368</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(-40.8%,decrease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October</w:t>
            </w:r>
          </w:p>
          <w:p w:rsidR="005132EF" w:rsidRPr="00370E70" w:rsidRDefault="005132EF" w:rsidP="00BC5E5C">
            <w:pPr>
              <w:keepNext/>
              <w:spacing w:before="0" w:after="0"/>
              <w:jc w:val="center"/>
              <w:rPr>
                <w:b/>
                <w:color w:val="000000"/>
                <w:sz w:val="20"/>
                <w:szCs w:val="20"/>
              </w:rPr>
            </w:pPr>
            <w:r w:rsidRPr="00370E70">
              <w:rPr>
                <w:b/>
                <w:color w:val="000000"/>
                <w:sz w:val="20"/>
                <w:szCs w:val="20"/>
              </w:rPr>
              <w:t>2008</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(0.3%, stable)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5.074</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(-5.9%,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4.829</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(-6.7%, decrease seaward)</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0.933</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(-62.9%,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3.201</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(-19.9%, increase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b/>
                <w:color w:val="000000"/>
                <w:sz w:val="20"/>
                <w:szCs w:val="20"/>
              </w:rPr>
            </w:pPr>
            <w:r w:rsidRPr="00370E70">
              <w:rPr>
                <w:b/>
                <w:color w:val="000000"/>
                <w:sz w:val="20"/>
                <w:szCs w:val="20"/>
              </w:rPr>
              <w:t>2009</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(0.3%, stable)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No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5.027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(-6.8%, decrease shoreward)</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5.281</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(2.1%, increase shoreward)</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1.814</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(-27.8%,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2.234</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(-44.1%, decrease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October</w:t>
            </w:r>
          </w:p>
          <w:p w:rsidR="005132EF" w:rsidRPr="00370E70" w:rsidRDefault="005132EF" w:rsidP="00BC5E5C">
            <w:pPr>
              <w:keepNext/>
              <w:spacing w:before="0" w:after="0"/>
              <w:jc w:val="center"/>
              <w:rPr>
                <w:b/>
                <w:color w:val="000000"/>
                <w:sz w:val="20"/>
                <w:szCs w:val="20"/>
              </w:rPr>
            </w:pPr>
            <w:r w:rsidRPr="00370E70">
              <w:rPr>
                <w:b/>
                <w:color w:val="000000"/>
                <w:sz w:val="20"/>
                <w:szCs w:val="20"/>
              </w:rPr>
              <w:t>2009</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color w:val="000000"/>
              </w:rPr>
            </w:pPr>
            <w:r w:rsidRPr="00370E70">
              <w:rPr>
                <w:rFonts w:cs="Arial"/>
                <w:i/>
                <w:color w:val="000000"/>
                <w:sz w:val="16"/>
                <w:szCs w:val="16"/>
              </w:rPr>
              <w:t>(no change)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color w:val="000000"/>
              </w:rPr>
            </w:pPr>
            <w:r w:rsidRPr="00370E70">
              <w:rPr>
                <w:rFonts w:cs="Arial"/>
                <w:i/>
                <w:color w:val="000000"/>
                <w:sz w:val="16"/>
                <w:szCs w:val="16"/>
              </w:rPr>
              <w:t>(n</w:t>
            </w:r>
            <w:r w:rsidRPr="00370E70">
              <w:rPr>
                <w:i/>
                <w:color w:val="000000"/>
                <w:sz w:val="16"/>
                <w:szCs w:val="16"/>
              </w:rPr>
              <w:t>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4.742</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(-12.1%,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4.997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(-3.4%,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2.444</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(-2.8%,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3.712</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(-7.2%, increase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b/>
                <w:color w:val="000000"/>
                <w:sz w:val="20"/>
                <w:szCs w:val="20"/>
              </w:rPr>
            </w:pPr>
            <w:r w:rsidRPr="00370E70">
              <w:rPr>
                <w:b/>
                <w:color w:val="000000"/>
                <w:sz w:val="20"/>
                <w:szCs w:val="20"/>
              </w:rPr>
              <w:t>2010</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color w:val="000000"/>
              </w:rPr>
            </w:pPr>
            <w:r w:rsidRPr="00370E70">
              <w:rPr>
                <w:rFonts w:cs="Arial"/>
                <w:i/>
                <w:color w:val="000000"/>
                <w:sz w:val="16"/>
                <w:szCs w:val="16"/>
              </w:rPr>
              <w:t>(no change)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color w:val="000000"/>
              </w:rPr>
            </w:pPr>
            <w:r w:rsidRPr="00370E70">
              <w:rPr>
                <w:rFonts w:cs="Arial"/>
                <w:i/>
                <w:color w:val="000000"/>
                <w:sz w:val="16"/>
                <w:szCs w:val="16"/>
              </w:rPr>
              <w:t>(n</w:t>
            </w:r>
            <w:r w:rsidRPr="00370E70">
              <w:rPr>
                <w:i/>
                <w:color w:val="000000"/>
                <w:sz w:val="16"/>
                <w:szCs w:val="16"/>
              </w:rPr>
              <w:t>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5.158</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(-4.4%, increase overall)</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5.301</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(2.5%,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2.384</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(-5.1%, decrease shoreward)</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3.821</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(-4.4%, increase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October</w:t>
            </w:r>
          </w:p>
          <w:p w:rsidR="005132EF" w:rsidRPr="00370E70" w:rsidRDefault="005132EF" w:rsidP="00BC5E5C">
            <w:pPr>
              <w:keepNext/>
              <w:spacing w:before="0" w:after="0"/>
              <w:jc w:val="center"/>
              <w:rPr>
                <w:b/>
                <w:color w:val="000000"/>
                <w:sz w:val="20"/>
                <w:szCs w:val="20"/>
              </w:rPr>
            </w:pPr>
            <w:r w:rsidRPr="00370E70">
              <w:rPr>
                <w:b/>
                <w:color w:val="000000"/>
                <w:sz w:val="20"/>
                <w:szCs w:val="20"/>
              </w:rPr>
              <w:t>2010</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color w:val="000000"/>
              </w:rPr>
            </w:pPr>
            <w:r w:rsidRPr="00370E70">
              <w:rPr>
                <w:rFonts w:cs="Arial"/>
                <w:i/>
                <w:color w:val="000000"/>
                <w:sz w:val="16"/>
                <w:szCs w:val="16"/>
              </w:rPr>
              <w:t>(no change)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color w:val="000000"/>
              </w:rPr>
            </w:pPr>
            <w:r w:rsidRPr="00370E70">
              <w:rPr>
                <w:rFonts w:cs="Arial"/>
                <w:i/>
                <w:color w:val="000000"/>
                <w:sz w:val="16"/>
                <w:szCs w:val="16"/>
              </w:rPr>
              <w:t>(n</w:t>
            </w:r>
            <w:r w:rsidRPr="00370E70">
              <w:rPr>
                <w:i/>
                <w:color w:val="000000"/>
                <w:sz w:val="16"/>
                <w:szCs w:val="16"/>
              </w:rPr>
              <w:t>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5.179</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(-4.0%, increase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5.098</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(-2.3,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0.933</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(-62.9%,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3.770</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(-5.7%, decrease overall)</w:t>
            </w:r>
          </w:p>
        </w:tc>
      </w:tr>
      <w:tr w:rsidR="005132EF" w:rsidRPr="00370E70">
        <w:trPr>
          <w:jc w:val="center"/>
        </w:trPr>
        <w:tc>
          <w:tcPr>
            <w:tcW w:w="1057" w:type="dxa"/>
          </w:tcPr>
          <w:p w:rsidR="005132EF" w:rsidRPr="00370E70" w:rsidRDefault="005132EF" w:rsidP="00BC5E5C">
            <w:pPr>
              <w:keepNext/>
              <w:spacing w:before="0" w:after="0"/>
              <w:jc w:val="center"/>
              <w:rPr>
                <w:b/>
                <w:color w:val="000000"/>
                <w:sz w:val="20"/>
                <w:szCs w:val="20"/>
              </w:rPr>
            </w:pPr>
            <w:r w:rsidRPr="00370E70">
              <w:rPr>
                <w:b/>
                <w:color w:val="000000"/>
                <w:sz w:val="20"/>
                <w:szCs w:val="20"/>
              </w:rPr>
              <w:t>April</w:t>
            </w:r>
          </w:p>
          <w:p w:rsidR="005132EF" w:rsidRPr="00370E70" w:rsidRDefault="005132EF" w:rsidP="00BC5E5C">
            <w:pPr>
              <w:keepNext/>
              <w:spacing w:before="0" w:after="0"/>
              <w:jc w:val="center"/>
              <w:rPr>
                <w:b/>
                <w:color w:val="000000"/>
                <w:sz w:val="20"/>
                <w:szCs w:val="20"/>
              </w:rPr>
            </w:pPr>
            <w:r w:rsidRPr="00370E70">
              <w:rPr>
                <w:b/>
                <w:color w:val="000000"/>
                <w:sz w:val="20"/>
                <w:szCs w:val="20"/>
              </w:rPr>
              <w:t>2011</w:t>
            </w:r>
          </w:p>
        </w:tc>
        <w:tc>
          <w:tcPr>
            <w:tcW w:w="1418" w:type="dxa"/>
          </w:tcPr>
          <w:p w:rsidR="005132EF" w:rsidRPr="00370E70" w:rsidRDefault="005132EF" w:rsidP="00BC5E5C">
            <w:pPr>
              <w:keepNext/>
              <w:spacing w:before="0" w:after="0"/>
              <w:jc w:val="center"/>
              <w:rPr>
                <w:rFonts w:cs="Arial"/>
                <w:color w:val="000000"/>
              </w:rPr>
            </w:pPr>
            <w:r w:rsidRPr="00370E70">
              <w:rPr>
                <w:rFonts w:cs="Arial"/>
                <w:color w:val="000000"/>
              </w:rPr>
              <w:t>5.396</w:t>
            </w:r>
          </w:p>
          <w:p w:rsidR="005132EF" w:rsidRPr="00370E70" w:rsidRDefault="005132EF" w:rsidP="00BC5E5C">
            <w:pPr>
              <w:keepNext/>
              <w:spacing w:before="0" w:after="0"/>
              <w:jc w:val="center"/>
              <w:rPr>
                <w:color w:val="000000"/>
              </w:rPr>
            </w:pPr>
            <w:r w:rsidRPr="00370E70">
              <w:rPr>
                <w:rFonts w:cs="Arial"/>
                <w:i/>
                <w:color w:val="000000"/>
                <w:sz w:val="16"/>
                <w:szCs w:val="16"/>
              </w:rPr>
              <w:t>(no change)</w:t>
            </w:r>
          </w:p>
        </w:tc>
        <w:tc>
          <w:tcPr>
            <w:tcW w:w="1418" w:type="dxa"/>
          </w:tcPr>
          <w:p w:rsidR="005132EF" w:rsidRPr="00370E70" w:rsidRDefault="005132EF" w:rsidP="00BC5E5C">
            <w:pPr>
              <w:keepNext/>
              <w:spacing w:before="0" w:after="0"/>
              <w:jc w:val="center"/>
              <w:rPr>
                <w:rFonts w:cs="Arial"/>
                <w:color w:val="000000"/>
              </w:rPr>
            </w:pPr>
            <w:r w:rsidRPr="00370E70">
              <w:rPr>
                <w:color w:val="000000"/>
              </w:rPr>
              <w:t>5.397</w:t>
            </w:r>
          </w:p>
          <w:p w:rsidR="005132EF" w:rsidRPr="00370E70" w:rsidRDefault="005132EF" w:rsidP="00BC5E5C">
            <w:pPr>
              <w:keepNext/>
              <w:spacing w:before="0" w:after="0"/>
              <w:jc w:val="center"/>
              <w:rPr>
                <w:color w:val="000000"/>
              </w:rPr>
            </w:pPr>
            <w:r w:rsidRPr="00370E70">
              <w:rPr>
                <w:rFonts w:cs="Arial"/>
                <w:i/>
                <w:color w:val="000000"/>
                <w:sz w:val="16"/>
                <w:szCs w:val="16"/>
              </w:rPr>
              <w:t>(n</w:t>
            </w:r>
            <w:r w:rsidRPr="00370E70">
              <w:rPr>
                <w:i/>
                <w:color w:val="000000"/>
                <w:sz w:val="16"/>
                <w:szCs w:val="16"/>
              </w:rPr>
              <w:t>o change</w:t>
            </w:r>
            <w:r w:rsidRPr="00370E70">
              <w:rPr>
                <w:rFonts w:cs="Arial"/>
                <w:i/>
                <w:color w:val="000000"/>
                <w:sz w:val="16"/>
                <w:szCs w:val="16"/>
              </w:rPr>
              <w:t>)</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4.941</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(-8.4%,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4.927</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(-1.5%,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0.382</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(-84.8%, decrease overall)</w:t>
            </w:r>
          </w:p>
        </w:tc>
        <w:tc>
          <w:tcPr>
            <w:tcW w:w="1418" w:type="dxa"/>
            <w:shd w:val="clear" w:color="auto" w:fill="E6E6E6"/>
          </w:tcPr>
          <w:p w:rsidR="005132EF" w:rsidRPr="00370E70" w:rsidRDefault="005132EF" w:rsidP="00BC5E5C">
            <w:pPr>
              <w:keepNext/>
              <w:spacing w:before="0" w:after="0"/>
              <w:jc w:val="center"/>
              <w:rPr>
                <w:rFonts w:cs="Arial"/>
                <w:color w:val="000000"/>
              </w:rPr>
            </w:pPr>
            <w:r w:rsidRPr="00370E70">
              <w:rPr>
                <w:rFonts w:cs="Arial"/>
                <w:color w:val="000000"/>
              </w:rPr>
              <w:t>2.805</w:t>
            </w:r>
          </w:p>
          <w:p w:rsidR="005132EF" w:rsidRPr="00370E70" w:rsidRDefault="005132EF" w:rsidP="00BC5E5C">
            <w:pPr>
              <w:keepNext/>
              <w:spacing w:before="0" w:after="0"/>
              <w:jc w:val="center"/>
              <w:rPr>
                <w:rFonts w:cs="Arial"/>
                <w:color w:val="000000"/>
              </w:rPr>
            </w:pPr>
            <w:r w:rsidRPr="00370E70">
              <w:rPr>
                <w:rFonts w:cs="Arial"/>
                <w:i/>
                <w:color w:val="000000"/>
                <w:sz w:val="16"/>
                <w:szCs w:val="16"/>
              </w:rPr>
              <w:t>(-29.9%, decrease overall)</w:t>
            </w:r>
          </w:p>
        </w:tc>
      </w:tr>
      <w:tr w:rsidR="005132EF" w:rsidRPr="00370E70" w:rsidTr="00B74347">
        <w:trPr>
          <w:jc w:val="center"/>
        </w:trPr>
        <w:tc>
          <w:tcPr>
            <w:tcW w:w="1057" w:type="dxa"/>
          </w:tcPr>
          <w:p w:rsidR="005132EF" w:rsidRPr="00370E70" w:rsidRDefault="005132EF" w:rsidP="00104000">
            <w:pPr>
              <w:keepNext/>
              <w:spacing w:before="0" w:after="0"/>
              <w:jc w:val="center"/>
              <w:rPr>
                <w:b/>
                <w:color w:val="000000"/>
                <w:sz w:val="20"/>
                <w:szCs w:val="20"/>
              </w:rPr>
            </w:pPr>
            <w:r w:rsidRPr="00370E70">
              <w:rPr>
                <w:b/>
                <w:color w:val="000000"/>
                <w:sz w:val="20"/>
                <w:szCs w:val="20"/>
              </w:rPr>
              <w:t>October</w:t>
            </w:r>
          </w:p>
          <w:p w:rsidR="005132EF" w:rsidRPr="00370E70" w:rsidRDefault="005132EF" w:rsidP="00104000">
            <w:pPr>
              <w:keepNext/>
              <w:spacing w:before="0" w:after="0"/>
              <w:jc w:val="center"/>
              <w:rPr>
                <w:b/>
                <w:color w:val="000000"/>
                <w:sz w:val="20"/>
                <w:szCs w:val="20"/>
              </w:rPr>
            </w:pPr>
            <w:r w:rsidRPr="00370E70">
              <w:rPr>
                <w:b/>
                <w:color w:val="000000"/>
                <w:sz w:val="20"/>
                <w:szCs w:val="20"/>
              </w:rPr>
              <w:t>2011</w:t>
            </w:r>
          </w:p>
        </w:tc>
        <w:tc>
          <w:tcPr>
            <w:tcW w:w="1418" w:type="dxa"/>
            <w:shd w:val="clear" w:color="auto" w:fill="FFFFFF"/>
          </w:tcPr>
          <w:p w:rsidR="005132EF" w:rsidRPr="00370E70" w:rsidRDefault="005132EF" w:rsidP="009172D7">
            <w:pPr>
              <w:keepNext/>
              <w:spacing w:before="0" w:after="0"/>
              <w:jc w:val="center"/>
              <w:rPr>
                <w:rFonts w:cs="Arial"/>
                <w:color w:val="000000"/>
              </w:rPr>
            </w:pPr>
            <w:r w:rsidRPr="00370E70">
              <w:rPr>
                <w:rFonts w:cs="Arial"/>
                <w:color w:val="000000"/>
              </w:rPr>
              <w:t>5.396</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c>
          <w:tcPr>
            <w:tcW w:w="1418" w:type="dxa"/>
            <w:shd w:val="clear" w:color="auto" w:fill="FFFFFF"/>
          </w:tcPr>
          <w:p w:rsidR="005132EF" w:rsidRPr="00370E70" w:rsidRDefault="005132EF" w:rsidP="009172D7">
            <w:pPr>
              <w:keepNext/>
              <w:spacing w:before="0" w:after="0"/>
              <w:jc w:val="center"/>
              <w:rPr>
                <w:rFonts w:cs="Arial"/>
                <w:color w:val="000000"/>
              </w:rPr>
            </w:pPr>
            <w:r w:rsidRPr="00370E70">
              <w:rPr>
                <w:rFonts w:cs="Arial"/>
                <w:color w:val="000000"/>
              </w:rPr>
              <w:t>5.397</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4.761</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(-11.7%, decrease overall)</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4.843</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(-6.4%, decrease overall)</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0.292</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(-88.4%, isolated patches)</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1.306</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(-67.3%, isolated patches)</w:t>
            </w:r>
          </w:p>
        </w:tc>
      </w:tr>
      <w:tr w:rsidR="005132EF" w:rsidRPr="00370E70" w:rsidTr="00B74347">
        <w:trPr>
          <w:jc w:val="center"/>
        </w:trPr>
        <w:tc>
          <w:tcPr>
            <w:tcW w:w="1057" w:type="dxa"/>
          </w:tcPr>
          <w:p w:rsidR="005132EF" w:rsidRPr="00370E70" w:rsidRDefault="005132EF" w:rsidP="00104000">
            <w:pPr>
              <w:keepNext/>
              <w:spacing w:before="0" w:after="0"/>
              <w:jc w:val="center"/>
              <w:rPr>
                <w:b/>
                <w:color w:val="000000"/>
                <w:sz w:val="20"/>
                <w:szCs w:val="20"/>
              </w:rPr>
            </w:pPr>
            <w:r w:rsidRPr="00370E70">
              <w:rPr>
                <w:b/>
                <w:color w:val="000000"/>
                <w:sz w:val="20"/>
                <w:szCs w:val="20"/>
              </w:rPr>
              <w:t>April</w:t>
            </w:r>
          </w:p>
          <w:p w:rsidR="005132EF" w:rsidRPr="00370E70" w:rsidRDefault="005132EF" w:rsidP="00104000">
            <w:pPr>
              <w:keepNext/>
              <w:spacing w:before="0" w:after="0"/>
              <w:jc w:val="center"/>
              <w:rPr>
                <w:b/>
                <w:color w:val="000000"/>
                <w:sz w:val="20"/>
                <w:szCs w:val="20"/>
              </w:rPr>
            </w:pPr>
            <w:r w:rsidRPr="00370E70">
              <w:rPr>
                <w:b/>
                <w:color w:val="000000"/>
                <w:sz w:val="20"/>
                <w:szCs w:val="20"/>
              </w:rPr>
              <w:t>2012</w:t>
            </w:r>
          </w:p>
        </w:tc>
        <w:tc>
          <w:tcPr>
            <w:tcW w:w="1418" w:type="dxa"/>
            <w:shd w:val="clear" w:color="auto" w:fill="FFFFFF"/>
          </w:tcPr>
          <w:p w:rsidR="005132EF" w:rsidRPr="00370E70" w:rsidRDefault="005132EF" w:rsidP="009172D7">
            <w:pPr>
              <w:keepNext/>
              <w:spacing w:before="0" w:after="0"/>
              <w:jc w:val="center"/>
              <w:rPr>
                <w:rFonts w:cs="Arial"/>
                <w:color w:val="000000"/>
              </w:rPr>
            </w:pPr>
            <w:r w:rsidRPr="00370E70">
              <w:rPr>
                <w:rFonts w:cs="Arial"/>
                <w:color w:val="000000"/>
              </w:rPr>
              <w:t>5.396</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c>
          <w:tcPr>
            <w:tcW w:w="1418" w:type="dxa"/>
            <w:shd w:val="clear" w:color="auto" w:fill="FFFFFF"/>
          </w:tcPr>
          <w:p w:rsidR="005132EF" w:rsidRPr="00370E70" w:rsidRDefault="005132EF" w:rsidP="009172D7">
            <w:pPr>
              <w:keepNext/>
              <w:spacing w:before="0" w:after="0"/>
              <w:jc w:val="center"/>
              <w:rPr>
                <w:rFonts w:cs="Arial"/>
                <w:color w:val="000000"/>
              </w:rPr>
            </w:pPr>
            <w:r w:rsidRPr="00370E70">
              <w:rPr>
                <w:rFonts w:cs="Arial"/>
                <w:color w:val="000000"/>
              </w:rPr>
              <w:t>5.397</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4.816</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(-10.7%, decrease overall)</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4.901</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(-5.3%, decrease overall)</w:t>
            </w:r>
          </w:p>
        </w:tc>
        <w:tc>
          <w:tcPr>
            <w:tcW w:w="1418" w:type="dxa"/>
            <w:shd w:val="clear" w:color="auto" w:fill="E6E6E6"/>
          </w:tcPr>
          <w:p w:rsidR="005132EF" w:rsidRPr="00370E70" w:rsidRDefault="005132EF" w:rsidP="009172D7">
            <w:pPr>
              <w:keepNext/>
              <w:spacing w:before="0" w:after="0"/>
              <w:jc w:val="center"/>
              <w:rPr>
                <w:rFonts w:cs="Arial"/>
                <w:i/>
                <w:color w:val="000000"/>
                <w:sz w:val="16"/>
                <w:szCs w:val="16"/>
              </w:rPr>
            </w:pPr>
            <w:r w:rsidRPr="00370E70">
              <w:rPr>
                <w:rFonts w:cs="Arial"/>
                <w:color w:val="000000"/>
              </w:rPr>
              <w:t>0.292</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c>
          <w:tcPr>
            <w:tcW w:w="1418" w:type="dxa"/>
            <w:shd w:val="clear" w:color="auto" w:fill="E6E6E6"/>
          </w:tcPr>
          <w:p w:rsidR="005132EF" w:rsidRPr="00370E70" w:rsidRDefault="005132EF" w:rsidP="009172D7">
            <w:pPr>
              <w:keepNext/>
              <w:spacing w:before="0" w:after="0"/>
              <w:jc w:val="center"/>
              <w:rPr>
                <w:rFonts w:cs="Arial"/>
                <w:color w:val="000000"/>
              </w:rPr>
            </w:pPr>
            <w:r w:rsidRPr="00370E70">
              <w:rPr>
                <w:rFonts w:cs="Arial"/>
                <w:color w:val="000000"/>
              </w:rPr>
              <w:t>1.306</w:t>
            </w:r>
          </w:p>
          <w:p w:rsidR="005132EF" w:rsidRPr="00370E70" w:rsidRDefault="005132EF" w:rsidP="009172D7">
            <w:pPr>
              <w:keepNext/>
              <w:spacing w:before="0" w:after="0"/>
              <w:jc w:val="center"/>
              <w:rPr>
                <w:rFonts w:cs="Arial"/>
                <w:i/>
                <w:color w:val="000000"/>
                <w:sz w:val="16"/>
                <w:szCs w:val="16"/>
              </w:rPr>
            </w:pPr>
            <w:r w:rsidRPr="00370E70">
              <w:rPr>
                <w:rFonts w:cs="Arial"/>
                <w:i/>
                <w:color w:val="000000"/>
                <w:sz w:val="16"/>
                <w:szCs w:val="16"/>
              </w:rPr>
              <w:t>(no change)</w:t>
            </w:r>
          </w:p>
        </w:tc>
      </w:tr>
    </w:tbl>
    <w:p w:rsidR="005132EF" w:rsidRPr="00370E70" w:rsidRDefault="005132EF" w:rsidP="00034AD4">
      <w:pPr>
        <w:pStyle w:val="Heading4"/>
        <w:rPr>
          <w:b/>
          <w:color w:val="000000"/>
        </w:rPr>
      </w:pPr>
      <w:bookmarkStart w:id="703" w:name="_Toc184102028"/>
      <w:bookmarkEnd w:id="694"/>
      <w:bookmarkEnd w:id="695"/>
      <w:r w:rsidRPr="00370E70">
        <w:rPr>
          <w:b/>
          <w:color w:val="000000"/>
        </w:rPr>
        <w:t>Seagrass reproductive status</w:t>
      </w:r>
      <w:bookmarkEnd w:id="703"/>
    </w:p>
    <w:p w:rsidR="005132EF" w:rsidRPr="00370E70" w:rsidRDefault="005132EF" w:rsidP="00D11218">
      <w:pPr>
        <w:autoSpaceDE w:val="0"/>
        <w:autoSpaceDN w:val="0"/>
        <w:adjustRightInd w:val="0"/>
        <w:rPr>
          <w:color w:val="000000"/>
          <w:szCs w:val="22"/>
          <w:lang w:eastAsia="en-AU"/>
        </w:rPr>
      </w:pPr>
      <w:r w:rsidRPr="00370E70">
        <w:rPr>
          <w:color w:val="000000"/>
          <w:szCs w:val="22"/>
          <w:lang w:eastAsia="en-AU"/>
        </w:rPr>
        <w:t xml:space="preserve">Seed banks continued to persist across coastal and estuarine habitats in the region in 2011/12 </w:t>
      </w:r>
      <w:r w:rsidRPr="00370E70">
        <w:rPr>
          <w:color w:val="000000"/>
          <w:szCs w:val="22"/>
        </w:rPr>
        <w:t>(</w:t>
      </w:r>
      <w:r w:rsidRPr="00370E70">
        <w:rPr>
          <w:color w:val="000000"/>
        </w:rPr>
        <w:fldChar w:fldCharType="begin"/>
      </w:r>
      <w:r w:rsidRPr="00370E70">
        <w:rPr>
          <w:color w:val="000000"/>
        </w:rPr>
        <w:instrText xml:space="preserve"> REF _Ref305422830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154</w:t>
      </w:r>
      <w:r w:rsidRPr="00370E70">
        <w:rPr>
          <w:color w:val="000000"/>
        </w:rPr>
        <w:fldChar w:fldCharType="end"/>
      </w:r>
      <w:r w:rsidRPr="00370E70">
        <w:rPr>
          <w:color w:val="000000"/>
          <w:szCs w:val="22"/>
        </w:rPr>
        <w:t xml:space="preserve">, </w:t>
      </w:r>
      <w:r w:rsidRPr="00370E70">
        <w:rPr>
          <w:color w:val="000000"/>
        </w:rPr>
        <w:fldChar w:fldCharType="begin"/>
      </w:r>
      <w:r w:rsidRPr="00370E70">
        <w:rPr>
          <w:color w:val="000000"/>
        </w:rPr>
        <w:instrText xml:space="preserve"> REF _Ref348958929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155</w:t>
      </w:r>
      <w:r w:rsidRPr="00370E70">
        <w:rPr>
          <w:color w:val="000000"/>
        </w:rPr>
        <w:fldChar w:fldCharType="end"/>
      </w:r>
      <w:r w:rsidRPr="00370E70">
        <w:rPr>
          <w:color w:val="000000"/>
          <w:szCs w:val="22"/>
        </w:rPr>
        <w:t xml:space="preserve">) </w:t>
      </w:r>
      <w:r w:rsidRPr="00370E70">
        <w:rPr>
          <w:color w:val="000000"/>
          <w:szCs w:val="22"/>
          <w:lang w:eastAsia="en-AU"/>
        </w:rPr>
        <w:t>suggests the meadows have a reasonable capacity to recover following disturbance</w:t>
      </w:r>
      <w:r w:rsidRPr="00370E70">
        <w:rPr>
          <w:color w:val="000000"/>
          <w:szCs w:val="22"/>
        </w:rPr>
        <w:t>.</w:t>
      </w:r>
      <w:r w:rsidRPr="00370E70">
        <w:rPr>
          <w:color w:val="000000"/>
          <w:szCs w:val="22"/>
          <w:lang w:eastAsia="en-AU"/>
        </w:rPr>
        <w:t xml:space="preserve"> Evidence of seedling germination was also observed with the remnants of germinated seeds. Reproductive effort remained low or even declined (coastal sites dry season, estuary wet season) in 2011/12 despite a replenishment of seed banks.</w:t>
      </w:r>
    </w:p>
    <w:p w:rsidR="005132EF" w:rsidRPr="00370E70" w:rsidRDefault="005132EF" w:rsidP="00BC5E5C">
      <w:pPr>
        <w:autoSpaceDE w:val="0"/>
        <w:autoSpaceDN w:val="0"/>
        <w:adjustRightInd w:val="0"/>
        <w:rPr>
          <w:color w:val="000000"/>
          <w:szCs w:val="22"/>
          <w:lang w:eastAsia="en-AU"/>
        </w:rPr>
      </w:pPr>
    </w:p>
    <w:p w:rsidR="005132EF" w:rsidRPr="00370E70" w:rsidRDefault="007B15AB" w:rsidP="005D53F9">
      <w:pPr>
        <w:autoSpaceDE w:val="0"/>
        <w:autoSpaceDN w:val="0"/>
        <w:adjustRightInd w:val="0"/>
        <w:jc w:val="center"/>
        <w:rPr>
          <w:color w:val="000000"/>
          <w:szCs w:val="22"/>
          <w:lang w:eastAsia="en-AU"/>
        </w:rPr>
      </w:pPr>
      <w:r>
        <w:rPr>
          <w:noProof/>
          <w:color w:val="000000"/>
          <w:szCs w:val="22"/>
          <w:lang w:eastAsia="en-AU"/>
        </w:rPr>
        <w:lastRenderedPageBreak/>
        <w:drawing>
          <wp:inline distT="0" distB="0" distL="0" distR="0">
            <wp:extent cx="2163445" cy="1648460"/>
            <wp:effectExtent l="0" t="0" r="0" b="8890"/>
            <wp:docPr id="199" name="Picture 249" descr="Graph of long-term average total reproductive effort for reef habitat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Graph of long-term average total reproductive effort for reef habitat in the Fitzroy region"/>
                    <pic:cNvPicPr>
                      <a:picLocks noChangeAspect="1" noChangeArrowheads="1"/>
                    </pic:cNvPicPr>
                  </pic:nvPicPr>
                  <pic:blipFill>
                    <a:blip r:embed="rId225">
                      <a:extLst>
                        <a:ext uri="{28A0092B-C50C-407E-A947-70E740481C1C}">
                          <a14:useLocalDpi xmlns:a14="http://schemas.microsoft.com/office/drawing/2010/main" val="0"/>
                        </a:ext>
                      </a:extLst>
                    </a:blip>
                    <a:srcRect b="8224"/>
                    <a:stretch>
                      <a:fillRect/>
                    </a:stretch>
                  </pic:blipFill>
                  <pic:spPr bwMode="auto">
                    <a:xfrm>
                      <a:off x="0" y="0"/>
                      <a:ext cx="2163445" cy="1648460"/>
                    </a:xfrm>
                    <a:prstGeom prst="rect">
                      <a:avLst/>
                    </a:prstGeom>
                    <a:noFill/>
                    <a:ln>
                      <a:noFill/>
                    </a:ln>
                  </pic:spPr>
                </pic:pic>
              </a:graphicData>
            </a:graphic>
          </wp:inline>
        </w:drawing>
      </w:r>
    </w:p>
    <w:p w:rsidR="00641CBD" w:rsidRPr="00370E70" w:rsidRDefault="005132EF" w:rsidP="00641CBD">
      <w:pPr>
        <w:autoSpaceDE w:val="0"/>
        <w:autoSpaceDN w:val="0"/>
        <w:adjustRightInd w:val="0"/>
        <w:rPr>
          <w:i/>
          <w:vanish/>
          <w:specVanish/>
        </w:rPr>
      </w:pPr>
      <w:bookmarkStart w:id="704" w:name="_Toc384196500"/>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153</w:t>
      </w:r>
      <w:r w:rsidRPr="00370E70">
        <w:rPr>
          <w:color w:val="000000"/>
          <w:szCs w:val="22"/>
        </w:rPr>
        <w:fldChar w:fldCharType="end"/>
      </w:r>
      <w:r w:rsidRPr="00370E70">
        <w:rPr>
          <w:color w:val="000000"/>
          <w:szCs w:val="22"/>
        </w:rPr>
        <w:t>.</w:t>
      </w:r>
      <w:r w:rsidRPr="00370E70">
        <w:rPr>
          <w:i/>
          <w:color w:val="000000"/>
          <w:szCs w:val="22"/>
        </w:rPr>
        <w:t xml:space="preserve"> </w:t>
      </w:r>
      <w:r w:rsidR="005567C5">
        <w:rPr>
          <w:i/>
          <w:color w:val="000000"/>
          <w:szCs w:val="22"/>
        </w:rPr>
        <w:t>Inshore intertidal r</w:t>
      </w:r>
      <w:r w:rsidR="00641CBD" w:rsidRPr="00370E70">
        <w:rPr>
          <w:i/>
          <w:color w:val="000000"/>
          <w:szCs w:val="22"/>
        </w:rPr>
        <w:t xml:space="preserve">eef habitat average total reproductive effort </w:t>
      </w:r>
      <w:r w:rsidRPr="00370E70">
        <w:rPr>
          <w:i/>
          <w:color w:val="000000"/>
          <w:szCs w:val="22"/>
        </w:rPr>
        <w:t>in the Fitzroy region</w:t>
      </w:r>
      <w:r w:rsidR="00641CBD" w:rsidRPr="00370E70">
        <w:rPr>
          <w:i/>
          <w:color w:val="000000"/>
          <w:szCs w:val="22"/>
        </w:rPr>
        <w:t>.</w:t>
      </w:r>
      <w:bookmarkEnd w:id="704"/>
      <w:r w:rsidR="00641CBD" w:rsidRPr="00370E70">
        <w:rPr>
          <w:i/>
          <w:color w:val="000000"/>
          <w:szCs w:val="22"/>
        </w:rPr>
        <w:t xml:space="preserve"> </w:t>
      </w:r>
    </w:p>
    <w:p w:rsidR="00641CBD" w:rsidRPr="00370E70" w:rsidRDefault="005B333E" w:rsidP="00BC5E5C">
      <w:pPr>
        <w:autoSpaceDE w:val="0"/>
        <w:autoSpaceDN w:val="0"/>
        <w:adjustRightInd w:val="0"/>
        <w:rPr>
          <w:i/>
          <w:color w:val="000000"/>
          <w:szCs w:val="22"/>
        </w:rPr>
      </w:pPr>
      <w:r>
        <w:rPr>
          <w:i/>
        </w:rPr>
        <w:t>R</w:t>
      </w:r>
      <w:r w:rsidR="00641CBD" w:rsidRPr="00370E70">
        <w:rPr>
          <w:i/>
        </w:rPr>
        <w:t>eproductive effort presented as the average number of reproductive structures per core (all species pooled).</w:t>
      </w:r>
      <w:r w:rsidR="00641CBD" w:rsidRPr="00370E70">
        <w:rPr>
          <w:i/>
          <w:color w:val="000000"/>
          <w:szCs w:val="22"/>
        </w:rPr>
        <w:t xml:space="preserve"> </w:t>
      </w:r>
    </w:p>
    <w:p w:rsidR="005132EF" w:rsidRPr="00370E70" w:rsidRDefault="007B15AB" w:rsidP="00641CBD">
      <w:pPr>
        <w:keepNext/>
        <w:spacing w:after="0"/>
        <w:jc w:val="center"/>
        <w:rPr>
          <w:noProof/>
          <w:color w:val="000000"/>
          <w:lang w:eastAsia="en-AU"/>
        </w:rPr>
      </w:pPr>
      <w:r>
        <w:rPr>
          <w:noProof/>
          <w:color w:val="000000"/>
          <w:lang w:eastAsia="en-AU"/>
        </w:rPr>
        <w:drawing>
          <wp:inline distT="0" distB="0" distL="0" distR="0">
            <wp:extent cx="4314190" cy="1558290"/>
            <wp:effectExtent l="0" t="0" r="0" b="3810"/>
            <wp:docPr id="200" name="Picture 194" descr="Graph showing long-term trends in coastal habitat seed banks and germinated seed abundance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Graph showing long-term trends in coastal habitat seed banks and germinated seed abundance in the Fitzroy region. "/>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4314190" cy="1558290"/>
                    </a:xfrm>
                    <a:prstGeom prst="rect">
                      <a:avLst/>
                    </a:prstGeom>
                    <a:noFill/>
                    <a:ln>
                      <a:noFill/>
                    </a:ln>
                  </pic:spPr>
                </pic:pic>
              </a:graphicData>
            </a:graphic>
          </wp:inline>
        </w:drawing>
      </w:r>
    </w:p>
    <w:p w:rsidR="00641CBD" w:rsidRPr="00370E70" w:rsidRDefault="00641CBD" w:rsidP="00641CBD">
      <w:pPr>
        <w:keepNext/>
        <w:tabs>
          <w:tab w:val="left" w:pos="2694"/>
        </w:tabs>
        <w:spacing w:before="0" w:after="0"/>
        <w:rPr>
          <w:rFonts w:ascii="Arial" w:hAnsi="Arial" w:cs="Arial"/>
          <w:b/>
          <w:sz w:val="14"/>
          <w:szCs w:val="14"/>
        </w:rPr>
      </w:pPr>
      <w:r w:rsidRPr="00370E70">
        <w:rPr>
          <w:rFonts w:ascii="Arial" w:hAnsi="Arial" w:cs="Arial"/>
          <w:b/>
          <w:noProof/>
          <w:sz w:val="14"/>
          <w:szCs w:val="14"/>
          <w:lang w:eastAsia="en-AU"/>
        </w:rPr>
        <w:tab/>
        <w:t>c.</w:t>
      </w:r>
    </w:p>
    <w:p w:rsidR="005132EF" w:rsidRPr="00370E70" w:rsidRDefault="007B15AB" w:rsidP="00641CBD">
      <w:pPr>
        <w:spacing w:before="0" w:after="0"/>
        <w:jc w:val="center"/>
        <w:rPr>
          <w:color w:val="000000"/>
        </w:rPr>
      </w:pPr>
      <w:r>
        <w:rPr>
          <w:noProof/>
          <w:color w:val="000000"/>
          <w:lang w:eastAsia="en-AU"/>
        </w:rPr>
        <w:drawing>
          <wp:inline distT="0" distB="0" distL="0" distR="0">
            <wp:extent cx="2163445" cy="1635760"/>
            <wp:effectExtent l="0" t="0" r="0" b="2540"/>
            <wp:docPr id="201" name="Picture 250" descr="Graph showing long-term trends in coastal habitat reproductive effort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Graph showing long-term trends in coastal habitat reproductive effort in the Fitzroy region. "/>
                    <pic:cNvPicPr>
                      <a:picLocks noChangeAspect="1" noChangeArrowheads="1"/>
                    </pic:cNvPicPr>
                  </pic:nvPicPr>
                  <pic:blipFill>
                    <a:blip r:embed="rId227">
                      <a:extLst>
                        <a:ext uri="{28A0092B-C50C-407E-A947-70E740481C1C}">
                          <a14:useLocalDpi xmlns:a14="http://schemas.microsoft.com/office/drawing/2010/main" val="0"/>
                        </a:ext>
                      </a:extLst>
                    </a:blip>
                    <a:srcRect b="8540"/>
                    <a:stretch>
                      <a:fillRect/>
                    </a:stretch>
                  </pic:blipFill>
                  <pic:spPr bwMode="auto">
                    <a:xfrm>
                      <a:off x="0" y="0"/>
                      <a:ext cx="2163445" cy="1635760"/>
                    </a:xfrm>
                    <a:prstGeom prst="rect">
                      <a:avLst/>
                    </a:prstGeom>
                    <a:noFill/>
                    <a:ln>
                      <a:noFill/>
                    </a:ln>
                  </pic:spPr>
                </pic:pic>
              </a:graphicData>
            </a:graphic>
          </wp:inline>
        </w:drawing>
      </w:r>
    </w:p>
    <w:p w:rsidR="00641CBD" w:rsidRPr="00370E70" w:rsidRDefault="005132EF" w:rsidP="00641CBD">
      <w:pPr>
        <w:pStyle w:val="Caption"/>
        <w:rPr>
          <w:i/>
          <w:vanish/>
          <w:lang w:val="en-AU"/>
          <w:specVanish/>
        </w:rPr>
      </w:pPr>
      <w:bookmarkStart w:id="705" w:name="_Ref305422830"/>
      <w:bookmarkStart w:id="706" w:name="_Toc38419650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154</w:t>
      </w:r>
      <w:r w:rsidRPr="00370E70">
        <w:rPr>
          <w:lang w:val="en-AU"/>
        </w:rPr>
        <w:fldChar w:fldCharType="end"/>
      </w:r>
      <w:bookmarkEnd w:id="705"/>
      <w:r w:rsidRPr="00370E70">
        <w:rPr>
          <w:rStyle w:val="StyleCaptionCaptionCharCharLatinCalibri11ptBlackChar"/>
          <w:i/>
          <w:lang w:val="en-AU"/>
        </w:rPr>
        <w:t>.</w:t>
      </w:r>
      <w:r w:rsidRPr="00370E70">
        <w:rPr>
          <w:i/>
          <w:lang w:val="en-AU"/>
        </w:rPr>
        <w:t xml:space="preserve"> </w:t>
      </w:r>
      <w:bookmarkStart w:id="707" w:name="OLE_LINK41"/>
      <w:bookmarkStart w:id="708" w:name="OLE_LINK44"/>
      <w:r w:rsidR="005567C5">
        <w:rPr>
          <w:i/>
          <w:lang w:val="en-AU"/>
        </w:rPr>
        <w:t>Inshore intertidal c</w:t>
      </w:r>
      <w:r w:rsidR="00641CBD" w:rsidRPr="00370E70">
        <w:rPr>
          <w:i/>
          <w:lang w:val="en-AU"/>
        </w:rPr>
        <w:t>oastal habitat s</w:t>
      </w:r>
      <w:r w:rsidRPr="00370E70">
        <w:rPr>
          <w:i/>
          <w:lang w:val="en-AU"/>
        </w:rPr>
        <w:t>eed bank</w:t>
      </w:r>
      <w:r w:rsidR="00641CBD" w:rsidRPr="00370E70">
        <w:rPr>
          <w:i/>
          <w:lang w:val="en-AU"/>
        </w:rPr>
        <w:t>s</w:t>
      </w:r>
      <w:r w:rsidRPr="00370E70">
        <w:rPr>
          <w:i/>
          <w:lang w:val="en-AU"/>
        </w:rPr>
        <w:t xml:space="preserve"> (a)</w:t>
      </w:r>
      <w:r w:rsidR="00641CBD" w:rsidRPr="00370E70">
        <w:rPr>
          <w:i/>
          <w:lang w:val="en-AU"/>
        </w:rPr>
        <w:t>,</w:t>
      </w:r>
      <w:r w:rsidRPr="00370E70">
        <w:rPr>
          <w:i/>
          <w:lang w:val="en-AU"/>
        </w:rPr>
        <w:t xml:space="preserve"> germinated seed abundance (b)</w:t>
      </w:r>
      <w:r w:rsidR="00641CBD" w:rsidRPr="00370E70">
        <w:rPr>
          <w:i/>
          <w:lang w:val="en-AU"/>
        </w:rPr>
        <w:t>, and</w:t>
      </w:r>
      <w:r w:rsidRPr="00370E70">
        <w:rPr>
          <w:i/>
          <w:lang w:val="en-AU"/>
        </w:rPr>
        <w:t xml:space="preserve"> </w:t>
      </w:r>
      <w:r w:rsidR="00641CBD" w:rsidRPr="00370E70">
        <w:rPr>
          <w:i/>
          <w:lang w:val="en-AU"/>
        </w:rPr>
        <w:t xml:space="preserve">total reproductive effort </w:t>
      </w:r>
      <w:r w:rsidRPr="00370E70">
        <w:rPr>
          <w:i/>
          <w:lang w:val="en-AU"/>
        </w:rPr>
        <w:t>in the Fitzroy region</w:t>
      </w:r>
      <w:r w:rsidR="00641CBD" w:rsidRPr="00370E70">
        <w:rPr>
          <w:i/>
          <w:lang w:val="en-AU"/>
        </w:rPr>
        <w:t>.</w:t>
      </w:r>
      <w:bookmarkEnd w:id="706"/>
      <w:r w:rsidR="00641CBD" w:rsidRPr="00370E70">
        <w:rPr>
          <w:i/>
          <w:lang w:val="en-AU"/>
        </w:rPr>
        <w:t xml:space="preserve"> </w:t>
      </w:r>
      <w:r w:rsidRPr="00370E70">
        <w:rPr>
          <w:i/>
          <w:lang w:val="en-AU"/>
        </w:rPr>
        <w:t xml:space="preserve"> </w:t>
      </w:r>
      <w:bookmarkEnd w:id="707"/>
      <w:bookmarkEnd w:id="708"/>
    </w:p>
    <w:p w:rsidR="00641CBD" w:rsidRPr="00370E70" w:rsidRDefault="00641CBD" w:rsidP="00641CBD">
      <w:pPr>
        <w:pStyle w:val="Caption"/>
        <w:rPr>
          <w:lang w:val="en-AU"/>
        </w:rPr>
      </w:pPr>
      <w:r w:rsidRPr="00370E70">
        <w:rPr>
          <w:i/>
          <w:lang w:val="en-AU"/>
        </w:rPr>
        <w:t>Seed bank presented as the total number of 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w:t>
      </w:r>
      <w:r w:rsidRPr="00370E70">
        <w:rPr>
          <w:lang w:val="en-AU"/>
        </w:rPr>
        <w:t xml:space="preserve"> </w:t>
      </w:r>
    </w:p>
    <w:p w:rsidR="00E45409" w:rsidRPr="00370E70" w:rsidRDefault="00E45409" w:rsidP="00E45409"/>
    <w:p w:rsidR="005132EF" w:rsidRPr="00370E70" w:rsidRDefault="005132EF" w:rsidP="008D74B5">
      <w:pPr>
        <w:rPr>
          <w:color w:val="000000"/>
        </w:rPr>
      </w:pPr>
    </w:p>
    <w:p w:rsidR="005132EF" w:rsidRPr="00370E70" w:rsidRDefault="007B15AB" w:rsidP="00292905">
      <w:pPr>
        <w:keepNext/>
        <w:jc w:val="center"/>
        <w:rPr>
          <w:color w:val="000000"/>
        </w:rPr>
      </w:pPr>
      <w:r>
        <w:rPr>
          <w:noProof/>
          <w:color w:val="000000"/>
          <w:lang w:eastAsia="en-AU"/>
        </w:rPr>
        <w:lastRenderedPageBreak/>
        <w:drawing>
          <wp:inline distT="0" distB="0" distL="0" distR="0">
            <wp:extent cx="4314190" cy="1519555"/>
            <wp:effectExtent l="0" t="0" r="0" b="4445"/>
            <wp:docPr id="202" name="Picture 196" descr="Graph showing long-term trends in estuary habitat seed banks and germinated seed abundance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Graph showing long-term trends in estuary habitat seed banks and germinated seed abundance in the Fitzroy region. "/>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4314190" cy="1519555"/>
                    </a:xfrm>
                    <a:prstGeom prst="rect">
                      <a:avLst/>
                    </a:prstGeom>
                    <a:noFill/>
                    <a:ln>
                      <a:noFill/>
                    </a:ln>
                  </pic:spPr>
                </pic:pic>
              </a:graphicData>
            </a:graphic>
          </wp:inline>
        </w:drawing>
      </w:r>
    </w:p>
    <w:p w:rsidR="00641CBD" w:rsidRPr="00370E70" w:rsidRDefault="00641CBD" w:rsidP="00641CBD">
      <w:pPr>
        <w:keepNext/>
        <w:tabs>
          <w:tab w:val="left" w:pos="2694"/>
        </w:tabs>
        <w:spacing w:before="0" w:after="0"/>
        <w:rPr>
          <w:rFonts w:ascii="Arial" w:hAnsi="Arial" w:cs="Arial"/>
          <w:b/>
          <w:sz w:val="14"/>
          <w:szCs w:val="14"/>
        </w:rPr>
      </w:pPr>
      <w:r w:rsidRPr="00370E70">
        <w:rPr>
          <w:rFonts w:ascii="Arial" w:hAnsi="Arial" w:cs="Arial"/>
          <w:b/>
          <w:noProof/>
          <w:sz w:val="14"/>
          <w:szCs w:val="14"/>
          <w:lang w:eastAsia="en-AU"/>
        </w:rPr>
        <w:tab/>
        <w:t>c.</w:t>
      </w:r>
    </w:p>
    <w:p w:rsidR="005132EF" w:rsidRPr="00370E70" w:rsidRDefault="007B15AB" w:rsidP="008D74B5">
      <w:pPr>
        <w:spacing w:before="0"/>
        <w:jc w:val="center"/>
        <w:rPr>
          <w:color w:val="000000"/>
        </w:rPr>
      </w:pPr>
      <w:r>
        <w:rPr>
          <w:noProof/>
          <w:color w:val="000000"/>
          <w:lang w:eastAsia="en-AU"/>
        </w:rPr>
        <w:drawing>
          <wp:inline distT="0" distB="0" distL="0" distR="0">
            <wp:extent cx="2163445" cy="1635760"/>
            <wp:effectExtent l="0" t="0" r="0" b="2540"/>
            <wp:docPr id="203" name="Picture 251" descr="Graph showing long-term trends in estuary habitat reproductive effort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Graph showing long-term trends in estuary habitat reproductive effort in the Fitzroy region. "/>
                    <pic:cNvPicPr>
                      <a:picLocks noChangeAspect="1" noChangeArrowheads="1"/>
                    </pic:cNvPicPr>
                  </pic:nvPicPr>
                  <pic:blipFill>
                    <a:blip r:embed="rId229">
                      <a:extLst>
                        <a:ext uri="{28A0092B-C50C-407E-A947-70E740481C1C}">
                          <a14:useLocalDpi xmlns:a14="http://schemas.microsoft.com/office/drawing/2010/main" val="0"/>
                        </a:ext>
                      </a:extLst>
                    </a:blip>
                    <a:srcRect b="8540"/>
                    <a:stretch>
                      <a:fillRect/>
                    </a:stretch>
                  </pic:blipFill>
                  <pic:spPr bwMode="auto">
                    <a:xfrm>
                      <a:off x="0" y="0"/>
                      <a:ext cx="2163445" cy="1635760"/>
                    </a:xfrm>
                    <a:prstGeom prst="rect">
                      <a:avLst/>
                    </a:prstGeom>
                    <a:noFill/>
                    <a:ln>
                      <a:noFill/>
                    </a:ln>
                  </pic:spPr>
                </pic:pic>
              </a:graphicData>
            </a:graphic>
          </wp:inline>
        </w:drawing>
      </w:r>
    </w:p>
    <w:p w:rsidR="00292905" w:rsidRPr="00370E70" w:rsidRDefault="005132EF" w:rsidP="00292905">
      <w:pPr>
        <w:pStyle w:val="Caption"/>
        <w:rPr>
          <w:i/>
          <w:vanish/>
          <w:color w:val="000000"/>
          <w:szCs w:val="22"/>
          <w:lang w:val="en-AU"/>
          <w:specVanish/>
        </w:rPr>
      </w:pPr>
      <w:bookmarkStart w:id="709" w:name="_Ref348958929"/>
      <w:bookmarkStart w:id="710" w:name="_Toc38419650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155</w:t>
      </w:r>
      <w:r w:rsidRPr="00370E70">
        <w:rPr>
          <w:lang w:val="en-AU"/>
        </w:rPr>
        <w:fldChar w:fldCharType="end"/>
      </w:r>
      <w:bookmarkEnd w:id="709"/>
      <w:r w:rsidRPr="00370E70">
        <w:rPr>
          <w:rStyle w:val="StyleCaptionCaptionCharCharLatinCalibri11ptBlackChar"/>
          <w:lang w:val="en-AU"/>
        </w:rPr>
        <w:t xml:space="preserve">. </w:t>
      </w:r>
      <w:r w:rsidR="005567C5" w:rsidRPr="005567C5">
        <w:rPr>
          <w:rStyle w:val="StyleCaptionCaptionCharCharLatinCalibri11ptBlackChar"/>
          <w:i/>
          <w:lang w:val="en-AU"/>
        </w:rPr>
        <w:t>Inshore intertidal</w:t>
      </w:r>
      <w:r w:rsidR="005567C5">
        <w:rPr>
          <w:rStyle w:val="StyleCaptionCaptionCharCharLatinCalibri11ptBlackChar"/>
          <w:lang w:val="en-AU"/>
        </w:rPr>
        <w:t xml:space="preserve"> e</w:t>
      </w:r>
      <w:r w:rsidR="00292905" w:rsidRPr="00370E70">
        <w:rPr>
          <w:i/>
          <w:lang w:val="en-AU"/>
        </w:rPr>
        <w:t xml:space="preserve">stuary habitat seed banks </w:t>
      </w:r>
      <w:r w:rsidRPr="00370E70">
        <w:rPr>
          <w:i/>
          <w:lang w:val="en-AU"/>
        </w:rPr>
        <w:t>(a), germinated seed abundance (b) and average total reproductive effort for all species (c) in the Fitzroy region.</w:t>
      </w:r>
      <w:bookmarkEnd w:id="710"/>
      <w:r w:rsidRPr="00370E70">
        <w:rPr>
          <w:i/>
          <w:lang w:val="en-AU"/>
        </w:rPr>
        <w:t xml:space="preserve"> </w:t>
      </w:r>
    </w:p>
    <w:p w:rsidR="005132EF" w:rsidRPr="00370E70" w:rsidRDefault="005132EF" w:rsidP="00292905">
      <w:pPr>
        <w:pStyle w:val="Caption"/>
        <w:rPr>
          <w:lang w:val="en-AU"/>
        </w:rPr>
      </w:pPr>
      <w:r w:rsidRPr="00370E70">
        <w:rPr>
          <w:i/>
          <w:lang w:val="en-AU"/>
        </w:rPr>
        <w:t xml:space="preserve">Seed bank is represented as the total number of whole seeds </w:t>
      </w:r>
      <w:bookmarkStart w:id="711" w:name="OLE_LINK35"/>
      <w:bookmarkStart w:id="712" w:name="OLE_LINK36"/>
      <w:r w:rsidRPr="00370E70">
        <w:rPr>
          <w:i/>
          <w:lang w:val="en-AU"/>
        </w:rPr>
        <w:t>per m</w:t>
      </w:r>
      <w:r w:rsidRPr="00370E70">
        <w:rPr>
          <w:i/>
          <w:vertAlign w:val="superscript"/>
          <w:lang w:val="en-AU"/>
        </w:rPr>
        <w:t>2</w:t>
      </w:r>
      <w:r w:rsidRPr="00370E70">
        <w:rPr>
          <w:i/>
          <w:lang w:val="en-AU"/>
        </w:rPr>
        <w:t xml:space="preserve"> sediment surface</w:t>
      </w:r>
      <w:bookmarkEnd w:id="711"/>
      <w:bookmarkEnd w:id="712"/>
      <w:r w:rsidRPr="00370E70">
        <w:rPr>
          <w:i/>
          <w:lang w:val="en-AU"/>
        </w:rPr>
        <w:t>. Germinated seeds is the total number of seed cases/pericarp per m</w:t>
      </w:r>
      <w:r w:rsidRPr="00370E70">
        <w:rPr>
          <w:i/>
          <w:vertAlign w:val="superscript"/>
          <w:lang w:val="en-AU"/>
        </w:rPr>
        <w:t>2</w:t>
      </w:r>
      <w:r w:rsidRPr="00370E70">
        <w:rPr>
          <w:i/>
          <w:lang w:val="en-AU"/>
        </w:rPr>
        <w:t xml:space="preserve"> sediment surface.</w:t>
      </w:r>
      <w:r w:rsidR="00292905" w:rsidRPr="00370E70">
        <w:rPr>
          <w:i/>
          <w:lang w:val="en-AU"/>
        </w:rPr>
        <w:t xml:space="preserve"> </w:t>
      </w:r>
    </w:p>
    <w:p w:rsidR="005132EF" w:rsidRPr="00370E70" w:rsidRDefault="005132EF" w:rsidP="00BC5E5C">
      <w:pPr>
        <w:pStyle w:val="Heading3"/>
        <w:rPr>
          <w:color w:val="000000"/>
        </w:rPr>
      </w:pPr>
      <w:bookmarkStart w:id="713" w:name="_Toc384196150"/>
      <w:r w:rsidRPr="00370E70">
        <w:rPr>
          <w:color w:val="000000"/>
        </w:rPr>
        <w:t>Status of the seagrass environment</w:t>
      </w:r>
      <w:bookmarkEnd w:id="713"/>
    </w:p>
    <w:p w:rsidR="005132EF" w:rsidRPr="00370E70" w:rsidRDefault="005132EF" w:rsidP="00BC5E5C">
      <w:pPr>
        <w:pStyle w:val="Heading4"/>
        <w:rPr>
          <w:b/>
          <w:iCs/>
          <w:color w:val="000000"/>
        </w:rPr>
      </w:pPr>
      <w:r w:rsidRPr="00370E70">
        <w:rPr>
          <w:b/>
          <w:iCs/>
          <w:color w:val="000000"/>
        </w:rPr>
        <w:t>Seagrass tissue nutrients</w:t>
      </w:r>
    </w:p>
    <w:p w:rsidR="005132EF" w:rsidRPr="00370E70" w:rsidRDefault="005132EF" w:rsidP="00034AD4">
      <w:pPr>
        <w:autoSpaceDE w:val="0"/>
        <w:autoSpaceDN w:val="0"/>
        <w:adjustRightInd w:val="0"/>
        <w:rPr>
          <w:rFonts w:cs="TimesNewRoman,Italic"/>
          <w:iCs/>
          <w:color w:val="000000"/>
          <w:szCs w:val="22"/>
        </w:rPr>
      </w:pPr>
      <w:r w:rsidRPr="00370E70">
        <w:rPr>
          <w:rFonts w:cs="TimesNewRoman,Italic"/>
          <w:iCs/>
          <w:color w:val="000000"/>
          <w:szCs w:val="22"/>
        </w:rPr>
        <w:t xml:space="preserve">Seagrass growing in the Fitzroy region at </w:t>
      </w:r>
      <w:smartTag w:uri="urn:schemas-microsoft-com:office:smarttags" w:element="place">
        <w:smartTag w:uri="urn:schemas-microsoft-com:office:smarttags" w:element="PlaceName">
          <w:r w:rsidRPr="00370E70">
            <w:rPr>
              <w:rFonts w:cs="TimesNewRoman,Italic"/>
              <w:iCs/>
              <w:color w:val="000000"/>
              <w:szCs w:val="22"/>
            </w:rPr>
            <w:t>Great</w:t>
          </w:r>
        </w:smartTag>
        <w:r w:rsidRPr="00370E70">
          <w:rPr>
            <w:rFonts w:cs="TimesNewRoman,Italic"/>
            <w:iCs/>
            <w:color w:val="000000"/>
            <w:szCs w:val="22"/>
          </w:rPr>
          <w:t xml:space="preserve"> </w:t>
        </w:r>
        <w:smartTag w:uri="urn:schemas-microsoft-com:office:smarttags" w:element="PlaceName">
          <w:r w:rsidRPr="00370E70">
            <w:rPr>
              <w:rFonts w:cs="TimesNewRoman,Italic"/>
              <w:iCs/>
              <w:color w:val="000000"/>
              <w:szCs w:val="22"/>
            </w:rPr>
            <w:t>Keppel</w:t>
          </w:r>
        </w:smartTag>
        <w:r w:rsidRPr="00370E70">
          <w:rPr>
            <w:rFonts w:cs="TimesNewRoman,Italic"/>
            <w:iCs/>
            <w:color w:val="000000"/>
            <w:szCs w:val="22"/>
          </w:rPr>
          <w:t xml:space="preserve"> </w:t>
        </w:r>
        <w:smartTag w:uri="urn:schemas-microsoft-com:office:smarttags" w:element="PlaceType">
          <w:r w:rsidRPr="00370E70">
            <w:rPr>
              <w:rFonts w:cs="TimesNewRoman,Italic"/>
              <w:iCs/>
              <w:color w:val="000000"/>
              <w:szCs w:val="22"/>
            </w:rPr>
            <w:t>Island</w:t>
          </w:r>
        </w:smartTag>
      </w:smartTag>
      <w:r w:rsidRPr="00370E70">
        <w:rPr>
          <w:rFonts w:cs="TimesNewRoman,Italic"/>
          <w:iCs/>
          <w:color w:val="000000"/>
          <w:szCs w:val="22"/>
        </w:rPr>
        <w:t xml:space="preserve"> appear to differ in the relative compositions of carbon to nitrogen (C</w:t>
      </w:r>
      <w:proofErr w:type="gramStart"/>
      <w:r w:rsidRPr="00370E70">
        <w:rPr>
          <w:rFonts w:cs="TimesNewRoman,Italic"/>
          <w:iCs/>
          <w:color w:val="000000"/>
          <w:szCs w:val="22"/>
        </w:rPr>
        <w:t>:N</w:t>
      </w:r>
      <w:proofErr w:type="gramEnd"/>
      <w:r w:rsidRPr="00370E70">
        <w:rPr>
          <w:rFonts w:cs="TimesNewRoman,Italic"/>
          <w:iCs/>
          <w:color w:val="000000"/>
          <w:szCs w:val="22"/>
        </w:rPr>
        <w:t xml:space="preserve"> &lt; 20) (</w:t>
      </w:r>
      <w:r w:rsidRPr="00370E70">
        <w:fldChar w:fldCharType="begin"/>
      </w:r>
      <w:r w:rsidRPr="00370E70">
        <w:instrText xml:space="preserve"> REF _Ref271133742 \h  \* MERGEFORMAT </w:instrText>
      </w:r>
      <w:r w:rsidRPr="00370E70">
        <w:fldChar w:fldCharType="separate"/>
      </w:r>
      <w:r w:rsidR="005B5FD6" w:rsidRPr="005B5FD6">
        <w:rPr>
          <w:szCs w:val="22"/>
        </w:rPr>
        <w:t xml:space="preserve">Figure </w:t>
      </w:r>
      <w:r w:rsidR="005B5FD6" w:rsidRPr="005B5FD6">
        <w:rPr>
          <w:noProof/>
          <w:color w:val="000000"/>
          <w:szCs w:val="22"/>
        </w:rPr>
        <w:t>156</w:t>
      </w:r>
      <w:r w:rsidRPr="00370E70">
        <w:fldChar w:fldCharType="end"/>
      </w:r>
      <w:r w:rsidRPr="00370E70">
        <w:rPr>
          <w:rFonts w:cs="TimesNewRoman,Italic"/>
          <w:iCs/>
          <w:color w:val="000000"/>
          <w:szCs w:val="22"/>
        </w:rPr>
        <w:t xml:space="preserve">). Plants in Shoalwater Bay have remained low in carbon relative to nitrogen in 2011, which may indicate either reduced light availability or </w:t>
      </w:r>
      <w:r w:rsidR="0051765B" w:rsidRPr="00370E70">
        <w:rPr>
          <w:rFonts w:cs="TimesNewRoman,Italic"/>
          <w:iCs/>
          <w:color w:val="000000"/>
          <w:szCs w:val="22"/>
        </w:rPr>
        <w:t>elevated</w:t>
      </w:r>
      <w:r w:rsidRPr="00370E70">
        <w:rPr>
          <w:rFonts w:cs="TimesNewRoman,Italic"/>
          <w:iCs/>
          <w:color w:val="000000"/>
          <w:szCs w:val="22"/>
        </w:rPr>
        <w:t xml:space="preserve"> N. C:N ratios at Great Keppel Island similarly remained below 20 in 2011, however in Gladstone Harbour the increase in C:N has continued possibly indicating sufficient light availability or decreasing N in 2011. </w:t>
      </w:r>
    </w:p>
    <w:p w:rsidR="005132EF" w:rsidRPr="00370E70" w:rsidRDefault="007B15AB" w:rsidP="00EC27A0">
      <w:pPr>
        <w:keepNext/>
        <w:autoSpaceDE w:val="0"/>
        <w:autoSpaceDN w:val="0"/>
        <w:adjustRightInd w:val="0"/>
        <w:jc w:val="center"/>
        <w:rPr>
          <w:color w:val="000000"/>
        </w:rPr>
      </w:pPr>
      <w:r>
        <w:rPr>
          <w:noProof/>
          <w:color w:val="000000"/>
          <w:lang w:eastAsia="en-AU"/>
        </w:rPr>
        <w:drawing>
          <wp:inline distT="0" distB="0" distL="0" distR="0">
            <wp:extent cx="5267325" cy="1725930"/>
            <wp:effectExtent l="0" t="0" r="9525" b="7620"/>
            <wp:docPr id="204" name="Picture 198" descr="Graph showing long-term trends in elemental ratios (atomic) of seagrass leaf tissue C:N for the foundation seagrass species examined at each habitat in the Fitzroy region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Graph showing long-term trends in elemental ratios (atomic) of seagrass leaf tissue C:N for the foundation seagrass species examined at each habitat in the Fitzroy region each year"/>
                    <pic:cNvPicPr>
                      <a:picLocks noChangeAspect="1" noChangeArrowheads="1"/>
                    </pic:cNvPicPr>
                  </pic:nvPicPr>
                  <pic:blipFill>
                    <a:blip r:embed="rId230" cstate="print">
                      <a:extLst>
                        <a:ext uri="{28A0092B-C50C-407E-A947-70E740481C1C}">
                          <a14:useLocalDpi xmlns:a14="http://schemas.microsoft.com/office/drawing/2010/main" val="0"/>
                        </a:ext>
                      </a:extLst>
                    </a:blip>
                    <a:srcRect t="14626" r="3027" b="3624"/>
                    <a:stretch>
                      <a:fillRect/>
                    </a:stretch>
                  </pic:blipFill>
                  <pic:spPr bwMode="auto">
                    <a:xfrm>
                      <a:off x="0" y="0"/>
                      <a:ext cx="5267325" cy="1725930"/>
                    </a:xfrm>
                    <a:prstGeom prst="rect">
                      <a:avLst/>
                    </a:prstGeom>
                    <a:noFill/>
                    <a:ln>
                      <a:noFill/>
                    </a:ln>
                  </pic:spPr>
                </pic:pic>
              </a:graphicData>
            </a:graphic>
          </wp:inline>
        </w:drawing>
      </w:r>
    </w:p>
    <w:p w:rsidR="00292905" w:rsidRPr="00370E70" w:rsidRDefault="005132EF" w:rsidP="00292905">
      <w:pPr>
        <w:pStyle w:val="Caption"/>
        <w:rPr>
          <w:i/>
          <w:vanish/>
          <w:color w:val="000000"/>
          <w:szCs w:val="22"/>
          <w:lang w:val="en-AU"/>
          <w:specVanish/>
        </w:rPr>
      </w:pPr>
      <w:bookmarkStart w:id="714" w:name="_Ref271133742"/>
      <w:bookmarkStart w:id="715" w:name="_Toc38419650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156</w:t>
      </w:r>
      <w:r w:rsidRPr="00370E70">
        <w:rPr>
          <w:lang w:val="en-AU"/>
        </w:rPr>
        <w:fldChar w:fldCharType="end"/>
      </w:r>
      <w:bookmarkEnd w:id="714"/>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Pr="00370E70">
        <w:rPr>
          <w:i/>
          <w:lang w:val="en-AU"/>
        </w:rPr>
        <w:t xml:space="preserve">the foundation seagrass species examined at each </w:t>
      </w:r>
      <w:r w:rsidR="005567C5">
        <w:rPr>
          <w:i/>
          <w:lang w:val="en-AU"/>
        </w:rPr>
        <w:t xml:space="preserve">inshore intertidal </w:t>
      </w:r>
      <w:r w:rsidRPr="00370E70">
        <w:rPr>
          <w:i/>
          <w:lang w:val="en-AU"/>
        </w:rPr>
        <w:t>habitat in the Fitzroy region</w:t>
      </w:r>
      <w:r w:rsidRPr="00370E70">
        <w:rPr>
          <w:i/>
          <w:lang w:val="en-AU" w:eastAsia="en-AU"/>
        </w:rPr>
        <w:t xml:space="preserve"> each year</w:t>
      </w:r>
      <w:bookmarkEnd w:id="715"/>
      <w:r w:rsidRPr="00370E70">
        <w:rPr>
          <w:i/>
          <w:lang w:val="en-AU" w:eastAsia="en-AU"/>
        </w:rPr>
        <w:t xml:space="preserve"> </w:t>
      </w:r>
    </w:p>
    <w:p w:rsidR="00292905" w:rsidRPr="00370E70" w:rsidRDefault="00292905" w:rsidP="00292905">
      <w:pPr>
        <w:pStyle w:val="Caption"/>
        <w:rPr>
          <w:lang w:val="en-AU"/>
        </w:rPr>
      </w:pPr>
      <w:r w:rsidRPr="00370E70">
        <w:rPr>
          <w:i/>
          <w:lang w:val="en-AU" w:eastAsia="en-AU"/>
        </w:rPr>
        <w:t xml:space="preserve"> </w:t>
      </w:r>
      <w:r w:rsidR="005132EF" w:rsidRPr="00370E70">
        <w:rPr>
          <w:i/>
          <w:lang w:val="en-AU" w:eastAsia="en-AU"/>
        </w:rPr>
        <w:t xml:space="preserve">(species pooled) </w:t>
      </w:r>
      <w:r w:rsidR="005132EF" w:rsidRPr="00370E70">
        <w:rPr>
          <w:i/>
          <w:lang w:val="en-AU"/>
        </w:rPr>
        <w:t>(mean</w:t>
      </w:r>
      <w:r w:rsidR="005132EF" w:rsidRPr="00370E70">
        <w:rPr>
          <w:i/>
          <w:lang w:val="en-AU" w:eastAsia="en-AU"/>
        </w:rPr>
        <w:t xml:space="preserve"> ± Standard Error</w:t>
      </w:r>
      <w:r w:rsidR="005132EF" w:rsidRPr="00370E70">
        <w:rPr>
          <w:i/>
          <w:lang w:val="en-AU"/>
        </w:rPr>
        <w:t>)</w:t>
      </w:r>
      <w:r w:rsidR="005132EF" w:rsidRPr="00370E70">
        <w:rPr>
          <w:i/>
          <w:lang w:val="en-AU" w:eastAsia="en-AU"/>
        </w:rPr>
        <w:t xml:space="preserve">. Horizontal shaded band on the C:N ratio panel represents the accepted </w:t>
      </w:r>
      <w:r w:rsidR="005132EF" w:rsidRPr="00370E70">
        <w:rPr>
          <w:i/>
          <w:lang w:val="en-AU"/>
        </w:rPr>
        <w:t xml:space="preserve">guideline </w:t>
      </w:r>
      <w:r w:rsidR="005132EF" w:rsidRPr="00370E70">
        <w:rPr>
          <w:i/>
          <w:lang w:val="en-AU" w:eastAsia="en-AU"/>
        </w:rPr>
        <w:t xml:space="preserve">seagrass “Redfield” ratio </w:t>
      </w:r>
      <w:r w:rsidR="005132EF"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005132EF" w:rsidRPr="00370E70">
        <w:rPr>
          <w:i/>
          <w:lang w:val="en-AU" w:eastAsia="en-AU"/>
        </w:rPr>
        <w:t xml:space="preserve">. C:N ratios below this line may </w:t>
      </w:r>
      <w:r w:rsidR="005132EF" w:rsidRPr="00370E70">
        <w:rPr>
          <w:i/>
          <w:lang w:val="en-AU"/>
        </w:rPr>
        <w:t>indicate reduced light availability</w:t>
      </w:r>
      <w:r w:rsidRPr="00370E70">
        <w:rPr>
          <w:i/>
          <w:lang w:val="en-AU"/>
        </w:rPr>
        <w:t xml:space="preserve"> and/or N enrichment</w:t>
      </w:r>
      <w:r w:rsidR="005132EF" w:rsidRPr="00370E70">
        <w:rPr>
          <w:i/>
          <w:lang w:val="en-AU"/>
        </w:rPr>
        <w:t>.</w:t>
      </w:r>
      <w:r w:rsidRPr="00370E70">
        <w:rPr>
          <w:lang w:val="en-AU"/>
        </w:rPr>
        <w:t xml:space="preserve"> </w:t>
      </w:r>
    </w:p>
    <w:p w:rsidR="005132EF" w:rsidRPr="00370E70" w:rsidRDefault="005132EF" w:rsidP="00DD1FF0">
      <w:pPr>
        <w:autoSpaceDE w:val="0"/>
        <w:autoSpaceDN w:val="0"/>
        <w:adjustRightInd w:val="0"/>
        <w:rPr>
          <w:rFonts w:cs="TimesNewRoman,Italic"/>
          <w:iCs/>
          <w:color w:val="000000"/>
          <w:szCs w:val="22"/>
        </w:rPr>
      </w:pPr>
      <w:r w:rsidRPr="00370E70">
        <w:rPr>
          <w:rFonts w:cs="TimesNewRoman,Italic"/>
          <w:iCs/>
          <w:color w:val="000000"/>
          <w:szCs w:val="22"/>
        </w:rPr>
        <w:lastRenderedPageBreak/>
        <w:t>At coastal and reef habitats in the Fitzroy region, C</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remained below 500 in 2011, indicating nutrient rich habitats (large P pool) (</w:t>
      </w:r>
      <w:r w:rsidRPr="00370E70">
        <w:fldChar w:fldCharType="begin"/>
      </w:r>
      <w:r w:rsidRPr="00370E70">
        <w:instrText xml:space="preserve"> REF _Ref236801280 \h  \* MERGEFORMAT </w:instrText>
      </w:r>
      <w:r w:rsidRPr="00370E70">
        <w:fldChar w:fldCharType="separate"/>
      </w:r>
      <w:r w:rsidR="005B5FD6" w:rsidRPr="00370E70">
        <w:rPr>
          <w:color w:val="000000"/>
          <w:szCs w:val="22"/>
        </w:rPr>
        <w:t xml:space="preserve">Figure </w:t>
      </w:r>
      <w:r w:rsidR="005B5FD6">
        <w:rPr>
          <w:noProof/>
          <w:color w:val="000000"/>
          <w:szCs w:val="22"/>
        </w:rPr>
        <w:t>157</w:t>
      </w:r>
      <w:r w:rsidRPr="00370E70">
        <w:fldChar w:fldCharType="end"/>
      </w:r>
      <w:r w:rsidRPr="00370E70">
        <w:rPr>
          <w:rFonts w:cs="TimesNewRoman,Italic"/>
          <w:iCs/>
          <w:color w:val="000000"/>
          <w:szCs w:val="22"/>
        </w:rPr>
        <w:t xml:space="preserve">). At </w:t>
      </w:r>
      <w:smartTag w:uri="urn:schemas-microsoft-com:office:smarttags" w:element="place">
        <w:smartTag w:uri="urn:schemas-microsoft-com:office:smarttags" w:element="PlaceName">
          <w:r w:rsidRPr="00370E70">
            <w:rPr>
              <w:rFonts w:cs="TimesNewRoman,Italic"/>
              <w:iCs/>
              <w:color w:val="000000"/>
              <w:szCs w:val="22"/>
            </w:rPr>
            <w:t>Gladstone</w:t>
          </w:r>
        </w:smartTag>
        <w:r w:rsidRPr="00370E70">
          <w:rPr>
            <w:rFonts w:cs="TimesNewRoman,Italic"/>
            <w:iCs/>
            <w:color w:val="000000"/>
            <w:szCs w:val="22"/>
          </w:rPr>
          <w:t xml:space="preserve"> </w:t>
        </w:r>
        <w:smartTag w:uri="urn:schemas-microsoft-com:office:smarttags" w:element="PlaceType">
          <w:r w:rsidRPr="00370E70">
            <w:rPr>
              <w:rFonts w:cs="TimesNewRoman,Italic"/>
              <w:iCs/>
              <w:color w:val="000000"/>
              <w:szCs w:val="22"/>
            </w:rPr>
            <w:t>Harbour</w:t>
          </w:r>
        </w:smartTag>
      </w:smartTag>
      <w:r w:rsidRPr="00370E70">
        <w:rPr>
          <w:rFonts w:cs="TimesNewRoman,Italic"/>
          <w:iCs/>
          <w:color w:val="000000"/>
          <w:szCs w:val="22"/>
        </w:rPr>
        <w:t>, C</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remained above 500, indicating a nutrient poor environment (</w:t>
      </w:r>
      <w:r w:rsidRPr="00370E70">
        <w:fldChar w:fldCharType="begin"/>
      </w:r>
      <w:r w:rsidRPr="00370E70">
        <w:instrText xml:space="preserve"> REF _Ref236801280 \h  \* MERGEFORMAT </w:instrText>
      </w:r>
      <w:r w:rsidRPr="00370E70">
        <w:fldChar w:fldCharType="separate"/>
      </w:r>
      <w:r w:rsidR="005B5FD6" w:rsidRPr="00370E70">
        <w:rPr>
          <w:color w:val="000000"/>
          <w:szCs w:val="22"/>
        </w:rPr>
        <w:t xml:space="preserve">Figure </w:t>
      </w:r>
      <w:r w:rsidR="005B5FD6">
        <w:rPr>
          <w:noProof/>
          <w:color w:val="000000"/>
          <w:szCs w:val="22"/>
        </w:rPr>
        <w:t>157</w:t>
      </w:r>
      <w:r w:rsidRPr="00370E70">
        <w:fldChar w:fldCharType="end"/>
      </w:r>
      <w:r w:rsidRPr="00370E70">
        <w:rPr>
          <w:rFonts w:cs="TimesNewRoman,Italic"/>
          <w:iCs/>
          <w:color w:val="000000"/>
          <w:szCs w:val="22"/>
        </w:rPr>
        <w:t xml:space="preserve">). </w:t>
      </w:r>
      <w:r w:rsidR="002C6536" w:rsidRPr="00370E70">
        <w:rPr>
          <w:rFonts w:cs="TimesNewRoman,Italic"/>
          <w:iCs/>
          <w:color w:val="000000"/>
          <w:szCs w:val="22"/>
        </w:rPr>
        <w:t>Conversely</w:t>
      </w:r>
      <w:r w:rsidRPr="00370E70">
        <w:rPr>
          <w:rFonts w:cs="TimesNewRoman,Italic"/>
          <w:iCs/>
          <w:color w:val="000000"/>
          <w:szCs w:val="22"/>
        </w:rPr>
        <w:t>, N</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for foundation species declined in late dry 2011 in estuarine sites, indicating an decrease in N (</w:t>
      </w:r>
      <w:r w:rsidRPr="00370E70">
        <w:fldChar w:fldCharType="begin"/>
      </w:r>
      <w:r w:rsidRPr="00370E70">
        <w:instrText xml:space="preserve"> REF _Ref236801280 \h  \* MERGEFORMAT </w:instrText>
      </w:r>
      <w:r w:rsidRPr="00370E70">
        <w:fldChar w:fldCharType="separate"/>
      </w:r>
      <w:r w:rsidR="005B5FD6" w:rsidRPr="00370E70">
        <w:rPr>
          <w:color w:val="000000"/>
          <w:szCs w:val="22"/>
        </w:rPr>
        <w:t xml:space="preserve">Figure </w:t>
      </w:r>
      <w:r w:rsidR="005B5FD6">
        <w:rPr>
          <w:noProof/>
          <w:color w:val="000000"/>
          <w:szCs w:val="22"/>
        </w:rPr>
        <w:t>157</w:t>
      </w:r>
      <w:r w:rsidRPr="00370E70">
        <w:fldChar w:fldCharType="end"/>
      </w:r>
      <w:r w:rsidRPr="00370E70">
        <w:rPr>
          <w:rFonts w:cs="TimesNewRoman,Italic"/>
          <w:iCs/>
          <w:color w:val="000000"/>
          <w:szCs w:val="22"/>
        </w:rPr>
        <w:t>). N</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at coastal sites increased above 25 in late dry 2011 (</w:t>
      </w:r>
      <w:r w:rsidRPr="00370E70">
        <w:fldChar w:fldCharType="begin"/>
      </w:r>
      <w:r w:rsidRPr="00370E70">
        <w:instrText xml:space="preserve"> REF _Ref236801280 \h  \* MERGEFORMAT </w:instrText>
      </w:r>
      <w:r w:rsidRPr="00370E70">
        <w:fldChar w:fldCharType="separate"/>
      </w:r>
      <w:r w:rsidR="005B5FD6" w:rsidRPr="00370E70">
        <w:rPr>
          <w:color w:val="000000"/>
          <w:szCs w:val="22"/>
        </w:rPr>
        <w:t xml:space="preserve">Figure </w:t>
      </w:r>
      <w:r w:rsidR="005B5FD6">
        <w:rPr>
          <w:noProof/>
          <w:color w:val="000000"/>
          <w:szCs w:val="22"/>
        </w:rPr>
        <w:t>157</w:t>
      </w:r>
      <w:r w:rsidRPr="00370E70">
        <w:fldChar w:fldCharType="end"/>
      </w:r>
      <w:r w:rsidRPr="00370E70">
        <w:rPr>
          <w:rFonts w:cs="TimesNewRoman,Italic"/>
          <w:iCs/>
          <w:color w:val="000000"/>
          <w:szCs w:val="22"/>
        </w:rPr>
        <w:t xml:space="preserve">); indicating the plants were replete </w:t>
      </w:r>
      <w:r w:rsidR="006B4FAF" w:rsidRPr="00370E70">
        <w:rPr>
          <w:rFonts w:cs="TimesNewRoman,Italic"/>
          <w:iCs/>
          <w:color w:val="000000"/>
          <w:szCs w:val="22"/>
        </w:rPr>
        <w:t xml:space="preserve">(well supplied and balanced macronutrients for growth) </w:t>
      </w:r>
      <w:r w:rsidRPr="00370E70">
        <w:rPr>
          <w:rFonts w:cs="TimesNewRoman,Italic"/>
          <w:iCs/>
          <w:color w:val="000000"/>
          <w:szCs w:val="22"/>
        </w:rPr>
        <w:t>due to elevated N. At reef habitats in the Fitzroy region, N</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increased above 30 in late dry 2011 (</w:t>
      </w:r>
      <w:r w:rsidRPr="00370E70">
        <w:fldChar w:fldCharType="begin"/>
      </w:r>
      <w:r w:rsidRPr="00370E70">
        <w:instrText xml:space="preserve"> REF _Ref236801280 \h  \* MERGEFORMAT </w:instrText>
      </w:r>
      <w:r w:rsidRPr="00370E70">
        <w:fldChar w:fldCharType="separate"/>
      </w:r>
      <w:r w:rsidR="005B5FD6" w:rsidRPr="00370E70">
        <w:rPr>
          <w:color w:val="000000"/>
          <w:szCs w:val="22"/>
        </w:rPr>
        <w:t xml:space="preserve">Figure </w:t>
      </w:r>
      <w:r w:rsidR="005B5FD6">
        <w:rPr>
          <w:noProof/>
          <w:color w:val="000000"/>
          <w:szCs w:val="22"/>
        </w:rPr>
        <w:t>157</w:t>
      </w:r>
      <w:r w:rsidRPr="00370E70">
        <w:fldChar w:fldCharType="end"/>
      </w:r>
      <w:r w:rsidRPr="00370E70">
        <w:rPr>
          <w:rFonts w:cs="TimesNewRoman,Italic"/>
          <w:iCs/>
          <w:color w:val="000000"/>
          <w:szCs w:val="22"/>
        </w:rPr>
        <w:t xml:space="preserve">); indicating that the environment was saturated with N and the plants possibly P-limited. </w:t>
      </w:r>
    </w:p>
    <w:p w:rsidR="005132EF" w:rsidRPr="00370E70" w:rsidRDefault="007B15AB" w:rsidP="00034AD4">
      <w:pPr>
        <w:keepNext/>
        <w:autoSpaceDE w:val="0"/>
        <w:autoSpaceDN w:val="0"/>
        <w:adjustRightInd w:val="0"/>
        <w:jc w:val="center"/>
      </w:pPr>
      <w:r>
        <w:rPr>
          <w:noProof/>
          <w:lang w:eastAsia="en-AU"/>
        </w:rPr>
        <w:drawing>
          <wp:inline distT="0" distB="0" distL="0" distR="0">
            <wp:extent cx="4327525" cy="4469130"/>
            <wp:effectExtent l="0" t="0" r="0" b="7620"/>
            <wp:docPr id="205" name="Picture 199" descr="Graph showing long-term trends in elemental ratios (atomic) of seagrass leaf tissue N:P and C:P for the foundation seagrass species examined at each location in the Fitzroy region each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Graph showing long-term trends in elemental ratios (atomic) of seagrass leaf tissue N:P and C:P for the foundation seagrass species examined at each location in the Fitzroy region each year "/>
                    <pic:cNvPicPr>
                      <a:picLocks noChangeAspect="1" noChangeArrowheads="1"/>
                    </pic:cNvPicPr>
                  </pic:nvPicPr>
                  <pic:blipFill>
                    <a:blip r:embed="rId231" cstate="print">
                      <a:extLst>
                        <a:ext uri="{28A0092B-C50C-407E-A947-70E740481C1C}">
                          <a14:useLocalDpi xmlns:a14="http://schemas.microsoft.com/office/drawing/2010/main" val="0"/>
                        </a:ext>
                      </a:extLst>
                    </a:blip>
                    <a:srcRect t="9378" r="17245" b="7951"/>
                    <a:stretch>
                      <a:fillRect/>
                    </a:stretch>
                  </pic:blipFill>
                  <pic:spPr bwMode="auto">
                    <a:xfrm>
                      <a:off x="0" y="0"/>
                      <a:ext cx="4327525" cy="4469130"/>
                    </a:xfrm>
                    <a:prstGeom prst="rect">
                      <a:avLst/>
                    </a:prstGeom>
                    <a:noFill/>
                    <a:ln>
                      <a:noFill/>
                    </a:ln>
                  </pic:spPr>
                </pic:pic>
              </a:graphicData>
            </a:graphic>
          </wp:inline>
        </w:drawing>
      </w:r>
    </w:p>
    <w:p w:rsidR="0064478C" w:rsidRPr="00370E70" w:rsidRDefault="005132EF" w:rsidP="0064478C">
      <w:pPr>
        <w:rPr>
          <w:i/>
          <w:iCs/>
          <w:vanish/>
          <w:color w:val="000000"/>
          <w:szCs w:val="22"/>
          <w:lang w:eastAsia="en-AU"/>
          <w:specVanish/>
        </w:rPr>
      </w:pPr>
      <w:bookmarkStart w:id="716" w:name="_Ref236801280"/>
      <w:bookmarkStart w:id="717" w:name="_Toc384196504"/>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157</w:t>
      </w:r>
      <w:r w:rsidRPr="00370E70">
        <w:rPr>
          <w:color w:val="000000"/>
          <w:szCs w:val="22"/>
        </w:rPr>
        <w:fldChar w:fldCharType="end"/>
      </w:r>
      <w:bookmarkEnd w:id="716"/>
      <w:r w:rsidRPr="00370E70">
        <w:rPr>
          <w:color w:val="000000"/>
          <w:szCs w:val="22"/>
        </w:rPr>
        <w:t xml:space="preserve">. </w:t>
      </w:r>
      <w:r w:rsidRPr="00370E70">
        <w:rPr>
          <w:i/>
          <w:iCs/>
          <w:color w:val="000000"/>
          <w:szCs w:val="22"/>
          <w:lang w:eastAsia="en-AU"/>
        </w:rPr>
        <w:t xml:space="preserve">Elemental ratios (atomic) of seagrass leaf tissue N:P and C:P </w:t>
      </w:r>
      <w:r w:rsidRPr="00370E70">
        <w:rPr>
          <w:i/>
          <w:iCs/>
          <w:color w:val="000000"/>
          <w:szCs w:val="22"/>
        </w:rPr>
        <w:t xml:space="preserve">for the foundation seagrass species examined at each </w:t>
      </w:r>
      <w:r w:rsidR="005567C5">
        <w:rPr>
          <w:i/>
        </w:rPr>
        <w:t xml:space="preserve">inshore intertidal </w:t>
      </w:r>
      <w:r w:rsidR="005567C5" w:rsidRPr="00370E70">
        <w:rPr>
          <w:i/>
        </w:rPr>
        <w:t xml:space="preserve">habitat </w:t>
      </w:r>
      <w:r w:rsidRPr="00370E70">
        <w:rPr>
          <w:i/>
          <w:iCs/>
          <w:color w:val="000000"/>
          <w:szCs w:val="22"/>
        </w:rPr>
        <w:t xml:space="preserve">in the Fitzroy region </w:t>
      </w:r>
      <w:r w:rsidRPr="00370E70">
        <w:rPr>
          <w:i/>
          <w:iCs/>
          <w:color w:val="000000"/>
          <w:szCs w:val="22"/>
          <w:lang w:eastAsia="en-AU"/>
        </w:rPr>
        <w:t>each year</w:t>
      </w:r>
      <w:bookmarkEnd w:id="717"/>
      <w:r w:rsidRPr="00370E70">
        <w:rPr>
          <w:i/>
          <w:iCs/>
          <w:color w:val="000000"/>
          <w:szCs w:val="22"/>
          <w:lang w:eastAsia="en-AU"/>
        </w:rPr>
        <w:t xml:space="preserve"> </w:t>
      </w:r>
    </w:p>
    <w:p w:rsidR="0064478C" w:rsidRPr="00370E70" w:rsidRDefault="0064478C" w:rsidP="0064478C">
      <w:pPr>
        <w:rPr>
          <w:color w:val="000000"/>
          <w:szCs w:val="22"/>
        </w:rPr>
      </w:pPr>
      <w:r w:rsidRPr="00370E70">
        <w:rPr>
          <w:i/>
          <w:iCs/>
          <w:color w:val="000000"/>
          <w:szCs w:val="22"/>
          <w:lang w:eastAsia="en-AU"/>
        </w:rPr>
        <w:t xml:space="preserve"> </w:t>
      </w:r>
      <w:r w:rsidR="005132EF" w:rsidRPr="00370E70">
        <w:rPr>
          <w:i/>
          <w:iCs/>
          <w:color w:val="000000"/>
          <w:szCs w:val="22"/>
          <w:lang w:eastAsia="en-AU"/>
        </w:rPr>
        <w:t>(species pooled) (</w:t>
      </w:r>
      <w:r w:rsidR="005132EF" w:rsidRPr="00370E70">
        <w:rPr>
          <w:i/>
          <w:iCs/>
          <w:color w:val="000000"/>
          <w:szCs w:val="22"/>
        </w:rPr>
        <w:t>mean</w:t>
      </w:r>
      <w:r w:rsidR="005132EF" w:rsidRPr="00370E70">
        <w:rPr>
          <w:i/>
          <w:iCs/>
          <w:color w:val="000000"/>
          <w:szCs w:val="22"/>
          <w:lang w:eastAsia="en-AU"/>
        </w:rPr>
        <w:t xml:space="preserve"> ± Standard Error). </w:t>
      </w:r>
      <w:r w:rsidR="00A62B1C" w:rsidRPr="00370E70">
        <w:rPr>
          <w:i/>
          <w:iCs/>
          <w:color w:val="000000"/>
          <w:szCs w:val="22"/>
          <w:lang w:eastAsia="en-AU"/>
        </w:rPr>
        <w:t xml:space="preserve">Horizontal shaded band on the N:P ratio panel represents the range of value associated with N:P balance ratio in the plant tissues, i.e. a seagrass “Redfield” ratio </w:t>
      </w:r>
      <w:r w:rsidR="00A62B1C" w:rsidRPr="00370E70">
        <w:rPr>
          <w:i/>
          <w:lang w:eastAsia="en-AU"/>
        </w:rPr>
        <w:t>(</w:t>
      </w:r>
      <w:r w:rsidR="00A62B1C"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 </w:instrText>
      </w:r>
      <w:r w:rsidR="00494624"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EN.CITE.DATA </w:instrText>
      </w:r>
      <w:r w:rsidR="00494624" w:rsidRPr="00370E70">
        <w:rPr>
          <w:i/>
          <w:lang w:eastAsia="en-AU"/>
        </w:rPr>
      </w:r>
      <w:r w:rsidR="00494624" w:rsidRPr="00370E70">
        <w:rPr>
          <w:i/>
          <w:lang w:eastAsia="en-AU"/>
        </w:rPr>
        <w:fldChar w:fldCharType="end"/>
      </w:r>
      <w:r w:rsidR="00A62B1C" w:rsidRPr="00370E70">
        <w:rPr>
          <w:i/>
          <w:lang w:eastAsia="en-AU"/>
        </w:rPr>
      </w:r>
      <w:r w:rsidR="00A62B1C" w:rsidRPr="00370E70">
        <w:rPr>
          <w:i/>
          <w:lang w:eastAsia="en-AU"/>
        </w:rPr>
        <w:fldChar w:fldCharType="separate"/>
      </w:r>
      <w:hyperlink w:anchor="_ENREF_9" w:tooltip="Atkinson, 1983 #6292" w:history="1">
        <w:r w:rsidR="00964A70" w:rsidRPr="00370E70">
          <w:rPr>
            <w:i/>
            <w:noProof/>
            <w:lang w:eastAsia="en-AU"/>
          </w:rPr>
          <w:t>Atkinson and Smith 1983</w:t>
        </w:r>
      </w:hyperlink>
      <w:r w:rsidR="00494624" w:rsidRPr="00370E70">
        <w:rPr>
          <w:i/>
          <w:noProof/>
          <w:lang w:eastAsia="en-AU"/>
        </w:rPr>
        <w:t xml:space="preserve">; </w:t>
      </w:r>
      <w:hyperlink w:anchor="_ENREF_66" w:tooltip="Duarte, 1990 #1954" w:history="1">
        <w:r w:rsidR="00964A70" w:rsidRPr="00370E70">
          <w:rPr>
            <w:i/>
            <w:noProof/>
            <w:lang w:eastAsia="en-AU"/>
          </w:rPr>
          <w:t>Duarte 1990</w:t>
        </w:r>
      </w:hyperlink>
      <w:r w:rsidR="00494624" w:rsidRPr="00370E70">
        <w:rPr>
          <w:i/>
          <w:noProof/>
          <w:lang w:eastAsia="en-AU"/>
        </w:rPr>
        <w:t xml:space="preserve">; </w:t>
      </w:r>
      <w:hyperlink w:anchor="_ENREF_80" w:tooltip="Fourqurean, 1992 #9493" w:history="1">
        <w:r w:rsidR="00964A70" w:rsidRPr="00370E70">
          <w:rPr>
            <w:i/>
            <w:noProof/>
            <w:lang w:eastAsia="en-AU"/>
          </w:rPr>
          <w:t>Fourqurean, et al. 1992b</w:t>
        </w:r>
      </w:hyperlink>
      <w:r w:rsidR="00494624" w:rsidRPr="00370E70">
        <w:rPr>
          <w:i/>
          <w:noProof/>
          <w:lang w:eastAsia="en-AU"/>
        </w:rPr>
        <w:t xml:space="preserve">; </w:t>
      </w:r>
      <w:hyperlink w:anchor="_ENREF_76" w:tooltip="Fourqurean, 2001 #9492" w:history="1">
        <w:r w:rsidR="00964A70" w:rsidRPr="00370E70">
          <w:rPr>
            <w:i/>
            <w:noProof/>
            <w:lang w:eastAsia="en-AU"/>
          </w:rPr>
          <w:t>Fourqurean and Cai 2001</w:t>
        </w:r>
      </w:hyperlink>
      <w:r w:rsidR="00A62B1C" w:rsidRPr="00370E70">
        <w:rPr>
          <w:i/>
          <w:lang w:eastAsia="en-AU"/>
        </w:rPr>
        <w:fldChar w:fldCharType="end"/>
      </w:r>
      <w:r w:rsidR="00A62B1C" w:rsidRPr="00370E70">
        <w:rPr>
          <w:i/>
          <w:lang w:eastAsia="en-AU"/>
        </w:rPr>
        <w:t>)</w:t>
      </w:r>
      <w:r w:rsidR="00A62B1C" w:rsidRPr="00370E70">
        <w:rPr>
          <w:i/>
          <w:iCs/>
          <w:color w:val="000000"/>
          <w:szCs w:val="22"/>
          <w:lang w:eastAsia="en-AU"/>
        </w:rPr>
        <w:t>. N:P ratio above this band indicates P limitation, below indicates N limitation and within indicates replete (balanced). Shaded portion on the C:P panel ≤500 represents the value associated with C:P balance ratio in the plant tissues, C:P values &lt;500 may indicate nutrient rich habitats (large P pool).</w:t>
      </w:r>
      <w:r w:rsidRPr="00370E70">
        <w:rPr>
          <w:color w:val="000000"/>
          <w:szCs w:val="22"/>
        </w:rPr>
        <w:t xml:space="preserve"> </w:t>
      </w:r>
    </w:p>
    <w:p w:rsidR="00F62A57" w:rsidRPr="00370E70" w:rsidRDefault="00F62A57" w:rsidP="00F62A57">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C values for foundation species at coastal habitat (Shoalwater Bay) during the late dry (growing) season were all above the global average and within global ranges (</w:t>
      </w:r>
      <w:r w:rsidRPr="00370E70">
        <w:rPr>
          <w:color w:val="000000"/>
          <w:szCs w:val="22"/>
        </w:rPr>
        <w:fldChar w:fldCharType="begin"/>
      </w:r>
      <w:r w:rsidRPr="00370E70">
        <w:rPr>
          <w:color w:val="000000"/>
          <w:szCs w:val="22"/>
        </w:rPr>
        <w:instrText xml:space="preserve"> REF _Ref353382452 \h </w:instrText>
      </w:r>
      <w:r w:rsidRPr="00370E70">
        <w:rPr>
          <w:color w:val="000000"/>
          <w:szCs w:val="22"/>
        </w:rPr>
      </w:r>
      <w:r w:rsidRPr="00370E70">
        <w:rPr>
          <w:color w:val="000000"/>
          <w:szCs w:val="22"/>
        </w:rPr>
        <w:fldChar w:fldCharType="separate"/>
      </w:r>
      <w:r w:rsidR="005B5FD6" w:rsidRPr="00370E70">
        <w:rPr>
          <w:color w:val="000000"/>
          <w:szCs w:val="22"/>
        </w:rPr>
        <w:t xml:space="preserve">Table </w:t>
      </w:r>
      <w:r w:rsidR="005B5FD6">
        <w:rPr>
          <w:noProof/>
          <w:color w:val="000000"/>
          <w:szCs w:val="22"/>
        </w:rPr>
        <w:t>32</w:t>
      </w:r>
      <w:r w:rsidRPr="00370E70">
        <w:rPr>
          <w:color w:val="000000"/>
          <w:szCs w:val="22"/>
        </w:rPr>
        <w:fldChar w:fldCharType="end"/>
      </w:r>
      <w:r w:rsidRPr="00370E70">
        <w:rPr>
          <w:color w:val="000000"/>
          <w:szCs w:val="22"/>
        </w:rPr>
        <w:t xml:space="preserve">), suggesting sufficient carbon </w:t>
      </w:r>
      <w:r w:rsidR="002C6536" w:rsidRPr="00370E70">
        <w:rPr>
          <w:color w:val="000000"/>
          <w:szCs w:val="22"/>
        </w:rPr>
        <w:t>available</w:t>
      </w:r>
      <w:r w:rsidRPr="00370E70">
        <w:rPr>
          <w:color w:val="000000"/>
          <w:szCs w:val="22"/>
        </w:rPr>
        <w:t xml:space="preserve"> for growth. Similarly, as %C in the leaves was also above the literature median values, suggests adequate light available for growth. The low C:N ratio is likely a consequence of the elevated N, where the low δ</w:t>
      </w:r>
      <w:r w:rsidRPr="00370E70">
        <w:rPr>
          <w:color w:val="000000"/>
          <w:szCs w:val="22"/>
          <w:vertAlign w:val="superscript"/>
        </w:rPr>
        <w:t>15</w:t>
      </w:r>
      <w:r w:rsidRPr="00370E70">
        <w:rPr>
          <w:color w:val="000000"/>
          <w:szCs w:val="22"/>
        </w:rPr>
        <w:t xml:space="preserve">N value in the leaf tissue of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suggests that the primary source of N was </w:t>
      </w:r>
      <w:r w:rsidR="0051765B" w:rsidRPr="00370E70">
        <w:rPr>
          <w:color w:val="000000"/>
          <w:szCs w:val="22"/>
        </w:rPr>
        <w:t xml:space="preserve">influenced by anthropogenic sources such as </w:t>
      </w:r>
      <w:r w:rsidRPr="00370E70">
        <w:rPr>
          <w:color w:val="000000"/>
          <w:szCs w:val="22"/>
        </w:rPr>
        <w:t xml:space="preserve">fertiliser. </w:t>
      </w:r>
    </w:p>
    <w:p w:rsidR="0064478C" w:rsidRPr="00370E70" w:rsidRDefault="0064478C" w:rsidP="00F62A57">
      <w:pPr>
        <w:rPr>
          <w:color w:val="000000"/>
          <w:szCs w:val="22"/>
        </w:rPr>
      </w:pPr>
    </w:p>
    <w:p w:rsidR="0051765B" w:rsidRPr="00370E70" w:rsidRDefault="005132EF" w:rsidP="0051765B">
      <w:pPr>
        <w:jc w:val="center"/>
        <w:rPr>
          <w:i/>
          <w:vanish/>
          <w:color w:val="000000"/>
          <w:szCs w:val="22"/>
          <w:specVanish/>
        </w:rPr>
      </w:pPr>
      <w:bookmarkStart w:id="718" w:name="_Ref353382452"/>
      <w:bookmarkStart w:id="719" w:name="_Toc384196568"/>
      <w:r w:rsidRPr="00370E70">
        <w:rPr>
          <w:color w:val="000000"/>
          <w:szCs w:val="22"/>
        </w:rPr>
        <w:lastRenderedPageBreak/>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32</w:t>
      </w:r>
      <w:r w:rsidRPr="00370E70">
        <w:rPr>
          <w:color w:val="000000"/>
          <w:szCs w:val="22"/>
        </w:rPr>
        <w:fldChar w:fldCharType="end"/>
      </w:r>
      <w:bookmarkEnd w:id="718"/>
      <w:r w:rsidRPr="00370E70">
        <w:rPr>
          <w:color w:val="000000"/>
          <w:szCs w:val="22"/>
        </w:rPr>
        <w:t xml:space="preserve">. </w:t>
      </w:r>
      <w:r w:rsidRPr="00370E70">
        <w:rPr>
          <w:i/>
          <w:color w:val="000000"/>
          <w:szCs w:val="22"/>
        </w:rPr>
        <w:t>Seagrass leaf tissue nutrient, δ</w:t>
      </w:r>
      <w:r w:rsidRPr="00370E70">
        <w:rPr>
          <w:i/>
          <w:color w:val="000000"/>
          <w:szCs w:val="22"/>
          <w:vertAlign w:val="superscript"/>
        </w:rPr>
        <w:t>13</w:t>
      </w:r>
      <w:r w:rsidRPr="00370E70">
        <w:rPr>
          <w:i/>
          <w:color w:val="000000"/>
          <w:szCs w:val="22"/>
        </w:rPr>
        <w:t>C and δ</w:t>
      </w:r>
      <w:r w:rsidRPr="00370E70">
        <w:rPr>
          <w:i/>
          <w:color w:val="000000"/>
          <w:szCs w:val="22"/>
          <w:vertAlign w:val="superscript"/>
        </w:rPr>
        <w:t>15</w:t>
      </w:r>
      <w:r w:rsidRPr="00370E70">
        <w:rPr>
          <w:i/>
          <w:color w:val="000000"/>
          <w:szCs w:val="22"/>
        </w:rPr>
        <w:t>N concentrations from Fitzroy locations in the late dry 2011.</w:t>
      </w:r>
      <w:bookmarkEnd w:id="719"/>
      <w:r w:rsidR="0064478C" w:rsidRPr="00370E70">
        <w:rPr>
          <w:i/>
          <w:vanish/>
          <w:color w:val="000000"/>
          <w:szCs w:val="22"/>
          <w:specVanish/>
        </w:rPr>
        <w:t xml:space="preserve"> </w:t>
      </w:r>
    </w:p>
    <w:p w:rsidR="0051765B" w:rsidRPr="00370E70" w:rsidRDefault="005132EF" w:rsidP="00F62A57">
      <w:pPr>
        <w:jc w:val="center"/>
        <w:rPr>
          <w:color w:val="000000"/>
          <w:szCs w:val="22"/>
        </w:rPr>
      </w:pPr>
      <w:r w:rsidRPr="00370E70">
        <w:rPr>
          <w:i/>
          <w:color w:val="000000"/>
          <w:szCs w:val="22"/>
        </w:rPr>
        <w:t xml:space="preserve"> </w:t>
      </w:r>
      <w:r w:rsidR="00F62A57" w:rsidRPr="00370E70">
        <w:rPr>
          <w:i/>
          <w:color w:val="000000"/>
          <w:szCs w:val="22"/>
        </w:rPr>
        <w:t xml:space="preserve">Leaf tissues with low %C (see </w:t>
      </w:r>
      <w:r w:rsidR="00F62A57" w:rsidRPr="00370E70">
        <w:rPr>
          <w:i/>
          <w:color w:val="000000"/>
          <w:szCs w:val="22"/>
        </w:rPr>
        <w:fldChar w:fldCharType="begin"/>
      </w:r>
      <w:r w:rsidR="00F62A57" w:rsidRPr="00370E70">
        <w:rPr>
          <w:i/>
          <w:color w:val="000000"/>
          <w:szCs w:val="22"/>
        </w:rPr>
        <w:instrText xml:space="preserve"> REF _Ref353029075 \h  \* MERGEFORMAT </w:instrText>
      </w:r>
      <w:r w:rsidR="00F62A57" w:rsidRPr="00370E70">
        <w:rPr>
          <w:i/>
          <w:color w:val="000000"/>
          <w:szCs w:val="22"/>
        </w:rPr>
      </w:r>
      <w:r w:rsidR="00F62A57" w:rsidRPr="00370E70">
        <w:rPr>
          <w:i/>
          <w:color w:val="000000"/>
          <w:szCs w:val="22"/>
        </w:rPr>
        <w:fldChar w:fldCharType="separate"/>
      </w:r>
      <w:r w:rsidR="005B5FD6" w:rsidRPr="005B5FD6">
        <w:rPr>
          <w:i/>
          <w:szCs w:val="22"/>
        </w:rPr>
        <w:t xml:space="preserve">Table </w:t>
      </w:r>
      <w:r w:rsidR="005B5FD6" w:rsidRPr="005B5FD6">
        <w:rPr>
          <w:i/>
          <w:noProof/>
          <w:color w:val="000000"/>
          <w:szCs w:val="22"/>
        </w:rPr>
        <w:t>37</w:t>
      </w:r>
      <w:r w:rsidR="00F62A57" w:rsidRPr="00370E70">
        <w:rPr>
          <w:i/>
          <w:color w:val="000000"/>
          <w:szCs w:val="22"/>
        </w:rPr>
        <w:fldChar w:fldCharType="end"/>
      </w:r>
      <w:r w:rsidR="00F62A57" w:rsidRPr="00370E70">
        <w:rPr>
          <w:i/>
          <w:color w:val="000000"/>
          <w:szCs w:val="22"/>
        </w:rPr>
        <w:t>), low C</w:t>
      </w:r>
      <w:proofErr w:type="gramStart"/>
      <w:r w:rsidR="00F62A57" w:rsidRPr="00370E70">
        <w:rPr>
          <w:i/>
          <w:color w:val="000000"/>
          <w:szCs w:val="22"/>
        </w:rPr>
        <w:t>:N</w:t>
      </w:r>
      <w:proofErr w:type="gramEnd"/>
      <w:r w:rsidR="00F62A57" w:rsidRPr="00370E70">
        <w:rPr>
          <w:i/>
          <w:color w:val="000000"/>
          <w:szCs w:val="22"/>
        </w:rPr>
        <w:t xml:space="preserve"> (&lt;20:1), and isotopically depleted δ</w:t>
      </w:r>
      <w:r w:rsidR="00F62A57" w:rsidRPr="00370E70">
        <w:rPr>
          <w:i/>
          <w:color w:val="000000"/>
          <w:szCs w:val="22"/>
          <w:vertAlign w:val="superscript"/>
        </w:rPr>
        <w:t>13</w:t>
      </w:r>
      <w:r w:rsidR="00F62A57" w:rsidRPr="00370E70">
        <w:rPr>
          <w:i/>
          <w:color w:val="000000"/>
          <w:szCs w:val="22"/>
        </w:rPr>
        <w:t xml:space="preserve">C may indicate that growth is light limited </w:t>
      </w:r>
      <w:r w:rsidR="0064478C" w:rsidRPr="00370E70">
        <w:rPr>
          <w:i/>
          <w:color w:val="000000"/>
          <w:szCs w:val="22"/>
        </w:rPr>
        <w:t>(</w:t>
      </w:r>
      <w:r w:rsidR="0064478C"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 </w:instrText>
      </w:r>
      <w:r w:rsidR="00126051"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EN.CITE.DATA </w:instrText>
      </w:r>
      <w:r w:rsidR="00126051" w:rsidRPr="00370E70">
        <w:rPr>
          <w:i/>
          <w:color w:val="000000"/>
          <w:szCs w:val="22"/>
        </w:rPr>
      </w:r>
      <w:r w:rsidR="00126051" w:rsidRPr="00370E70">
        <w:rPr>
          <w:i/>
          <w:color w:val="000000"/>
          <w:szCs w:val="22"/>
        </w:rPr>
        <w:fldChar w:fldCharType="end"/>
      </w:r>
      <w:r w:rsidR="0064478C" w:rsidRPr="00370E70">
        <w:rPr>
          <w:i/>
          <w:color w:val="000000"/>
          <w:szCs w:val="22"/>
        </w:rPr>
      </w:r>
      <w:r w:rsidR="0064478C" w:rsidRPr="00370E70">
        <w:rPr>
          <w:i/>
          <w:color w:val="000000"/>
          <w:szCs w:val="22"/>
        </w:rPr>
        <w:fldChar w:fldCharType="separate"/>
      </w:r>
      <w:hyperlink w:anchor="_ENREF_93" w:tooltip="Grice, 1996 #1346" w:history="1">
        <w:r w:rsidR="00964A70" w:rsidRPr="00370E70">
          <w:rPr>
            <w:i/>
            <w:noProof/>
            <w:color w:val="000000"/>
            <w:szCs w:val="22"/>
          </w:rPr>
          <w:t>Grice, et al. 1996</w:t>
        </w:r>
      </w:hyperlink>
      <w:r w:rsidR="00126051" w:rsidRPr="00370E70">
        <w:rPr>
          <w:i/>
          <w:noProof/>
          <w:color w:val="000000"/>
          <w:szCs w:val="22"/>
        </w:rPr>
        <w:t xml:space="preserve">; </w:t>
      </w:r>
      <w:hyperlink w:anchor="_ENREF_77" w:tooltip="Fourqurean, 2005 #7505" w:history="1">
        <w:r w:rsidR="00964A70" w:rsidRPr="00370E70">
          <w:rPr>
            <w:i/>
            <w:noProof/>
            <w:color w:val="000000"/>
            <w:szCs w:val="22"/>
          </w:rPr>
          <w:t>Fourqurean, et al. 2005</w:t>
        </w:r>
      </w:hyperlink>
      <w:r w:rsidR="0064478C" w:rsidRPr="00370E70">
        <w:rPr>
          <w:i/>
          <w:color w:val="000000"/>
          <w:szCs w:val="22"/>
        </w:rPr>
        <w:fldChar w:fldCharType="end"/>
      </w:r>
      <w:r w:rsidR="0064478C" w:rsidRPr="00370E70">
        <w:rPr>
          <w:i/>
          <w:color w:val="000000"/>
          <w:szCs w:val="22"/>
        </w:rPr>
        <w:t>)</w:t>
      </w:r>
      <w:r w:rsidR="00F62A57" w:rsidRPr="00370E70">
        <w:rPr>
          <w:i/>
          <w:color w:val="000000"/>
          <w:szCs w:val="22"/>
        </w:rPr>
        <w:t>. Shading indicates values lower than literature. Z</w:t>
      </w:r>
      <w:r w:rsidR="0064478C" w:rsidRPr="00370E70">
        <w:rPr>
          <w:i/>
          <w:color w:val="000000"/>
          <w:szCs w:val="22"/>
        </w:rPr>
        <w:t>M</w:t>
      </w:r>
      <w:r w:rsidR="00F62A57" w:rsidRPr="00370E70">
        <w:rPr>
          <w:i/>
          <w:color w:val="000000"/>
          <w:szCs w:val="22"/>
        </w:rPr>
        <w:t xml:space="preserve">=Zostera </w:t>
      </w:r>
      <w:r w:rsidR="00145BB9" w:rsidRPr="00370E70">
        <w:rPr>
          <w:i/>
          <w:color w:val="000000"/>
          <w:szCs w:val="22"/>
        </w:rPr>
        <w:t>muelleri</w:t>
      </w:r>
      <w:r w:rsidR="00F62A57" w:rsidRPr="00370E70">
        <w:rPr>
          <w:i/>
          <w:color w:val="000000"/>
          <w:szCs w:val="22"/>
        </w:rPr>
        <w:t>.</w:t>
      </w:r>
      <w:r w:rsidR="0064478C" w:rsidRPr="00370E70">
        <w:rPr>
          <w:i/>
          <w:color w:val="000000"/>
          <w:szCs w:val="22"/>
        </w:rPr>
        <w:t xml:space="preserve"> </w:t>
      </w:r>
    </w:p>
    <w:tbl>
      <w:tblPr>
        <w:tblW w:w="8829" w:type="dxa"/>
        <w:jc w:val="center"/>
        <w:tblLook w:val="0000" w:firstRow="0" w:lastRow="0" w:firstColumn="0" w:lastColumn="0" w:noHBand="0" w:noVBand="0"/>
      </w:tblPr>
      <w:tblGrid>
        <w:gridCol w:w="1455"/>
        <w:gridCol w:w="850"/>
        <w:gridCol w:w="788"/>
        <w:gridCol w:w="698"/>
        <w:gridCol w:w="954"/>
        <w:gridCol w:w="1034"/>
        <w:gridCol w:w="1328"/>
        <w:gridCol w:w="1722"/>
      </w:tblGrid>
      <w:tr w:rsidR="00F62A57" w:rsidRPr="00370E70" w:rsidTr="00F62A57">
        <w:trPr>
          <w:trHeight w:val="288"/>
          <w:jc w:val="center"/>
        </w:trPr>
        <w:tc>
          <w:tcPr>
            <w:tcW w:w="1455" w:type="dxa"/>
            <w:tcBorders>
              <w:top w:val="single" w:sz="4" w:space="0" w:color="auto"/>
              <w:bottom w:val="single" w:sz="4" w:space="0" w:color="auto"/>
            </w:tcBorders>
            <w:noWrap/>
            <w:vAlign w:val="center"/>
          </w:tcPr>
          <w:p w:rsidR="00F62A57" w:rsidRPr="00370E70" w:rsidRDefault="00F62A57" w:rsidP="008C585C">
            <w:pPr>
              <w:spacing w:before="0" w:after="0"/>
              <w:rPr>
                <w:b/>
                <w:color w:val="000000"/>
                <w:sz w:val="18"/>
                <w:szCs w:val="18"/>
              </w:rPr>
            </w:pPr>
            <w:r w:rsidRPr="00370E70">
              <w:rPr>
                <w:b/>
                <w:color w:val="000000"/>
                <w:sz w:val="18"/>
                <w:szCs w:val="18"/>
              </w:rPr>
              <w:t>Location</w:t>
            </w:r>
          </w:p>
        </w:tc>
        <w:tc>
          <w:tcPr>
            <w:tcW w:w="850" w:type="dxa"/>
            <w:tcBorders>
              <w:top w:val="single" w:sz="4" w:space="0" w:color="auto"/>
              <w:bottom w:val="single" w:sz="4" w:space="0" w:color="auto"/>
            </w:tcBorders>
            <w:noWrap/>
            <w:vAlign w:val="center"/>
          </w:tcPr>
          <w:p w:rsidR="00F62A57" w:rsidRPr="00370E70" w:rsidRDefault="00F62A57" w:rsidP="008C585C">
            <w:pPr>
              <w:spacing w:before="0" w:after="0"/>
              <w:jc w:val="center"/>
              <w:rPr>
                <w:b/>
                <w:color w:val="000000"/>
                <w:sz w:val="18"/>
                <w:szCs w:val="18"/>
              </w:rPr>
            </w:pPr>
            <w:r w:rsidRPr="00370E70">
              <w:rPr>
                <w:b/>
                <w:color w:val="000000"/>
                <w:sz w:val="18"/>
                <w:szCs w:val="18"/>
              </w:rPr>
              <w:t>Species</w:t>
            </w:r>
          </w:p>
        </w:tc>
        <w:tc>
          <w:tcPr>
            <w:tcW w:w="788" w:type="dxa"/>
            <w:tcBorders>
              <w:top w:val="single" w:sz="4" w:space="0" w:color="auto"/>
              <w:bottom w:val="single" w:sz="4" w:space="0" w:color="auto"/>
            </w:tcBorders>
            <w:vAlign w:val="center"/>
          </w:tcPr>
          <w:p w:rsidR="00F62A57" w:rsidRPr="00370E70" w:rsidRDefault="00F62A57" w:rsidP="008C585C">
            <w:pPr>
              <w:spacing w:before="0" w:after="0"/>
              <w:jc w:val="center"/>
              <w:rPr>
                <w:b/>
                <w:color w:val="000000"/>
                <w:sz w:val="18"/>
                <w:szCs w:val="18"/>
              </w:rPr>
            </w:pPr>
            <w:r w:rsidRPr="00370E70">
              <w:rPr>
                <w:b/>
                <w:color w:val="000000"/>
                <w:sz w:val="18"/>
                <w:szCs w:val="18"/>
              </w:rPr>
              <w:t>%C</w:t>
            </w:r>
          </w:p>
        </w:tc>
        <w:tc>
          <w:tcPr>
            <w:tcW w:w="698" w:type="dxa"/>
            <w:tcBorders>
              <w:top w:val="single" w:sz="4" w:space="0" w:color="auto"/>
              <w:bottom w:val="single" w:sz="4" w:space="0" w:color="auto"/>
            </w:tcBorders>
            <w:vAlign w:val="center"/>
          </w:tcPr>
          <w:p w:rsidR="00F62A57" w:rsidRPr="00370E70" w:rsidRDefault="00F62A57" w:rsidP="008C585C">
            <w:pPr>
              <w:spacing w:before="0" w:after="0"/>
              <w:jc w:val="center"/>
              <w:rPr>
                <w:b/>
                <w:color w:val="000000"/>
                <w:sz w:val="18"/>
                <w:szCs w:val="18"/>
              </w:rPr>
            </w:pPr>
            <w:r w:rsidRPr="00370E70">
              <w:rPr>
                <w:b/>
                <w:color w:val="000000"/>
                <w:sz w:val="18"/>
                <w:szCs w:val="18"/>
              </w:rPr>
              <w:t>C:N</w:t>
            </w:r>
          </w:p>
        </w:tc>
        <w:tc>
          <w:tcPr>
            <w:tcW w:w="954" w:type="dxa"/>
            <w:tcBorders>
              <w:top w:val="single" w:sz="4" w:space="0" w:color="auto"/>
              <w:bottom w:val="single" w:sz="4" w:space="0" w:color="auto"/>
            </w:tcBorders>
            <w:noWrap/>
            <w:vAlign w:val="center"/>
          </w:tcPr>
          <w:p w:rsidR="00F62A57" w:rsidRPr="00370E70" w:rsidRDefault="00F62A57" w:rsidP="008C585C">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c>
          <w:tcPr>
            <w:tcW w:w="1034" w:type="dxa"/>
            <w:tcBorders>
              <w:top w:val="single" w:sz="4" w:space="0" w:color="auto"/>
              <w:bottom w:val="single" w:sz="4" w:space="0" w:color="auto"/>
            </w:tcBorders>
            <w:vAlign w:val="center"/>
          </w:tcPr>
          <w:p w:rsidR="00F62A57" w:rsidRPr="00370E70" w:rsidRDefault="00F62A57" w:rsidP="00F62A57">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15</w:t>
            </w:r>
            <w:r w:rsidRPr="00370E70">
              <w:rPr>
                <w:b/>
                <w:color w:val="000000"/>
                <w:sz w:val="18"/>
                <w:szCs w:val="18"/>
              </w:rPr>
              <w:t>N</w:t>
            </w:r>
          </w:p>
        </w:tc>
        <w:tc>
          <w:tcPr>
            <w:tcW w:w="1328" w:type="dxa"/>
            <w:tcBorders>
              <w:top w:val="single" w:sz="4" w:space="0" w:color="auto"/>
              <w:bottom w:val="single" w:sz="4" w:space="0" w:color="auto"/>
            </w:tcBorders>
            <w:vAlign w:val="center"/>
          </w:tcPr>
          <w:p w:rsidR="00F62A57" w:rsidRPr="00370E70" w:rsidRDefault="00F62A57" w:rsidP="00F62A57">
            <w:pPr>
              <w:spacing w:before="0" w:after="0"/>
              <w:jc w:val="center"/>
              <w:rPr>
                <w:b/>
                <w:color w:val="000000"/>
                <w:sz w:val="18"/>
                <w:szCs w:val="18"/>
              </w:rPr>
            </w:pPr>
            <w:r w:rsidRPr="00370E70">
              <w:rPr>
                <w:b/>
                <w:color w:val="000000"/>
                <w:sz w:val="18"/>
                <w:szCs w:val="18"/>
              </w:rPr>
              <w:t>%C lit median</w:t>
            </w:r>
          </w:p>
        </w:tc>
        <w:tc>
          <w:tcPr>
            <w:tcW w:w="1722" w:type="dxa"/>
            <w:tcBorders>
              <w:top w:val="single" w:sz="4" w:space="0" w:color="auto"/>
              <w:bottom w:val="single" w:sz="4" w:space="0" w:color="auto"/>
            </w:tcBorders>
            <w:noWrap/>
            <w:vAlign w:val="center"/>
          </w:tcPr>
          <w:p w:rsidR="00F62A57" w:rsidRPr="00370E70" w:rsidRDefault="00F62A57" w:rsidP="00F62A57">
            <w:pPr>
              <w:spacing w:before="0" w:after="0"/>
              <w:jc w:val="center"/>
              <w:rPr>
                <w:b/>
                <w:color w:val="000000"/>
                <w:sz w:val="18"/>
                <w:szCs w:val="18"/>
              </w:rPr>
            </w:pPr>
            <w:r w:rsidRPr="00370E70">
              <w:rPr>
                <w:b/>
                <w:color w:val="000000"/>
                <w:sz w:val="18"/>
                <w:szCs w:val="18"/>
              </w:rPr>
              <w:t xml:space="preserve">Global </w:t>
            </w: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r>
      <w:tr w:rsidR="00F62A57" w:rsidRPr="00370E70" w:rsidTr="00F62A57">
        <w:trPr>
          <w:trHeight w:val="276"/>
          <w:jc w:val="center"/>
        </w:trPr>
        <w:tc>
          <w:tcPr>
            <w:tcW w:w="1455" w:type="dxa"/>
            <w:tcBorders>
              <w:top w:val="single" w:sz="4" w:space="0" w:color="auto"/>
              <w:bottom w:val="single" w:sz="4" w:space="0" w:color="auto"/>
            </w:tcBorders>
            <w:noWrap/>
            <w:vAlign w:val="center"/>
          </w:tcPr>
          <w:p w:rsidR="00F62A57" w:rsidRPr="00370E70" w:rsidRDefault="00F62A57" w:rsidP="008C585C">
            <w:pPr>
              <w:spacing w:before="0" w:after="0"/>
              <w:rPr>
                <w:color w:val="000000"/>
                <w:sz w:val="18"/>
                <w:szCs w:val="18"/>
              </w:rPr>
            </w:pPr>
            <w:smartTag w:uri="urn:schemas-microsoft-com:office:smarttags" w:element="place">
              <w:smartTag w:uri="urn:schemas-microsoft-com:office:smarttags" w:element="PlaceName">
                <w:r w:rsidRPr="00370E70">
                  <w:rPr>
                    <w:color w:val="000000"/>
                    <w:sz w:val="18"/>
                    <w:szCs w:val="18"/>
                  </w:rPr>
                  <w:t>Shoalwater</w:t>
                </w:r>
              </w:smartTag>
              <w:r w:rsidRPr="00370E70">
                <w:rPr>
                  <w:color w:val="000000"/>
                  <w:sz w:val="18"/>
                  <w:szCs w:val="18"/>
                </w:rPr>
                <w:t xml:space="preserve"> </w:t>
              </w:r>
              <w:smartTag w:uri="urn:schemas-microsoft-com:office:smarttags" w:element="PlaceType">
                <w:r w:rsidRPr="00370E70">
                  <w:rPr>
                    <w:color w:val="000000"/>
                    <w:sz w:val="18"/>
                    <w:szCs w:val="18"/>
                  </w:rPr>
                  <w:t>Bay</w:t>
                </w:r>
              </w:smartTag>
            </w:smartTag>
          </w:p>
        </w:tc>
        <w:tc>
          <w:tcPr>
            <w:tcW w:w="850" w:type="dxa"/>
            <w:tcBorders>
              <w:top w:val="single" w:sz="4" w:space="0" w:color="auto"/>
              <w:bottom w:val="single" w:sz="4" w:space="0" w:color="auto"/>
            </w:tcBorders>
            <w:noWrap/>
            <w:vAlign w:val="center"/>
          </w:tcPr>
          <w:p w:rsidR="00F62A57" w:rsidRPr="00370E70" w:rsidRDefault="00F62A57" w:rsidP="008C585C">
            <w:pPr>
              <w:spacing w:before="0" w:after="0"/>
              <w:rPr>
                <w:color w:val="000000"/>
                <w:sz w:val="18"/>
                <w:szCs w:val="18"/>
              </w:rPr>
            </w:pPr>
            <w:r w:rsidRPr="00370E70">
              <w:rPr>
                <w:color w:val="000000"/>
                <w:sz w:val="18"/>
                <w:szCs w:val="18"/>
              </w:rPr>
              <w:t>Z</w:t>
            </w:r>
            <w:r w:rsidR="0064478C" w:rsidRPr="00370E70">
              <w:rPr>
                <w:color w:val="000000"/>
                <w:sz w:val="18"/>
                <w:szCs w:val="18"/>
              </w:rPr>
              <w:t>M</w:t>
            </w:r>
          </w:p>
        </w:tc>
        <w:tc>
          <w:tcPr>
            <w:tcW w:w="788" w:type="dxa"/>
            <w:tcBorders>
              <w:top w:val="single" w:sz="4" w:space="0" w:color="auto"/>
              <w:bottom w:val="single" w:sz="4" w:space="0" w:color="auto"/>
            </w:tcBorders>
            <w:vAlign w:val="center"/>
          </w:tcPr>
          <w:p w:rsidR="00F62A57" w:rsidRPr="00370E70" w:rsidRDefault="00F62A57" w:rsidP="008C585C">
            <w:pPr>
              <w:spacing w:before="0" w:after="0"/>
              <w:rPr>
                <w:color w:val="000000"/>
                <w:sz w:val="18"/>
                <w:szCs w:val="18"/>
              </w:rPr>
            </w:pPr>
            <w:r w:rsidRPr="00370E70">
              <w:rPr>
                <w:color w:val="000000"/>
                <w:sz w:val="18"/>
                <w:szCs w:val="18"/>
              </w:rPr>
              <w:t>40.083</w:t>
            </w:r>
          </w:p>
        </w:tc>
        <w:tc>
          <w:tcPr>
            <w:tcW w:w="698" w:type="dxa"/>
            <w:tcBorders>
              <w:top w:val="single" w:sz="4" w:space="0" w:color="auto"/>
              <w:bottom w:val="single" w:sz="4" w:space="0" w:color="auto"/>
            </w:tcBorders>
            <w:shd w:val="clear" w:color="auto" w:fill="CCFFCC"/>
            <w:vAlign w:val="center"/>
          </w:tcPr>
          <w:p w:rsidR="00F62A57" w:rsidRPr="00370E70" w:rsidRDefault="00F62A57" w:rsidP="008C585C">
            <w:pPr>
              <w:spacing w:before="0" w:after="0"/>
              <w:rPr>
                <w:color w:val="000000"/>
                <w:sz w:val="18"/>
                <w:szCs w:val="18"/>
              </w:rPr>
            </w:pPr>
            <w:r w:rsidRPr="00370E70">
              <w:rPr>
                <w:color w:val="000000"/>
                <w:sz w:val="18"/>
                <w:szCs w:val="18"/>
              </w:rPr>
              <w:t>18.36</w:t>
            </w:r>
          </w:p>
        </w:tc>
        <w:tc>
          <w:tcPr>
            <w:tcW w:w="954" w:type="dxa"/>
            <w:tcBorders>
              <w:top w:val="single" w:sz="4" w:space="0" w:color="auto"/>
              <w:bottom w:val="single" w:sz="4" w:space="0" w:color="auto"/>
            </w:tcBorders>
            <w:noWrap/>
            <w:vAlign w:val="center"/>
          </w:tcPr>
          <w:p w:rsidR="00F62A57" w:rsidRPr="00370E70" w:rsidRDefault="00F62A57" w:rsidP="008C585C">
            <w:pPr>
              <w:spacing w:before="0" w:after="0"/>
              <w:rPr>
                <w:color w:val="000000"/>
                <w:sz w:val="18"/>
                <w:szCs w:val="18"/>
              </w:rPr>
            </w:pPr>
            <w:r w:rsidRPr="00370E70">
              <w:rPr>
                <w:color w:val="000000"/>
                <w:sz w:val="18"/>
                <w:szCs w:val="18"/>
              </w:rPr>
              <w:t>-9.3±0.1</w:t>
            </w:r>
          </w:p>
        </w:tc>
        <w:tc>
          <w:tcPr>
            <w:tcW w:w="1034" w:type="dxa"/>
            <w:tcBorders>
              <w:top w:val="single" w:sz="4" w:space="0" w:color="auto"/>
              <w:bottom w:val="single" w:sz="4" w:space="0" w:color="auto"/>
            </w:tcBorders>
            <w:vAlign w:val="center"/>
          </w:tcPr>
          <w:p w:rsidR="00F62A57" w:rsidRPr="00370E70" w:rsidRDefault="00F62A57" w:rsidP="00F62A57">
            <w:pPr>
              <w:spacing w:before="0" w:after="0"/>
              <w:jc w:val="center"/>
              <w:rPr>
                <w:color w:val="000000"/>
                <w:sz w:val="18"/>
                <w:szCs w:val="18"/>
              </w:rPr>
            </w:pPr>
            <w:r w:rsidRPr="00370E70">
              <w:rPr>
                <w:color w:val="000000"/>
                <w:sz w:val="18"/>
                <w:szCs w:val="18"/>
              </w:rPr>
              <w:t>0.72±0.15</w:t>
            </w:r>
          </w:p>
        </w:tc>
        <w:tc>
          <w:tcPr>
            <w:tcW w:w="1328" w:type="dxa"/>
            <w:tcBorders>
              <w:top w:val="single" w:sz="4" w:space="0" w:color="auto"/>
              <w:bottom w:val="single" w:sz="4" w:space="0" w:color="auto"/>
            </w:tcBorders>
            <w:vAlign w:val="center"/>
          </w:tcPr>
          <w:p w:rsidR="00F62A57" w:rsidRPr="00370E70" w:rsidRDefault="00F62A57" w:rsidP="00F62A57">
            <w:pPr>
              <w:spacing w:before="0" w:after="0"/>
              <w:jc w:val="center"/>
              <w:rPr>
                <w:i/>
                <w:color w:val="000000"/>
                <w:sz w:val="18"/>
                <w:szCs w:val="18"/>
              </w:rPr>
            </w:pPr>
            <w:r w:rsidRPr="00370E70">
              <w:rPr>
                <w:i/>
                <w:color w:val="000000"/>
                <w:sz w:val="18"/>
                <w:szCs w:val="18"/>
              </w:rPr>
              <w:t>32</w:t>
            </w:r>
          </w:p>
        </w:tc>
        <w:tc>
          <w:tcPr>
            <w:tcW w:w="1722" w:type="dxa"/>
            <w:tcBorders>
              <w:top w:val="single" w:sz="4" w:space="0" w:color="auto"/>
              <w:bottom w:val="single" w:sz="4" w:space="0" w:color="auto"/>
            </w:tcBorders>
            <w:noWrap/>
            <w:vAlign w:val="center"/>
          </w:tcPr>
          <w:p w:rsidR="00F62A57" w:rsidRPr="00370E70" w:rsidRDefault="00F62A57" w:rsidP="00F62A57">
            <w:pPr>
              <w:spacing w:before="0" w:after="0"/>
              <w:jc w:val="center"/>
              <w:rPr>
                <w:i/>
                <w:color w:val="000000"/>
                <w:sz w:val="18"/>
                <w:szCs w:val="18"/>
              </w:rPr>
            </w:pPr>
            <w:r w:rsidRPr="00370E70">
              <w:rPr>
                <w:i/>
                <w:color w:val="000000"/>
                <w:sz w:val="18"/>
                <w:szCs w:val="18"/>
              </w:rPr>
              <w:t>-10.8 (-12.4 to -9.2)</w:t>
            </w:r>
          </w:p>
        </w:tc>
      </w:tr>
    </w:tbl>
    <w:p w:rsidR="005132EF" w:rsidRPr="00370E70" w:rsidRDefault="005132EF" w:rsidP="00034AD4">
      <w:pPr>
        <w:pStyle w:val="Heading4"/>
        <w:rPr>
          <w:b/>
          <w:iCs/>
          <w:color w:val="000000"/>
        </w:rPr>
      </w:pPr>
      <w:bookmarkStart w:id="720" w:name="_Toc232845932"/>
      <w:bookmarkStart w:id="721" w:name="_Toc184102031"/>
      <w:r w:rsidRPr="00370E70">
        <w:rPr>
          <w:b/>
          <w:iCs/>
          <w:color w:val="000000"/>
        </w:rPr>
        <w:t>Epiphytes and Macro-algae</w:t>
      </w:r>
      <w:bookmarkEnd w:id="720"/>
      <w:bookmarkEnd w:id="721"/>
    </w:p>
    <w:p w:rsidR="005132EF" w:rsidRPr="00370E70" w:rsidRDefault="005132EF" w:rsidP="00034AD4">
      <w:pPr>
        <w:rPr>
          <w:color w:val="000000"/>
          <w:szCs w:val="22"/>
        </w:rPr>
      </w:pPr>
      <w:r w:rsidRPr="00370E70">
        <w:rPr>
          <w:color w:val="000000"/>
          <w:szCs w:val="22"/>
        </w:rPr>
        <w:t>Epiphyte cover on seagrass leaf blades across the region were variable between habitats, however macro-algae cover remained low below the GBR long-term average for all habitats (</w:t>
      </w:r>
      <w:r w:rsidRPr="00370E70">
        <w:fldChar w:fldCharType="begin"/>
      </w:r>
      <w:r w:rsidRPr="00370E70">
        <w:instrText xml:space="preserve"> REF _Ref211934058 \h  \* MERGEFORMAT </w:instrText>
      </w:r>
      <w:r w:rsidRPr="00370E70">
        <w:fldChar w:fldCharType="separate"/>
      </w:r>
      <w:r w:rsidR="005B5FD6" w:rsidRPr="005B5FD6">
        <w:rPr>
          <w:szCs w:val="22"/>
        </w:rPr>
        <w:t xml:space="preserve">Figure </w:t>
      </w:r>
      <w:r w:rsidR="005B5FD6" w:rsidRPr="005B5FD6">
        <w:rPr>
          <w:noProof/>
          <w:color w:val="000000"/>
          <w:szCs w:val="22"/>
        </w:rPr>
        <w:t>158</w:t>
      </w:r>
      <w:r w:rsidRPr="00370E70">
        <w:fldChar w:fldCharType="end"/>
      </w:r>
      <w:r w:rsidRPr="00370E70">
        <w:rPr>
          <w:color w:val="000000"/>
          <w:szCs w:val="22"/>
        </w:rPr>
        <w:t xml:space="preserve">, </w:t>
      </w:r>
      <w:r w:rsidRPr="00370E70">
        <w:fldChar w:fldCharType="begin"/>
      </w:r>
      <w:r w:rsidRPr="00370E70">
        <w:instrText xml:space="preserve"> REF _Ref233175302 \h  \* MERGEFORMAT </w:instrText>
      </w:r>
      <w:r w:rsidRPr="00370E70">
        <w:fldChar w:fldCharType="separate"/>
      </w:r>
      <w:r w:rsidR="005B5FD6" w:rsidRPr="00370E70">
        <w:rPr>
          <w:color w:val="000000"/>
          <w:szCs w:val="22"/>
        </w:rPr>
        <w:t xml:space="preserve">Figure </w:t>
      </w:r>
      <w:r w:rsidR="005B5FD6">
        <w:rPr>
          <w:noProof/>
          <w:color w:val="000000"/>
          <w:szCs w:val="22"/>
        </w:rPr>
        <w:t>159</w:t>
      </w:r>
      <w:r w:rsidRPr="00370E70">
        <w:fldChar w:fldCharType="end"/>
      </w:r>
      <w:r w:rsidRPr="00370E70">
        <w:rPr>
          <w:color w:val="000000"/>
          <w:szCs w:val="22"/>
        </w:rPr>
        <w:t xml:space="preserve">, </w:t>
      </w:r>
      <w:r w:rsidRPr="00370E70">
        <w:fldChar w:fldCharType="begin"/>
      </w:r>
      <w:r w:rsidRPr="00370E70">
        <w:instrText xml:space="preserve"> REF _Ref211934190 \h  \* MERGEFORMAT </w:instrText>
      </w:r>
      <w:r w:rsidRPr="00370E70">
        <w:fldChar w:fldCharType="separate"/>
      </w:r>
      <w:r w:rsidR="005B5FD6" w:rsidRPr="005B5FD6">
        <w:rPr>
          <w:szCs w:val="22"/>
        </w:rPr>
        <w:t xml:space="preserve">Figure </w:t>
      </w:r>
      <w:r w:rsidR="005B5FD6" w:rsidRPr="005B5FD6">
        <w:rPr>
          <w:noProof/>
          <w:color w:val="000000"/>
          <w:szCs w:val="22"/>
        </w:rPr>
        <w:t>160</w:t>
      </w:r>
      <w:r w:rsidRPr="00370E70">
        <w:fldChar w:fldCharType="end"/>
      </w:r>
      <w:r w:rsidRPr="00370E70">
        <w:rPr>
          <w:color w:val="000000"/>
          <w:szCs w:val="22"/>
        </w:rPr>
        <w:t>). At coastal sites (</w:t>
      </w:r>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epiphyte cover remained below the GBR long-term average over the 2011/12 monitoring period and continued to decline (</w:t>
      </w:r>
      <w:r w:rsidRPr="00370E70">
        <w:fldChar w:fldCharType="begin"/>
      </w:r>
      <w:r w:rsidRPr="00370E70">
        <w:instrText xml:space="preserve"> REF _Ref211934058 \h  \* MERGEFORMAT </w:instrText>
      </w:r>
      <w:r w:rsidRPr="00370E70">
        <w:fldChar w:fldCharType="separate"/>
      </w:r>
      <w:r w:rsidR="005B5FD6" w:rsidRPr="005B5FD6">
        <w:rPr>
          <w:szCs w:val="22"/>
        </w:rPr>
        <w:t xml:space="preserve">Figure </w:t>
      </w:r>
      <w:r w:rsidR="005B5FD6" w:rsidRPr="005B5FD6">
        <w:rPr>
          <w:noProof/>
          <w:color w:val="000000"/>
          <w:szCs w:val="22"/>
        </w:rPr>
        <w:t>158</w:t>
      </w:r>
      <w:r w:rsidRPr="00370E70">
        <w:fldChar w:fldCharType="end"/>
      </w:r>
      <w:r w:rsidRPr="00370E70">
        <w:rPr>
          <w:color w:val="000000"/>
          <w:szCs w:val="22"/>
        </w:rPr>
        <w:t xml:space="preserve">). </w:t>
      </w:r>
    </w:p>
    <w:p w:rsidR="005132EF" w:rsidRPr="00370E70" w:rsidRDefault="007B15AB" w:rsidP="0034068E">
      <w:pPr>
        <w:keepNext/>
        <w:jc w:val="center"/>
        <w:rPr>
          <w:szCs w:val="22"/>
        </w:rPr>
      </w:pPr>
      <w:r>
        <w:rPr>
          <w:noProof/>
          <w:lang w:eastAsia="en-AU"/>
        </w:rPr>
        <w:drawing>
          <wp:inline distT="0" distB="0" distL="0" distR="0">
            <wp:extent cx="4314190" cy="1597025"/>
            <wp:effectExtent l="0" t="0" r="0" b="3175"/>
            <wp:docPr id="206" name="Picture 200" descr="Graph of mean abundance (% cover) of epiphytes and macro-algae at coastal (Shoalwater Bay) seagrass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Graph of mean abundance (% cover) of epiphytes and macro-algae at coastal (Shoalwater Bay) seagrass monitoring sites"/>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4314190" cy="1597025"/>
                    </a:xfrm>
                    <a:prstGeom prst="rect">
                      <a:avLst/>
                    </a:prstGeom>
                    <a:noFill/>
                    <a:ln>
                      <a:noFill/>
                    </a:ln>
                  </pic:spPr>
                </pic:pic>
              </a:graphicData>
            </a:graphic>
          </wp:inline>
        </w:drawing>
      </w:r>
    </w:p>
    <w:p w:rsidR="0064478C" w:rsidRPr="00370E70" w:rsidRDefault="005132EF" w:rsidP="0064478C">
      <w:pPr>
        <w:pStyle w:val="Caption"/>
        <w:rPr>
          <w:i/>
          <w:vanish/>
          <w:color w:val="000000"/>
          <w:szCs w:val="22"/>
          <w:lang w:val="en-AU"/>
          <w:specVanish/>
        </w:rPr>
      </w:pPr>
      <w:bookmarkStart w:id="722" w:name="_Ref211934058"/>
      <w:bookmarkStart w:id="723" w:name="_Toc384196505"/>
      <w:bookmarkStart w:id="724" w:name="_Toc23284601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158</w:t>
      </w:r>
      <w:r w:rsidRPr="00370E70">
        <w:rPr>
          <w:lang w:val="en-AU"/>
        </w:rPr>
        <w:fldChar w:fldCharType="end"/>
      </w:r>
      <w:bookmarkEnd w:id="722"/>
      <w:r w:rsidRPr="00370E70">
        <w:rPr>
          <w:rStyle w:val="StyleCaptionCaptionCharCharLatinCalibri11ptBlackChar"/>
          <w:lang w:val="en-AU"/>
        </w:rPr>
        <w:t xml:space="preserve">. </w:t>
      </w:r>
      <w:bookmarkStart w:id="725" w:name="OLE_LINK15"/>
      <w:r w:rsidRPr="00370E70">
        <w:rPr>
          <w:i/>
          <w:lang w:val="en-AU"/>
        </w:rPr>
        <w:t xml:space="preserve">Mean abundance (% cover) (± Standard Error) of epiphytes and macro-algae at </w:t>
      </w:r>
      <w:r w:rsidR="005567C5">
        <w:rPr>
          <w:i/>
          <w:lang w:val="en-AU"/>
        </w:rPr>
        <w:t xml:space="preserve">inshore </w:t>
      </w:r>
      <w:r w:rsidRPr="00370E70">
        <w:rPr>
          <w:i/>
          <w:lang w:val="en-AU"/>
        </w:rPr>
        <w:t xml:space="preserve">intertidal coastal </w:t>
      </w:r>
      <w:r w:rsidR="005567C5">
        <w:rPr>
          <w:i/>
          <w:lang w:val="en-AU"/>
        </w:rPr>
        <w:t xml:space="preserve">habitats </w:t>
      </w:r>
      <w:r w:rsidRPr="00370E70">
        <w:rPr>
          <w:i/>
          <w:lang w:val="en-AU"/>
        </w:rPr>
        <w:t>(</w:t>
      </w:r>
      <w:smartTag w:uri="urn:schemas-microsoft-com:office:smarttags" w:element="place">
        <w:smartTag w:uri="urn:schemas-microsoft-com:office:smarttags" w:element="PlaceName">
          <w:r w:rsidRPr="00370E70">
            <w:rPr>
              <w:i/>
              <w:lang w:val="en-AU"/>
            </w:rPr>
            <w:t>Shoalwater</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xml:space="preserve">) </w:t>
      </w:r>
      <w:r w:rsidR="005567C5">
        <w:rPr>
          <w:i/>
          <w:lang w:val="en-AU"/>
        </w:rPr>
        <w:t>in the Fitzroy region</w:t>
      </w:r>
      <w:r w:rsidRPr="00370E70">
        <w:rPr>
          <w:i/>
          <w:lang w:val="en-AU"/>
        </w:rPr>
        <w:t>.</w:t>
      </w:r>
      <w:bookmarkEnd w:id="723"/>
      <w:r w:rsidRPr="00370E70">
        <w:rPr>
          <w:i/>
          <w:lang w:val="en-AU"/>
        </w:rPr>
        <w:t xml:space="preserve"> </w:t>
      </w:r>
    </w:p>
    <w:p w:rsidR="0064478C" w:rsidRPr="00370E70" w:rsidRDefault="005132EF" w:rsidP="0064478C">
      <w:pPr>
        <w:pStyle w:val="Caption"/>
        <w:rPr>
          <w:lang w:val="en-AU"/>
        </w:rPr>
      </w:pPr>
      <w:r w:rsidRPr="00370E70">
        <w:rPr>
          <w:i/>
          <w:lang w:val="en-AU"/>
        </w:rPr>
        <w:t>Red line = GBR long-term average; epiphytes=17%, macro-algae=4.7%.</w:t>
      </w:r>
      <w:bookmarkEnd w:id="724"/>
      <w:bookmarkEnd w:id="725"/>
      <w:r w:rsidR="0064478C" w:rsidRPr="00370E70">
        <w:rPr>
          <w:i/>
          <w:lang w:val="en-AU"/>
        </w:rPr>
        <w:t xml:space="preserve"> </w:t>
      </w:r>
    </w:p>
    <w:p w:rsidR="005132EF" w:rsidRPr="00370E70" w:rsidRDefault="005132EF" w:rsidP="00034AD4">
      <w:pPr>
        <w:rPr>
          <w:color w:val="000000"/>
          <w:szCs w:val="22"/>
        </w:rPr>
      </w:pPr>
      <w:r w:rsidRPr="00370E70">
        <w:rPr>
          <w:color w:val="000000"/>
          <w:szCs w:val="22"/>
        </w:rPr>
        <w:t>At estuarine sites (</w:t>
      </w:r>
      <w:smartTag w:uri="urn:schemas-microsoft-com:office:smarttags" w:element="place">
        <w:smartTag w:uri="urn:schemas-microsoft-com:office:smarttags" w:element="City">
          <w:r w:rsidRPr="00370E70">
            <w:rPr>
              <w:color w:val="000000"/>
              <w:szCs w:val="22"/>
            </w:rPr>
            <w:t>Gladstone</w:t>
          </w:r>
        </w:smartTag>
      </w:smartTag>
      <w:r w:rsidRPr="00370E70">
        <w:rPr>
          <w:color w:val="000000"/>
          <w:szCs w:val="22"/>
        </w:rPr>
        <w:t>), epiphyte cover peaked in July 2011 to the highest levels recorded for the location (49% cover) (</w:t>
      </w:r>
      <w:r w:rsidRPr="00370E70">
        <w:fldChar w:fldCharType="begin"/>
      </w:r>
      <w:r w:rsidRPr="00370E70">
        <w:instrText xml:space="preserve"> REF _Ref233175302 \h  \* MERGEFORMAT </w:instrText>
      </w:r>
      <w:r w:rsidRPr="00370E70">
        <w:fldChar w:fldCharType="separate"/>
      </w:r>
      <w:r w:rsidR="005B5FD6" w:rsidRPr="00370E70">
        <w:rPr>
          <w:color w:val="000000"/>
          <w:szCs w:val="22"/>
        </w:rPr>
        <w:t xml:space="preserve">Figure </w:t>
      </w:r>
      <w:r w:rsidR="005B5FD6">
        <w:rPr>
          <w:noProof/>
          <w:color w:val="000000"/>
          <w:szCs w:val="22"/>
        </w:rPr>
        <w:t>159</w:t>
      </w:r>
      <w:r w:rsidRPr="00370E70">
        <w:fldChar w:fldCharType="end"/>
      </w:r>
      <w:r w:rsidRPr="00370E70">
        <w:rPr>
          <w:color w:val="000000"/>
          <w:szCs w:val="22"/>
        </w:rPr>
        <w:t xml:space="preserve">). However, this is possibly a seasonal </w:t>
      </w:r>
      <w:r w:rsidR="002C6536" w:rsidRPr="00370E70">
        <w:rPr>
          <w:color w:val="000000"/>
          <w:szCs w:val="22"/>
        </w:rPr>
        <w:t>occurrence</w:t>
      </w:r>
      <w:r w:rsidRPr="00370E70">
        <w:rPr>
          <w:color w:val="000000"/>
          <w:szCs w:val="22"/>
        </w:rPr>
        <w:t xml:space="preserve"> as high abundances are generally observed from Jul - October each year.</w:t>
      </w:r>
    </w:p>
    <w:p w:rsidR="005132EF" w:rsidRPr="00370E70" w:rsidRDefault="007B15AB" w:rsidP="0034068E">
      <w:pPr>
        <w:keepNext/>
        <w:jc w:val="center"/>
        <w:rPr>
          <w:szCs w:val="22"/>
        </w:rPr>
      </w:pPr>
      <w:r>
        <w:rPr>
          <w:noProof/>
          <w:lang w:eastAsia="en-AU"/>
        </w:rPr>
        <w:drawing>
          <wp:inline distT="0" distB="0" distL="0" distR="0">
            <wp:extent cx="4314190" cy="1597025"/>
            <wp:effectExtent l="0" t="0" r="0" b="3175"/>
            <wp:docPr id="207" name="Picture 201" descr="Graph of mean abundance (% cover) of epiphytes and macro-algae at estuary (Gladstone Harbour) seagrass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Graph of mean abundance (% cover) of epiphytes and macro-algae at estuary (Gladstone Harbour) seagrass monitoring sites"/>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4314190" cy="1597025"/>
                    </a:xfrm>
                    <a:prstGeom prst="rect">
                      <a:avLst/>
                    </a:prstGeom>
                    <a:noFill/>
                    <a:ln>
                      <a:noFill/>
                    </a:ln>
                  </pic:spPr>
                </pic:pic>
              </a:graphicData>
            </a:graphic>
          </wp:inline>
        </w:drawing>
      </w:r>
    </w:p>
    <w:p w:rsidR="0064478C" w:rsidRPr="00370E70" w:rsidRDefault="005132EF" w:rsidP="0064478C">
      <w:pPr>
        <w:rPr>
          <w:i/>
          <w:vanish/>
          <w:color w:val="000000"/>
          <w:szCs w:val="22"/>
          <w:specVanish/>
        </w:rPr>
      </w:pPr>
      <w:bookmarkStart w:id="726" w:name="_Ref233175302"/>
      <w:bookmarkStart w:id="727" w:name="_Toc384196506"/>
      <w:bookmarkStart w:id="728" w:name="_Toc232846020"/>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159</w:t>
      </w:r>
      <w:r w:rsidRPr="00370E70">
        <w:rPr>
          <w:color w:val="000000"/>
          <w:szCs w:val="22"/>
        </w:rPr>
        <w:fldChar w:fldCharType="end"/>
      </w:r>
      <w:bookmarkEnd w:id="726"/>
      <w:r w:rsidRPr="00370E70">
        <w:rPr>
          <w:color w:val="000000"/>
          <w:szCs w:val="22"/>
        </w:rPr>
        <w:t xml:space="preserve">. </w:t>
      </w:r>
      <w:r w:rsidRPr="00370E70">
        <w:rPr>
          <w:i/>
          <w:color w:val="000000"/>
          <w:szCs w:val="22"/>
        </w:rPr>
        <w:t xml:space="preserve">Mean abundance (% cover) (± Standard Error) of epiphytes and macro-algae at </w:t>
      </w:r>
      <w:r w:rsidR="005567C5">
        <w:rPr>
          <w:i/>
          <w:color w:val="000000"/>
          <w:szCs w:val="22"/>
        </w:rPr>
        <w:t xml:space="preserve">inshore </w:t>
      </w:r>
      <w:r w:rsidRPr="00370E70">
        <w:rPr>
          <w:i/>
          <w:color w:val="000000"/>
          <w:szCs w:val="22"/>
        </w:rPr>
        <w:t xml:space="preserve">intertidal estuarine </w:t>
      </w:r>
      <w:r w:rsidR="005567C5">
        <w:rPr>
          <w:i/>
          <w:color w:val="000000"/>
          <w:szCs w:val="22"/>
        </w:rPr>
        <w:t xml:space="preserve">habitats </w:t>
      </w:r>
      <w:r w:rsidRPr="00370E70">
        <w:rPr>
          <w:i/>
          <w:color w:val="000000"/>
          <w:szCs w:val="22"/>
        </w:rPr>
        <w:t>(</w:t>
      </w:r>
      <w:smartTag w:uri="urn:schemas-microsoft-com:office:smarttags" w:element="place">
        <w:smartTag w:uri="urn:schemas-microsoft-com:office:smarttags" w:element="PlaceName">
          <w:r w:rsidRPr="00370E70">
            <w:rPr>
              <w:i/>
              <w:color w:val="000000"/>
              <w:szCs w:val="22"/>
            </w:rPr>
            <w:t>Gladstone</w:t>
          </w:r>
        </w:smartTag>
        <w:r w:rsidRPr="00370E70">
          <w:rPr>
            <w:i/>
            <w:color w:val="000000"/>
            <w:szCs w:val="22"/>
          </w:rPr>
          <w:t xml:space="preserve"> </w:t>
        </w:r>
        <w:smartTag w:uri="urn:schemas-microsoft-com:office:smarttags" w:element="PlaceType">
          <w:r w:rsidRPr="00370E70">
            <w:rPr>
              <w:i/>
              <w:color w:val="000000"/>
              <w:szCs w:val="22"/>
            </w:rPr>
            <w:t>Harbour</w:t>
          </w:r>
        </w:smartTag>
      </w:smartTag>
      <w:r w:rsidRPr="00370E70">
        <w:rPr>
          <w:i/>
          <w:color w:val="000000"/>
          <w:szCs w:val="22"/>
        </w:rPr>
        <w:t xml:space="preserve">) </w:t>
      </w:r>
      <w:r w:rsidR="005567C5">
        <w:rPr>
          <w:i/>
        </w:rPr>
        <w:t>in the Fitzroy region</w:t>
      </w:r>
      <w:r w:rsidRPr="00370E70">
        <w:rPr>
          <w:i/>
          <w:color w:val="000000"/>
          <w:szCs w:val="22"/>
        </w:rPr>
        <w:t>.</w:t>
      </w:r>
      <w:bookmarkEnd w:id="727"/>
      <w:r w:rsidRPr="00370E70">
        <w:rPr>
          <w:i/>
          <w:color w:val="000000"/>
          <w:szCs w:val="22"/>
        </w:rPr>
        <w:t xml:space="preserve"> </w:t>
      </w:r>
    </w:p>
    <w:p w:rsidR="0064478C" w:rsidRPr="00370E70" w:rsidRDefault="005132EF" w:rsidP="00034AD4">
      <w:pPr>
        <w:rPr>
          <w:i/>
          <w:color w:val="000000"/>
          <w:szCs w:val="22"/>
        </w:rPr>
      </w:pPr>
      <w:r w:rsidRPr="00370E70">
        <w:rPr>
          <w:i/>
          <w:color w:val="000000"/>
          <w:szCs w:val="22"/>
        </w:rPr>
        <w:t>Red line = GBR long-term average; epiphytes=25%, macro-algae=3.2%.</w:t>
      </w:r>
      <w:bookmarkEnd w:id="728"/>
      <w:r w:rsidR="0064478C" w:rsidRPr="00370E70">
        <w:rPr>
          <w:i/>
          <w:color w:val="000000"/>
          <w:szCs w:val="22"/>
        </w:rPr>
        <w:t xml:space="preserve"> </w:t>
      </w:r>
    </w:p>
    <w:p w:rsidR="005132EF" w:rsidRPr="00370E70" w:rsidRDefault="005132EF" w:rsidP="003F1626">
      <w:pPr>
        <w:rPr>
          <w:color w:val="000000"/>
          <w:szCs w:val="22"/>
        </w:rPr>
      </w:pPr>
      <w:r w:rsidRPr="00370E70">
        <w:rPr>
          <w:color w:val="000000"/>
          <w:szCs w:val="22"/>
        </w:rPr>
        <w:t>At reef sites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epiphyte cover had been declining since early 2009, with </w:t>
      </w:r>
      <w:r w:rsidR="002C6536" w:rsidRPr="00370E70">
        <w:rPr>
          <w:color w:val="000000"/>
          <w:szCs w:val="22"/>
        </w:rPr>
        <w:t>abundances</w:t>
      </w:r>
      <w:r w:rsidRPr="00370E70">
        <w:rPr>
          <w:color w:val="000000"/>
          <w:szCs w:val="22"/>
        </w:rPr>
        <w:t xml:space="preserve"> below the GBR average since early 2010. However in early 2012, abundance increased to just above the GBR average (</w:t>
      </w:r>
      <w:r w:rsidRPr="00370E70">
        <w:fldChar w:fldCharType="begin"/>
      </w:r>
      <w:r w:rsidRPr="00370E70">
        <w:instrText xml:space="preserve"> REF _Ref233175302 \h  \* MERGEFORMAT </w:instrText>
      </w:r>
      <w:r w:rsidRPr="00370E70">
        <w:fldChar w:fldCharType="separate"/>
      </w:r>
      <w:r w:rsidR="005B5FD6" w:rsidRPr="00370E70">
        <w:rPr>
          <w:color w:val="000000"/>
          <w:szCs w:val="22"/>
        </w:rPr>
        <w:t xml:space="preserve">Figure </w:t>
      </w:r>
      <w:r w:rsidR="005B5FD6">
        <w:rPr>
          <w:noProof/>
          <w:color w:val="000000"/>
          <w:szCs w:val="22"/>
        </w:rPr>
        <w:t>159</w:t>
      </w:r>
      <w:r w:rsidRPr="00370E70">
        <w:fldChar w:fldCharType="end"/>
      </w:r>
      <w:r w:rsidRPr="00370E70">
        <w:rPr>
          <w:color w:val="000000"/>
          <w:szCs w:val="22"/>
        </w:rPr>
        <w:t xml:space="preserve">). </w:t>
      </w:r>
      <w:proofErr w:type="gramStart"/>
      <w:r w:rsidRPr="00370E70">
        <w:rPr>
          <w:color w:val="000000"/>
          <w:szCs w:val="22"/>
        </w:rPr>
        <w:t xml:space="preserve">Whether this is a seasonal </w:t>
      </w:r>
      <w:r w:rsidR="002C6536" w:rsidRPr="00370E70">
        <w:rPr>
          <w:color w:val="000000"/>
          <w:szCs w:val="22"/>
        </w:rPr>
        <w:t>occurrence</w:t>
      </w:r>
      <w:r w:rsidRPr="00370E70">
        <w:rPr>
          <w:color w:val="000000"/>
          <w:szCs w:val="22"/>
        </w:rPr>
        <w:t xml:space="preserve"> or a change in trend is currently unknown (</w:t>
      </w:r>
      <w:r w:rsidRPr="00370E70">
        <w:fldChar w:fldCharType="begin"/>
      </w:r>
      <w:r w:rsidRPr="00370E70">
        <w:instrText xml:space="preserve"> REF _Ref211934190 \h  \* MERGEFORMAT </w:instrText>
      </w:r>
      <w:r w:rsidRPr="00370E70">
        <w:fldChar w:fldCharType="separate"/>
      </w:r>
      <w:r w:rsidR="005B5FD6" w:rsidRPr="005B5FD6">
        <w:rPr>
          <w:szCs w:val="22"/>
        </w:rPr>
        <w:t xml:space="preserve">Figure </w:t>
      </w:r>
      <w:r w:rsidR="005B5FD6" w:rsidRPr="005B5FD6">
        <w:rPr>
          <w:noProof/>
          <w:color w:val="000000"/>
          <w:szCs w:val="22"/>
        </w:rPr>
        <w:t>160</w:t>
      </w:r>
      <w:r w:rsidRPr="00370E70">
        <w:fldChar w:fldCharType="end"/>
      </w:r>
      <w:r w:rsidRPr="00370E70">
        <w:rPr>
          <w:color w:val="000000"/>
          <w:szCs w:val="22"/>
        </w:rPr>
        <w:t>).</w:t>
      </w:r>
      <w:proofErr w:type="gramEnd"/>
    </w:p>
    <w:p w:rsidR="005132EF" w:rsidRPr="00370E70" w:rsidRDefault="007B15AB" w:rsidP="0034068E">
      <w:pPr>
        <w:keepNext/>
        <w:jc w:val="center"/>
        <w:rPr>
          <w:szCs w:val="22"/>
        </w:rPr>
      </w:pPr>
      <w:r>
        <w:rPr>
          <w:noProof/>
          <w:lang w:eastAsia="en-AU"/>
        </w:rPr>
        <w:lastRenderedPageBreak/>
        <w:drawing>
          <wp:inline distT="0" distB="0" distL="0" distR="0">
            <wp:extent cx="4314190" cy="1597025"/>
            <wp:effectExtent l="0" t="0" r="0" b="3175"/>
            <wp:docPr id="208" name="Picture 202" descr="Graph of mean abundance (% cover) of epiphytes and macro-algae at reef (Great Keppel Island) seagrass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Graph of mean abundance (% cover) of epiphytes and macro-algae at reef (Great Keppel Island) seagrass monitoring sites"/>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4314190" cy="1597025"/>
                    </a:xfrm>
                    <a:prstGeom prst="rect">
                      <a:avLst/>
                    </a:prstGeom>
                    <a:noFill/>
                    <a:ln>
                      <a:noFill/>
                    </a:ln>
                  </pic:spPr>
                </pic:pic>
              </a:graphicData>
            </a:graphic>
          </wp:inline>
        </w:drawing>
      </w:r>
    </w:p>
    <w:p w:rsidR="0064478C" w:rsidRPr="00370E70" w:rsidRDefault="005132EF" w:rsidP="0064478C">
      <w:pPr>
        <w:pStyle w:val="Caption"/>
        <w:rPr>
          <w:i/>
          <w:vanish/>
          <w:color w:val="000000"/>
          <w:szCs w:val="22"/>
          <w:lang w:val="en-AU"/>
          <w:specVanish/>
        </w:rPr>
      </w:pPr>
      <w:bookmarkStart w:id="729" w:name="_Ref211934190"/>
      <w:bookmarkStart w:id="730" w:name="_Toc384196507"/>
      <w:bookmarkStart w:id="731" w:name="_Toc23284602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160</w:t>
      </w:r>
      <w:r w:rsidRPr="00370E70">
        <w:rPr>
          <w:lang w:val="en-AU"/>
        </w:rPr>
        <w:fldChar w:fldCharType="end"/>
      </w:r>
      <w:bookmarkEnd w:id="729"/>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5567C5">
        <w:rPr>
          <w:i/>
          <w:lang w:val="en-AU"/>
        </w:rPr>
        <w:t>inshore</w:t>
      </w:r>
      <w:r w:rsidRPr="00370E70">
        <w:rPr>
          <w:i/>
          <w:lang w:val="en-AU"/>
        </w:rPr>
        <w:t xml:space="preserve"> intertidal reef </w:t>
      </w:r>
      <w:r w:rsidR="005567C5">
        <w:rPr>
          <w:i/>
          <w:lang w:val="en-AU"/>
        </w:rPr>
        <w:t xml:space="preserve">habitats </w:t>
      </w:r>
      <w:r w:rsidRPr="00370E70">
        <w:rPr>
          <w:i/>
          <w:lang w:val="en-AU"/>
        </w:rPr>
        <w:t>(</w:t>
      </w:r>
      <w:smartTag w:uri="urn:schemas-microsoft-com:office:smarttags" w:element="place">
        <w:smartTag w:uri="urn:schemas-microsoft-com:office:smarttags" w:element="PlaceName">
          <w:r w:rsidRPr="00370E70">
            <w:rPr>
              <w:i/>
              <w:lang w:val="en-AU"/>
            </w:rPr>
            <w:t>Great</w:t>
          </w:r>
        </w:smartTag>
        <w:r w:rsidRPr="00370E70">
          <w:rPr>
            <w:i/>
            <w:lang w:val="en-AU"/>
          </w:rPr>
          <w:t xml:space="preserve"> </w:t>
        </w:r>
        <w:smartTag w:uri="urn:schemas-microsoft-com:office:smarttags" w:element="PlaceName">
          <w:r w:rsidRPr="00370E70">
            <w:rPr>
              <w:i/>
              <w:lang w:val="en-AU"/>
            </w:rPr>
            <w:t>Keppel</w:t>
          </w:r>
        </w:smartTag>
        <w:r w:rsidRPr="00370E70">
          <w:rPr>
            <w:i/>
            <w:lang w:val="en-AU"/>
          </w:rPr>
          <w:t xml:space="preserve"> </w:t>
        </w:r>
        <w:smartTag w:uri="urn:schemas-microsoft-com:office:smarttags" w:element="PlaceType">
          <w:r w:rsidRPr="00370E70">
            <w:rPr>
              <w:i/>
              <w:lang w:val="en-AU"/>
            </w:rPr>
            <w:t>Island</w:t>
          </w:r>
        </w:smartTag>
      </w:smartTag>
      <w:r w:rsidRPr="00370E70">
        <w:rPr>
          <w:i/>
          <w:lang w:val="en-AU"/>
        </w:rPr>
        <w:t xml:space="preserve">) </w:t>
      </w:r>
      <w:r w:rsidR="005567C5">
        <w:rPr>
          <w:i/>
          <w:lang w:val="en-AU"/>
        </w:rPr>
        <w:t>in the Fitzroy region</w:t>
      </w:r>
      <w:r w:rsidRPr="00370E70">
        <w:rPr>
          <w:i/>
          <w:lang w:val="en-AU"/>
        </w:rPr>
        <w:t>.</w:t>
      </w:r>
      <w:bookmarkEnd w:id="730"/>
      <w:r w:rsidRPr="00370E70">
        <w:rPr>
          <w:i/>
          <w:lang w:val="en-AU"/>
        </w:rPr>
        <w:t xml:space="preserve"> </w:t>
      </w:r>
    </w:p>
    <w:p w:rsidR="0064478C" w:rsidRPr="00370E70" w:rsidRDefault="005132EF" w:rsidP="0064478C">
      <w:pPr>
        <w:pStyle w:val="Caption"/>
        <w:rPr>
          <w:lang w:val="en-AU"/>
        </w:rPr>
      </w:pPr>
      <w:r w:rsidRPr="00370E70">
        <w:rPr>
          <w:i/>
          <w:lang w:val="en-AU"/>
        </w:rPr>
        <w:t>Red line = GBR long-term average; epiphytes=28%, macro-algae=6.2%.</w:t>
      </w:r>
      <w:bookmarkEnd w:id="731"/>
      <w:r w:rsidR="0064478C" w:rsidRPr="00370E70">
        <w:rPr>
          <w:i/>
          <w:lang w:val="en-AU"/>
        </w:rPr>
        <w:t xml:space="preserve"> </w:t>
      </w:r>
    </w:p>
    <w:p w:rsidR="005132EF" w:rsidRPr="00370E70" w:rsidRDefault="005132EF" w:rsidP="00034AD4">
      <w:pPr>
        <w:pStyle w:val="Heading4"/>
        <w:rPr>
          <w:b/>
          <w:iCs/>
          <w:color w:val="000000"/>
        </w:rPr>
      </w:pPr>
      <w:bookmarkStart w:id="732" w:name="_Toc232845934"/>
      <w:bookmarkStart w:id="733" w:name="_Toc184102033"/>
      <w:r w:rsidRPr="00370E70">
        <w:rPr>
          <w:b/>
          <w:iCs/>
          <w:color w:val="000000"/>
        </w:rPr>
        <w:t>Within meadow canopy temperature</w:t>
      </w:r>
      <w:bookmarkEnd w:id="732"/>
      <w:bookmarkEnd w:id="733"/>
    </w:p>
    <w:p w:rsidR="005132EF" w:rsidRPr="00370E70" w:rsidRDefault="005132EF" w:rsidP="00034AD4">
      <w:pPr>
        <w:rPr>
          <w:color w:val="000000"/>
          <w:szCs w:val="22"/>
        </w:rPr>
      </w:pPr>
      <w:r w:rsidRPr="00370E70">
        <w:rPr>
          <w:color w:val="000000"/>
          <w:szCs w:val="22"/>
        </w:rPr>
        <w:t>Temperature loggers were successfully deployed at all monitoring sites over the monitoring period (</w:t>
      </w:r>
      <w:r w:rsidRPr="00370E70">
        <w:fldChar w:fldCharType="begin"/>
      </w:r>
      <w:r w:rsidRPr="00370E70">
        <w:instrText xml:space="preserve"> REF _Ref211936038 \h  \* MERGEFORMAT </w:instrText>
      </w:r>
      <w:r w:rsidRPr="00370E70">
        <w:fldChar w:fldCharType="separate"/>
      </w:r>
      <w:r w:rsidR="005B5FD6" w:rsidRPr="005B5FD6">
        <w:rPr>
          <w:szCs w:val="22"/>
        </w:rPr>
        <w:t xml:space="preserve">Figure </w:t>
      </w:r>
      <w:r w:rsidR="005B5FD6">
        <w:rPr>
          <w:noProof/>
          <w:color w:val="000000"/>
          <w:szCs w:val="22"/>
        </w:rPr>
        <w:t>161</w:t>
      </w:r>
      <w:r w:rsidRPr="00370E70">
        <w:fldChar w:fldCharType="end"/>
      </w:r>
      <w:r w:rsidRPr="00370E70">
        <w:rPr>
          <w:color w:val="000000"/>
          <w:szCs w:val="22"/>
        </w:rPr>
        <w:t xml:space="preserve">).  Mean within canopy temperature monitored at </w:t>
      </w:r>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and </w:t>
      </w:r>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r w:rsidRPr="00370E70">
        <w:rPr>
          <w:color w:val="000000"/>
          <w:szCs w:val="22"/>
        </w:rPr>
        <w:t xml:space="preserve"> ranged from 18 - 29°C, while at </w:t>
      </w:r>
      <w:smartTag w:uri="urn:schemas-microsoft-com:office:smarttags" w:element="place">
        <w:smartTag w:uri="urn:schemas-microsoft-com:office:smarttags" w:element="City">
          <w:r w:rsidRPr="00370E70">
            <w:rPr>
              <w:color w:val="000000"/>
              <w:szCs w:val="22"/>
            </w:rPr>
            <w:t>Gladstone</w:t>
          </w:r>
        </w:smartTag>
      </w:smartTag>
      <w:r w:rsidRPr="00370E70">
        <w:rPr>
          <w:color w:val="000000"/>
          <w:szCs w:val="22"/>
        </w:rPr>
        <w:t xml:space="preserve"> harbour it ranged from 17-28°C. The lowest mean temperatures across the region occurred in June/July and highest in January/February. Extreme temperatures (&gt;38) were recorded across the region, with maximum temperatures reaching 39.3°C in </w:t>
      </w:r>
      <w:smartTag w:uri="urn:schemas-microsoft-com:office:smarttags" w:element="place">
        <w:smartTag w:uri="urn:schemas-microsoft-com:office:smarttags" w:element="City">
          <w:r w:rsidRPr="00370E70">
            <w:rPr>
              <w:color w:val="000000"/>
              <w:szCs w:val="22"/>
            </w:rPr>
            <w:t>Gladstone</w:t>
          </w:r>
        </w:smartTag>
      </w:smartTag>
      <w:r w:rsidRPr="00370E70">
        <w:rPr>
          <w:color w:val="000000"/>
          <w:szCs w:val="22"/>
        </w:rPr>
        <w:t xml:space="preserve"> harbour (GH2, March 2012). Temperatures were on average cooler than the previous period in the north of the region by 0.4°C in </w:t>
      </w:r>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and 0.2°C at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Mean within canopy temperatures were 0.2 – 0.4°C cooler across the north of region than the previous two monitoring periods (2009/10 and 2010/11) (</w:t>
      </w:r>
      <w:r w:rsidRPr="00370E70">
        <w:fldChar w:fldCharType="begin"/>
      </w:r>
      <w:r w:rsidRPr="00370E70">
        <w:instrText xml:space="preserve"> REF _Ref211936143 \h  \* MERGEFORMAT </w:instrText>
      </w:r>
      <w:r w:rsidRPr="00370E70">
        <w:fldChar w:fldCharType="separate"/>
      </w:r>
      <w:r w:rsidR="005B5FD6" w:rsidRPr="005B5FD6">
        <w:rPr>
          <w:szCs w:val="22"/>
        </w:rPr>
        <w:t xml:space="preserve">Figure </w:t>
      </w:r>
      <w:r w:rsidR="005B5FD6">
        <w:rPr>
          <w:noProof/>
          <w:color w:val="000000"/>
          <w:szCs w:val="22"/>
        </w:rPr>
        <w:t>162</w:t>
      </w:r>
      <w:r w:rsidRPr="00370E70">
        <w:fldChar w:fldCharType="end"/>
      </w:r>
      <w:r w:rsidRPr="00370E70">
        <w:rPr>
          <w:color w:val="000000"/>
          <w:szCs w:val="22"/>
        </w:rPr>
        <w:t xml:space="preserve">). Mean within canopy temperatures in </w:t>
      </w:r>
      <w:smartTag w:uri="urn:schemas-microsoft-com:office:smarttags" w:element="place">
        <w:smartTag w:uri="urn:schemas-microsoft-com:office:smarttags" w:element="City">
          <w:r w:rsidRPr="00370E70">
            <w:rPr>
              <w:color w:val="000000"/>
              <w:szCs w:val="22"/>
            </w:rPr>
            <w:t>Gladstone</w:t>
          </w:r>
        </w:smartTag>
      </w:smartTag>
      <w:r w:rsidRPr="00370E70">
        <w:rPr>
          <w:color w:val="000000"/>
          <w:szCs w:val="22"/>
        </w:rPr>
        <w:t xml:space="preserve"> were similar to both the pervious period and the long-term (</w:t>
      </w:r>
      <w:r w:rsidRPr="00370E70">
        <w:fldChar w:fldCharType="begin"/>
      </w:r>
      <w:r w:rsidRPr="00370E70">
        <w:instrText xml:space="preserve"> REF _Ref211936143 \h  \* MERGEFORMAT </w:instrText>
      </w:r>
      <w:r w:rsidRPr="00370E70">
        <w:fldChar w:fldCharType="separate"/>
      </w:r>
      <w:r w:rsidR="005B5FD6" w:rsidRPr="005B5FD6">
        <w:rPr>
          <w:szCs w:val="22"/>
        </w:rPr>
        <w:t xml:space="preserve">Figure </w:t>
      </w:r>
      <w:r w:rsidR="005B5FD6">
        <w:rPr>
          <w:noProof/>
          <w:color w:val="000000"/>
          <w:szCs w:val="22"/>
        </w:rPr>
        <w:t>162</w:t>
      </w:r>
      <w:r w:rsidRPr="00370E70">
        <w:fldChar w:fldCharType="end"/>
      </w:r>
      <w:r w:rsidRPr="00370E70">
        <w:rPr>
          <w:color w:val="000000"/>
          <w:szCs w:val="22"/>
        </w:rPr>
        <w:t>).</w:t>
      </w:r>
    </w:p>
    <w:p w:rsidR="005132EF" w:rsidRPr="00370E70" w:rsidRDefault="007B15AB" w:rsidP="00034AD4">
      <w:pPr>
        <w:keepNext/>
        <w:jc w:val="center"/>
        <w:rPr>
          <w:color w:val="000000"/>
        </w:rPr>
      </w:pPr>
      <w:r>
        <w:rPr>
          <w:noProof/>
          <w:color w:val="000000"/>
          <w:lang w:eastAsia="en-AU"/>
        </w:rPr>
        <w:drawing>
          <wp:inline distT="0" distB="0" distL="0" distR="0">
            <wp:extent cx="3593465" cy="3902075"/>
            <wp:effectExtent l="0" t="0" r="6985" b="3175"/>
            <wp:docPr id="209" name="Picture 203" descr="Graph of within seagrass canopy temperature (°C) at coastal (Shoalwater Bay), fringing-reef (Great Keppel Island) and estuarine (Gladstone Harbour) intertidal meadows within the Fitzroy region over the 2011/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Graph of within seagrass canopy temperature (°C) at coastal (Shoalwater Bay), fringing-reef (Great Keppel Island) and estuarine (Gladstone Harbour) intertidal meadows within the Fitzroy region over the 2011/12 monitoring period"/>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3593465" cy="390207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734" w:name="_Ref211936038"/>
      <w:bookmarkStart w:id="735" w:name="_Toc232846023"/>
      <w:bookmarkStart w:id="736" w:name="_Toc384196508"/>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161</w:t>
      </w:r>
      <w:r w:rsidRPr="00370E70">
        <w:rPr>
          <w:color w:val="000000"/>
          <w:szCs w:val="22"/>
          <w:lang w:val="en-AU"/>
        </w:rPr>
        <w:fldChar w:fldCharType="end"/>
      </w:r>
      <w:bookmarkEnd w:id="734"/>
      <w:r w:rsidRPr="00370E70">
        <w:rPr>
          <w:rStyle w:val="StyleCaptionCaptionCharCharLatinCalibri11ptBlackChar"/>
          <w:lang w:val="en-AU"/>
        </w:rPr>
        <w:t xml:space="preserve">. </w:t>
      </w:r>
      <w:r w:rsidRPr="00370E70">
        <w:rPr>
          <w:i/>
          <w:color w:val="000000"/>
          <w:szCs w:val="22"/>
          <w:lang w:val="en-AU"/>
        </w:rPr>
        <w:t xml:space="preserve">Within seagrass canopy temperature (°C) at </w:t>
      </w:r>
      <w:r w:rsidR="005567C5">
        <w:rPr>
          <w:i/>
          <w:color w:val="000000"/>
          <w:szCs w:val="22"/>
          <w:lang w:val="en-AU"/>
        </w:rPr>
        <w:t xml:space="preserve">inshore intertidal </w:t>
      </w:r>
      <w:r w:rsidRPr="00370E70">
        <w:rPr>
          <w:i/>
          <w:color w:val="000000"/>
          <w:szCs w:val="22"/>
          <w:lang w:val="en-AU"/>
        </w:rPr>
        <w:t>coastal (</w:t>
      </w:r>
      <w:smartTag w:uri="urn:schemas-microsoft-com:office:smarttags" w:element="PlaceName">
        <w:r w:rsidRPr="00370E70">
          <w:rPr>
            <w:i/>
            <w:color w:val="000000"/>
            <w:szCs w:val="22"/>
            <w:lang w:val="en-AU"/>
          </w:rPr>
          <w:t>Shoalwater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reef (</w:t>
      </w:r>
      <w:smartTag w:uri="urn:schemas-microsoft-com:office:smarttags" w:element="PlaceName">
        <w:r w:rsidRPr="00370E70">
          <w:rPr>
            <w:i/>
            <w:color w:val="000000"/>
            <w:szCs w:val="22"/>
            <w:lang w:val="en-AU"/>
          </w:rPr>
          <w:t>Great</w:t>
        </w:r>
      </w:smartTag>
      <w:r w:rsidRPr="00370E70">
        <w:rPr>
          <w:i/>
          <w:color w:val="000000"/>
          <w:szCs w:val="22"/>
          <w:lang w:val="en-AU"/>
        </w:rPr>
        <w:t xml:space="preserve"> </w:t>
      </w:r>
      <w:smartTag w:uri="urn:schemas-microsoft-com:office:smarttags" w:element="PlaceName">
        <w:r w:rsidRPr="00370E70">
          <w:rPr>
            <w:i/>
            <w:color w:val="000000"/>
            <w:szCs w:val="22"/>
            <w:lang w:val="en-AU"/>
          </w:rPr>
          <w:t>Keppel</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and estuarine (</w:t>
      </w:r>
      <w:smartTag w:uri="urn:schemas-microsoft-com:office:smarttags" w:element="place">
        <w:smartTag w:uri="urn:schemas-microsoft-com:office:smarttags" w:element="PlaceName">
          <w:r w:rsidRPr="00370E70">
            <w:rPr>
              <w:i/>
              <w:color w:val="000000"/>
              <w:szCs w:val="22"/>
              <w:lang w:val="en-AU"/>
            </w:rPr>
            <w:t>Gladstone</w:t>
          </w:r>
        </w:smartTag>
        <w:r w:rsidRPr="00370E70">
          <w:rPr>
            <w:i/>
            <w:color w:val="000000"/>
            <w:szCs w:val="22"/>
            <w:lang w:val="en-AU"/>
          </w:rPr>
          <w:t xml:space="preserve"> </w:t>
        </w:r>
        <w:smartTag w:uri="urn:schemas-microsoft-com:office:smarttags" w:element="PlaceType">
          <w:r w:rsidRPr="00370E70">
            <w:rPr>
              <w:i/>
              <w:color w:val="000000"/>
              <w:szCs w:val="22"/>
              <w:lang w:val="en-AU"/>
            </w:rPr>
            <w:t>Harbour</w:t>
          </w:r>
        </w:smartTag>
      </w:smartTag>
      <w:r w:rsidRPr="00370E70">
        <w:rPr>
          <w:i/>
          <w:color w:val="000000"/>
          <w:szCs w:val="22"/>
          <w:lang w:val="en-AU"/>
        </w:rPr>
        <w:t xml:space="preserve">) </w:t>
      </w:r>
      <w:r w:rsidR="005567C5">
        <w:rPr>
          <w:i/>
          <w:color w:val="000000"/>
          <w:szCs w:val="22"/>
          <w:lang w:val="en-AU"/>
        </w:rPr>
        <w:t>habitats</w:t>
      </w:r>
      <w:r w:rsidRPr="00370E70">
        <w:rPr>
          <w:i/>
          <w:color w:val="000000"/>
          <w:szCs w:val="22"/>
          <w:lang w:val="en-AU"/>
        </w:rPr>
        <w:t xml:space="preserve"> in the Fitzroy region over the 2011/12 monitoring period.</w:t>
      </w:r>
      <w:bookmarkEnd w:id="735"/>
      <w:bookmarkEnd w:id="736"/>
    </w:p>
    <w:p w:rsidR="005132EF" w:rsidRPr="00370E70" w:rsidRDefault="007B15AB" w:rsidP="00034AD4">
      <w:pPr>
        <w:keepNext/>
        <w:jc w:val="center"/>
      </w:pPr>
      <w:r>
        <w:rPr>
          <w:noProof/>
          <w:lang w:eastAsia="en-AU"/>
        </w:rPr>
        <w:lastRenderedPageBreak/>
        <w:drawing>
          <wp:inline distT="0" distB="0" distL="0" distR="0">
            <wp:extent cx="3593465" cy="2962275"/>
            <wp:effectExtent l="0" t="0" r="6985" b="9525"/>
            <wp:docPr id="210" name="Picture 204" descr="Graph showing long-term trend in monthly mean and maximum within seagrass canopy temperature (°C) at intertidal meadows in coastal (Shoalwater Bay), fringing-reef (Great Keppel Island) and estuary (Gladstone Harbour) monitoring habitats with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Graph showing long-term trend in monthly mean and maximum within seagrass canopy temperature (°C) at intertidal meadows in coastal (Shoalwater Bay), fringing-reef (Great Keppel Island) and estuary (Gladstone Harbour) monitoring habitats within the Fitzroy region"/>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3593465" cy="2962275"/>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737" w:name="_Ref211936143"/>
      <w:bookmarkStart w:id="738" w:name="_Toc232846024"/>
      <w:bookmarkStart w:id="739" w:name="_Toc38419650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162</w:t>
      </w:r>
      <w:r w:rsidRPr="00370E70">
        <w:rPr>
          <w:color w:val="000000"/>
          <w:szCs w:val="22"/>
          <w:lang w:val="en-AU"/>
        </w:rPr>
        <w:fldChar w:fldCharType="end"/>
      </w:r>
      <w:bookmarkEnd w:id="737"/>
      <w:r w:rsidRPr="00370E70">
        <w:rPr>
          <w:rStyle w:val="StyleCaptionCaptionCharCharLatinCalibri11ptBlackChar"/>
          <w:lang w:val="en-AU"/>
        </w:rPr>
        <w:t xml:space="preserve">. </w:t>
      </w:r>
      <w:r w:rsidRPr="00370E70">
        <w:rPr>
          <w:i/>
          <w:color w:val="000000"/>
          <w:szCs w:val="22"/>
          <w:lang w:val="en-AU"/>
        </w:rPr>
        <w:t xml:space="preserve">Monthly mean and maximum within seagrass canopy temperature (°C) at </w:t>
      </w:r>
      <w:r w:rsidR="005567C5">
        <w:rPr>
          <w:i/>
          <w:color w:val="000000"/>
          <w:szCs w:val="22"/>
          <w:lang w:val="en-AU"/>
        </w:rPr>
        <w:t xml:space="preserve">inshore </w:t>
      </w:r>
      <w:r w:rsidRPr="00370E70">
        <w:rPr>
          <w:i/>
          <w:color w:val="000000"/>
          <w:szCs w:val="22"/>
          <w:lang w:val="en-AU"/>
        </w:rPr>
        <w:t>intertidal coastal (</w:t>
      </w:r>
      <w:smartTag w:uri="urn:schemas-microsoft-com:office:smarttags" w:element="PlaceName">
        <w:r w:rsidRPr="00370E70">
          <w:rPr>
            <w:i/>
            <w:color w:val="000000"/>
            <w:szCs w:val="22"/>
            <w:lang w:val="en-AU"/>
          </w:rPr>
          <w:t>Shoalwater</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r w:rsidRPr="00370E70">
        <w:rPr>
          <w:i/>
          <w:color w:val="000000"/>
          <w:szCs w:val="22"/>
          <w:lang w:val="en-AU"/>
        </w:rPr>
        <w:t>), reef (</w:t>
      </w:r>
      <w:smartTag w:uri="urn:schemas-microsoft-com:office:smarttags" w:element="PlaceName">
        <w:r w:rsidRPr="00370E70">
          <w:rPr>
            <w:i/>
            <w:color w:val="000000"/>
            <w:szCs w:val="22"/>
            <w:lang w:val="en-AU"/>
          </w:rPr>
          <w:t>Great</w:t>
        </w:r>
      </w:smartTag>
      <w:r w:rsidRPr="00370E70">
        <w:rPr>
          <w:i/>
          <w:color w:val="000000"/>
          <w:szCs w:val="22"/>
          <w:lang w:val="en-AU"/>
        </w:rPr>
        <w:t xml:space="preserve"> </w:t>
      </w:r>
      <w:smartTag w:uri="urn:schemas-microsoft-com:office:smarttags" w:element="PlaceName">
        <w:r w:rsidRPr="00370E70">
          <w:rPr>
            <w:i/>
            <w:color w:val="000000"/>
            <w:szCs w:val="22"/>
            <w:lang w:val="en-AU"/>
          </w:rPr>
          <w:t>Keppel</w:t>
        </w:r>
      </w:smartTag>
      <w:r w:rsidRPr="00370E70">
        <w:rPr>
          <w:i/>
          <w:color w:val="000000"/>
          <w:szCs w:val="22"/>
          <w:lang w:val="en-AU"/>
        </w:rPr>
        <w:t xml:space="preserve"> </w:t>
      </w:r>
      <w:smartTag w:uri="urn:schemas-microsoft-com:office:smarttags" w:element="PlaceType">
        <w:r w:rsidRPr="00370E70">
          <w:rPr>
            <w:i/>
            <w:color w:val="000000"/>
            <w:szCs w:val="22"/>
            <w:lang w:val="en-AU"/>
          </w:rPr>
          <w:t>Island</w:t>
        </w:r>
      </w:smartTag>
      <w:r w:rsidRPr="00370E70">
        <w:rPr>
          <w:i/>
          <w:color w:val="000000"/>
          <w:szCs w:val="22"/>
          <w:lang w:val="en-AU"/>
        </w:rPr>
        <w:t>) and estuary (</w:t>
      </w:r>
      <w:smartTag w:uri="urn:schemas-microsoft-com:office:smarttags" w:element="place">
        <w:smartTag w:uri="urn:schemas-microsoft-com:office:smarttags" w:element="PlaceName">
          <w:r w:rsidRPr="00370E70">
            <w:rPr>
              <w:i/>
              <w:color w:val="000000"/>
              <w:szCs w:val="22"/>
              <w:lang w:val="en-AU"/>
            </w:rPr>
            <w:t>Gladstone</w:t>
          </w:r>
        </w:smartTag>
        <w:r w:rsidRPr="00370E70">
          <w:rPr>
            <w:i/>
            <w:color w:val="000000"/>
            <w:szCs w:val="22"/>
            <w:lang w:val="en-AU"/>
          </w:rPr>
          <w:t xml:space="preserve"> </w:t>
        </w:r>
        <w:smartTag w:uri="urn:schemas-microsoft-com:office:smarttags" w:element="PlaceType">
          <w:r w:rsidRPr="00370E70">
            <w:rPr>
              <w:i/>
              <w:color w:val="000000"/>
              <w:szCs w:val="22"/>
              <w:lang w:val="en-AU"/>
            </w:rPr>
            <w:t>Harbour</w:t>
          </w:r>
        </w:smartTag>
      </w:smartTag>
      <w:r w:rsidRPr="00370E70">
        <w:rPr>
          <w:i/>
          <w:color w:val="000000"/>
          <w:szCs w:val="22"/>
          <w:lang w:val="en-AU"/>
        </w:rPr>
        <w:t>) habitats within the Fitzroy region.</w:t>
      </w:r>
      <w:bookmarkEnd w:id="738"/>
      <w:bookmarkEnd w:id="739"/>
    </w:p>
    <w:p w:rsidR="005132EF" w:rsidRPr="00370E70" w:rsidRDefault="005132EF" w:rsidP="00034AD4">
      <w:pPr>
        <w:pStyle w:val="Heading4"/>
        <w:rPr>
          <w:b/>
          <w:iCs/>
          <w:color w:val="000000"/>
        </w:rPr>
      </w:pPr>
      <w:bookmarkStart w:id="740" w:name="_Toc184102034"/>
      <w:r w:rsidRPr="00370E70">
        <w:rPr>
          <w:b/>
          <w:iCs/>
          <w:color w:val="000000"/>
        </w:rPr>
        <w:t>Canopy incident light</w:t>
      </w:r>
      <w:bookmarkEnd w:id="740"/>
    </w:p>
    <w:p w:rsidR="005132EF" w:rsidRPr="00370E70" w:rsidRDefault="005132EF" w:rsidP="00034AD4">
      <w:pPr>
        <w:rPr>
          <w:color w:val="000000"/>
          <w:szCs w:val="22"/>
        </w:rPr>
      </w:pPr>
      <w:bookmarkStart w:id="741" w:name="_Ref145422787"/>
      <w:smartTag w:uri="urn:schemas-microsoft-com:office:smarttags" w:element="place">
        <w:smartTag w:uri="urn:schemas-microsoft-com:office:smarttags" w:element="PlaceName">
          <w:r w:rsidRPr="00370E70">
            <w:rPr>
              <w:color w:val="000000"/>
              <w:szCs w:val="22"/>
            </w:rPr>
            <w:t>Shoalwater</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has the highest I</w:t>
      </w:r>
      <w:r w:rsidRPr="00370E70">
        <w:rPr>
          <w:color w:val="000000"/>
          <w:szCs w:val="22"/>
          <w:vertAlign w:val="subscript"/>
        </w:rPr>
        <w:t xml:space="preserve">d </w:t>
      </w:r>
      <w:r w:rsidRPr="00370E70">
        <w:rPr>
          <w:color w:val="000000"/>
          <w:szCs w:val="22"/>
        </w:rPr>
        <w:t>of all GBR sites being, on average 20.3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t>
      </w:r>
      <w:proofErr w:type="gramStart"/>
      <w:r w:rsidRPr="00370E70">
        <w:rPr>
          <w:color w:val="000000"/>
          <w:szCs w:val="22"/>
        </w:rPr>
        <w:t>High canopy light levels continued through the 2011/12 (average 20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with a decline occurring in early 2012</w:t>
      </w:r>
      <w:r w:rsidR="0064478C" w:rsidRPr="00370E70">
        <w:rPr>
          <w:color w:val="000000"/>
          <w:szCs w:val="22"/>
        </w:rPr>
        <w:t xml:space="preserve"> (</w:t>
      </w:r>
      <w:r w:rsidR="0064478C" w:rsidRPr="00370E70">
        <w:rPr>
          <w:color w:val="000000"/>
          <w:szCs w:val="22"/>
        </w:rPr>
        <w:fldChar w:fldCharType="begin"/>
      </w:r>
      <w:r w:rsidR="0064478C" w:rsidRPr="00370E70">
        <w:rPr>
          <w:color w:val="000000"/>
          <w:szCs w:val="22"/>
        </w:rPr>
        <w:instrText xml:space="preserve"> REF _Ref382592154 \h </w:instrText>
      </w:r>
      <w:r w:rsidR="0064478C" w:rsidRPr="00370E70">
        <w:rPr>
          <w:color w:val="000000"/>
          <w:szCs w:val="22"/>
        </w:rPr>
      </w:r>
      <w:r w:rsidR="0064478C" w:rsidRPr="00370E70">
        <w:rPr>
          <w:color w:val="000000"/>
          <w:szCs w:val="22"/>
        </w:rPr>
        <w:fldChar w:fldCharType="separate"/>
      </w:r>
      <w:r w:rsidR="005B5FD6" w:rsidRPr="00370E70">
        <w:t xml:space="preserve">Figure </w:t>
      </w:r>
      <w:r w:rsidR="005B5FD6">
        <w:rPr>
          <w:noProof/>
        </w:rPr>
        <w:t>163</w:t>
      </w:r>
      <w:r w:rsidR="0064478C" w:rsidRPr="00370E70">
        <w:rPr>
          <w:color w:val="000000"/>
          <w:szCs w:val="22"/>
        </w:rPr>
        <w:fldChar w:fldCharType="end"/>
      </w:r>
      <w:r w:rsidR="0064478C" w:rsidRPr="00370E70">
        <w:rPr>
          <w:color w:val="000000"/>
          <w:szCs w:val="22"/>
        </w:rPr>
        <w:t>)</w:t>
      </w:r>
      <w:r w:rsidRPr="00370E70">
        <w:rPr>
          <w:color w:val="000000"/>
          <w:szCs w:val="22"/>
        </w:rPr>
        <w:t>.</w:t>
      </w:r>
      <w:proofErr w:type="gramEnd"/>
      <w:r w:rsidRPr="00370E70">
        <w:rPr>
          <w:color w:val="000000"/>
          <w:szCs w:val="22"/>
        </w:rPr>
        <w:t xml:space="preserve"> Seagrass abundance declined in 2009 and 2010 and although I</w:t>
      </w:r>
      <w:r w:rsidRPr="00370E70">
        <w:rPr>
          <w:color w:val="000000"/>
          <w:szCs w:val="22"/>
          <w:vertAlign w:val="subscript"/>
        </w:rPr>
        <w:t xml:space="preserve">d </w:t>
      </w:r>
      <w:r w:rsidRPr="00370E70">
        <w:rPr>
          <w:color w:val="000000"/>
          <w:szCs w:val="22"/>
        </w:rPr>
        <w:t>do not exist for the whole of that period, I</w:t>
      </w:r>
      <w:r w:rsidRPr="00370E70">
        <w:rPr>
          <w:color w:val="000000"/>
          <w:szCs w:val="22"/>
          <w:vertAlign w:val="subscript"/>
        </w:rPr>
        <w:t>d</w:t>
      </w:r>
      <w:r w:rsidRPr="00370E70">
        <w:rPr>
          <w:color w:val="000000"/>
          <w:szCs w:val="22"/>
        </w:rPr>
        <w:t xml:space="preserve"> is unlikely to correlate with declines given the generally high values at this site.  I</w:t>
      </w:r>
      <w:r w:rsidRPr="00370E70">
        <w:rPr>
          <w:color w:val="000000"/>
          <w:szCs w:val="22"/>
          <w:vertAlign w:val="subscript"/>
        </w:rPr>
        <w:t>d</w:t>
      </w:r>
      <w:r w:rsidRPr="00370E70">
        <w:rPr>
          <w:color w:val="000000"/>
          <w:szCs w:val="22"/>
        </w:rPr>
        <w:t xml:space="preserve"> at </w:t>
      </w:r>
      <w:smartTag w:uri="urn:schemas-microsoft-com:office:smarttags" w:element="place">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color w:val="000000"/>
          <w:szCs w:val="22"/>
        </w:rPr>
        <w:t xml:space="preserve"> has remained largely above MLR, with average I</w:t>
      </w:r>
      <w:r w:rsidRPr="00370E70">
        <w:rPr>
          <w:color w:val="000000"/>
          <w:szCs w:val="22"/>
          <w:vertAlign w:val="subscript"/>
        </w:rPr>
        <w:t xml:space="preserve">d </w:t>
      </w:r>
      <w:r w:rsidRPr="00370E70">
        <w:rPr>
          <w:color w:val="000000"/>
          <w:szCs w:val="22"/>
        </w:rPr>
        <w:t>being 14.9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There is insufficient data for the 2011/12 period to assess incident light levels.  At Pelican Banks in </w:t>
      </w:r>
      <w:smartTag w:uri="urn:schemas-microsoft-com:office:smarttags" w:element="place">
        <w:smartTag w:uri="urn:schemas-microsoft-com:office:smarttags" w:element="PlaceName">
          <w:r w:rsidRPr="00370E70">
            <w:rPr>
              <w:color w:val="000000"/>
              <w:szCs w:val="22"/>
            </w:rPr>
            <w:t>Gladstone</w:t>
          </w:r>
        </w:smartTag>
        <w:r w:rsidRPr="00370E70">
          <w:rPr>
            <w:color w:val="000000"/>
            <w:szCs w:val="22"/>
          </w:rPr>
          <w:t xml:space="preserve"> </w:t>
        </w:r>
        <w:smartTag w:uri="urn:schemas-microsoft-com:office:smarttags" w:element="PlaceType">
          <w:r w:rsidRPr="00370E70">
            <w:rPr>
              <w:color w:val="000000"/>
              <w:szCs w:val="22"/>
            </w:rPr>
            <w:t>Harbour</w:t>
          </w:r>
        </w:smartTag>
      </w:smartTag>
      <w:r w:rsidRPr="00370E70">
        <w:rPr>
          <w:color w:val="000000"/>
          <w:szCs w:val="22"/>
        </w:rPr>
        <w:t>, there is again insufficient light data for 2011/12</w:t>
      </w:r>
    </w:p>
    <w:bookmarkEnd w:id="741"/>
    <w:p w:rsidR="005132EF" w:rsidRPr="00370E70" w:rsidRDefault="007B15AB" w:rsidP="0064478C">
      <w:pPr>
        <w:pStyle w:val="Heading4"/>
        <w:spacing w:before="120" w:after="0"/>
        <w:jc w:val="center"/>
      </w:pPr>
      <w:r>
        <w:rPr>
          <w:noProof/>
        </w:rPr>
        <w:drawing>
          <wp:inline distT="0" distB="0" distL="0" distR="0">
            <wp:extent cx="3593465" cy="1365250"/>
            <wp:effectExtent l="0" t="0" r="0" b="6350"/>
            <wp:docPr id="211" name="Picture 211" descr="Graph of daily light (28 day rolling average) at coastal (Shoalwater Bay) habitat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Graph of daily light (28 day rolling average) at coastal (Shoalwater Bay) habitats in the Fitzroy region"/>
                    <pic:cNvPicPr>
                      <a:picLocks noChangeAspect="1" noChangeArrowheads="1"/>
                    </pic:cNvPicPr>
                  </pic:nvPicPr>
                  <pic:blipFill>
                    <a:blip r:embed="rId237">
                      <a:extLst>
                        <a:ext uri="{28A0092B-C50C-407E-A947-70E740481C1C}">
                          <a14:useLocalDpi xmlns:a14="http://schemas.microsoft.com/office/drawing/2010/main" val="0"/>
                        </a:ext>
                      </a:extLst>
                    </a:blip>
                    <a:srcRect b="11194"/>
                    <a:stretch>
                      <a:fillRect/>
                    </a:stretch>
                  </pic:blipFill>
                  <pic:spPr bwMode="auto">
                    <a:xfrm>
                      <a:off x="0" y="0"/>
                      <a:ext cx="3593465" cy="1365250"/>
                    </a:xfrm>
                    <a:prstGeom prst="rect">
                      <a:avLst/>
                    </a:prstGeom>
                    <a:noFill/>
                    <a:ln>
                      <a:noFill/>
                    </a:ln>
                  </pic:spPr>
                </pic:pic>
              </a:graphicData>
            </a:graphic>
          </wp:inline>
        </w:drawing>
      </w:r>
    </w:p>
    <w:p w:rsidR="005132EF" w:rsidRPr="00370E70" w:rsidRDefault="007B15AB" w:rsidP="0064478C">
      <w:pPr>
        <w:spacing w:before="0" w:after="0"/>
        <w:jc w:val="center"/>
      </w:pPr>
      <w:r>
        <w:rPr>
          <w:noProof/>
          <w:lang w:eastAsia="en-AU"/>
        </w:rPr>
        <w:drawing>
          <wp:inline distT="0" distB="0" distL="0" distR="0">
            <wp:extent cx="3593465" cy="1429385"/>
            <wp:effectExtent l="0" t="0" r="0" b="0"/>
            <wp:docPr id="212" name="Picture 212" descr="Graph of daily light (28 day rolling average) at estuary (Pelican Banks) habitat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Graph of daily light (28 day rolling average) at estuary (Pelican Banks) habitats in the Fitzroy region"/>
                    <pic:cNvPicPr>
                      <a:picLocks noChangeAspect="1" noChangeArrowheads="1"/>
                    </pic:cNvPicPr>
                  </pic:nvPicPr>
                  <pic:blipFill>
                    <a:blip r:embed="rId238">
                      <a:extLst>
                        <a:ext uri="{28A0092B-C50C-407E-A947-70E740481C1C}">
                          <a14:useLocalDpi xmlns:a14="http://schemas.microsoft.com/office/drawing/2010/main" val="0"/>
                        </a:ext>
                      </a:extLst>
                    </a:blip>
                    <a:srcRect t="2238"/>
                    <a:stretch>
                      <a:fillRect/>
                    </a:stretch>
                  </pic:blipFill>
                  <pic:spPr bwMode="auto">
                    <a:xfrm>
                      <a:off x="0" y="0"/>
                      <a:ext cx="3593465" cy="1429385"/>
                    </a:xfrm>
                    <a:prstGeom prst="rect">
                      <a:avLst/>
                    </a:prstGeom>
                    <a:noFill/>
                    <a:ln>
                      <a:noFill/>
                    </a:ln>
                  </pic:spPr>
                </pic:pic>
              </a:graphicData>
            </a:graphic>
          </wp:inline>
        </w:drawing>
      </w:r>
    </w:p>
    <w:p w:rsidR="0064478C" w:rsidRPr="00370E70" w:rsidRDefault="0064478C" w:rsidP="0064478C">
      <w:pPr>
        <w:pStyle w:val="Caption"/>
        <w:rPr>
          <w:i/>
          <w:vanish/>
          <w:lang w:val="en-AU"/>
          <w:specVanish/>
        </w:rPr>
      </w:pPr>
      <w:bookmarkStart w:id="742" w:name="_Ref382592154"/>
      <w:bookmarkStart w:id="743" w:name="_Toc384196510"/>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163</w:t>
      </w:r>
      <w:r w:rsidRPr="00370E70">
        <w:rPr>
          <w:lang w:val="en-AU"/>
        </w:rPr>
        <w:fldChar w:fldCharType="end"/>
      </w:r>
      <w:bookmarkEnd w:id="742"/>
      <w:r w:rsidRPr="00370E70">
        <w:rPr>
          <w:lang w:val="en-AU"/>
        </w:rPr>
        <w:t xml:space="preserve">. </w:t>
      </w:r>
      <w:r w:rsidRPr="00370E70">
        <w:rPr>
          <w:i/>
          <w:lang w:val="en-AU"/>
        </w:rPr>
        <w:t xml:space="preserve">Daily light (28 day rolling average) at </w:t>
      </w:r>
      <w:r w:rsidR="005567C5">
        <w:rPr>
          <w:i/>
          <w:lang w:val="en-AU"/>
        </w:rPr>
        <w:t xml:space="preserve">inshore intertidal </w:t>
      </w:r>
      <w:r w:rsidRPr="00370E70">
        <w:rPr>
          <w:i/>
          <w:lang w:val="en-AU"/>
        </w:rPr>
        <w:t>coastal (</w:t>
      </w:r>
      <w:smartTag w:uri="urn:schemas-microsoft-com:office:smarttags" w:element="place">
        <w:smartTag w:uri="urn:schemas-microsoft-com:office:smarttags" w:element="PlaceName">
          <w:r w:rsidRPr="00370E70">
            <w:rPr>
              <w:i/>
              <w:lang w:val="en-AU"/>
            </w:rPr>
            <w:t>Shoalwater</w:t>
          </w:r>
        </w:smartTag>
        <w:r w:rsidRPr="00370E70">
          <w:rPr>
            <w:i/>
            <w:lang w:val="en-AU"/>
          </w:rPr>
          <w:t xml:space="preserve"> </w:t>
        </w:r>
        <w:smartTag w:uri="urn:schemas-microsoft-com:office:smarttags" w:element="PlaceType">
          <w:r w:rsidRPr="00370E70">
            <w:rPr>
              <w:i/>
              <w:lang w:val="en-AU"/>
            </w:rPr>
            <w:t>Bay</w:t>
          </w:r>
        </w:smartTag>
      </w:smartTag>
      <w:r w:rsidR="00FC3CE1" w:rsidRPr="00370E70">
        <w:rPr>
          <w:i/>
          <w:lang w:val="en-AU"/>
        </w:rPr>
        <w:t>) and estuary (</w:t>
      </w:r>
      <w:r w:rsidRPr="00370E70">
        <w:rPr>
          <w:i/>
          <w:lang w:val="en-AU"/>
        </w:rPr>
        <w:t xml:space="preserve">Pelican Banks) </w:t>
      </w:r>
      <w:r w:rsidR="00FC3CE1" w:rsidRPr="00370E70">
        <w:rPr>
          <w:i/>
          <w:lang w:val="en-AU"/>
        </w:rPr>
        <w:t xml:space="preserve">habitats </w:t>
      </w:r>
      <w:r w:rsidRPr="00370E70">
        <w:rPr>
          <w:i/>
          <w:lang w:val="en-AU"/>
        </w:rPr>
        <w:t>in the Fitzroy region</w:t>
      </w:r>
      <w:bookmarkEnd w:id="743"/>
    </w:p>
    <w:p w:rsidR="0064478C" w:rsidRPr="00370E70" w:rsidRDefault="0064478C" w:rsidP="0064478C">
      <w:pPr>
        <w:pStyle w:val="Caption"/>
        <w:rPr>
          <w:lang w:val="en-AU"/>
        </w:rPr>
      </w:pPr>
      <w:r w:rsidRPr="00370E70">
        <w:rPr>
          <w:i/>
          <w:lang w:val="en-AU"/>
        </w:rPr>
        <w:t>, also showing approximate light threshold required for positive growth in Zostera muelleri dominated communities in the southern GBR (6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w:t>
      </w:r>
      <w:hyperlink w:anchor="_ENREF_33" w:tooltip="Chartrand, 2012 #9309" w:history="1">
        <w:r w:rsidR="00964A70" w:rsidRPr="00370E70">
          <w:rPr>
            <w:i/>
            <w:lang w:val="en-AU"/>
          </w:rPr>
          <w:fldChar w:fldCharType="begin"/>
        </w:r>
        <w:r w:rsidR="00964A70" w:rsidRPr="00370E70">
          <w:rPr>
            <w:i/>
            <w:lang w:val="en-AU"/>
          </w:rPr>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i/>
            <w:lang w:val="en-AU"/>
          </w:rPr>
          <w:fldChar w:fldCharType="separate"/>
        </w:r>
        <w:r w:rsidR="00964A70" w:rsidRPr="00370E70">
          <w:rPr>
            <w:i/>
            <w:noProof/>
            <w:lang w:val="en-AU"/>
          </w:rPr>
          <w:t>Chartrand, et al. 2012</w:t>
        </w:r>
        <w:r w:rsidR="00964A70" w:rsidRPr="00370E70">
          <w:rPr>
            <w:i/>
            <w:lang w:val="en-AU"/>
          </w:rPr>
          <w:fldChar w:fldCharType="end"/>
        </w:r>
      </w:hyperlink>
      <w:r w:rsidRPr="00370E70">
        <w:rPr>
          <w:i/>
          <w:lang w:val="en-AU"/>
        </w:rPr>
        <w:t>). NB threshold is based on 2 week average.</w:t>
      </w:r>
      <w:r w:rsidRPr="00370E70">
        <w:rPr>
          <w:lang w:val="en-AU"/>
        </w:rPr>
        <w:t xml:space="preserve"> </w:t>
      </w:r>
    </w:p>
    <w:p w:rsidR="005132EF" w:rsidRPr="00370E70" w:rsidRDefault="007B15AB" w:rsidP="0064478C">
      <w:pPr>
        <w:pStyle w:val="Caption"/>
        <w:jc w:val="center"/>
        <w:rPr>
          <w:szCs w:val="22"/>
          <w:lang w:val="en-AU"/>
        </w:rPr>
      </w:pPr>
      <w:r>
        <w:rPr>
          <w:noProof/>
          <w:szCs w:val="22"/>
          <w:lang w:val="en-AU" w:eastAsia="en-AU"/>
        </w:rPr>
        <w:lastRenderedPageBreak/>
        <w:drawing>
          <wp:inline distT="0" distB="0" distL="0" distR="0">
            <wp:extent cx="4314190" cy="1841500"/>
            <wp:effectExtent l="0" t="0" r="0" b="0"/>
            <wp:docPr id="213" name="Picture 213" descr="Graph of daily light (28 day rolling average) at reef (Great Keppel Island) habitat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Graph of daily light (28 day rolling average) at reef (Great Keppel Island) habitats in the Fitzroy region"/>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4314190" cy="1841500"/>
                    </a:xfrm>
                    <a:prstGeom prst="rect">
                      <a:avLst/>
                    </a:prstGeom>
                    <a:noFill/>
                    <a:ln>
                      <a:noFill/>
                    </a:ln>
                  </pic:spPr>
                </pic:pic>
              </a:graphicData>
            </a:graphic>
          </wp:inline>
        </w:drawing>
      </w:r>
    </w:p>
    <w:p w:rsidR="00FC3CE1" w:rsidRPr="00370E70" w:rsidRDefault="00FC3CE1" w:rsidP="00FC3CE1">
      <w:pPr>
        <w:pStyle w:val="Caption"/>
        <w:rPr>
          <w:i/>
          <w:vanish/>
          <w:lang w:val="en-AU"/>
          <w:specVanish/>
        </w:rPr>
      </w:pPr>
      <w:bookmarkStart w:id="744" w:name="_Toc384196511"/>
      <w:r w:rsidRPr="00370E70">
        <w:rP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164</w:t>
      </w:r>
      <w:r w:rsidRPr="00370E70">
        <w:rPr>
          <w:lang w:val="en-AU"/>
        </w:rPr>
        <w:fldChar w:fldCharType="end"/>
      </w:r>
      <w:r w:rsidRPr="00370E70">
        <w:rPr>
          <w:lang w:val="en-AU"/>
        </w:rPr>
        <w:t>.</w:t>
      </w:r>
      <w:r w:rsidR="005132EF" w:rsidRPr="00370E70">
        <w:rPr>
          <w:lang w:val="en-AU"/>
        </w:rPr>
        <w:t xml:space="preserve"> </w:t>
      </w:r>
      <w:r w:rsidRPr="00370E70">
        <w:rPr>
          <w:i/>
          <w:lang w:val="en-AU"/>
        </w:rPr>
        <w:t xml:space="preserve">Daily light (28 </w:t>
      </w:r>
      <w:r w:rsidR="005132EF" w:rsidRPr="00370E70">
        <w:rPr>
          <w:i/>
          <w:lang w:val="en-AU"/>
        </w:rPr>
        <w:t xml:space="preserve">day rolling average) at </w:t>
      </w:r>
      <w:r w:rsidR="005567C5">
        <w:rPr>
          <w:i/>
          <w:lang w:val="en-AU"/>
        </w:rPr>
        <w:t xml:space="preserve">inshore </w:t>
      </w:r>
      <w:r w:rsidR="005567C5" w:rsidRPr="00370E70">
        <w:rPr>
          <w:i/>
          <w:lang w:val="en-AU"/>
        </w:rPr>
        <w:t xml:space="preserve">intertidal </w:t>
      </w:r>
      <w:r w:rsidR="005132EF" w:rsidRPr="00370E70">
        <w:rPr>
          <w:i/>
          <w:lang w:val="en-AU"/>
        </w:rPr>
        <w:t xml:space="preserve">reef </w:t>
      </w:r>
      <w:r w:rsidR="005567C5">
        <w:rPr>
          <w:i/>
          <w:lang w:val="en-AU"/>
        </w:rPr>
        <w:t xml:space="preserve">habitats </w:t>
      </w:r>
      <w:r w:rsidR="005132EF" w:rsidRPr="00370E70">
        <w:rPr>
          <w:i/>
          <w:lang w:val="en-AU"/>
        </w:rPr>
        <w:t>(</w:t>
      </w:r>
      <w:smartTag w:uri="urn:schemas-microsoft-com:office:smarttags" w:element="place">
        <w:smartTag w:uri="urn:schemas-microsoft-com:office:smarttags" w:element="PlaceName">
          <w:r w:rsidR="005132EF" w:rsidRPr="00370E70">
            <w:rPr>
              <w:i/>
              <w:lang w:val="en-AU"/>
            </w:rPr>
            <w:t>Great</w:t>
          </w:r>
        </w:smartTag>
        <w:r w:rsidR="005132EF" w:rsidRPr="00370E70">
          <w:rPr>
            <w:i/>
            <w:lang w:val="en-AU"/>
          </w:rPr>
          <w:t xml:space="preserve"> </w:t>
        </w:r>
        <w:smartTag w:uri="urn:schemas-microsoft-com:office:smarttags" w:element="PlaceName">
          <w:r w:rsidR="005132EF" w:rsidRPr="00370E70">
            <w:rPr>
              <w:i/>
              <w:lang w:val="en-AU"/>
            </w:rPr>
            <w:t>Keppel</w:t>
          </w:r>
        </w:smartTag>
        <w:r w:rsidR="005132EF" w:rsidRPr="00370E70">
          <w:rPr>
            <w:i/>
            <w:lang w:val="en-AU"/>
          </w:rPr>
          <w:t xml:space="preserve"> </w:t>
        </w:r>
        <w:smartTag w:uri="urn:schemas-microsoft-com:office:smarttags" w:element="PlaceType">
          <w:r w:rsidR="005132EF" w:rsidRPr="00370E70">
            <w:rPr>
              <w:i/>
              <w:lang w:val="en-AU"/>
            </w:rPr>
            <w:t>Island</w:t>
          </w:r>
        </w:smartTag>
      </w:smartTag>
      <w:r w:rsidR="005132EF" w:rsidRPr="00370E70">
        <w:rPr>
          <w:i/>
          <w:lang w:val="en-AU"/>
        </w:rPr>
        <w:t>) in the Fitzroy region</w:t>
      </w:r>
      <w:bookmarkEnd w:id="744"/>
    </w:p>
    <w:p w:rsidR="00FC3CE1" w:rsidRPr="00370E70" w:rsidRDefault="005132EF" w:rsidP="00FC3CE1">
      <w:pPr>
        <w:pStyle w:val="Caption"/>
        <w:rPr>
          <w:lang w:val="en-AU"/>
        </w:rPr>
      </w:pPr>
      <w:r w:rsidRPr="00370E70">
        <w:rPr>
          <w:i/>
          <w:lang w:val="en-AU"/>
        </w:rPr>
        <w:t xml:space="preserve">, also showing approximate light threshold required for positive growth in Zostera </w:t>
      </w:r>
      <w:r w:rsidR="00145BB9" w:rsidRPr="00370E70">
        <w:rPr>
          <w:i/>
          <w:lang w:val="en-AU"/>
        </w:rPr>
        <w:t>muelleri</w:t>
      </w:r>
      <w:r w:rsidR="002C6536" w:rsidRPr="00370E70">
        <w:rPr>
          <w:i/>
          <w:lang w:val="en-AU"/>
        </w:rPr>
        <w:t xml:space="preserve"> </w:t>
      </w:r>
      <w:r w:rsidRPr="00370E70">
        <w:rPr>
          <w:i/>
          <w:lang w:val="en-AU"/>
        </w:rPr>
        <w:t>dominated communities in the southern GBR (6 mol m</w:t>
      </w:r>
      <w:r w:rsidRPr="00370E70">
        <w:rPr>
          <w:i/>
          <w:vertAlign w:val="superscript"/>
          <w:lang w:val="en-AU"/>
        </w:rPr>
        <w:t>-2</w:t>
      </w:r>
      <w:r w:rsidRPr="00370E70">
        <w:rPr>
          <w:i/>
          <w:lang w:val="en-AU"/>
        </w:rPr>
        <w:t xml:space="preserve"> d</w:t>
      </w:r>
      <w:r w:rsidRPr="00370E70">
        <w:rPr>
          <w:i/>
          <w:vertAlign w:val="superscript"/>
          <w:lang w:val="en-AU"/>
        </w:rPr>
        <w:t>-1</w:t>
      </w:r>
      <w:r w:rsidRPr="00370E70">
        <w:rPr>
          <w:i/>
          <w:lang w:val="en-AU"/>
        </w:rPr>
        <w:t>)</w:t>
      </w:r>
      <w:r w:rsidR="00FC3CE1" w:rsidRPr="00370E70">
        <w:rPr>
          <w:i/>
          <w:lang w:val="en-AU"/>
        </w:rPr>
        <w:t>(</w:t>
      </w:r>
      <w:hyperlink w:anchor="_ENREF_33" w:tooltip="Chartrand, 2012 #9309" w:history="1">
        <w:r w:rsidR="00964A70" w:rsidRPr="00370E70">
          <w:rPr>
            <w:i/>
            <w:lang w:val="en-AU"/>
          </w:rPr>
          <w:fldChar w:fldCharType="begin"/>
        </w:r>
        <w:r w:rsidR="00964A70" w:rsidRPr="00370E70">
          <w:rPr>
            <w:i/>
            <w:lang w:val="en-AU"/>
          </w:rPr>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i/>
            <w:lang w:val="en-AU"/>
          </w:rPr>
          <w:fldChar w:fldCharType="separate"/>
        </w:r>
        <w:r w:rsidR="00964A70" w:rsidRPr="00370E70">
          <w:rPr>
            <w:i/>
            <w:noProof/>
            <w:lang w:val="en-AU"/>
          </w:rPr>
          <w:t>Chartrand, et al. 2012</w:t>
        </w:r>
        <w:r w:rsidR="00964A70" w:rsidRPr="00370E70">
          <w:rPr>
            <w:i/>
            <w:lang w:val="en-AU"/>
          </w:rPr>
          <w:fldChar w:fldCharType="end"/>
        </w:r>
      </w:hyperlink>
      <w:r w:rsidR="00FC3CE1" w:rsidRPr="00370E70">
        <w:rPr>
          <w:i/>
          <w:lang w:val="en-AU"/>
        </w:rPr>
        <w:t xml:space="preserve">). </w:t>
      </w:r>
      <w:r w:rsidRPr="00370E70">
        <w:rPr>
          <w:i/>
          <w:lang w:val="en-AU"/>
        </w:rPr>
        <w:t>NB</w:t>
      </w:r>
      <w:r w:rsidR="00FC3CE1" w:rsidRPr="00370E70">
        <w:rPr>
          <w:i/>
          <w:lang w:val="en-AU"/>
        </w:rPr>
        <w:t xml:space="preserve">: threshold is based on 2 </w:t>
      </w:r>
      <w:r w:rsidRPr="00370E70">
        <w:rPr>
          <w:i/>
          <w:lang w:val="en-AU"/>
        </w:rPr>
        <w:t>week average.</w:t>
      </w:r>
      <w:r w:rsidR="00FC3CE1" w:rsidRPr="00370E70">
        <w:rPr>
          <w:lang w:val="en-AU"/>
        </w:rPr>
        <w:t xml:space="preserve"> </w:t>
      </w:r>
    </w:p>
    <w:p w:rsidR="005132EF" w:rsidRPr="00370E70" w:rsidRDefault="005132EF" w:rsidP="00034AD4">
      <w:pPr>
        <w:pStyle w:val="Heading4"/>
        <w:rPr>
          <w:b/>
          <w:iCs/>
          <w:color w:val="000000"/>
        </w:rPr>
      </w:pPr>
      <w:bookmarkStart w:id="745" w:name="_Toc232845935"/>
      <w:bookmarkStart w:id="746" w:name="_Toc184102035"/>
      <w:r w:rsidRPr="00370E70">
        <w:rPr>
          <w:b/>
          <w:iCs/>
          <w:color w:val="000000"/>
        </w:rPr>
        <w:t>Regional Climate</w:t>
      </w:r>
      <w:bookmarkEnd w:id="745"/>
      <w:bookmarkEnd w:id="746"/>
    </w:p>
    <w:p w:rsidR="005132EF" w:rsidRPr="00370E70" w:rsidRDefault="005132EF" w:rsidP="00034AD4">
      <w:pPr>
        <w:autoSpaceDE w:val="0"/>
        <w:autoSpaceDN w:val="0"/>
        <w:adjustRightInd w:val="0"/>
        <w:rPr>
          <w:rFonts w:cs="Arial"/>
          <w:color w:val="000000"/>
          <w:szCs w:val="22"/>
        </w:rPr>
      </w:pPr>
      <w:r w:rsidRPr="00370E70">
        <w:rPr>
          <w:rFonts w:cs="TimesNewRoman"/>
          <w:color w:val="000000"/>
          <w:szCs w:val="22"/>
        </w:rPr>
        <w:t>Climate across the north of the region during the 2011/12 monitoring period was on average wetter than the previous decadal average. Although it was a wet year in the south of the region, it was below the decadal average. Reef habitats were windier in 2011/12, but inshore it was slightly calmer that the last decade on average.</w:t>
      </w:r>
    </w:p>
    <w:p w:rsidR="005132EF" w:rsidRPr="00370E70" w:rsidRDefault="005567C5" w:rsidP="00AA1D89">
      <w:pPr>
        <w:pStyle w:val="Heading5"/>
        <w:rPr>
          <w:color w:val="000000"/>
        </w:rPr>
      </w:pPr>
      <w:r>
        <w:rPr>
          <w:color w:val="000000"/>
        </w:rPr>
        <w:t>Inshore coastal habitat (</w:t>
      </w:r>
      <w:smartTag w:uri="urn:schemas-microsoft-com:office:smarttags" w:element="place">
        <w:smartTag w:uri="urn:schemas-microsoft-com:office:smarttags" w:element="PlaceName">
          <w:r w:rsidR="005132EF" w:rsidRPr="00370E70">
            <w:rPr>
              <w:color w:val="000000"/>
            </w:rPr>
            <w:t>Shoalwater</w:t>
          </w:r>
        </w:smartTag>
        <w:r w:rsidR="005132EF" w:rsidRPr="00370E70">
          <w:rPr>
            <w:color w:val="000000"/>
          </w:rPr>
          <w:t xml:space="preserve"> </w:t>
        </w:r>
        <w:smartTag w:uri="urn:schemas-microsoft-com:office:smarttags" w:element="PlaceType">
          <w:r w:rsidR="005132EF" w:rsidRPr="00370E70">
            <w:rPr>
              <w:color w:val="000000"/>
            </w:rPr>
            <w:t>Bay</w:t>
          </w:r>
        </w:smartTag>
      </w:smartTag>
      <w:r>
        <w:rPr>
          <w:color w:val="000000"/>
        </w:rPr>
        <w:t>)</w:t>
      </w:r>
    </w:p>
    <w:p w:rsidR="005132EF" w:rsidRPr="00370E70" w:rsidRDefault="005132EF" w:rsidP="00560994">
      <w:pPr>
        <w:autoSpaceDE w:val="0"/>
        <w:autoSpaceDN w:val="0"/>
        <w:adjustRightInd w:val="0"/>
        <w:rPr>
          <w:rFonts w:cs="TimesNewRoman"/>
          <w:color w:val="000000"/>
          <w:szCs w:val="22"/>
        </w:rPr>
      </w:pPr>
      <w:r w:rsidRPr="00370E70">
        <w:rPr>
          <w:rFonts w:cs="TimesNewRoman"/>
          <w:color w:val="000000"/>
          <w:szCs w:val="22"/>
        </w:rPr>
        <w:t>The mean maximum daily air temperature recorded at Williamson during 2011/12 was 27.7°</w:t>
      </w:r>
      <w:proofErr w:type="gramStart"/>
      <w:r w:rsidRPr="00370E70">
        <w:rPr>
          <w:rFonts w:cs="TimesNewRoman"/>
          <w:color w:val="000000"/>
          <w:szCs w:val="22"/>
        </w:rPr>
        <w:t>C,</w:t>
      </w:r>
      <w:proofErr w:type="gramEnd"/>
      <w:r w:rsidRPr="00370E70">
        <w:rPr>
          <w:rFonts w:cs="TimesNewRoman"/>
          <w:color w:val="000000"/>
          <w:szCs w:val="22"/>
        </w:rPr>
        <w:t xml:space="preserve"> this was 0.3°C warmer than the previous period and 0.7°C warmer than the previous 7 year average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 xml:space="preserve">). The highest recorded daily maximum air temperature in 2011/12 was 34.2 °C.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2011/12 was a drier than the previous period with approximately 40% lower average rainfall. It was also the lowest rainfall in the last 4 monitoring periods, but 7% higher relative to both the long-term (7 year) average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 Mean wind speed in 2011/12 was 15.0 km.hr</w:t>
      </w:r>
      <w:r w:rsidRPr="00370E70">
        <w:rPr>
          <w:rFonts w:cs="TimesNewRoman"/>
          <w:color w:val="000000"/>
          <w:szCs w:val="22"/>
          <w:vertAlign w:val="superscript"/>
        </w:rPr>
        <w:t>-</w:t>
      </w:r>
      <w:proofErr w:type="gramStart"/>
      <w:r w:rsidRPr="00370E70">
        <w:rPr>
          <w:rFonts w:cs="TimesNewRoman"/>
          <w:color w:val="000000"/>
          <w:szCs w:val="22"/>
          <w:vertAlign w:val="superscript"/>
        </w:rPr>
        <w:t>1</w:t>
      </w:r>
      <w:r w:rsidRPr="00370E70">
        <w:rPr>
          <w:rFonts w:cs="TimesNewRoman"/>
          <w:color w:val="000000"/>
          <w:szCs w:val="22"/>
        </w:rPr>
        <w:t>,</w:t>
      </w:r>
      <w:proofErr w:type="gramEnd"/>
      <w:r w:rsidRPr="00370E70">
        <w:rPr>
          <w:rFonts w:cs="TimesNewRoman"/>
          <w:color w:val="000000"/>
          <w:szCs w:val="22"/>
        </w:rPr>
        <w:t xml:space="preserve"> this was higher than the previous </w:t>
      </w:r>
      <w:r w:rsidR="002C6536" w:rsidRPr="00370E70">
        <w:rPr>
          <w:rFonts w:cs="TimesNewRoman"/>
          <w:color w:val="000000"/>
          <w:szCs w:val="22"/>
        </w:rPr>
        <w:t>monitoring</w:t>
      </w:r>
      <w:r w:rsidRPr="00370E70">
        <w:rPr>
          <w:rFonts w:cs="TimesNewRoman"/>
          <w:color w:val="000000"/>
          <w:szCs w:val="22"/>
        </w:rPr>
        <w:t xml:space="preserve"> period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w:t>
      </w:r>
    </w:p>
    <w:p w:rsidR="005132EF" w:rsidRPr="00370E70" w:rsidRDefault="007B15AB" w:rsidP="00AA1D89">
      <w:pPr>
        <w:keepNext/>
        <w:autoSpaceDE w:val="0"/>
        <w:autoSpaceDN w:val="0"/>
        <w:adjustRightInd w:val="0"/>
        <w:jc w:val="center"/>
        <w:rPr>
          <w:szCs w:val="22"/>
        </w:rPr>
      </w:pPr>
      <w:r>
        <w:rPr>
          <w:noProof/>
          <w:lang w:eastAsia="en-AU"/>
        </w:rPr>
        <w:lastRenderedPageBreak/>
        <w:drawing>
          <wp:inline distT="0" distB="0" distL="0" distR="0">
            <wp:extent cx="3593465" cy="3103880"/>
            <wp:effectExtent l="0" t="0" r="6985" b="1270"/>
            <wp:docPr id="214" name="Picture 207" descr="Graph of total monthly rainfall, mean monthly daily maximum temperature and mean monthly 3pm wind speed at Shoalwater Bay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Graph of total monthly rainfall, mean monthly daily maximum temperature and mean monthly 3pm wind speed at Shoalwater Bay monitoring sites"/>
                    <pic:cNvPicPr>
                      <a:picLocks noChangeAspect="1" noChangeArrowheads="1"/>
                    </pic:cNvPicPr>
                  </pic:nvPicPr>
                  <pic:blipFill>
                    <a:blip r:embed="rId240" cstate="print">
                      <a:extLst>
                        <a:ext uri="{28A0092B-C50C-407E-A947-70E740481C1C}">
                          <a14:useLocalDpi xmlns:a14="http://schemas.microsoft.com/office/drawing/2010/main" val="0"/>
                        </a:ext>
                      </a:extLst>
                    </a:blip>
                    <a:srcRect t="7283" b="2005"/>
                    <a:stretch>
                      <a:fillRect/>
                    </a:stretch>
                  </pic:blipFill>
                  <pic:spPr bwMode="auto">
                    <a:xfrm>
                      <a:off x="0" y="0"/>
                      <a:ext cx="3593465" cy="3103880"/>
                    </a:xfrm>
                    <a:prstGeom prst="rect">
                      <a:avLst/>
                    </a:prstGeom>
                    <a:noFill/>
                    <a:ln>
                      <a:noFill/>
                    </a:ln>
                  </pic:spPr>
                </pic:pic>
              </a:graphicData>
            </a:graphic>
          </wp:inline>
        </w:drawing>
      </w:r>
    </w:p>
    <w:p w:rsidR="00FC3CE1" w:rsidRPr="00370E70" w:rsidRDefault="005132EF" w:rsidP="00FC3CE1">
      <w:pPr>
        <w:pStyle w:val="Caption"/>
        <w:rPr>
          <w:i/>
          <w:vanish/>
          <w:color w:val="000000"/>
          <w:szCs w:val="22"/>
          <w:lang w:val="en-AU"/>
          <w:specVanish/>
        </w:rPr>
      </w:pPr>
      <w:bookmarkStart w:id="747" w:name="_Toc38419651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165</w:t>
      </w:r>
      <w:r w:rsidRPr="00370E70">
        <w:rPr>
          <w:lang w:val="en-AU"/>
        </w:rPr>
        <w:fldChar w:fldCharType="end"/>
      </w:r>
      <w:r w:rsidRPr="00370E70">
        <w:rPr>
          <w:rStyle w:val="StyleCaptionCaptionCharCharLatinCalibri11ptBlackChar"/>
          <w:lang w:val="en-AU"/>
        </w:rPr>
        <w:t xml:space="preserve">. </w:t>
      </w:r>
      <w:r w:rsidRPr="00370E70">
        <w:rPr>
          <w:i/>
          <w:lang w:val="en-AU"/>
        </w:rPr>
        <w:t xml:space="preserve">Total monthly rainfall (grey bar), mean monthly daily maximum temperature and mean monthly 3pm wind speed </w:t>
      </w:r>
      <w:r w:rsidR="00FC3CE1" w:rsidRPr="00370E70">
        <w:rPr>
          <w:i/>
          <w:lang w:val="en-AU"/>
        </w:rPr>
        <w:t xml:space="preserve">at </w:t>
      </w:r>
      <w:smartTag w:uri="urn:schemas-microsoft-com:office:smarttags" w:element="place">
        <w:smartTag w:uri="urn:schemas-microsoft-com:office:smarttags" w:element="PlaceName">
          <w:r w:rsidR="00FC3CE1" w:rsidRPr="00370E70">
            <w:rPr>
              <w:i/>
              <w:lang w:val="en-AU"/>
            </w:rPr>
            <w:t>Shoalwater</w:t>
          </w:r>
        </w:smartTag>
        <w:r w:rsidR="00FC3CE1" w:rsidRPr="00370E70">
          <w:rPr>
            <w:i/>
            <w:lang w:val="en-AU"/>
          </w:rPr>
          <w:t xml:space="preserve"> </w:t>
        </w:r>
        <w:smartTag w:uri="urn:schemas-microsoft-com:office:smarttags" w:element="PlaceType">
          <w:r w:rsidR="00FC3CE1" w:rsidRPr="00370E70">
            <w:rPr>
              <w:i/>
              <w:lang w:val="en-AU"/>
            </w:rPr>
            <w:t>Bay</w:t>
          </w:r>
        </w:smartTag>
      </w:smartTag>
      <w:r w:rsidR="00FC3CE1" w:rsidRPr="00370E70">
        <w:rPr>
          <w:i/>
          <w:lang w:val="en-AU"/>
        </w:rPr>
        <w:t>.</w:t>
      </w:r>
      <w:bookmarkEnd w:id="747"/>
      <w:r w:rsidR="00FC3CE1" w:rsidRPr="00370E70">
        <w:rPr>
          <w:i/>
          <w:lang w:val="en-AU"/>
        </w:rPr>
        <w:t xml:space="preserve"> </w:t>
      </w:r>
    </w:p>
    <w:p w:rsidR="00FC3CE1" w:rsidRPr="00370E70" w:rsidRDefault="00FC3CE1" w:rsidP="00FC3CE1">
      <w:pPr>
        <w:pStyle w:val="Caption"/>
        <w:rPr>
          <w:lang w:val="en-AU"/>
        </w:rPr>
      </w:pPr>
      <w:r w:rsidRPr="00370E70">
        <w:rPr>
          <w:i/>
          <w:lang w:val="en-AU"/>
        </w:rPr>
        <w:t>P</w:t>
      </w:r>
      <w:r w:rsidR="005132EF" w:rsidRPr="00370E70">
        <w:rPr>
          <w:i/>
          <w:lang w:val="en-AU"/>
        </w:rPr>
        <w:t xml:space="preserve">ost May 2005 recorded at Williamson, </w:t>
      </w:r>
      <w:smartTag w:uri="urn:schemas-microsoft-com:office:smarttags" w:element="place">
        <w:smartTag w:uri="urn:schemas-microsoft-com:office:smarttags" w:element="PlaceName">
          <w:r w:rsidR="005132EF" w:rsidRPr="00370E70">
            <w:rPr>
              <w:i/>
              <w:lang w:val="en-AU"/>
            </w:rPr>
            <w:t>Shoalwater</w:t>
          </w:r>
        </w:smartTag>
        <w:r w:rsidR="005132EF" w:rsidRPr="00370E70">
          <w:rPr>
            <w:i/>
            <w:lang w:val="en-AU"/>
          </w:rPr>
          <w:t xml:space="preserve"> </w:t>
        </w:r>
        <w:smartTag w:uri="urn:schemas-microsoft-com:office:smarttags" w:element="PlaceType">
          <w:r w:rsidR="005132EF" w:rsidRPr="00370E70">
            <w:rPr>
              <w:i/>
              <w:lang w:val="en-AU"/>
            </w:rPr>
            <w:t>Bay</w:t>
          </w:r>
        </w:smartTag>
      </w:smartTag>
      <w:r w:rsidR="005132EF" w:rsidRPr="00370E70">
        <w:rPr>
          <w:i/>
          <w:lang w:val="en-AU"/>
        </w:rPr>
        <w:t xml:space="preserve"> (BOM station 033260, source www.bom.gov.au), located 10km from the monitoring sites. Prior to May 2005, observations recorded at Yeppoon (BOM station 033106, source www.bom.gov.au), approximately 96km from monitoring sites.</w:t>
      </w:r>
      <w:r w:rsidRPr="00370E70">
        <w:rPr>
          <w:lang w:val="en-AU"/>
        </w:rPr>
        <w:t xml:space="preserve"> </w:t>
      </w:r>
    </w:p>
    <w:p w:rsidR="005132EF" w:rsidRPr="00370E70" w:rsidRDefault="005567C5" w:rsidP="00034AD4">
      <w:pPr>
        <w:pStyle w:val="Heading5"/>
        <w:rPr>
          <w:color w:val="000000"/>
        </w:rPr>
      </w:pPr>
      <w:r>
        <w:rPr>
          <w:color w:val="000000"/>
        </w:rPr>
        <w:t>Inshore reef habitat (</w:t>
      </w:r>
      <w:smartTag w:uri="urn:schemas-microsoft-com:office:smarttags" w:element="place">
        <w:smartTag w:uri="urn:schemas-microsoft-com:office:smarttags" w:element="PlaceName">
          <w:r w:rsidR="005132EF" w:rsidRPr="00370E70">
            <w:rPr>
              <w:color w:val="000000"/>
            </w:rPr>
            <w:t>Great</w:t>
          </w:r>
        </w:smartTag>
        <w:r w:rsidR="005132EF" w:rsidRPr="00370E70">
          <w:rPr>
            <w:color w:val="000000"/>
          </w:rPr>
          <w:t xml:space="preserve"> </w:t>
        </w:r>
        <w:smartTag w:uri="urn:schemas-microsoft-com:office:smarttags" w:element="PlaceName">
          <w:r w:rsidR="005132EF" w:rsidRPr="00370E70">
            <w:rPr>
              <w:color w:val="000000"/>
            </w:rPr>
            <w:t>Keppel</w:t>
          </w:r>
        </w:smartTag>
        <w:r w:rsidR="005132EF" w:rsidRPr="00370E70">
          <w:rPr>
            <w:color w:val="000000"/>
          </w:rPr>
          <w:t xml:space="preserve"> </w:t>
        </w:r>
        <w:smartTag w:uri="urn:schemas-microsoft-com:office:smarttags" w:element="PlaceType">
          <w:r w:rsidR="005132EF" w:rsidRPr="00370E70">
            <w:rPr>
              <w:color w:val="000000"/>
            </w:rPr>
            <w:t>Island</w:t>
          </w:r>
        </w:smartTag>
      </w:smartTag>
      <w:r>
        <w:rPr>
          <w:color w:val="000000"/>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The mean maximum daily air temperature recorded in Yeppoon during 2011/12 was 25.3°</w:t>
      </w:r>
      <w:proofErr w:type="gramStart"/>
      <w:r w:rsidRPr="00370E70">
        <w:rPr>
          <w:rFonts w:cs="TimesNewRoman"/>
          <w:color w:val="000000"/>
          <w:szCs w:val="22"/>
        </w:rPr>
        <w:t>C,</w:t>
      </w:r>
      <w:proofErr w:type="gramEnd"/>
      <w:r w:rsidRPr="00370E70">
        <w:rPr>
          <w:rFonts w:cs="TimesNewRoman"/>
          <w:color w:val="000000"/>
          <w:szCs w:val="22"/>
        </w:rPr>
        <w:t xml:space="preserve"> this was 0.6°C cooler than the decade average and 0.5°C cooler than the long-term (19 year) average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 xml:space="preserve">). The highest recorded daily maximum air temperature in 2011/12 was 34.2 °C. </w:t>
      </w:r>
    </w:p>
    <w:p w:rsidR="005132EF" w:rsidRPr="00370E70" w:rsidRDefault="005132EF" w:rsidP="00DE2288">
      <w:pPr>
        <w:autoSpaceDE w:val="0"/>
        <w:autoSpaceDN w:val="0"/>
        <w:adjustRightInd w:val="0"/>
        <w:rPr>
          <w:color w:val="000000"/>
          <w:szCs w:val="22"/>
        </w:rPr>
      </w:pPr>
      <w:r w:rsidRPr="00370E70">
        <w:rPr>
          <w:rFonts w:cs="TimesNewRoman"/>
          <w:color w:val="000000"/>
          <w:szCs w:val="22"/>
        </w:rPr>
        <w:t xml:space="preserve">2011/12 was a wet </w:t>
      </w:r>
      <w:proofErr w:type="gramStart"/>
      <w:r w:rsidR="002C6536" w:rsidRPr="00370E70">
        <w:rPr>
          <w:rFonts w:cs="TimesNewRoman"/>
          <w:color w:val="000000"/>
          <w:szCs w:val="22"/>
        </w:rPr>
        <w:t>period</w:t>
      </w:r>
      <w:r w:rsidRPr="00370E70">
        <w:rPr>
          <w:rFonts w:cs="TimesNewRoman"/>
          <w:color w:val="000000"/>
          <w:szCs w:val="22"/>
        </w:rPr>
        <w:t xml:space="preserve">  with</w:t>
      </w:r>
      <w:proofErr w:type="gramEnd"/>
      <w:r w:rsidRPr="00370E70">
        <w:rPr>
          <w:rFonts w:cs="TimesNewRoman"/>
          <w:color w:val="000000"/>
          <w:szCs w:val="22"/>
        </w:rPr>
        <w:t xml:space="preserve"> the total rainfall at </w:t>
      </w:r>
      <w:smartTag w:uri="urn:schemas-microsoft-com:office:smarttags" w:element="place">
        <w:smartTag w:uri="urn:schemas-microsoft-com:office:smarttags" w:element="PlaceName">
          <w:r w:rsidRPr="00370E70">
            <w:rPr>
              <w:rFonts w:cs="TimesNewRoman"/>
              <w:color w:val="000000"/>
              <w:szCs w:val="22"/>
            </w:rPr>
            <w:t>Svendsen</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Beach</w:t>
          </w:r>
        </w:smartTag>
      </w:smartTag>
      <w:r w:rsidRPr="00370E70">
        <w:rPr>
          <w:rFonts w:cs="TimesNewRoman"/>
          <w:color w:val="000000"/>
          <w:szCs w:val="22"/>
        </w:rPr>
        <w:t xml:space="preserve"> (1019mm) the 6th consecutive year above the median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 xml:space="preserve">). Mean wind speed in 2011/12 at Yeppoon was </w:t>
      </w:r>
      <w:proofErr w:type="gramStart"/>
      <w:r w:rsidRPr="00370E70">
        <w:rPr>
          <w:rFonts w:cs="TimesNewRoman"/>
          <w:color w:val="000000"/>
          <w:szCs w:val="22"/>
        </w:rPr>
        <w:t>18.5 km.hr</w:t>
      </w:r>
      <w:r w:rsidRPr="00370E70">
        <w:rPr>
          <w:rFonts w:cs="TimesNewRoman"/>
          <w:color w:val="000000"/>
          <w:szCs w:val="22"/>
          <w:vertAlign w:val="superscript"/>
        </w:rPr>
        <w:t>-1</w:t>
      </w:r>
      <w:r w:rsidRPr="00370E70">
        <w:rPr>
          <w:rFonts w:cs="TimesNewRoman"/>
          <w:color w:val="000000"/>
          <w:szCs w:val="22"/>
        </w:rPr>
        <w:t>,</w:t>
      </w:r>
      <w:proofErr w:type="gramEnd"/>
      <w:r w:rsidRPr="00370E70">
        <w:rPr>
          <w:rFonts w:cs="TimesNewRoman"/>
          <w:color w:val="000000"/>
          <w:szCs w:val="22"/>
        </w:rPr>
        <w:t xml:space="preserve"> which was 8% higher than both the long-term and decade average (</w:t>
      </w:r>
      <w:r w:rsidRPr="00370E70">
        <w:fldChar w:fldCharType="begin"/>
      </w:r>
      <w:r w:rsidRPr="00370E70">
        <w:instrText xml:space="preserve"> REF _Ref276118728 \h  \* MERGEFORMAT </w:instrText>
      </w:r>
      <w:r w:rsidRPr="00370E70">
        <w:fldChar w:fldCharType="separate"/>
      </w:r>
      <w:r w:rsidR="005B5FD6" w:rsidRPr="005B5FD6">
        <w:rPr>
          <w:szCs w:val="22"/>
        </w:rPr>
        <w:t xml:space="preserve">Figure </w:t>
      </w:r>
      <w:r w:rsidR="005B5FD6" w:rsidRPr="005B5FD6">
        <w:rPr>
          <w:noProof/>
          <w:color w:val="000000"/>
          <w:szCs w:val="22"/>
        </w:rPr>
        <w:t>166</w:t>
      </w:r>
      <w:r w:rsidRPr="00370E70">
        <w:fldChar w:fldCharType="end"/>
      </w:r>
      <w:r w:rsidRPr="00370E70">
        <w:rPr>
          <w:rFonts w:cs="TimesNewRoman"/>
          <w:color w:val="000000"/>
          <w:szCs w:val="22"/>
        </w:rPr>
        <w:t>).</w:t>
      </w:r>
    </w:p>
    <w:p w:rsidR="005132EF" w:rsidRPr="00370E70" w:rsidRDefault="007B15AB" w:rsidP="00AA1D89">
      <w:pPr>
        <w:keepNext/>
        <w:autoSpaceDE w:val="0"/>
        <w:autoSpaceDN w:val="0"/>
        <w:adjustRightInd w:val="0"/>
        <w:jc w:val="center"/>
      </w:pPr>
      <w:r>
        <w:rPr>
          <w:noProof/>
          <w:lang w:eastAsia="en-AU"/>
        </w:rPr>
        <w:lastRenderedPageBreak/>
        <w:drawing>
          <wp:inline distT="0" distB="0" distL="0" distR="0">
            <wp:extent cx="3593465" cy="2962275"/>
            <wp:effectExtent l="0" t="0" r="6985" b="9525"/>
            <wp:docPr id="215" name="Picture 1" descr="Graph of total monthly rainfall, mean monthly daily maximum temperature and mean monthly 3pm wind speed for Great Keppel Island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 of total monthly rainfall, mean monthly daily maximum temperature and mean monthly 3pm wind speed for Great Keppel Island monitoring sites. "/>
                    <pic:cNvPicPr>
                      <a:picLocks noChangeAspect="1" noChangeArrowheads="1"/>
                    </pic:cNvPicPr>
                  </pic:nvPicPr>
                  <pic:blipFill>
                    <a:blip r:embed="rId241" cstate="print">
                      <a:extLst>
                        <a:ext uri="{28A0092B-C50C-407E-A947-70E740481C1C}">
                          <a14:useLocalDpi xmlns:a14="http://schemas.microsoft.com/office/drawing/2010/main" val="0"/>
                        </a:ext>
                      </a:extLst>
                    </a:blip>
                    <a:srcRect t="7083"/>
                    <a:stretch>
                      <a:fillRect/>
                    </a:stretch>
                  </pic:blipFill>
                  <pic:spPr bwMode="auto">
                    <a:xfrm>
                      <a:off x="0" y="0"/>
                      <a:ext cx="3593465" cy="2962275"/>
                    </a:xfrm>
                    <a:prstGeom prst="rect">
                      <a:avLst/>
                    </a:prstGeom>
                    <a:noFill/>
                    <a:ln>
                      <a:noFill/>
                    </a:ln>
                  </pic:spPr>
                </pic:pic>
              </a:graphicData>
            </a:graphic>
          </wp:inline>
        </w:drawing>
      </w:r>
    </w:p>
    <w:p w:rsidR="00FC3CE1" w:rsidRPr="00370E70" w:rsidRDefault="005132EF" w:rsidP="00FC3CE1">
      <w:pPr>
        <w:pStyle w:val="Caption"/>
        <w:rPr>
          <w:i/>
          <w:vanish/>
          <w:color w:val="000000"/>
          <w:szCs w:val="22"/>
          <w:lang w:val="en-AU"/>
          <w:specVanish/>
        </w:rPr>
      </w:pPr>
      <w:bookmarkStart w:id="748" w:name="_Ref276118728"/>
      <w:bookmarkStart w:id="749" w:name="_Toc38419651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166</w:t>
      </w:r>
      <w:r w:rsidRPr="00370E70">
        <w:rPr>
          <w:lang w:val="en-AU"/>
        </w:rPr>
        <w:fldChar w:fldCharType="end"/>
      </w:r>
      <w:bookmarkEnd w:id="748"/>
      <w:r w:rsidRPr="00370E70">
        <w:rPr>
          <w:rStyle w:val="StyleCaptionCaptionCharCharLatinCalibri11ptBlackChar"/>
          <w:lang w:val="en-AU"/>
        </w:rPr>
        <w:t xml:space="preserve">. </w:t>
      </w:r>
      <w:r w:rsidRPr="00370E70">
        <w:rPr>
          <w:i/>
          <w:lang w:val="en-AU"/>
        </w:rPr>
        <w:t>To</w:t>
      </w:r>
      <w:r w:rsidR="00FC3CE1" w:rsidRPr="00370E70">
        <w:rPr>
          <w:i/>
          <w:lang w:val="en-AU"/>
        </w:rPr>
        <w:t xml:space="preserve">tal monthly rainfall (grey bar), mean monthly daily maximum temperature and mean monthly 3pm wind speed for </w:t>
      </w:r>
      <w:smartTag w:uri="urn:schemas-microsoft-com:office:smarttags" w:element="place">
        <w:smartTag w:uri="urn:schemas-microsoft-com:office:smarttags" w:element="PlaceName">
          <w:r w:rsidR="00FC3CE1" w:rsidRPr="00370E70">
            <w:rPr>
              <w:i/>
              <w:lang w:val="en-AU"/>
            </w:rPr>
            <w:t>Great</w:t>
          </w:r>
        </w:smartTag>
        <w:r w:rsidR="00FC3CE1" w:rsidRPr="00370E70">
          <w:rPr>
            <w:i/>
            <w:lang w:val="en-AU"/>
          </w:rPr>
          <w:t xml:space="preserve"> </w:t>
        </w:r>
        <w:smartTag w:uri="urn:schemas-microsoft-com:office:smarttags" w:element="PlaceName">
          <w:r w:rsidR="00FC3CE1" w:rsidRPr="00370E70">
            <w:rPr>
              <w:i/>
              <w:lang w:val="en-AU"/>
            </w:rPr>
            <w:t>Keppel</w:t>
          </w:r>
        </w:smartTag>
        <w:r w:rsidR="00FC3CE1" w:rsidRPr="00370E70">
          <w:rPr>
            <w:i/>
            <w:lang w:val="en-AU"/>
          </w:rPr>
          <w:t xml:space="preserve"> </w:t>
        </w:r>
        <w:smartTag w:uri="urn:schemas-microsoft-com:office:smarttags" w:element="PlaceType">
          <w:r w:rsidR="00FC3CE1" w:rsidRPr="00370E70">
            <w:rPr>
              <w:i/>
              <w:lang w:val="en-AU"/>
            </w:rPr>
            <w:t>Island</w:t>
          </w:r>
        </w:smartTag>
      </w:smartTag>
      <w:r w:rsidR="00FC3CE1" w:rsidRPr="00370E70">
        <w:rPr>
          <w:i/>
          <w:lang w:val="en-AU"/>
        </w:rPr>
        <w:t xml:space="preserve"> monitoring sites.</w:t>
      </w:r>
      <w:bookmarkEnd w:id="749"/>
      <w:r w:rsidR="00FC3CE1" w:rsidRPr="00370E70">
        <w:rPr>
          <w:i/>
          <w:lang w:val="en-AU"/>
        </w:rPr>
        <w:t xml:space="preserve"> </w:t>
      </w:r>
    </w:p>
    <w:p w:rsidR="00FC3CE1" w:rsidRPr="00370E70" w:rsidRDefault="00FC3CE1" w:rsidP="00FC3CE1">
      <w:pPr>
        <w:pStyle w:val="Caption"/>
        <w:rPr>
          <w:lang w:val="en-AU"/>
        </w:rPr>
      </w:pPr>
      <w:r w:rsidRPr="00370E70">
        <w:rPr>
          <w:i/>
          <w:lang w:val="en-AU"/>
        </w:rPr>
        <w:t xml:space="preserve">Rainfall </w:t>
      </w:r>
      <w:r w:rsidR="005132EF" w:rsidRPr="00370E70">
        <w:rPr>
          <w:i/>
          <w:lang w:val="en-AU"/>
        </w:rPr>
        <w:t xml:space="preserve">recorded at </w:t>
      </w:r>
      <w:smartTag w:uri="urn:schemas-microsoft-com:office:smarttags" w:element="place">
        <w:smartTag w:uri="urn:schemas-microsoft-com:office:smarttags" w:element="PlaceName">
          <w:r w:rsidR="005132EF" w:rsidRPr="00370E70">
            <w:rPr>
              <w:i/>
              <w:lang w:val="en-AU"/>
            </w:rPr>
            <w:t>Svendsen</w:t>
          </w:r>
        </w:smartTag>
        <w:r w:rsidR="005132EF" w:rsidRPr="00370E70">
          <w:rPr>
            <w:i/>
            <w:lang w:val="en-AU"/>
          </w:rPr>
          <w:t xml:space="preserve"> </w:t>
        </w:r>
        <w:smartTag w:uri="urn:schemas-microsoft-com:office:smarttags" w:element="PlaceType">
          <w:r w:rsidR="005132EF" w:rsidRPr="00370E70">
            <w:rPr>
              <w:i/>
              <w:lang w:val="en-AU"/>
            </w:rPr>
            <w:t>Beach</w:t>
          </w:r>
        </w:smartTag>
      </w:smartTag>
      <w:r w:rsidR="005132EF" w:rsidRPr="00370E70">
        <w:rPr>
          <w:i/>
          <w:lang w:val="en-AU"/>
        </w:rPr>
        <w:t xml:space="preserve">, (BOM station 033260, source www.bom.gov.au), located 4.5km from the monitoring sites. </w:t>
      </w:r>
      <w:r w:rsidRPr="00370E70">
        <w:rPr>
          <w:i/>
          <w:lang w:val="en-AU"/>
        </w:rPr>
        <w:t>T</w:t>
      </w:r>
      <w:r w:rsidR="005132EF" w:rsidRPr="00370E70">
        <w:rPr>
          <w:i/>
          <w:lang w:val="en-AU"/>
        </w:rPr>
        <w:t>emperature and wind speed recorded at Yeppoon (BOM station 033106, source www.bom.gov.au), approximately 22km from monitoring sites.</w:t>
      </w:r>
      <w:r w:rsidR="005132EF" w:rsidRPr="00370E70">
        <w:rPr>
          <w:lang w:val="en-AU"/>
        </w:rPr>
        <w:t xml:space="preserve"> </w:t>
      </w:r>
    </w:p>
    <w:p w:rsidR="005132EF" w:rsidRPr="00370E70" w:rsidRDefault="005567C5" w:rsidP="00034AD4">
      <w:pPr>
        <w:pStyle w:val="Heading5"/>
        <w:rPr>
          <w:color w:val="000000"/>
        </w:rPr>
      </w:pPr>
      <w:r>
        <w:rPr>
          <w:color w:val="000000"/>
        </w:rPr>
        <w:t>Inshore estuarine habitat (</w:t>
      </w:r>
      <w:smartTag w:uri="urn:schemas-microsoft-com:office:smarttags" w:element="place">
        <w:smartTag w:uri="urn:schemas-microsoft-com:office:smarttags" w:element="PlaceName">
          <w:r w:rsidR="005132EF" w:rsidRPr="00370E70">
            <w:rPr>
              <w:color w:val="000000"/>
            </w:rPr>
            <w:t>Gladstone</w:t>
          </w:r>
        </w:smartTag>
        <w:r w:rsidR="005132EF" w:rsidRPr="00370E70">
          <w:rPr>
            <w:color w:val="000000"/>
          </w:rPr>
          <w:t xml:space="preserve"> </w:t>
        </w:r>
        <w:smartTag w:uri="urn:schemas-microsoft-com:office:smarttags" w:element="PlaceType">
          <w:r w:rsidR="005132EF" w:rsidRPr="00370E70">
            <w:rPr>
              <w:color w:val="000000"/>
            </w:rPr>
            <w:t>Harbour</w:t>
          </w:r>
        </w:smartTag>
      </w:smartTag>
      <w:r>
        <w:rPr>
          <w:color w:val="000000"/>
        </w:rPr>
        <w:t>)</w:t>
      </w:r>
    </w:p>
    <w:p w:rsidR="005132EF" w:rsidRPr="00370E70" w:rsidRDefault="005132EF" w:rsidP="00034AD4">
      <w:pPr>
        <w:rPr>
          <w:color w:val="000000"/>
          <w:szCs w:val="22"/>
        </w:rPr>
      </w:pPr>
      <w:r w:rsidRPr="00370E70">
        <w:rPr>
          <w:color w:val="000000"/>
          <w:szCs w:val="22"/>
        </w:rPr>
        <w:t>The mean maximum daily air temperature recorded in Gladstone during 2011/12 monitoring period was 27.9°C, this was 0.6°C higher than the previous period, but similar to the long-term (55 year) and decade averages (</w:t>
      </w:r>
      <w:r w:rsidRPr="00370E70">
        <w:fldChar w:fldCharType="begin"/>
      </w:r>
      <w:r w:rsidRPr="00370E70">
        <w:instrText xml:space="preserve"> REF _Ref276118751 \h  \* MERGEFORMAT </w:instrText>
      </w:r>
      <w:r w:rsidRPr="00370E70">
        <w:fldChar w:fldCharType="separate"/>
      </w:r>
      <w:r w:rsidR="005B5FD6" w:rsidRPr="00370E70">
        <w:rPr>
          <w:color w:val="000000"/>
          <w:szCs w:val="22"/>
        </w:rPr>
        <w:t xml:space="preserve">Figure </w:t>
      </w:r>
      <w:r w:rsidR="005B5FD6">
        <w:rPr>
          <w:noProof/>
          <w:color w:val="000000"/>
          <w:szCs w:val="22"/>
        </w:rPr>
        <w:t>167</w:t>
      </w:r>
      <w:r w:rsidRPr="00370E70">
        <w:fldChar w:fldCharType="end"/>
      </w:r>
      <w:r w:rsidRPr="00370E70">
        <w:rPr>
          <w:color w:val="000000"/>
          <w:szCs w:val="22"/>
        </w:rPr>
        <w:t xml:space="preserve">). The highest recorded daily maximum temperature in 2011/12 was 36.7°C. 2011/12 </w:t>
      </w:r>
      <w:r w:rsidR="002C6536" w:rsidRPr="00370E70">
        <w:rPr>
          <w:color w:val="000000"/>
          <w:szCs w:val="22"/>
        </w:rPr>
        <w:t>remained</w:t>
      </w:r>
      <w:r w:rsidRPr="00370E70">
        <w:rPr>
          <w:color w:val="000000"/>
          <w:szCs w:val="22"/>
        </w:rPr>
        <w:t xml:space="preserve"> a wet monitoring period, being the 5th consecutive year with above median rainfall. However, total rainfall was 40% drier than 2010/11, and 10% below than decadal and LT (40 year) averages (</w:t>
      </w:r>
      <w:r w:rsidRPr="00370E70">
        <w:fldChar w:fldCharType="begin"/>
      </w:r>
      <w:r w:rsidRPr="00370E70">
        <w:instrText xml:space="preserve"> REF _Ref276118751 \h  \* MERGEFORMAT </w:instrText>
      </w:r>
      <w:r w:rsidRPr="00370E70">
        <w:fldChar w:fldCharType="separate"/>
      </w:r>
      <w:r w:rsidR="005B5FD6" w:rsidRPr="00370E70">
        <w:rPr>
          <w:color w:val="000000"/>
          <w:szCs w:val="22"/>
        </w:rPr>
        <w:t xml:space="preserve">Figure </w:t>
      </w:r>
      <w:r w:rsidR="005B5FD6">
        <w:rPr>
          <w:noProof/>
          <w:color w:val="000000"/>
          <w:szCs w:val="22"/>
        </w:rPr>
        <w:t>167</w:t>
      </w:r>
      <w:r w:rsidRPr="00370E70">
        <w:fldChar w:fldCharType="end"/>
      </w:r>
      <w:r w:rsidRPr="00370E70">
        <w:rPr>
          <w:color w:val="000000"/>
          <w:szCs w:val="22"/>
        </w:rPr>
        <w:t>). Mean wind speed in 2011/12 was 21.0 km.hr</w:t>
      </w:r>
      <w:r w:rsidRPr="00370E70">
        <w:rPr>
          <w:rFonts w:cs="TimesNewRoman"/>
          <w:color w:val="000000"/>
          <w:szCs w:val="22"/>
          <w:vertAlign w:val="superscript"/>
        </w:rPr>
        <w:t>-</w:t>
      </w:r>
      <w:proofErr w:type="gramStart"/>
      <w:r w:rsidRPr="00370E70">
        <w:rPr>
          <w:rFonts w:cs="TimesNewRoman"/>
          <w:color w:val="000000"/>
          <w:szCs w:val="22"/>
          <w:vertAlign w:val="superscript"/>
        </w:rPr>
        <w:t>1</w:t>
      </w:r>
      <w:r w:rsidRPr="00370E70">
        <w:rPr>
          <w:color w:val="000000"/>
          <w:szCs w:val="22"/>
        </w:rPr>
        <w:t>,</w:t>
      </w:r>
      <w:proofErr w:type="gramEnd"/>
      <w:r w:rsidRPr="00370E70">
        <w:rPr>
          <w:color w:val="000000"/>
          <w:szCs w:val="22"/>
        </w:rPr>
        <w:t xml:space="preserve"> this was higher than the previous </w:t>
      </w:r>
      <w:r w:rsidR="002C6536" w:rsidRPr="00370E70">
        <w:rPr>
          <w:color w:val="000000"/>
          <w:szCs w:val="22"/>
        </w:rPr>
        <w:t>monitoring</w:t>
      </w:r>
      <w:r w:rsidRPr="00370E70">
        <w:rPr>
          <w:color w:val="000000"/>
          <w:szCs w:val="22"/>
        </w:rPr>
        <w:t xml:space="preserve"> period but, but 5% bellow than decadal average (</w:t>
      </w:r>
      <w:r w:rsidRPr="00370E70">
        <w:fldChar w:fldCharType="begin"/>
      </w:r>
      <w:r w:rsidRPr="00370E70">
        <w:instrText xml:space="preserve"> REF _Ref276118751 \h  \* MERGEFORMAT </w:instrText>
      </w:r>
      <w:r w:rsidRPr="00370E70">
        <w:fldChar w:fldCharType="separate"/>
      </w:r>
      <w:r w:rsidR="005B5FD6" w:rsidRPr="00370E70">
        <w:rPr>
          <w:color w:val="000000"/>
          <w:szCs w:val="22"/>
        </w:rPr>
        <w:t xml:space="preserve">Figure </w:t>
      </w:r>
      <w:r w:rsidR="005B5FD6">
        <w:rPr>
          <w:noProof/>
          <w:color w:val="000000"/>
          <w:szCs w:val="22"/>
        </w:rPr>
        <w:t>167</w:t>
      </w:r>
      <w:r w:rsidRPr="00370E70">
        <w:fldChar w:fldCharType="end"/>
      </w:r>
      <w:r w:rsidRPr="00370E70">
        <w:rPr>
          <w:color w:val="000000"/>
          <w:szCs w:val="22"/>
        </w:rPr>
        <w:t>).</w:t>
      </w:r>
    </w:p>
    <w:p w:rsidR="005132EF" w:rsidRPr="00370E70" w:rsidRDefault="007B15AB" w:rsidP="00DA7131">
      <w:pPr>
        <w:keepNext/>
        <w:autoSpaceDE w:val="0"/>
        <w:autoSpaceDN w:val="0"/>
        <w:adjustRightInd w:val="0"/>
        <w:jc w:val="center"/>
        <w:rPr>
          <w:color w:val="000000"/>
        </w:rPr>
      </w:pPr>
      <w:r>
        <w:rPr>
          <w:noProof/>
          <w:color w:val="000000"/>
          <w:lang w:eastAsia="en-AU"/>
        </w:rPr>
        <w:lastRenderedPageBreak/>
        <w:drawing>
          <wp:inline distT="0" distB="0" distL="0" distR="0">
            <wp:extent cx="3593465" cy="2987675"/>
            <wp:effectExtent l="0" t="0" r="6985" b="3175"/>
            <wp:docPr id="216" name="Picture 208" descr="Graph of total monthly rainfall, mean monthly daily maximum temperature, and mean monthly 3pm wind speed from Gladstone Harbour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Graph of total monthly rainfall, mean monthly daily maximum temperature, and mean monthly 3pm wind speed from Gladstone Harbour monitoring sites"/>
                    <pic:cNvPicPr>
                      <a:picLocks noChangeAspect="1" noChangeArrowheads="1"/>
                    </pic:cNvPicPr>
                  </pic:nvPicPr>
                  <pic:blipFill>
                    <a:blip r:embed="rId242" cstate="print">
                      <a:extLst>
                        <a:ext uri="{28A0092B-C50C-407E-A947-70E740481C1C}">
                          <a14:useLocalDpi xmlns:a14="http://schemas.microsoft.com/office/drawing/2010/main" val="0"/>
                        </a:ext>
                      </a:extLst>
                    </a:blip>
                    <a:srcRect t="7483" b="2272"/>
                    <a:stretch>
                      <a:fillRect/>
                    </a:stretch>
                  </pic:blipFill>
                  <pic:spPr bwMode="auto">
                    <a:xfrm>
                      <a:off x="0" y="0"/>
                      <a:ext cx="3593465" cy="2987675"/>
                    </a:xfrm>
                    <a:prstGeom prst="rect">
                      <a:avLst/>
                    </a:prstGeom>
                    <a:noFill/>
                    <a:ln>
                      <a:noFill/>
                    </a:ln>
                  </pic:spPr>
                </pic:pic>
              </a:graphicData>
            </a:graphic>
          </wp:inline>
        </w:drawing>
      </w:r>
    </w:p>
    <w:p w:rsidR="00FC3CE1" w:rsidRPr="00370E70" w:rsidRDefault="005132EF" w:rsidP="00FC3CE1">
      <w:pPr>
        <w:rPr>
          <w:i/>
          <w:vanish/>
          <w:color w:val="000000"/>
          <w:szCs w:val="22"/>
          <w:specVanish/>
        </w:rPr>
      </w:pPr>
      <w:bookmarkStart w:id="750" w:name="_Ref276118751"/>
      <w:bookmarkStart w:id="751" w:name="_Toc384196514"/>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167</w:t>
      </w:r>
      <w:r w:rsidRPr="00370E70">
        <w:rPr>
          <w:color w:val="000000"/>
          <w:szCs w:val="22"/>
        </w:rPr>
        <w:fldChar w:fldCharType="end"/>
      </w:r>
      <w:bookmarkEnd w:id="750"/>
      <w:r w:rsidRPr="00370E70">
        <w:rPr>
          <w:color w:val="000000"/>
          <w:szCs w:val="22"/>
        </w:rPr>
        <w:t xml:space="preserve">. </w:t>
      </w:r>
      <w:r w:rsidRPr="00370E70">
        <w:rPr>
          <w:rFonts w:eastAsia="SimSun"/>
          <w:i/>
          <w:color w:val="000000"/>
          <w:szCs w:val="22"/>
        </w:rPr>
        <w:t xml:space="preserve">Total </w:t>
      </w:r>
      <w:r w:rsidRPr="00370E70">
        <w:rPr>
          <w:i/>
          <w:color w:val="000000"/>
          <w:szCs w:val="22"/>
        </w:rPr>
        <w:t>monthly rainfall</w:t>
      </w:r>
      <w:r w:rsidR="00FC3CE1" w:rsidRPr="00370E70">
        <w:rPr>
          <w:rFonts w:eastAsia="SimSun"/>
          <w:i/>
          <w:color w:val="000000"/>
          <w:szCs w:val="22"/>
        </w:rPr>
        <w:t xml:space="preserve"> (grey bars)</w:t>
      </w:r>
      <w:r w:rsidR="00FC3CE1" w:rsidRPr="00370E70">
        <w:rPr>
          <w:i/>
          <w:color w:val="000000"/>
          <w:szCs w:val="22"/>
        </w:rPr>
        <w:t>,</w:t>
      </w:r>
      <w:r w:rsidRPr="00370E70">
        <w:rPr>
          <w:rFonts w:eastAsia="SimSun"/>
          <w:i/>
          <w:color w:val="000000"/>
          <w:szCs w:val="22"/>
        </w:rPr>
        <w:t xml:space="preserve"> </w:t>
      </w:r>
      <w:r w:rsidR="00FC3CE1" w:rsidRPr="00370E70">
        <w:rPr>
          <w:rFonts w:eastAsia="SimSun"/>
          <w:i/>
          <w:color w:val="000000"/>
          <w:szCs w:val="22"/>
        </w:rPr>
        <w:t>m</w:t>
      </w:r>
      <w:r w:rsidRPr="00370E70">
        <w:rPr>
          <w:i/>
          <w:color w:val="000000"/>
          <w:szCs w:val="22"/>
        </w:rPr>
        <w:t>ean mo</w:t>
      </w:r>
      <w:r w:rsidR="00FC3CE1" w:rsidRPr="00370E70">
        <w:rPr>
          <w:i/>
          <w:color w:val="000000"/>
          <w:szCs w:val="22"/>
        </w:rPr>
        <w:t>nthly daily maximum temperature</w:t>
      </w:r>
      <w:r w:rsidRPr="00370E70">
        <w:rPr>
          <w:i/>
          <w:color w:val="000000"/>
          <w:szCs w:val="22"/>
        </w:rPr>
        <w:t xml:space="preserve">, and mean monthly 3pm wind speed </w:t>
      </w:r>
      <w:r w:rsidR="00FC3CE1" w:rsidRPr="00370E70">
        <w:rPr>
          <w:i/>
          <w:color w:val="000000"/>
          <w:szCs w:val="22"/>
        </w:rPr>
        <w:t xml:space="preserve">from </w:t>
      </w:r>
      <w:smartTag w:uri="urn:schemas-microsoft-com:office:smarttags" w:element="place">
        <w:smartTag w:uri="urn:schemas-microsoft-com:office:smarttags" w:element="PlaceName">
          <w:r w:rsidR="00FC3CE1" w:rsidRPr="00370E70">
            <w:rPr>
              <w:i/>
              <w:color w:val="000000"/>
              <w:szCs w:val="22"/>
            </w:rPr>
            <w:t>Gladstone</w:t>
          </w:r>
        </w:smartTag>
        <w:r w:rsidR="00FC3CE1" w:rsidRPr="00370E70">
          <w:rPr>
            <w:i/>
            <w:color w:val="000000"/>
            <w:szCs w:val="22"/>
          </w:rPr>
          <w:t xml:space="preserve"> </w:t>
        </w:r>
        <w:smartTag w:uri="urn:schemas-microsoft-com:office:smarttags" w:element="PlaceType">
          <w:r w:rsidR="00FC3CE1" w:rsidRPr="00370E70">
            <w:rPr>
              <w:i/>
              <w:color w:val="000000"/>
              <w:szCs w:val="22"/>
            </w:rPr>
            <w:t>Harbour</w:t>
          </w:r>
        </w:smartTag>
      </w:smartTag>
      <w:r w:rsidR="00FC3CE1" w:rsidRPr="00370E70">
        <w:rPr>
          <w:i/>
          <w:color w:val="000000"/>
          <w:szCs w:val="22"/>
        </w:rPr>
        <w:t xml:space="preserve"> monitoring sites.</w:t>
      </w:r>
      <w:bookmarkEnd w:id="751"/>
      <w:r w:rsidR="00FC3CE1" w:rsidRPr="00370E70">
        <w:rPr>
          <w:i/>
          <w:color w:val="000000"/>
          <w:szCs w:val="22"/>
        </w:rPr>
        <w:t xml:space="preserve"> </w:t>
      </w:r>
    </w:p>
    <w:p w:rsidR="00FC3CE1" w:rsidRPr="00370E70" w:rsidRDefault="00FC3CE1" w:rsidP="00DF51E3">
      <w:pPr>
        <w:rPr>
          <w:i/>
          <w:color w:val="000000"/>
          <w:szCs w:val="22"/>
        </w:rPr>
      </w:pPr>
      <w:r w:rsidRPr="00370E70">
        <w:rPr>
          <w:i/>
          <w:color w:val="000000"/>
          <w:szCs w:val="22"/>
        </w:rPr>
        <w:t>Rainfall</w:t>
      </w:r>
      <w:r w:rsidRPr="00370E70">
        <w:rPr>
          <w:rFonts w:eastAsia="SimSun"/>
          <w:i/>
          <w:color w:val="000000"/>
          <w:szCs w:val="22"/>
        </w:rPr>
        <w:t xml:space="preserve"> </w:t>
      </w:r>
      <w:r w:rsidRPr="00370E70">
        <w:rPr>
          <w:i/>
          <w:color w:val="000000"/>
          <w:szCs w:val="22"/>
        </w:rPr>
        <w:t xml:space="preserve">recorded at </w:t>
      </w:r>
      <w:smartTag w:uri="urn:schemas-microsoft-com:office:smarttags" w:element="place">
        <w:smartTag w:uri="urn:schemas-microsoft-com:office:smarttags" w:element="PlaceName">
          <w:r w:rsidRPr="00370E70">
            <w:rPr>
              <w:rFonts w:eastAsia="SimSun"/>
              <w:i/>
              <w:color w:val="000000"/>
              <w:szCs w:val="22"/>
            </w:rPr>
            <w:t>Southend</w:t>
          </w:r>
        </w:smartTag>
        <w:r w:rsidRPr="00370E70">
          <w:rPr>
            <w:rFonts w:eastAsia="SimSun"/>
            <w:i/>
            <w:color w:val="000000"/>
            <w:szCs w:val="22"/>
          </w:rPr>
          <w:t xml:space="preserve"> </w:t>
        </w:r>
        <w:smartTag w:uri="urn:schemas-microsoft-com:office:smarttags" w:element="PlaceName">
          <w:r w:rsidRPr="00370E70">
            <w:rPr>
              <w:rFonts w:eastAsia="SimSun"/>
              <w:i/>
              <w:color w:val="000000"/>
              <w:szCs w:val="22"/>
            </w:rPr>
            <w:t>Curtis</w:t>
          </w:r>
        </w:smartTag>
        <w:r w:rsidRPr="00370E70">
          <w:rPr>
            <w:rFonts w:eastAsia="SimSun"/>
            <w:i/>
            <w:color w:val="000000"/>
            <w:szCs w:val="22"/>
          </w:rPr>
          <w:t xml:space="preserve"> </w:t>
        </w:r>
        <w:smartTag w:uri="urn:schemas-microsoft-com:office:smarttags" w:element="PlaceName">
          <w:r w:rsidRPr="00370E70">
            <w:rPr>
              <w:rFonts w:eastAsia="SimSun"/>
              <w:i/>
              <w:color w:val="000000"/>
              <w:szCs w:val="22"/>
            </w:rPr>
            <w:t>Island</w:t>
          </w:r>
        </w:smartTag>
      </w:smartTag>
      <w:r w:rsidRPr="00370E70">
        <w:rPr>
          <w:rFonts w:eastAsia="SimSun"/>
          <w:i/>
          <w:color w:val="000000"/>
          <w:szCs w:val="22"/>
        </w:rPr>
        <w:t xml:space="preserve"> </w:t>
      </w:r>
      <w:r w:rsidRPr="00370E70">
        <w:rPr>
          <w:i/>
          <w:color w:val="000000"/>
          <w:szCs w:val="22"/>
        </w:rPr>
        <w:t xml:space="preserve">(BOM station </w:t>
      </w:r>
      <w:r w:rsidRPr="00370E70">
        <w:rPr>
          <w:rFonts w:eastAsia="SimSun"/>
          <w:i/>
          <w:color w:val="000000"/>
          <w:szCs w:val="22"/>
        </w:rPr>
        <w:t>039241, s</w:t>
      </w:r>
      <w:r w:rsidRPr="00370E70">
        <w:rPr>
          <w:i/>
          <w:color w:val="000000"/>
          <w:szCs w:val="22"/>
        </w:rPr>
        <w:t xml:space="preserve">ource www.bom.gov.au), located </w:t>
      </w:r>
      <w:r w:rsidRPr="00370E70">
        <w:rPr>
          <w:rFonts w:eastAsia="SimSun"/>
          <w:i/>
          <w:color w:val="000000"/>
          <w:szCs w:val="22"/>
        </w:rPr>
        <w:t xml:space="preserve">1km from monitoring sites. </w:t>
      </w:r>
      <w:r w:rsidRPr="00370E70">
        <w:rPr>
          <w:i/>
          <w:color w:val="000000"/>
          <w:szCs w:val="22"/>
        </w:rPr>
        <w:t xml:space="preserve">Temperature and wind speed recorded at </w:t>
      </w:r>
      <w:smartTag w:uri="urn:schemas-microsoft-com:office:smarttags" w:element="place">
        <w:smartTag w:uri="urn:schemas-microsoft-com:office:smarttags" w:element="PlaceName">
          <w:r w:rsidRPr="00370E70">
            <w:rPr>
              <w:i/>
              <w:color w:val="000000"/>
              <w:szCs w:val="22"/>
            </w:rPr>
            <w:t>Gladstone</w:t>
          </w:r>
        </w:smartTag>
        <w:r w:rsidRPr="00370E70">
          <w:rPr>
            <w:i/>
            <w:color w:val="000000"/>
            <w:szCs w:val="22"/>
          </w:rPr>
          <w:t xml:space="preserve"> </w:t>
        </w:r>
        <w:smartTag w:uri="urn:schemas-microsoft-com:office:smarttags" w:element="PlaceType">
          <w:r w:rsidRPr="00370E70">
            <w:rPr>
              <w:i/>
              <w:color w:val="000000"/>
              <w:szCs w:val="22"/>
            </w:rPr>
            <w:t>Airport</w:t>
          </w:r>
        </w:smartTag>
      </w:smartTag>
      <w:r w:rsidRPr="00370E70">
        <w:rPr>
          <w:i/>
          <w:color w:val="000000"/>
          <w:szCs w:val="22"/>
        </w:rPr>
        <w:t xml:space="preserve"> (BOM station 039123, source www.bom.gov.au), located approximately 13km from monitoring sites. </w:t>
      </w:r>
    </w:p>
    <w:p w:rsidR="005132EF" w:rsidRPr="00370E70" w:rsidRDefault="005132EF" w:rsidP="00034AD4">
      <w:pPr>
        <w:pStyle w:val="Heading4"/>
        <w:rPr>
          <w:b/>
          <w:iCs/>
          <w:color w:val="000000"/>
        </w:rPr>
      </w:pPr>
      <w:bookmarkStart w:id="752" w:name="_Toc184102036"/>
      <w:r w:rsidRPr="00370E70">
        <w:rPr>
          <w:b/>
          <w:iCs/>
          <w:color w:val="000000"/>
        </w:rPr>
        <w:t>River discharge</w:t>
      </w:r>
      <w:bookmarkEnd w:id="752"/>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Several rivers discharge into the coastal waters of the Fitzroy, but the largest by far is the </w:t>
      </w:r>
      <w:smartTag w:uri="urn:schemas-microsoft-com:office:smarttags" w:element="place">
        <w:smartTag w:uri="urn:schemas-microsoft-com:office:smarttags" w:element="PlaceName">
          <w:r w:rsidRPr="00370E70">
            <w:rPr>
              <w:rFonts w:cs="TimesNewRoman"/>
              <w:color w:val="000000"/>
              <w:szCs w:val="22"/>
            </w:rPr>
            <w:t>Fitzroy</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and during floods its plumes extend 100's of km north to locations where coastal and reef  seagrass monitoring sites occur. P</w:t>
      </w:r>
      <w:r w:rsidRPr="00370E70">
        <w:rPr>
          <w:color w:val="000000"/>
          <w:szCs w:val="22"/>
        </w:rPr>
        <w:t xml:space="preserve">rimary-secondary </w:t>
      </w:r>
      <w:r w:rsidRPr="00370E70">
        <w:rPr>
          <w:rFonts w:cs="TimesNewRoman"/>
          <w:color w:val="000000"/>
          <w:szCs w:val="22"/>
        </w:rPr>
        <w:t xml:space="preserve">flood waters from the </w:t>
      </w:r>
      <w:smartTag w:uri="urn:schemas-microsoft-com:office:smarttags" w:element="PlaceName">
        <w:r w:rsidRPr="00370E70">
          <w:rPr>
            <w:rFonts w:cs="TimesNewRoman"/>
            <w:color w:val="000000"/>
            <w:szCs w:val="22"/>
          </w:rPr>
          <w:t>Fitzroy</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r w:rsidRPr="00370E70">
        <w:rPr>
          <w:rFonts w:cs="TimesNewRoman"/>
          <w:color w:val="000000"/>
          <w:szCs w:val="22"/>
        </w:rPr>
        <w:t xml:space="preserve"> extend into </w:t>
      </w:r>
      <w:smartTag w:uri="urn:schemas-microsoft-com:office:smarttags" w:element="PlaceName">
        <w:r w:rsidRPr="00370E70">
          <w:rPr>
            <w:rFonts w:cs="TimesNewRoman"/>
            <w:color w:val="000000"/>
            <w:szCs w:val="22"/>
          </w:rPr>
          <w:t>Shoalwater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r w:rsidRPr="00370E70">
        <w:rPr>
          <w:rFonts w:cs="TimesNewRoman"/>
          <w:color w:val="000000"/>
          <w:szCs w:val="22"/>
        </w:rPr>
        <w:t xml:space="preserve"> (200 km to the north) and </w:t>
      </w:r>
      <w:r w:rsidRPr="00370E70">
        <w:rPr>
          <w:color w:val="000000"/>
          <w:szCs w:val="22"/>
        </w:rPr>
        <w:t xml:space="preserve">secondary-tertiary flood waters extend out to </w:t>
      </w:r>
      <w:smartTag w:uri="urn:schemas-microsoft-com:office:smarttags" w:element="place">
        <w:smartTag w:uri="urn:schemas-microsoft-com:office:smarttags" w:element="PlaceName">
          <w:r w:rsidRPr="00370E70">
            <w:rPr>
              <w:color w:val="000000"/>
              <w:szCs w:val="22"/>
            </w:rPr>
            <w:t>Great</w:t>
          </w:r>
        </w:smartTag>
        <w:r w:rsidRPr="00370E70">
          <w:rPr>
            <w:color w:val="000000"/>
            <w:szCs w:val="22"/>
          </w:rPr>
          <w:t xml:space="preserve"> </w:t>
        </w:r>
        <w:smartTag w:uri="urn:schemas-microsoft-com:office:smarttags" w:element="PlaceName">
          <w:r w:rsidRPr="00370E70">
            <w:rPr>
              <w:color w:val="000000"/>
              <w:szCs w:val="22"/>
            </w:rPr>
            <w:t>Keppel</w:t>
          </w:r>
        </w:smartTag>
        <w:r w:rsidRPr="00370E70">
          <w:rPr>
            <w:color w:val="000000"/>
            <w:szCs w:val="22"/>
          </w:rPr>
          <w:t xml:space="preserve"> </w:t>
        </w:r>
        <w:smartTag w:uri="urn:schemas-microsoft-com:office:smarttags" w:element="PlaceType">
          <w:r w:rsidRPr="00370E70">
            <w:rPr>
              <w:color w:val="000000"/>
              <w:szCs w:val="22"/>
            </w:rPr>
            <w:t>Island</w:t>
          </w:r>
        </w:smartTag>
      </w:smartTag>
      <w:r w:rsidRPr="00370E70">
        <w:rPr>
          <w:rFonts w:cs="TimesNewRoman"/>
          <w:color w:val="000000"/>
          <w:szCs w:val="22"/>
        </w:rPr>
        <w:t xml:space="preserve"> (34 km to the north). </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exposure of the seagrass monitoring sites in </w:t>
      </w:r>
      <w:smartTag w:uri="urn:schemas-microsoft-com:office:smarttags" w:element="place">
        <w:smartTag w:uri="urn:schemas-microsoft-com:office:smarttags" w:element="PlaceName">
          <w:r w:rsidRPr="00370E70">
            <w:rPr>
              <w:rFonts w:cs="TimesNewRoman"/>
              <w:color w:val="000000"/>
              <w:szCs w:val="22"/>
            </w:rPr>
            <w:t>Shoalwater</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smartTag>
      <w:r w:rsidRPr="00370E70">
        <w:rPr>
          <w:rFonts w:cs="TimesNewRoman"/>
          <w:color w:val="000000"/>
          <w:szCs w:val="22"/>
        </w:rPr>
        <w:t xml:space="preserve"> to elevated Total Suspended Solids and PSII herbicides was rated as High in 2010, whereas chlorophyll-</w:t>
      </w:r>
      <w:r w:rsidRPr="00370E70">
        <w:rPr>
          <w:rFonts w:cs="TimesNewRoman"/>
          <w:i/>
          <w:color w:val="000000"/>
          <w:szCs w:val="22"/>
        </w:rPr>
        <w:t>a</w:t>
      </w:r>
      <w:r w:rsidRPr="00370E70">
        <w:rPr>
          <w:rFonts w:cs="TimesNewRoman"/>
          <w:color w:val="000000"/>
          <w:szCs w:val="22"/>
        </w:rPr>
        <w:t xml:space="preserve"> exposure was rated as medium. The exposure of the seagrass meadows on the reef flat at </w:t>
      </w:r>
      <w:smartTag w:uri="urn:schemas-microsoft-com:office:smarttags" w:element="place">
        <w:smartTag w:uri="urn:schemas-microsoft-com:office:smarttags" w:element="PlaceName">
          <w:r w:rsidRPr="00370E70">
            <w:rPr>
              <w:rFonts w:cs="TimesNewRoman"/>
              <w:color w:val="000000"/>
              <w:szCs w:val="22"/>
            </w:rPr>
            <w:t>Great</w:t>
          </w:r>
        </w:smartTag>
        <w:r w:rsidRPr="00370E70">
          <w:rPr>
            <w:rFonts w:cs="TimesNewRoman"/>
            <w:color w:val="000000"/>
            <w:szCs w:val="22"/>
          </w:rPr>
          <w:t xml:space="preserve"> </w:t>
        </w:r>
        <w:smartTag w:uri="urn:schemas-microsoft-com:office:smarttags" w:element="PlaceName">
          <w:r w:rsidRPr="00370E70">
            <w:rPr>
              <w:rFonts w:cs="TimesNewRoman"/>
              <w:color w:val="000000"/>
              <w:szCs w:val="22"/>
            </w:rPr>
            <w:t>Keppel</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Island</w:t>
          </w:r>
        </w:smartTag>
      </w:smartTag>
      <w:r w:rsidRPr="00370E70">
        <w:rPr>
          <w:rFonts w:cs="TimesNewRoman"/>
          <w:color w:val="000000"/>
          <w:szCs w:val="22"/>
        </w:rPr>
        <w:t xml:space="preserve"> to Total Suspended Solids,  chlorophyll-</w:t>
      </w:r>
      <w:r w:rsidRPr="00370E70">
        <w:rPr>
          <w:rFonts w:cs="TimesNewRoman"/>
          <w:i/>
          <w:color w:val="000000"/>
          <w:szCs w:val="22"/>
        </w:rPr>
        <w:t>a</w:t>
      </w:r>
      <w:r w:rsidRPr="00370E70">
        <w:rPr>
          <w:rFonts w:cs="TimesNewRoman"/>
          <w:color w:val="000000"/>
          <w:szCs w:val="22"/>
        </w:rPr>
        <w:t xml:space="preserve"> and PSII herbicides however, was rated as medium. Overall, the probability of exceeding the GBR WQ Guidelines for chlorophyll-</w:t>
      </w:r>
      <w:r w:rsidRPr="00370E70">
        <w:rPr>
          <w:rFonts w:cs="TimesNewRoman"/>
          <w:i/>
          <w:color w:val="000000"/>
          <w:szCs w:val="22"/>
        </w:rPr>
        <w:t xml:space="preserve">a </w:t>
      </w:r>
      <w:r w:rsidRPr="00370E70">
        <w:rPr>
          <w:rFonts w:cs="TimesNewRoman"/>
          <w:color w:val="000000"/>
          <w:szCs w:val="22"/>
        </w:rPr>
        <w:t>at</w:t>
      </w:r>
      <w:r w:rsidRPr="00370E70">
        <w:rPr>
          <w:rFonts w:cs="TimesNewRoman"/>
          <w:i/>
          <w:color w:val="000000"/>
          <w:szCs w:val="22"/>
        </w:rPr>
        <w:t xml:space="preserve"> </w:t>
      </w:r>
      <w:r w:rsidRPr="00370E70">
        <w:rPr>
          <w:rFonts w:cs="TimesNewRoman"/>
          <w:color w:val="000000"/>
          <w:szCs w:val="22"/>
        </w:rPr>
        <w:t>coastal and reef sites was high and medium, respectively (pers. comm. Michelle Devlin, JCU).</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rivers that discharge into </w:t>
      </w:r>
      <w:smartTag w:uri="urn:schemas-microsoft-com:office:smarttags" w:element="PlaceName">
        <w:r w:rsidRPr="00370E70">
          <w:rPr>
            <w:rFonts w:cs="TimesNewRoman"/>
            <w:color w:val="000000"/>
            <w:szCs w:val="22"/>
          </w:rPr>
          <w:t>Gladstone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Harbour</w:t>
        </w:r>
      </w:smartTag>
      <w:r w:rsidRPr="00370E70">
        <w:rPr>
          <w:rFonts w:cs="TimesNewRoman"/>
          <w:color w:val="000000"/>
          <w:szCs w:val="22"/>
        </w:rPr>
        <w:t xml:space="preserve"> are the Calliope and the </w:t>
      </w:r>
      <w:smartTag w:uri="urn:schemas-microsoft-com:office:smarttags" w:element="place">
        <w:r w:rsidRPr="00370E70">
          <w:rPr>
            <w:rFonts w:cs="TimesNewRoman"/>
            <w:color w:val="000000"/>
            <w:szCs w:val="22"/>
          </w:rPr>
          <w:t>Boyne</w:t>
        </w:r>
      </w:smartTag>
      <w:r w:rsidRPr="00370E70">
        <w:rPr>
          <w:rFonts w:cs="TimesNewRoman"/>
          <w:color w:val="000000"/>
          <w:szCs w:val="22"/>
        </w:rPr>
        <w:t>, which are within 10 km of t</w:t>
      </w:r>
      <w:r w:rsidRPr="00370E70">
        <w:rPr>
          <w:color w:val="000000"/>
          <w:szCs w:val="22"/>
        </w:rPr>
        <w:t xml:space="preserve">he </w:t>
      </w:r>
      <w:r w:rsidRPr="00370E70">
        <w:rPr>
          <w:rFonts w:cs="TimesNewRoman"/>
          <w:color w:val="000000"/>
          <w:szCs w:val="22"/>
        </w:rPr>
        <w:t xml:space="preserve">estuarine monitoring sites on Pelican Banks (Port Curtis). During floods, freshwater-primary </w:t>
      </w:r>
      <w:r w:rsidRPr="00370E70">
        <w:rPr>
          <w:color w:val="000000"/>
          <w:szCs w:val="22"/>
        </w:rPr>
        <w:t>flood waters extend out to the sites, and t</w:t>
      </w:r>
      <w:r w:rsidRPr="00370E70">
        <w:rPr>
          <w:rFonts w:cs="TimesNewRoman"/>
          <w:color w:val="000000"/>
          <w:szCs w:val="22"/>
        </w:rPr>
        <w:t xml:space="preserve">he exposure of the </w:t>
      </w:r>
      <w:r w:rsidRPr="00370E70">
        <w:rPr>
          <w:color w:val="000000"/>
          <w:szCs w:val="22"/>
        </w:rPr>
        <w:t xml:space="preserve">seagrass to </w:t>
      </w:r>
      <w:r w:rsidRPr="00370E70">
        <w:rPr>
          <w:rFonts w:cs="TimesNewRoman"/>
          <w:color w:val="000000"/>
          <w:szCs w:val="22"/>
        </w:rPr>
        <w:t>elevated Total Suspended Solids and PSII herbicides was rated as High in 2010, whereas chlorophyll-</w:t>
      </w:r>
      <w:r w:rsidRPr="00370E70">
        <w:rPr>
          <w:rFonts w:cs="TimesNewRoman"/>
          <w:i/>
          <w:color w:val="000000"/>
          <w:szCs w:val="22"/>
        </w:rPr>
        <w:t>a</w:t>
      </w:r>
      <w:r w:rsidRPr="00370E70">
        <w:rPr>
          <w:rFonts w:cs="TimesNewRoman"/>
          <w:color w:val="000000"/>
          <w:szCs w:val="22"/>
        </w:rPr>
        <w:t xml:space="preserve"> exposure was rated as medium. The probability of exceeding the GBR WQ Guidelines at these sites for TSS and chlorophyll-</w:t>
      </w:r>
      <w:r w:rsidRPr="00370E70">
        <w:rPr>
          <w:rFonts w:cs="TimesNewRoman"/>
          <w:i/>
          <w:color w:val="000000"/>
          <w:szCs w:val="22"/>
        </w:rPr>
        <w:t xml:space="preserve">a </w:t>
      </w:r>
      <w:r w:rsidRPr="00370E70">
        <w:rPr>
          <w:rFonts w:cs="TimesNewRoman"/>
          <w:color w:val="000000"/>
          <w:szCs w:val="22"/>
        </w:rPr>
        <w:t>was medium and high, respectively (pers. comm. Michelle Devlin, JCU).</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2011/12 was the 3rd consecutive period where the total discharge from the Fitzroy and </w:t>
      </w:r>
      <w:smartTag w:uri="urn:schemas-microsoft-com:office:smarttags" w:element="place">
        <w:smartTag w:uri="urn:schemas-microsoft-com:office:smarttags" w:element="PlaceName">
          <w:r w:rsidRPr="00370E70">
            <w:rPr>
              <w:rFonts w:cs="TimesNewRoman"/>
              <w:color w:val="000000"/>
              <w:szCs w:val="22"/>
            </w:rPr>
            <w:t>Calliope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Rivers</w:t>
          </w:r>
        </w:smartTag>
      </w:smartTag>
      <w:r w:rsidRPr="00370E70">
        <w:rPr>
          <w:rFonts w:cs="TimesNewRoman"/>
          <w:color w:val="000000"/>
          <w:szCs w:val="22"/>
        </w:rPr>
        <w:t xml:space="preserve"> was above the long-term medians </w:t>
      </w:r>
      <w:r w:rsidRPr="00370E70">
        <w:rPr>
          <w:color w:val="000000"/>
          <w:szCs w:val="22"/>
        </w:rPr>
        <w:t>(</w:t>
      </w:r>
      <w:r w:rsidRPr="00370E70">
        <w:fldChar w:fldCharType="begin"/>
      </w:r>
      <w:r w:rsidRPr="00370E70">
        <w:instrText xml:space="preserve"> REF _Ref305166378 \h  \* MERGEFORMAT </w:instrText>
      </w:r>
      <w:r w:rsidRPr="00370E70">
        <w:fldChar w:fldCharType="separate"/>
      </w:r>
      <w:r w:rsidR="005B5FD6" w:rsidRPr="00370E70">
        <w:rPr>
          <w:color w:val="000000"/>
          <w:szCs w:val="22"/>
        </w:rPr>
        <w:t xml:space="preserve">Figure </w:t>
      </w:r>
      <w:r w:rsidR="005B5FD6">
        <w:rPr>
          <w:noProof/>
          <w:color w:val="000000"/>
          <w:szCs w:val="22"/>
        </w:rPr>
        <w:t>168</w:t>
      </w:r>
      <w:r w:rsidRPr="00370E70">
        <w:fldChar w:fldCharType="end"/>
      </w:r>
      <w:r w:rsidRPr="00370E70">
        <w:rPr>
          <w:color w:val="000000"/>
          <w:szCs w:val="22"/>
        </w:rPr>
        <w:t xml:space="preserve">, </w:t>
      </w:r>
      <w:r w:rsidRPr="00370E70">
        <w:fldChar w:fldCharType="begin"/>
      </w:r>
      <w:r w:rsidRPr="00370E70">
        <w:instrText xml:space="preserve"> REF _Ref348881234 \h  \* MERGEFORMAT </w:instrText>
      </w:r>
      <w:r w:rsidRPr="00370E70">
        <w:fldChar w:fldCharType="separate"/>
      </w:r>
      <w:r w:rsidR="005B5FD6" w:rsidRPr="005B5FD6">
        <w:rPr>
          <w:szCs w:val="22"/>
        </w:rPr>
        <w:t xml:space="preserve">Figure </w:t>
      </w:r>
      <w:r w:rsidR="005B5FD6" w:rsidRPr="005B5FD6">
        <w:rPr>
          <w:noProof/>
          <w:color w:val="000000"/>
          <w:szCs w:val="22"/>
        </w:rPr>
        <w:t>169</w:t>
      </w:r>
      <w:r w:rsidRPr="00370E70">
        <w:fldChar w:fldCharType="end"/>
      </w:r>
      <w:r w:rsidRPr="00370E70">
        <w:rPr>
          <w:color w:val="000000"/>
          <w:szCs w:val="22"/>
        </w:rPr>
        <w:t xml:space="preserve">). Approximately 85% of the volume discharged from the </w:t>
      </w:r>
      <w:smartTag w:uri="urn:schemas-microsoft-com:office:smarttags" w:element="place">
        <w:smartTag w:uri="urn:schemas-microsoft-com:office:smarttags" w:element="PlaceName">
          <w:r w:rsidRPr="00370E70">
            <w:rPr>
              <w:rFonts w:cs="TimesNewRoman"/>
              <w:color w:val="000000"/>
              <w:szCs w:val="22"/>
            </w:rPr>
            <w:t>Fitzroy</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w:t>
      </w:r>
      <w:r w:rsidRPr="00370E70">
        <w:rPr>
          <w:color w:val="000000"/>
          <w:szCs w:val="22"/>
        </w:rPr>
        <w:t>was between February and April 2012, with the highest volume in March (</w:t>
      </w:r>
      <w:r w:rsidRPr="00370E70">
        <w:fldChar w:fldCharType="begin"/>
      </w:r>
      <w:r w:rsidRPr="00370E70">
        <w:instrText xml:space="preserve"> REF _Ref305166378 \h  \* MERGEFORMAT </w:instrText>
      </w:r>
      <w:r w:rsidRPr="00370E70">
        <w:fldChar w:fldCharType="separate"/>
      </w:r>
      <w:r w:rsidR="005B5FD6" w:rsidRPr="00370E70">
        <w:rPr>
          <w:color w:val="000000"/>
          <w:szCs w:val="22"/>
        </w:rPr>
        <w:t xml:space="preserve">Figure </w:t>
      </w:r>
      <w:r w:rsidR="005B5FD6">
        <w:rPr>
          <w:noProof/>
          <w:color w:val="000000"/>
          <w:szCs w:val="22"/>
        </w:rPr>
        <w:t>168</w:t>
      </w:r>
      <w:r w:rsidRPr="00370E70">
        <w:fldChar w:fldCharType="end"/>
      </w:r>
      <w:r w:rsidRPr="00370E70">
        <w:rPr>
          <w:color w:val="000000"/>
          <w:szCs w:val="22"/>
        </w:rPr>
        <w:t xml:space="preserve">). In the </w:t>
      </w:r>
      <w:smartTag w:uri="urn:schemas-microsoft-com:office:smarttags" w:element="place">
        <w:smartTag w:uri="urn:schemas-microsoft-com:office:smarttags" w:element="PlaceName">
          <w:r w:rsidRPr="00370E70">
            <w:rPr>
              <w:rFonts w:cs="TimesNewRoman"/>
              <w:color w:val="000000"/>
              <w:szCs w:val="22"/>
            </w:rPr>
            <w:t>Calliope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a</w:t>
      </w:r>
      <w:r w:rsidRPr="00370E70">
        <w:rPr>
          <w:color w:val="000000"/>
          <w:szCs w:val="22"/>
        </w:rPr>
        <w:t xml:space="preserve">pproximately 85% of the volume discharged during the 2011/12 period occurred earlier </w:t>
      </w:r>
      <w:r w:rsidRPr="00370E70">
        <w:rPr>
          <w:rFonts w:cs="TimesNewRoman"/>
          <w:color w:val="000000"/>
          <w:szCs w:val="22"/>
        </w:rPr>
        <w:t xml:space="preserve">Fitzroy, </w:t>
      </w:r>
      <w:r w:rsidRPr="00370E70">
        <w:rPr>
          <w:color w:val="000000"/>
          <w:szCs w:val="22"/>
        </w:rPr>
        <w:t xml:space="preserve">between January and March 2012. Highest flows in the </w:t>
      </w:r>
      <w:smartTag w:uri="urn:schemas-microsoft-com:office:smarttags" w:element="place">
        <w:smartTag w:uri="urn:schemas-microsoft-com:office:smarttags" w:element="PlaceName">
          <w:r w:rsidRPr="00370E70">
            <w:rPr>
              <w:rFonts w:cs="TimesNewRoman"/>
              <w:color w:val="000000"/>
              <w:szCs w:val="22"/>
            </w:rPr>
            <w:t>Calliope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were on average 2660 ML day</w:t>
      </w:r>
      <w:r w:rsidRPr="00370E70">
        <w:rPr>
          <w:rFonts w:cs="TimesNewRoman"/>
          <w:color w:val="000000"/>
          <w:szCs w:val="22"/>
          <w:vertAlign w:val="superscript"/>
        </w:rPr>
        <w:t>-1</w:t>
      </w:r>
      <w:r w:rsidRPr="00370E70">
        <w:rPr>
          <w:rFonts w:cs="TimesNewRoman"/>
          <w:color w:val="000000"/>
          <w:szCs w:val="22"/>
        </w:rPr>
        <w:t>, in January 2012 (</w:t>
      </w:r>
      <w:r w:rsidRPr="00370E70">
        <w:fldChar w:fldCharType="begin"/>
      </w:r>
      <w:r w:rsidRPr="00370E70">
        <w:instrText xml:space="preserve"> REF _Ref348881234 \h  \* MERGEFORMAT </w:instrText>
      </w:r>
      <w:r w:rsidRPr="00370E70">
        <w:fldChar w:fldCharType="separate"/>
      </w:r>
      <w:r w:rsidR="005B5FD6" w:rsidRPr="005B5FD6">
        <w:rPr>
          <w:szCs w:val="22"/>
        </w:rPr>
        <w:t xml:space="preserve">Figure </w:t>
      </w:r>
      <w:r w:rsidR="005B5FD6" w:rsidRPr="005B5FD6">
        <w:rPr>
          <w:noProof/>
          <w:color w:val="000000"/>
          <w:szCs w:val="22"/>
        </w:rPr>
        <w:t>169</w:t>
      </w:r>
      <w:r w:rsidRPr="00370E70">
        <w:fldChar w:fldCharType="end"/>
      </w:r>
      <w:r w:rsidRPr="00370E70">
        <w:rPr>
          <w:color w:val="000000"/>
          <w:szCs w:val="22"/>
        </w:rPr>
        <w:t>).</w:t>
      </w:r>
    </w:p>
    <w:p w:rsidR="005132EF" w:rsidRPr="00370E70" w:rsidRDefault="007B15AB" w:rsidP="00034AD4">
      <w:pPr>
        <w:keepNext/>
        <w:autoSpaceDE w:val="0"/>
        <w:autoSpaceDN w:val="0"/>
        <w:adjustRightInd w:val="0"/>
        <w:jc w:val="center"/>
      </w:pPr>
      <w:r>
        <w:rPr>
          <w:noProof/>
          <w:lang w:eastAsia="en-AU"/>
        </w:rPr>
        <w:lastRenderedPageBreak/>
        <w:drawing>
          <wp:inline distT="0" distB="0" distL="0" distR="0">
            <wp:extent cx="4314190" cy="1661160"/>
            <wp:effectExtent l="0" t="0" r="0" b="0"/>
            <wp:docPr id="217" name="Picture 209" descr="Graph of average daily flow (ML day-1) per month from the Fitzroy River which would impact coastal and reef seagrass monitoring site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Graph of average daily flow (ML day-1) per month from the Fitzroy River which would impact coastal and reef seagrass monitoring sites in the Fitzroy region "/>
                    <pic:cNvPicPr>
                      <a:picLocks noChangeAspect="1" noChangeArrowheads="1"/>
                    </pic:cNvPicPr>
                  </pic:nvPicPr>
                  <pic:blipFill>
                    <a:blip r:embed="rId243">
                      <a:extLst>
                        <a:ext uri="{28A0092B-C50C-407E-A947-70E740481C1C}">
                          <a14:useLocalDpi xmlns:a14="http://schemas.microsoft.com/office/drawing/2010/main" val="0"/>
                        </a:ext>
                      </a:extLst>
                    </a:blip>
                    <a:srcRect b="5594"/>
                    <a:stretch>
                      <a:fillRect/>
                    </a:stretch>
                  </pic:blipFill>
                  <pic:spPr bwMode="auto">
                    <a:xfrm>
                      <a:off x="0" y="0"/>
                      <a:ext cx="4314190" cy="1661160"/>
                    </a:xfrm>
                    <a:prstGeom prst="rect">
                      <a:avLst/>
                    </a:prstGeom>
                    <a:noFill/>
                    <a:ln>
                      <a:noFill/>
                    </a:ln>
                  </pic:spPr>
                </pic:pic>
              </a:graphicData>
            </a:graphic>
          </wp:inline>
        </w:drawing>
      </w:r>
    </w:p>
    <w:p w:rsidR="00FC3CE1" w:rsidRPr="00370E70" w:rsidRDefault="005132EF" w:rsidP="00FC3CE1">
      <w:pPr>
        <w:rPr>
          <w:i/>
          <w:vanish/>
          <w:color w:val="000000"/>
          <w:szCs w:val="22"/>
          <w:specVanish/>
        </w:rPr>
      </w:pPr>
      <w:bookmarkStart w:id="753" w:name="_Ref305166378"/>
      <w:bookmarkStart w:id="754" w:name="_Toc384196515"/>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168</w:t>
      </w:r>
      <w:r w:rsidRPr="00370E70">
        <w:rPr>
          <w:color w:val="000000"/>
          <w:szCs w:val="22"/>
        </w:rPr>
        <w:fldChar w:fldCharType="end"/>
      </w:r>
      <w:bookmarkEnd w:id="753"/>
      <w:r w:rsidRPr="00370E70">
        <w:rPr>
          <w:color w:val="000000"/>
          <w:szCs w:val="22"/>
        </w:rPr>
        <w:t xml:space="preserve">. </w:t>
      </w:r>
      <w:r w:rsidRPr="00370E70">
        <w:rPr>
          <w:i/>
          <w:color w:val="000000"/>
          <w:szCs w:val="22"/>
        </w:rPr>
        <w:t>Average daily flow (ML day</w:t>
      </w:r>
      <w:r w:rsidRPr="00370E70">
        <w:rPr>
          <w:i/>
          <w:color w:val="000000"/>
          <w:szCs w:val="22"/>
          <w:vertAlign w:val="superscript"/>
        </w:rPr>
        <w:t>-1</w:t>
      </w:r>
      <w:r w:rsidRPr="00370E70">
        <w:rPr>
          <w:i/>
          <w:color w:val="000000"/>
          <w:szCs w:val="22"/>
        </w:rPr>
        <w:t xml:space="preserve">) per month from the </w:t>
      </w:r>
      <w:smartTag w:uri="urn:schemas-microsoft-com:office:smarttags" w:element="place">
        <w:smartTag w:uri="urn:schemas-microsoft-com:office:smarttags" w:element="PlaceName">
          <w:r w:rsidRPr="00370E70">
            <w:rPr>
              <w:i/>
              <w:color w:val="000000"/>
              <w:szCs w:val="22"/>
            </w:rPr>
            <w:t>Fitzroy</w:t>
          </w:r>
        </w:smartTag>
        <w:r w:rsidRPr="00370E70">
          <w:rPr>
            <w:i/>
            <w:color w:val="000000"/>
            <w:szCs w:val="22"/>
          </w:rPr>
          <w:t xml:space="preserve"> </w:t>
        </w:r>
        <w:smartTag w:uri="urn:schemas-microsoft-com:office:smarttags" w:element="PlaceType">
          <w:r w:rsidRPr="00370E70">
            <w:rPr>
              <w:i/>
              <w:color w:val="000000"/>
              <w:szCs w:val="22"/>
            </w:rPr>
            <w:t>River</w:t>
          </w:r>
        </w:smartTag>
      </w:smartTag>
      <w:r w:rsidRPr="00370E70">
        <w:rPr>
          <w:i/>
          <w:color w:val="000000"/>
          <w:szCs w:val="22"/>
        </w:rPr>
        <w:t xml:space="preserve"> which </w:t>
      </w:r>
      <w:r w:rsidR="00FC3CE1" w:rsidRPr="00370E70">
        <w:rPr>
          <w:i/>
          <w:color w:val="000000"/>
          <w:szCs w:val="22"/>
        </w:rPr>
        <w:t xml:space="preserve">would </w:t>
      </w:r>
      <w:r w:rsidRPr="00370E70">
        <w:rPr>
          <w:i/>
          <w:color w:val="000000"/>
          <w:szCs w:val="22"/>
        </w:rPr>
        <w:t>impact coastal and reef seagrass monitoring sites in the Fitzroy region</w:t>
      </w:r>
      <w:bookmarkEnd w:id="754"/>
      <w:r w:rsidRPr="00370E70">
        <w:rPr>
          <w:i/>
          <w:color w:val="000000"/>
          <w:szCs w:val="22"/>
        </w:rPr>
        <w:t xml:space="preserve"> </w:t>
      </w:r>
    </w:p>
    <w:p w:rsidR="00FC3CE1" w:rsidRPr="00370E70" w:rsidRDefault="00FC3CE1" w:rsidP="00FC3CE1">
      <w:pPr>
        <w:rPr>
          <w:color w:val="000000"/>
        </w:rPr>
      </w:pPr>
      <w:r w:rsidRPr="00370E70">
        <w:rPr>
          <w:i/>
          <w:color w:val="000000"/>
          <w:szCs w:val="22"/>
        </w:rPr>
        <w:t xml:space="preserve"> </w:t>
      </w:r>
      <w:r w:rsidR="005132EF" w:rsidRPr="00370E70">
        <w:rPr>
          <w:i/>
          <w:color w:val="000000"/>
          <w:szCs w:val="22"/>
        </w:rPr>
        <w:t>(DERM station 130005A - Fitzroy River at The Gap, 23.08897222</w:t>
      </w:r>
      <w:r w:rsidR="005132EF" w:rsidRPr="00370E70">
        <w:rPr>
          <w:rFonts w:cs="TimesNewRoman"/>
          <w:i/>
          <w:color w:val="000000"/>
          <w:szCs w:val="22"/>
        </w:rPr>
        <w:t>°S</w:t>
      </w:r>
      <w:r w:rsidR="005132EF" w:rsidRPr="00370E70">
        <w:rPr>
          <w:i/>
          <w:color w:val="000000"/>
          <w:szCs w:val="22"/>
        </w:rPr>
        <w:t xml:space="preserve"> 150.10713889</w:t>
      </w:r>
      <w:r w:rsidR="005132EF" w:rsidRPr="00370E70">
        <w:rPr>
          <w:rFonts w:cs="TimesNewRoman"/>
          <w:i/>
          <w:color w:val="000000"/>
          <w:szCs w:val="22"/>
        </w:rPr>
        <w:t>°E,</w:t>
      </w:r>
      <w:r w:rsidR="005132EF" w:rsidRPr="00370E70">
        <w:rPr>
          <w:i/>
          <w:color w:val="000000"/>
          <w:szCs w:val="22"/>
        </w:rPr>
        <w:t xml:space="preserve"> Ele</w:t>
      </w:r>
      <w:bookmarkStart w:id="755" w:name="OLE_LINK49"/>
      <w:bookmarkStart w:id="756" w:name="OLE_LINK51"/>
      <w:r w:rsidR="005132EF" w:rsidRPr="00370E70">
        <w:rPr>
          <w:i/>
          <w:color w:val="000000"/>
          <w:szCs w:val="22"/>
        </w:rPr>
        <w:t xml:space="preserve">v </w:t>
      </w:r>
      <w:bookmarkEnd w:id="755"/>
      <w:bookmarkEnd w:id="756"/>
      <w:r w:rsidR="005132EF" w:rsidRPr="00370E70">
        <w:rPr>
          <w:i/>
          <w:color w:val="000000"/>
          <w:szCs w:val="22"/>
        </w:rPr>
        <w:t xml:space="preserve">0m)(source ©The State of </w:t>
      </w:r>
      <w:smartTag w:uri="urn:schemas-microsoft-com:office:smarttags" w:element="place">
        <w:smartTag w:uri="urn:schemas-microsoft-com:office:smarttags" w:element="State">
          <w:r w:rsidR="005132EF" w:rsidRPr="00370E70">
            <w:rPr>
              <w:i/>
              <w:color w:val="000000"/>
              <w:szCs w:val="22"/>
            </w:rPr>
            <w:t>Queensland</w:t>
          </w:r>
        </w:smartTag>
      </w:smartTag>
      <w:r w:rsidR="005132EF" w:rsidRPr="00370E70">
        <w:rPr>
          <w:i/>
          <w:color w:val="000000"/>
          <w:szCs w:val="22"/>
        </w:rPr>
        <w:t xml:space="preserve"> (DERM) 2012, watermonitoring.derm.qld.gov.au).</w:t>
      </w:r>
      <w:r w:rsidRPr="00370E70">
        <w:rPr>
          <w:color w:val="000000"/>
        </w:rPr>
        <w:t xml:space="preserve"> </w:t>
      </w:r>
    </w:p>
    <w:p w:rsidR="005132EF" w:rsidRPr="00370E70" w:rsidRDefault="007B15AB" w:rsidP="00034AD4">
      <w:pPr>
        <w:keepNext/>
        <w:autoSpaceDE w:val="0"/>
        <w:autoSpaceDN w:val="0"/>
        <w:adjustRightInd w:val="0"/>
        <w:jc w:val="center"/>
        <w:rPr>
          <w:szCs w:val="22"/>
        </w:rPr>
      </w:pPr>
      <w:r>
        <w:rPr>
          <w:noProof/>
          <w:lang w:eastAsia="en-AU"/>
        </w:rPr>
        <w:drawing>
          <wp:inline distT="0" distB="0" distL="0" distR="0">
            <wp:extent cx="4314190" cy="1597025"/>
            <wp:effectExtent l="0" t="0" r="0" b="3175"/>
            <wp:docPr id="218" name="Picture 210" descr="Graph of average daily flow (ML day-1) per month from the Calliope River which would impact estuarine seagrass monitoring site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Graph of average daily flow (ML day-1) per month from the Calliope River which would impact estuarine seagrass monitoring sites in the Fitzroy region "/>
                    <pic:cNvPicPr>
                      <a:picLocks noChangeAspect="1" noChangeArrowheads="1"/>
                    </pic:cNvPicPr>
                  </pic:nvPicPr>
                  <pic:blipFill>
                    <a:blip r:embed="rId244">
                      <a:extLst>
                        <a:ext uri="{28A0092B-C50C-407E-A947-70E740481C1C}">
                          <a14:useLocalDpi xmlns:a14="http://schemas.microsoft.com/office/drawing/2010/main" val="0"/>
                        </a:ext>
                      </a:extLst>
                    </a:blip>
                    <a:srcRect b="5713"/>
                    <a:stretch>
                      <a:fillRect/>
                    </a:stretch>
                  </pic:blipFill>
                  <pic:spPr bwMode="auto">
                    <a:xfrm>
                      <a:off x="0" y="0"/>
                      <a:ext cx="4314190" cy="1597025"/>
                    </a:xfrm>
                    <a:prstGeom prst="rect">
                      <a:avLst/>
                    </a:prstGeom>
                    <a:noFill/>
                    <a:ln>
                      <a:noFill/>
                    </a:ln>
                  </pic:spPr>
                </pic:pic>
              </a:graphicData>
            </a:graphic>
          </wp:inline>
        </w:drawing>
      </w:r>
    </w:p>
    <w:p w:rsidR="00FC3CE1" w:rsidRPr="00370E70" w:rsidRDefault="005132EF" w:rsidP="00FC3CE1">
      <w:pPr>
        <w:pStyle w:val="Caption"/>
        <w:rPr>
          <w:i/>
          <w:vanish/>
          <w:color w:val="000000"/>
          <w:szCs w:val="22"/>
          <w:lang w:val="en-AU"/>
          <w:specVanish/>
        </w:rPr>
      </w:pPr>
      <w:bookmarkStart w:id="757" w:name="_Ref348881234"/>
      <w:bookmarkStart w:id="758" w:name="_Toc38419651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169</w:t>
      </w:r>
      <w:r w:rsidRPr="00370E70">
        <w:rPr>
          <w:lang w:val="en-AU"/>
        </w:rPr>
        <w:fldChar w:fldCharType="end"/>
      </w:r>
      <w:bookmarkEnd w:id="757"/>
      <w:r w:rsidRPr="00370E70">
        <w:rPr>
          <w:rStyle w:val="StyleCaptionCaptionCharCharLatinCalibri11ptBlackChar"/>
          <w:lang w:val="en-AU"/>
        </w:rPr>
        <w:t xml:space="preserve">. </w:t>
      </w:r>
      <w:r w:rsidRPr="00370E70">
        <w:rPr>
          <w:i/>
          <w:lang w:val="en-AU"/>
        </w:rPr>
        <w:t>Average daily flow (ML day</w:t>
      </w:r>
      <w:r w:rsidRPr="00370E70">
        <w:rPr>
          <w:i/>
          <w:vertAlign w:val="superscript"/>
          <w:lang w:val="en-AU"/>
        </w:rPr>
        <w:t>-1</w:t>
      </w:r>
      <w:r w:rsidRPr="00370E70">
        <w:rPr>
          <w:i/>
          <w:lang w:val="en-AU"/>
        </w:rPr>
        <w:t>) per month from the main rivers which would impact estuarine seagrass monitoring sites in the Fitzroy region</w:t>
      </w:r>
      <w:bookmarkEnd w:id="758"/>
      <w:r w:rsidRPr="00370E70">
        <w:rPr>
          <w:i/>
          <w:lang w:val="en-AU"/>
        </w:rPr>
        <w:t xml:space="preserve"> </w:t>
      </w:r>
    </w:p>
    <w:p w:rsidR="00FC3CE1" w:rsidRPr="00370E70" w:rsidRDefault="00FC3CE1" w:rsidP="00FC3CE1">
      <w:pPr>
        <w:pStyle w:val="Caption"/>
        <w:rPr>
          <w:lang w:val="en-AU"/>
        </w:rPr>
      </w:pPr>
      <w:r w:rsidRPr="00370E70">
        <w:rPr>
          <w:i/>
          <w:lang w:val="en-AU"/>
        </w:rPr>
        <w:t xml:space="preserve"> </w:t>
      </w:r>
      <w:r w:rsidR="005132EF" w:rsidRPr="00370E70">
        <w:rPr>
          <w:i/>
          <w:lang w:val="en-AU"/>
        </w:rPr>
        <w:t xml:space="preserve">(DERM stations 132001A - </w:t>
      </w:r>
      <w:smartTag w:uri="urn:schemas-microsoft-com:office:smarttags" w:element="PlaceName">
        <w:r w:rsidR="005132EF" w:rsidRPr="00370E70">
          <w:rPr>
            <w:i/>
            <w:lang w:val="en-AU"/>
          </w:rPr>
          <w:t>Calliope</w:t>
        </w:r>
      </w:smartTag>
      <w:r w:rsidR="005132EF" w:rsidRPr="00370E70">
        <w:rPr>
          <w:i/>
          <w:lang w:val="en-AU"/>
        </w:rPr>
        <w:t xml:space="preserve"> </w:t>
      </w:r>
      <w:smartTag w:uri="urn:schemas-microsoft-com:office:smarttags" w:element="PlaceType">
        <w:r w:rsidR="005132EF" w:rsidRPr="00370E70">
          <w:rPr>
            <w:i/>
            <w:lang w:val="en-AU"/>
          </w:rPr>
          <w:t>River</w:t>
        </w:r>
      </w:smartTag>
      <w:r w:rsidR="005132EF" w:rsidRPr="00370E70">
        <w:rPr>
          <w:i/>
          <w:lang w:val="en-AU"/>
        </w:rPr>
        <w:t xml:space="preserve"> at Castlehope 23.98498333</w:t>
      </w:r>
      <w:r w:rsidR="005132EF" w:rsidRPr="00370E70">
        <w:rPr>
          <w:rFonts w:cs="TimesNewRoman"/>
          <w:i/>
          <w:lang w:val="en-AU"/>
        </w:rPr>
        <w:t>°S</w:t>
      </w:r>
      <w:r w:rsidR="005132EF" w:rsidRPr="00370E70">
        <w:rPr>
          <w:i/>
          <w:lang w:val="en-AU"/>
        </w:rPr>
        <w:t xml:space="preserve"> 151.09756389</w:t>
      </w:r>
      <w:r w:rsidR="005132EF" w:rsidRPr="00370E70">
        <w:rPr>
          <w:rFonts w:cs="TimesNewRoman"/>
          <w:i/>
          <w:lang w:val="en-AU"/>
        </w:rPr>
        <w:t>°E,</w:t>
      </w:r>
      <w:r w:rsidR="005132EF" w:rsidRPr="00370E70">
        <w:rPr>
          <w:i/>
          <w:lang w:val="en-AU"/>
        </w:rPr>
        <w:t xml:space="preserve"> Elev:21m; 133005A (source the State of </w:t>
      </w:r>
      <w:smartTag w:uri="urn:schemas-microsoft-com:office:smarttags" w:element="place">
        <w:smartTag w:uri="urn:schemas-microsoft-com:office:smarttags" w:element="State">
          <w:r w:rsidR="005132EF" w:rsidRPr="00370E70">
            <w:rPr>
              <w:i/>
              <w:lang w:val="en-AU"/>
            </w:rPr>
            <w:t>Queensland</w:t>
          </w:r>
        </w:smartTag>
      </w:smartTag>
      <w:r w:rsidR="005132EF" w:rsidRPr="00370E70">
        <w:rPr>
          <w:i/>
          <w:lang w:val="en-AU"/>
        </w:rPr>
        <w:t xml:space="preserve"> (DERM) 2012, watermonitoring.derm.qld.gov.au).</w:t>
      </w:r>
      <w:r w:rsidRPr="00370E70">
        <w:rPr>
          <w:lang w:val="en-AU"/>
        </w:rPr>
        <w:t xml:space="preserve"> </w:t>
      </w:r>
    </w:p>
    <w:p w:rsidR="005132EF" w:rsidRPr="00370E70" w:rsidRDefault="005132EF" w:rsidP="00034AD4"/>
    <w:p w:rsidR="005132EF" w:rsidRPr="00370E70" w:rsidRDefault="005132EF" w:rsidP="00034AD4">
      <w:pPr>
        <w:rPr>
          <w:color w:val="000000"/>
        </w:rPr>
      </w:pPr>
      <w:r w:rsidRPr="00370E70">
        <w:rPr>
          <w:color w:val="000080"/>
        </w:rPr>
        <w:br w:type="page"/>
      </w:r>
      <w:r w:rsidR="007B15AB">
        <w:rPr>
          <w:noProof/>
          <w:color w:val="000000"/>
          <w:lang w:eastAsia="en-AU"/>
        </w:rPr>
        <w:lastRenderedPageBreak/>
        <w:drawing>
          <wp:inline distT="0" distB="0" distL="0" distR="0">
            <wp:extent cx="5692775" cy="1867535"/>
            <wp:effectExtent l="0" t="0" r="3175" b="0"/>
            <wp:docPr id="219" name="Picture 211" descr="Photograph of seagrass meadow at Urangan, Hervey Bay, 19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Photograph of seagrass meadow at Urangan, Hervey Bay, 19 April 2012"/>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5692775" cy="1867535"/>
                    </a:xfrm>
                    <a:prstGeom prst="rect">
                      <a:avLst/>
                    </a:prstGeom>
                    <a:noFill/>
                    <a:ln>
                      <a:noFill/>
                    </a:ln>
                  </pic:spPr>
                </pic:pic>
              </a:graphicData>
            </a:graphic>
          </wp:inline>
        </w:drawing>
      </w:r>
    </w:p>
    <w:p w:rsidR="005132EF" w:rsidRPr="00370E70" w:rsidRDefault="005132EF" w:rsidP="00034AD4">
      <w:pPr>
        <w:pStyle w:val="Heading2"/>
        <w:rPr>
          <w:rFonts w:ascii="Century Gothic" w:hAnsi="Century Gothic"/>
          <w:color w:val="000000"/>
        </w:rPr>
      </w:pPr>
      <w:bookmarkStart w:id="759" w:name="_Toc170191656"/>
      <w:bookmarkStart w:id="760" w:name="_Toc175991091"/>
      <w:bookmarkStart w:id="761" w:name="_Toc232845936"/>
      <w:bookmarkStart w:id="762" w:name="_Toc184102037"/>
      <w:bookmarkStart w:id="763" w:name="_Toc384196151"/>
      <w:r w:rsidRPr="00370E70">
        <w:rPr>
          <w:rFonts w:ascii="Century Gothic" w:hAnsi="Century Gothic"/>
          <w:color w:val="000000"/>
        </w:rPr>
        <w:t>Burnett Mary</w:t>
      </w:r>
      <w:bookmarkEnd w:id="759"/>
      <w:bookmarkEnd w:id="760"/>
      <w:bookmarkEnd w:id="761"/>
      <w:bookmarkEnd w:id="762"/>
      <w:bookmarkEnd w:id="763"/>
    </w:p>
    <w:p w:rsidR="005132EF" w:rsidRPr="00370E70" w:rsidRDefault="005132EF" w:rsidP="00034AD4">
      <w:pPr>
        <w:pStyle w:val="Heading3"/>
        <w:rPr>
          <w:color w:val="000000"/>
        </w:rPr>
      </w:pPr>
      <w:bookmarkStart w:id="764" w:name="_Toc184102038"/>
      <w:bookmarkStart w:id="765" w:name="_Toc384196152"/>
      <w:r w:rsidRPr="00370E70">
        <w:rPr>
          <w:color w:val="000000"/>
        </w:rPr>
        <w:t>2011/12 Summary</w:t>
      </w:r>
      <w:bookmarkEnd w:id="764"/>
      <w:bookmarkEnd w:id="765"/>
    </w:p>
    <w:p w:rsidR="005132EF" w:rsidRPr="00370E70" w:rsidRDefault="005132EF" w:rsidP="00034AD4">
      <w:pPr>
        <w:spacing w:after="0"/>
        <w:ind w:right="232"/>
        <w:rPr>
          <w:color w:val="000000"/>
          <w:szCs w:val="22"/>
        </w:rPr>
      </w:pPr>
      <w:r w:rsidRPr="00370E70">
        <w:rPr>
          <w:color w:val="000000"/>
          <w:szCs w:val="22"/>
        </w:rPr>
        <w:t xml:space="preserve">Only intertidal estuarine seagrass meadows located in bays protected from SE winds and wave action were monitored in the Burnett Mary region. The main ecological drivers in these environments are temperature and desiccation stress, flood runoff and turbidity. Seagrasses are monitored at locations in the north and south of the Burnett Mary Region. </w:t>
      </w:r>
    </w:p>
    <w:p w:rsidR="00B04814" w:rsidRPr="00370E70" w:rsidRDefault="00DA466B" w:rsidP="00B04814">
      <w:pPr>
        <w:spacing w:after="0"/>
        <w:ind w:right="232"/>
        <w:rPr>
          <w:color w:val="000000"/>
          <w:szCs w:val="22"/>
        </w:rPr>
      </w:pPr>
      <w:r w:rsidRPr="00370E70">
        <w:rPr>
          <w:color w:val="000000"/>
          <w:szCs w:val="22"/>
        </w:rPr>
        <w:t xml:space="preserve">Seagrass </w:t>
      </w:r>
      <w:r w:rsidR="0042459E" w:rsidRPr="00370E70">
        <w:rPr>
          <w:color w:val="000000"/>
          <w:szCs w:val="22"/>
        </w:rPr>
        <w:t xml:space="preserve">abundance </w:t>
      </w:r>
      <w:r w:rsidR="00B04814" w:rsidRPr="00370E70">
        <w:rPr>
          <w:color w:val="000000"/>
          <w:szCs w:val="22"/>
        </w:rPr>
        <w:t xml:space="preserve">across the region </w:t>
      </w:r>
      <w:r w:rsidRPr="00370E70">
        <w:rPr>
          <w:color w:val="000000"/>
          <w:szCs w:val="22"/>
        </w:rPr>
        <w:t>remained</w:t>
      </w:r>
      <w:r w:rsidR="0042459E" w:rsidRPr="00370E70">
        <w:rPr>
          <w:color w:val="000000"/>
          <w:szCs w:val="22"/>
        </w:rPr>
        <w:t xml:space="preserve"> at </w:t>
      </w:r>
      <w:r w:rsidR="00B04814" w:rsidRPr="00370E70">
        <w:rPr>
          <w:color w:val="000000"/>
          <w:szCs w:val="22"/>
        </w:rPr>
        <w:t xml:space="preserve">very </w:t>
      </w:r>
      <w:r w:rsidR="0042459E" w:rsidRPr="00370E70">
        <w:rPr>
          <w:color w:val="000000"/>
          <w:szCs w:val="22"/>
        </w:rPr>
        <w:t xml:space="preserve">low </w:t>
      </w:r>
      <w:r w:rsidRPr="00370E70">
        <w:rPr>
          <w:color w:val="000000"/>
          <w:szCs w:val="22"/>
        </w:rPr>
        <w:t xml:space="preserve">levels </w:t>
      </w:r>
      <w:r w:rsidR="00B04814" w:rsidRPr="00370E70">
        <w:rPr>
          <w:color w:val="000000"/>
          <w:szCs w:val="22"/>
        </w:rPr>
        <w:t xml:space="preserve">(i.e. minimum effective population size) </w:t>
      </w:r>
      <w:r w:rsidRPr="00370E70">
        <w:rPr>
          <w:color w:val="000000"/>
          <w:szCs w:val="22"/>
        </w:rPr>
        <w:t>throughout the 2011/12 monitoring period.</w:t>
      </w:r>
      <w:r w:rsidR="00B04814" w:rsidRPr="00370E70">
        <w:rPr>
          <w:color w:val="000000"/>
          <w:szCs w:val="22"/>
        </w:rPr>
        <w:t xml:space="preserve"> As reproductive health of the meadows declined in 2011/12 relative to the previous monitoring period, the increase in the extent of the southern meadows </w:t>
      </w:r>
      <w:r w:rsidR="002C4299" w:rsidRPr="00370E70">
        <w:rPr>
          <w:color w:val="000000"/>
          <w:szCs w:val="22"/>
        </w:rPr>
        <w:t xml:space="preserve">(Urangan) </w:t>
      </w:r>
      <w:r w:rsidR="00B04814" w:rsidRPr="00370E70">
        <w:rPr>
          <w:color w:val="000000"/>
          <w:szCs w:val="22"/>
        </w:rPr>
        <w:t>would have been primarily the result of clonal growth. However, the increase in seed banks across the region suggest the meadows are "primed" to recover should conditions remain favourable.</w:t>
      </w:r>
    </w:p>
    <w:p w:rsidR="00DA466B" w:rsidRPr="00370E70" w:rsidRDefault="00B04814" w:rsidP="00DA466B">
      <w:pPr>
        <w:spacing w:after="0"/>
        <w:ind w:right="232"/>
        <w:rPr>
          <w:color w:val="000000"/>
          <w:szCs w:val="22"/>
        </w:rPr>
      </w:pPr>
      <w:r w:rsidRPr="00370E70">
        <w:rPr>
          <w:szCs w:val="22"/>
        </w:rPr>
        <w:t xml:space="preserve">Seagrass tissue nutrients in late 2011 were similar across </w:t>
      </w:r>
      <w:r w:rsidR="002C4299" w:rsidRPr="00370E70">
        <w:rPr>
          <w:szCs w:val="22"/>
        </w:rPr>
        <w:t>the region</w:t>
      </w:r>
      <w:r w:rsidRPr="00370E70">
        <w:rPr>
          <w:szCs w:val="22"/>
        </w:rPr>
        <w:t xml:space="preserve">, suggesting P and N surplus to C requirements. The nutrient ratios indicated slightly elevated nitrogen, where the primary source </w:t>
      </w:r>
      <w:r w:rsidR="002C4299" w:rsidRPr="00370E70">
        <w:rPr>
          <w:szCs w:val="22"/>
        </w:rPr>
        <w:t xml:space="preserve">at Urangan </w:t>
      </w:r>
      <w:r w:rsidRPr="00370E70">
        <w:rPr>
          <w:szCs w:val="22"/>
        </w:rPr>
        <w:t>was possibly sewage.</w:t>
      </w:r>
      <w:r w:rsidR="002C4299" w:rsidRPr="00370E70">
        <w:rPr>
          <w:szCs w:val="22"/>
        </w:rPr>
        <w:t xml:space="preserve"> Epiphyte abundance was higher at Urangan than Rodds Bay (in the north) possibly a consequence of the elevated N. </w:t>
      </w:r>
      <w:r w:rsidR="002C4299" w:rsidRPr="00370E70">
        <w:rPr>
          <w:color w:val="000000"/>
          <w:szCs w:val="22"/>
        </w:rPr>
        <w:t>Adequate light was available for growth across the period as the light environment improved, although there was limited data for some of the monitoring period due to equipment failure.</w:t>
      </w:r>
    </w:p>
    <w:p w:rsidR="00AE3F97" w:rsidRPr="00370E70" w:rsidRDefault="005132EF" w:rsidP="00AE3F97">
      <w:pPr>
        <w:rPr>
          <w:szCs w:val="22"/>
        </w:rPr>
      </w:pPr>
      <w:r w:rsidRPr="00370E70">
        <w:rPr>
          <w:color w:val="000000"/>
          <w:szCs w:val="22"/>
        </w:rPr>
        <w:t xml:space="preserve">Climate across the region was </w:t>
      </w:r>
      <w:r w:rsidRPr="00370E70">
        <w:rPr>
          <w:rFonts w:cs="TimesNewRoman"/>
          <w:color w:val="000000"/>
          <w:szCs w:val="22"/>
        </w:rPr>
        <w:t xml:space="preserve">on average </w:t>
      </w:r>
      <w:r w:rsidR="002C4299" w:rsidRPr="00370E70">
        <w:rPr>
          <w:rFonts w:cs="TimesNewRoman"/>
          <w:color w:val="000000"/>
          <w:szCs w:val="22"/>
        </w:rPr>
        <w:t xml:space="preserve">wetter and warmer in the north of the region, and cooler and windier in the south </w:t>
      </w:r>
      <w:r w:rsidRPr="00370E70">
        <w:rPr>
          <w:rFonts w:cs="TimesNewRoman"/>
          <w:color w:val="000000"/>
          <w:szCs w:val="22"/>
        </w:rPr>
        <w:t>than the previous decade</w:t>
      </w:r>
      <w:r w:rsidR="002C4299" w:rsidRPr="00370E70">
        <w:rPr>
          <w:rFonts w:cs="TimesNewRoman"/>
          <w:color w:val="000000"/>
          <w:szCs w:val="22"/>
        </w:rPr>
        <w:t xml:space="preserve">. </w:t>
      </w:r>
      <w:r w:rsidR="002C4299" w:rsidRPr="00370E70">
        <w:rPr>
          <w:color w:val="000000"/>
          <w:szCs w:val="22"/>
        </w:rPr>
        <w:t xml:space="preserve">Extreme water temperatures were </w:t>
      </w:r>
      <w:r w:rsidR="002C4299" w:rsidRPr="00370E70">
        <w:rPr>
          <w:rFonts w:cs="Calibri"/>
          <w:color w:val="000000"/>
          <w:szCs w:val="22"/>
        </w:rPr>
        <w:t xml:space="preserve">recorded in </w:t>
      </w:r>
      <w:r w:rsidR="002C4299" w:rsidRPr="00370E70">
        <w:rPr>
          <w:color w:val="000000"/>
          <w:szCs w:val="22"/>
        </w:rPr>
        <w:t>March 2012 within the seagrass canopy in the northern meadows, however temperatures across the region were slightly cooler in 2011/12 than 2010/11. Although rainfall was not higher, 2011</w:t>
      </w:r>
      <w:r w:rsidR="00AE3F97" w:rsidRPr="00370E70">
        <w:rPr>
          <w:color w:val="000000"/>
          <w:szCs w:val="22"/>
        </w:rPr>
        <w:t>/</w:t>
      </w:r>
      <w:r w:rsidR="002C4299" w:rsidRPr="00370E70">
        <w:rPr>
          <w:color w:val="000000"/>
          <w:szCs w:val="22"/>
        </w:rPr>
        <w:t xml:space="preserve">12 was the 5th consecutive year with above median discharge from the </w:t>
      </w:r>
      <w:smartTag w:uri="urn:schemas-microsoft-com:office:smarttags" w:element="place">
        <w:smartTag w:uri="urn:schemas-microsoft-com:office:smarttags" w:element="PlaceName">
          <w:r w:rsidR="00AE3F97" w:rsidRPr="00370E70">
            <w:rPr>
              <w:color w:val="000000"/>
              <w:szCs w:val="22"/>
            </w:rPr>
            <w:t>M</w:t>
          </w:r>
          <w:r w:rsidR="002C4299" w:rsidRPr="00370E70">
            <w:rPr>
              <w:color w:val="000000"/>
              <w:szCs w:val="22"/>
            </w:rPr>
            <w:t>ary</w:t>
          </w:r>
        </w:smartTag>
        <w:r w:rsidR="002C4299" w:rsidRPr="00370E70">
          <w:rPr>
            <w:color w:val="000000"/>
            <w:szCs w:val="22"/>
          </w:rPr>
          <w:t xml:space="preserve"> </w:t>
        </w:r>
        <w:smartTag w:uri="urn:schemas-microsoft-com:office:smarttags" w:element="PlaceName">
          <w:r w:rsidR="002C4299" w:rsidRPr="00370E70">
            <w:rPr>
              <w:color w:val="000000"/>
              <w:szCs w:val="22"/>
            </w:rPr>
            <w:t>River</w:t>
          </w:r>
        </w:smartTag>
      </w:smartTag>
      <w:r w:rsidR="002C4299" w:rsidRPr="00370E70">
        <w:rPr>
          <w:color w:val="000000"/>
          <w:szCs w:val="22"/>
        </w:rPr>
        <w:t>.</w:t>
      </w:r>
      <w:r w:rsidR="00AE3F97" w:rsidRPr="00370E70">
        <w:rPr>
          <w:szCs w:val="22"/>
        </w:rPr>
        <w:t xml:space="preserve"> Overall the status of seagrass condition in the Burnett Mary region improved slightly in 2011/12, but still remained </w:t>
      </w:r>
      <w:r w:rsidR="00AE3F97" w:rsidRPr="00370E70">
        <w:rPr>
          <w:b/>
          <w:szCs w:val="22"/>
        </w:rPr>
        <w:t>very poor</w:t>
      </w:r>
      <w:r w:rsidR="00AE3F97" w:rsidRPr="00370E70">
        <w:rPr>
          <w:szCs w:val="22"/>
        </w:rPr>
        <w:t xml:space="preserve"> (</w:t>
      </w:r>
      <w:r w:rsidR="00AE3F97" w:rsidRPr="00370E70">
        <w:rPr>
          <w:szCs w:val="22"/>
        </w:rPr>
        <w:fldChar w:fldCharType="begin"/>
      </w:r>
      <w:r w:rsidR="00AE3F97" w:rsidRPr="00370E70">
        <w:rPr>
          <w:szCs w:val="22"/>
        </w:rPr>
        <w:instrText xml:space="preserve"> REF _Ref354750871 \h </w:instrText>
      </w:r>
      <w:r w:rsidR="00AE3F97" w:rsidRPr="00370E70">
        <w:rPr>
          <w:szCs w:val="22"/>
        </w:rPr>
      </w:r>
      <w:r w:rsidR="00AE3F97" w:rsidRPr="00370E70">
        <w:rPr>
          <w:szCs w:val="22"/>
        </w:rPr>
        <w:fldChar w:fldCharType="separate"/>
      </w:r>
      <w:r w:rsidR="005B5FD6" w:rsidRPr="00370E70">
        <w:rPr>
          <w:rStyle w:val="StyleCaptionCaptionCharCharLatinCalibri11ptBlackChar"/>
          <w:lang w:val="en-AU"/>
        </w:rPr>
        <w:t xml:space="preserve">Table </w:t>
      </w:r>
      <w:r w:rsidR="005B5FD6">
        <w:rPr>
          <w:noProof/>
        </w:rPr>
        <w:t>33</w:t>
      </w:r>
      <w:r w:rsidR="00AE3F97" w:rsidRPr="00370E70">
        <w:rPr>
          <w:szCs w:val="22"/>
        </w:rPr>
        <w:fldChar w:fldCharType="end"/>
      </w:r>
      <w:r w:rsidR="00AE3F97" w:rsidRPr="00370E70">
        <w:rPr>
          <w:szCs w:val="22"/>
        </w:rPr>
        <w:t xml:space="preserve">). </w:t>
      </w:r>
    </w:p>
    <w:p w:rsidR="0030036D" w:rsidRPr="00370E70" w:rsidRDefault="005132EF" w:rsidP="0030036D">
      <w:pPr>
        <w:pStyle w:val="Caption"/>
        <w:jc w:val="center"/>
        <w:rPr>
          <w:i/>
          <w:vanish/>
          <w:szCs w:val="22"/>
          <w:lang w:val="en-AU"/>
          <w:specVanish/>
        </w:rPr>
      </w:pPr>
      <w:bookmarkStart w:id="766" w:name="_Ref354750871"/>
      <w:bookmarkStart w:id="767" w:name="_Toc384196569"/>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33</w:t>
      </w:r>
      <w:r w:rsidRPr="00370E70">
        <w:rPr>
          <w:lang w:val="en-AU"/>
        </w:rPr>
        <w:fldChar w:fldCharType="end"/>
      </w:r>
      <w:bookmarkEnd w:id="766"/>
      <w:r w:rsidRPr="00370E70">
        <w:rPr>
          <w:rStyle w:val="StyleCaptionCaptionCharCharLatinCalibri11ptBlackChar"/>
          <w:lang w:val="en-AU"/>
        </w:rPr>
        <w:t xml:space="preserve">. </w:t>
      </w:r>
      <w:r w:rsidRPr="00370E70">
        <w:rPr>
          <w:i/>
          <w:lang w:val="en-AU"/>
        </w:rPr>
        <w:t>Report card for seagrass status (community &amp; environment) for the Burnett Mary NRM region: July 2011 – May 2012.</w:t>
      </w:r>
      <w:bookmarkEnd w:id="767"/>
      <w:r w:rsidRPr="00370E70">
        <w:rPr>
          <w:i/>
          <w:lang w:val="en-AU"/>
        </w:rPr>
        <w:t xml:space="preserve"> </w:t>
      </w:r>
    </w:p>
    <w:p w:rsidR="0030036D" w:rsidRPr="00370E70" w:rsidRDefault="005132EF" w:rsidP="0030036D">
      <w:pPr>
        <w:pStyle w:val="Caption"/>
        <w:jc w:val="center"/>
        <w:rPr>
          <w:lang w:val="en-AU"/>
        </w:rPr>
      </w:pPr>
      <w:r w:rsidRPr="00370E70">
        <w:rPr>
          <w:i/>
          <w:lang w:val="en-AU"/>
        </w:rPr>
        <w:t xml:space="preserve">Values are indexed scores scaled from 0-100; </w:t>
      </w:r>
      <w:r w:rsidRPr="00370E70">
        <w:rPr>
          <w:rFonts w:ascii="Arial" w:hAnsi="Arial" w:cs="Arial"/>
          <w:i/>
          <w:color w:val="008000"/>
          <w:lang w:val="en-AU"/>
        </w:rPr>
        <w:t>■ </w:t>
      </w:r>
      <w:r w:rsidRPr="00370E70">
        <w:rPr>
          <w:i/>
          <w:lang w:val="en-AU"/>
        </w:rPr>
        <w:t xml:space="preserve">= very good (80-100), </w:t>
      </w:r>
      <w:r w:rsidRPr="00370E70">
        <w:rPr>
          <w:rFonts w:ascii="Arial" w:hAnsi="Arial" w:cs="Arial"/>
          <w:i/>
          <w:color w:val="92D050"/>
          <w:lang w:val="en-AU"/>
        </w:rPr>
        <w:t>■</w:t>
      </w:r>
      <w:r w:rsidRPr="00370E70">
        <w:rPr>
          <w:i/>
          <w:lang w:val="en-AU"/>
        </w:rPr>
        <w:t xml:space="preserve"> = good (60 - &lt;80), </w:t>
      </w:r>
      <w:r w:rsidRPr="00370E70">
        <w:rPr>
          <w:rFonts w:ascii="Arial" w:hAnsi="Arial" w:cs="Arial"/>
          <w:i/>
          <w:color w:val="FFFF00"/>
          <w:lang w:val="en-AU"/>
        </w:rPr>
        <w:t>■</w:t>
      </w:r>
      <w:r w:rsidRPr="00370E70">
        <w:rPr>
          <w:i/>
          <w:lang w:val="en-AU"/>
        </w:rPr>
        <w:t xml:space="preserve"> = moderate (40 - &lt;60), </w:t>
      </w:r>
      <w:r w:rsidRPr="00370E70">
        <w:rPr>
          <w:rFonts w:ascii="Arial" w:hAnsi="Arial" w:cs="Arial"/>
          <w:i/>
          <w:color w:val="FFC000"/>
          <w:lang w:val="en-AU"/>
        </w:rPr>
        <w:t>■</w:t>
      </w:r>
      <w:r w:rsidRPr="00370E70">
        <w:rPr>
          <w:i/>
          <w:lang w:val="en-AU"/>
        </w:rPr>
        <w:t xml:space="preserve"> = poor (20 - &lt;40), </w:t>
      </w:r>
      <w:r w:rsidRPr="00370E70">
        <w:rPr>
          <w:rFonts w:ascii="Arial" w:hAnsi="Arial" w:cs="Arial"/>
          <w:i/>
          <w:color w:val="FF0000"/>
          <w:lang w:val="en-AU"/>
        </w:rPr>
        <w:t>■</w:t>
      </w:r>
      <w:r w:rsidRPr="00370E70">
        <w:rPr>
          <w:i/>
          <w:lang w:val="en-AU"/>
        </w:rPr>
        <w:t> = very poor (0 - &lt;20).</w:t>
      </w:r>
      <w:r w:rsidR="0030036D" w:rsidRPr="00370E70">
        <w:rPr>
          <w:lang w:val="en-AU"/>
        </w:rPr>
        <w:t xml:space="preserve"> </w:t>
      </w:r>
    </w:p>
    <w:tbl>
      <w:tblPr>
        <w:tblW w:w="8337" w:type="dxa"/>
        <w:jc w:val="center"/>
        <w:tblLayout w:type="fixed"/>
        <w:tblLook w:val="0000" w:firstRow="0" w:lastRow="0" w:firstColumn="0" w:lastColumn="0" w:noHBand="0" w:noVBand="0"/>
      </w:tblPr>
      <w:tblGrid>
        <w:gridCol w:w="1874"/>
        <w:gridCol w:w="1531"/>
        <w:gridCol w:w="1540"/>
        <w:gridCol w:w="2083"/>
        <w:gridCol w:w="1309"/>
      </w:tblGrid>
      <w:tr w:rsidR="005132EF" w:rsidRPr="00370E70">
        <w:trPr>
          <w:trHeight w:val="437"/>
          <w:jc w:val="center"/>
        </w:trPr>
        <w:tc>
          <w:tcPr>
            <w:tcW w:w="1874" w:type="dxa"/>
            <w:tcBorders>
              <w:top w:val="single" w:sz="4" w:space="0" w:color="000000"/>
              <w:left w:val="nil"/>
              <w:bottom w:val="single" w:sz="4" w:space="0" w:color="000000"/>
              <w:right w:val="single" w:sz="4" w:space="0" w:color="FFFFFF"/>
            </w:tcBorders>
            <w:vAlign w:val="center"/>
          </w:tcPr>
          <w:p w:rsidR="005132EF" w:rsidRPr="00370E70" w:rsidRDefault="005132EF" w:rsidP="00034AD4">
            <w:pPr>
              <w:spacing w:before="0" w:after="0"/>
              <w:jc w:val="center"/>
              <w:rPr>
                <w:color w:val="000000"/>
              </w:rPr>
            </w:pPr>
            <w:r w:rsidRPr="00370E70">
              <w:rPr>
                <w:color w:val="000000"/>
                <w:sz w:val="20"/>
                <w:szCs w:val="20"/>
              </w:rPr>
              <w:t>Habitat</w:t>
            </w:r>
          </w:p>
        </w:tc>
        <w:tc>
          <w:tcPr>
            <w:tcW w:w="1531" w:type="dxa"/>
            <w:tcBorders>
              <w:top w:val="single" w:sz="4" w:space="0" w:color="000000"/>
              <w:left w:val="single" w:sz="4" w:space="0" w:color="FFFFFF"/>
              <w:bottom w:val="single" w:sz="4" w:space="0" w:color="auto"/>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Abundance</w:t>
            </w:r>
          </w:p>
        </w:tc>
        <w:tc>
          <w:tcPr>
            <w:tcW w:w="1540" w:type="dxa"/>
            <w:tcBorders>
              <w:top w:val="single" w:sz="4" w:space="0" w:color="000000"/>
              <w:left w:val="single" w:sz="4" w:space="0" w:color="FFFFFF"/>
              <w:bottom w:val="single" w:sz="4" w:space="0" w:color="auto"/>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Reproductive</w:t>
            </w:r>
          </w:p>
          <w:p w:rsidR="005132EF" w:rsidRPr="00370E70" w:rsidRDefault="005132EF" w:rsidP="00034AD4">
            <w:pPr>
              <w:spacing w:before="0" w:after="0"/>
              <w:jc w:val="center"/>
              <w:rPr>
                <w:color w:val="000000"/>
              </w:rPr>
            </w:pPr>
            <w:r w:rsidRPr="00370E70">
              <w:rPr>
                <w:color w:val="000000"/>
                <w:szCs w:val="22"/>
              </w:rPr>
              <w:t>Effort</w:t>
            </w:r>
          </w:p>
        </w:tc>
        <w:tc>
          <w:tcPr>
            <w:tcW w:w="2083" w:type="dxa"/>
            <w:tcBorders>
              <w:top w:val="single" w:sz="4" w:space="0" w:color="000000"/>
              <w:left w:val="single" w:sz="4" w:space="0" w:color="FFFFFF"/>
              <w:bottom w:val="single" w:sz="4" w:space="0" w:color="auto"/>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Nutrient status</w:t>
            </w:r>
          </w:p>
          <w:p w:rsidR="005132EF" w:rsidRPr="00370E70" w:rsidRDefault="005132EF" w:rsidP="00034AD4">
            <w:pPr>
              <w:spacing w:before="0" w:after="0"/>
              <w:jc w:val="center"/>
              <w:rPr>
                <w:color w:val="000000"/>
              </w:rPr>
            </w:pPr>
            <w:r w:rsidRPr="00370E70">
              <w:rPr>
                <w:color w:val="000000"/>
                <w:szCs w:val="22"/>
              </w:rPr>
              <w:t>(C:N ratio)</w:t>
            </w:r>
          </w:p>
        </w:tc>
        <w:tc>
          <w:tcPr>
            <w:tcW w:w="1309" w:type="dxa"/>
            <w:tcBorders>
              <w:top w:val="single" w:sz="4" w:space="0" w:color="000000"/>
              <w:left w:val="single" w:sz="4" w:space="0" w:color="FFFFFF"/>
              <w:bottom w:val="single" w:sz="4" w:space="0" w:color="auto"/>
              <w:right w:val="single" w:sz="4" w:space="0" w:color="FFFFFF"/>
            </w:tcBorders>
            <w:vAlign w:val="center"/>
          </w:tcPr>
          <w:p w:rsidR="005132EF" w:rsidRPr="00370E70" w:rsidRDefault="005132EF" w:rsidP="00034AD4">
            <w:pPr>
              <w:spacing w:before="0" w:after="0"/>
              <w:jc w:val="center"/>
              <w:rPr>
                <w:b/>
                <w:bCs/>
                <w:color w:val="000000"/>
              </w:rPr>
            </w:pPr>
            <w:r w:rsidRPr="00370E70">
              <w:rPr>
                <w:b/>
                <w:bCs/>
                <w:color w:val="000000"/>
                <w:szCs w:val="22"/>
              </w:rPr>
              <w:t>Seagrass</w:t>
            </w:r>
          </w:p>
          <w:p w:rsidR="005132EF" w:rsidRPr="00370E70" w:rsidRDefault="005132EF" w:rsidP="00034AD4">
            <w:pPr>
              <w:spacing w:before="0" w:after="0"/>
              <w:jc w:val="center"/>
              <w:rPr>
                <w:b/>
                <w:bCs/>
                <w:color w:val="000000"/>
              </w:rPr>
            </w:pPr>
            <w:r w:rsidRPr="00370E70">
              <w:rPr>
                <w:b/>
                <w:bCs/>
                <w:color w:val="000000"/>
                <w:szCs w:val="22"/>
              </w:rPr>
              <w:t>Index</w:t>
            </w:r>
          </w:p>
        </w:tc>
      </w:tr>
      <w:tr w:rsidR="005132EF" w:rsidRPr="00370E70">
        <w:trPr>
          <w:trHeight w:val="315"/>
          <w:jc w:val="center"/>
        </w:trPr>
        <w:tc>
          <w:tcPr>
            <w:tcW w:w="1874" w:type="dxa"/>
            <w:tcBorders>
              <w:top w:val="single" w:sz="4" w:space="0" w:color="FFFFFF"/>
              <w:left w:val="single" w:sz="4" w:space="0" w:color="FFFFFF"/>
              <w:bottom w:val="single" w:sz="4" w:space="0" w:color="FFFFFF"/>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coastal intertidal</w:t>
            </w:r>
          </w:p>
        </w:tc>
        <w:tc>
          <w:tcPr>
            <w:tcW w:w="6463" w:type="dxa"/>
            <w:gridSpan w:val="4"/>
            <w:tcBorders>
              <w:top w:val="single" w:sz="4" w:space="0" w:color="auto"/>
              <w:left w:val="single" w:sz="4" w:space="0" w:color="FFFFFF"/>
              <w:bottom w:val="single" w:sz="4" w:space="0" w:color="FFFFFF"/>
              <w:right w:val="single" w:sz="4" w:space="0" w:color="FFFFFF"/>
            </w:tcBorders>
            <w:shd w:val="clear" w:color="auto" w:fill="FFFFFF"/>
            <w:noWrap/>
            <w:vAlign w:val="center"/>
          </w:tcPr>
          <w:p w:rsidR="005132EF" w:rsidRPr="00370E70" w:rsidRDefault="005132EF" w:rsidP="00034AD4">
            <w:pPr>
              <w:spacing w:before="0" w:after="0"/>
              <w:jc w:val="center"/>
              <w:rPr>
                <w:b/>
                <w:color w:val="000000"/>
              </w:rPr>
            </w:pPr>
            <w:r w:rsidRPr="00370E70">
              <w:rPr>
                <w:bCs/>
                <w:i/>
                <w:color w:val="000000"/>
                <w:szCs w:val="22"/>
              </w:rPr>
              <w:t>not monitored</w:t>
            </w:r>
          </w:p>
        </w:tc>
      </w:tr>
      <w:tr w:rsidR="005132EF" w:rsidRPr="00370E70" w:rsidTr="003357B3">
        <w:trPr>
          <w:trHeight w:val="315"/>
          <w:jc w:val="center"/>
        </w:trPr>
        <w:tc>
          <w:tcPr>
            <w:tcW w:w="1874" w:type="dxa"/>
            <w:tcBorders>
              <w:top w:val="single" w:sz="4" w:space="0" w:color="FFFFFF"/>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sz w:val="20"/>
                <w:szCs w:val="20"/>
              </w:rPr>
            </w:pPr>
            <w:r w:rsidRPr="00370E70">
              <w:rPr>
                <w:color w:val="000000"/>
                <w:sz w:val="20"/>
                <w:szCs w:val="20"/>
              </w:rPr>
              <w:t>estuarine intertidal</w:t>
            </w:r>
          </w:p>
        </w:tc>
        <w:tc>
          <w:tcPr>
            <w:tcW w:w="1531"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0</w:t>
            </w:r>
          </w:p>
        </w:tc>
        <w:tc>
          <w:tcPr>
            <w:tcW w:w="2083"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spacing w:before="0" w:after="0"/>
              <w:jc w:val="center"/>
              <w:rPr>
                <w:color w:val="000000"/>
                <w:sz w:val="20"/>
                <w:szCs w:val="20"/>
              </w:rPr>
            </w:pPr>
            <w:r w:rsidRPr="00370E70">
              <w:rPr>
                <w:color w:val="000000"/>
                <w:sz w:val="20"/>
                <w:szCs w:val="20"/>
              </w:rPr>
              <w:t>47</w:t>
            </w:r>
          </w:p>
        </w:tc>
        <w:tc>
          <w:tcPr>
            <w:tcW w:w="1309"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color w:val="000000"/>
              </w:rPr>
            </w:pPr>
            <w:r w:rsidRPr="00370E70">
              <w:rPr>
                <w:b/>
                <w:color w:val="000000"/>
                <w:szCs w:val="22"/>
              </w:rPr>
              <w:t>18</w:t>
            </w:r>
          </w:p>
        </w:tc>
      </w:tr>
      <w:tr w:rsidR="005132EF" w:rsidRPr="00370E70" w:rsidTr="003357B3">
        <w:trPr>
          <w:trHeight w:val="315"/>
          <w:jc w:val="center"/>
        </w:trPr>
        <w:tc>
          <w:tcPr>
            <w:tcW w:w="1874" w:type="dxa"/>
            <w:tcBorders>
              <w:top w:val="single" w:sz="4" w:space="0" w:color="000000"/>
              <w:left w:val="single" w:sz="4" w:space="0" w:color="FFFFFF"/>
              <w:bottom w:val="single" w:sz="4" w:space="0" w:color="000000"/>
              <w:right w:val="single" w:sz="4" w:space="0" w:color="FFFFFF"/>
            </w:tcBorders>
            <w:vAlign w:val="center"/>
          </w:tcPr>
          <w:p w:rsidR="005132EF" w:rsidRPr="00370E70" w:rsidRDefault="005132EF" w:rsidP="00034AD4">
            <w:pPr>
              <w:spacing w:before="0" w:after="0"/>
              <w:jc w:val="center"/>
              <w:rPr>
                <w:color w:val="000000"/>
              </w:rPr>
            </w:pPr>
            <w:r w:rsidRPr="00370E70">
              <w:rPr>
                <w:color w:val="000000"/>
                <w:szCs w:val="22"/>
              </w:rPr>
              <w:t>Burnett Mary</w:t>
            </w:r>
          </w:p>
        </w:tc>
        <w:tc>
          <w:tcPr>
            <w:tcW w:w="1531"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rPr>
            </w:pPr>
            <w:r w:rsidRPr="00370E70">
              <w:rPr>
                <w:color w:val="000000"/>
                <w:szCs w:val="22"/>
              </w:rPr>
              <w:t>5</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color w:val="000000"/>
              </w:rPr>
            </w:pPr>
            <w:r w:rsidRPr="00370E70">
              <w:rPr>
                <w:color w:val="000000"/>
                <w:szCs w:val="22"/>
              </w:rPr>
              <w:t>0</w:t>
            </w:r>
          </w:p>
        </w:tc>
        <w:tc>
          <w:tcPr>
            <w:tcW w:w="2083" w:type="dxa"/>
            <w:tcBorders>
              <w:top w:val="single" w:sz="4" w:space="0" w:color="000000"/>
              <w:left w:val="single" w:sz="4" w:space="0" w:color="FFFFFF"/>
              <w:bottom w:val="single" w:sz="4" w:space="0" w:color="000000"/>
              <w:right w:val="single" w:sz="4" w:space="0" w:color="FFFFFF"/>
            </w:tcBorders>
            <w:shd w:val="clear" w:color="auto" w:fill="FFFF00"/>
            <w:noWrap/>
            <w:vAlign w:val="center"/>
          </w:tcPr>
          <w:p w:rsidR="005132EF" w:rsidRPr="00370E70" w:rsidRDefault="005132EF" w:rsidP="00034AD4">
            <w:pPr>
              <w:spacing w:before="0" w:after="0"/>
              <w:jc w:val="center"/>
              <w:rPr>
                <w:color w:val="000000"/>
              </w:rPr>
            </w:pPr>
            <w:r w:rsidRPr="00370E70">
              <w:rPr>
                <w:color w:val="000000"/>
                <w:szCs w:val="22"/>
              </w:rPr>
              <w:t>47</w:t>
            </w:r>
          </w:p>
        </w:tc>
        <w:tc>
          <w:tcPr>
            <w:tcW w:w="130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5132EF" w:rsidRPr="00370E70" w:rsidRDefault="005132EF" w:rsidP="00034AD4">
            <w:pPr>
              <w:spacing w:before="0" w:after="0"/>
              <w:jc w:val="center"/>
              <w:rPr>
                <w:b/>
                <w:bCs/>
                <w:color w:val="000000"/>
              </w:rPr>
            </w:pPr>
            <w:r w:rsidRPr="00370E70">
              <w:rPr>
                <w:b/>
                <w:bCs/>
                <w:color w:val="000000"/>
                <w:szCs w:val="22"/>
              </w:rPr>
              <w:t>18</w:t>
            </w:r>
          </w:p>
        </w:tc>
      </w:tr>
    </w:tbl>
    <w:p w:rsidR="005132EF" w:rsidRPr="00370E70" w:rsidRDefault="005132EF" w:rsidP="00034AD4">
      <w:pPr>
        <w:autoSpaceDE w:val="0"/>
        <w:autoSpaceDN w:val="0"/>
        <w:adjustRightInd w:val="0"/>
        <w:spacing w:before="0" w:after="0"/>
        <w:rPr>
          <w:color w:val="000000"/>
          <w:szCs w:val="22"/>
        </w:rPr>
      </w:pPr>
    </w:p>
    <w:p w:rsidR="005132EF" w:rsidRPr="00370E70" w:rsidRDefault="005132EF" w:rsidP="008952A1">
      <w:pPr>
        <w:pStyle w:val="Heading3"/>
        <w:rPr>
          <w:color w:val="000000"/>
        </w:rPr>
      </w:pPr>
      <w:r w:rsidRPr="00370E70">
        <w:rPr>
          <w:color w:val="000000"/>
          <w:szCs w:val="22"/>
        </w:rPr>
        <w:br w:type="page"/>
      </w:r>
      <w:bookmarkStart w:id="768" w:name="_Toc184102039"/>
      <w:bookmarkStart w:id="769" w:name="_Toc384196153"/>
      <w:r w:rsidRPr="00370E70">
        <w:rPr>
          <w:color w:val="000000"/>
        </w:rPr>
        <w:lastRenderedPageBreak/>
        <w:t>Background</w:t>
      </w:r>
      <w:bookmarkEnd w:id="768"/>
      <w:bookmarkEnd w:id="769"/>
    </w:p>
    <w:p w:rsidR="005132EF" w:rsidRPr="00370E70" w:rsidRDefault="005132EF" w:rsidP="00034AD4">
      <w:pPr>
        <w:spacing w:after="0"/>
        <w:ind w:right="232"/>
        <w:rPr>
          <w:color w:val="000000"/>
          <w:szCs w:val="22"/>
        </w:rPr>
      </w:pPr>
      <w:r w:rsidRPr="00370E70">
        <w:rPr>
          <w:color w:val="000000"/>
          <w:szCs w:val="22"/>
        </w:rPr>
        <w:t>The Burnett-Mary region covers an area of 88,000km</w:t>
      </w:r>
      <w:r w:rsidRPr="00370E70">
        <w:rPr>
          <w:color w:val="000000"/>
          <w:szCs w:val="22"/>
          <w:vertAlign w:val="superscript"/>
        </w:rPr>
        <w:t>2</w:t>
      </w:r>
      <w:r w:rsidRPr="00370E70">
        <w:rPr>
          <w:color w:val="000000"/>
          <w:szCs w:val="22"/>
        </w:rPr>
        <w:t xml:space="preserve"> and supports a population of over 257,000 people, largely in the main centres of Bundaberg, Maryborough, Gympie and Kingaroy. The region is comprised of a number of catchments including the Baffle Creek, Kolan, Burnett, Burrum and Mary Rivers (</w:t>
      </w:r>
      <w:hyperlink w:anchor="_ENREF_47" w:tooltip="Commonwealth of Australia, 2013 #9692" w:history="1">
        <w:r w:rsidR="00964A70" w:rsidRPr="00370E70">
          <w:rPr>
            <w:color w:val="000000"/>
          </w:rPr>
          <w:fldChar w:fldCharType="begin"/>
        </w:r>
        <w:r w:rsidR="00964A70" w:rsidRPr="00370E70">
          <w:rPr>
            <w:color w:val="000000"/>
          </w:rPr>
          <w:instrText xml:space="preserve"> ADDIN EN.CITE &lt;EndNote&gt;&lt;Cite&gt;&lt;Author&gt;Commonwealth of Australia&lt;/Author&gt;&lt;Year&gt;2013&lt;/Year&gt;&lt;RecNum&gt;9692&lt;/RecNum&gt;&lt;DisplayText&gt;Commonwealth of Australia 2013b&lt;/DisplayText&gt;&lt;record&gt;&lt;rec-number&gt;9692&lt;/rec-number&gt;&lt;foreign-keys&gt;&lt;key app="EN" db-id="0eve55x9y5vfd6e9dacxtew4eatve2dzds9a"&gt;9692&lt;/key&gt;&lt;/foreign-keys&gt;&lt;ref-type name="Web Page"&gt;12&lt;/ref-type&gt;&lt;contributors&gt;&lt;authors&gt;&lt;author&gt;Commonwealth of Australia,&lt;/author&gt;&lt;/authors&gt;&lt;/contributors&gt;&lt;titles&gt;&lt;title&gt;Burnett Mary Natural Resource Management region, http://www.nrm.gov.au/about/nrm/regions/qld-bmar.html&lt;/title&gt;&lt;/titles&gt;&lt;number&gt;18 February 2014&lt;/number&gt;&lt;dates&gt;&lt;year&gt;2013&lt;/year&gt;&lt;/dates&gt;&lt;urls&gt;&lt;related-urls&gt;&lt;url&gt;http://www.nrm.gov.au/about/nrm/regions/qld-fitz.html&lt;/url&gt;&lt;/related-urls&gt;&lt;/urls&gt;&lt;/record&gt;&lt;/Cite&gt;&lt;/EndNote&gt;</w:instrText>
        </w:r>
        <w:r w:rsidR="00964A70" w:rsidRPr="00370E70">
          <w:rPr>
            <w:color w:val="000000"/>
          </w:rPr>
          <w:fldChar w:fldCharType="separate"/>
        </w:r>
        <w:r w:rsidR="00964A70" w:rsidRPr="00370E70">
          <w:rPr>
            <w:noProof/>
            <w:color w:val="000000"/>
          </w:rPr>
          <w:t>Commonwealth of Australia 2013b</w:t>
        </w:r>
        <w:r w:rsidR="00964A70" w:rsidRPr="00370E70">
          <w:rPr>
            <w:color w:val="000000"/>
          </w:rPr>
          <w:fldChar w:fldCharType="end"/>
        </w:r>
      </w:hyperlink>
      <w:r w:rsidRPr="00370E70">
        <w:rPr>
          <w:color w:val="000000"/>
          <w:szCs w:val="22"/>
        </w:rPr>
        <w:t xml:space="preserve">). Only the northern most catchment of the Burnett Mary region, the </w:t>
      </w:r>
      <w:smartTag w:uri="urn:schemas-microsoft-com:office:smarttags" w:element="place">
        <w:smartTag w:uri="urn:schemas-microsoft-com:office:smarttags" w:element="PlaceName">
          <w:r w:rsidRPr="00370E70">
            <w:rPr>
              <w:color w:val="000000"/>
              <w:szCs w:val="22"/>
            </w:rPr>
            <w:t>Baffle</w:t>
          </w:r>
        </w:smartTag>
        <w:r w:rsidRPr="00370E70">
          <w:rPr>
            <w:color w:val="000000"/>
            <w:szCs w:val="22"/>
          </w:rPr>
          <w:t xml:space="preserve"> </w:t>
        </w:r>
        <w:smartTag w:uri="urn:schemas-microsoft-com:office:smarttags" w:element="PlaceType">
          <w:r w:rsidRPr="00370E70">
            <w:rPr>
              <w:color w:val="000000"/>
              <w:szCs w:val="22"/>
            </w:rPr>
            <w:t>Basin</w:t>
          </w:r>
        </w:smartTag>
      </w:smartTag>
      <w:r w:rsidRPr="00370E70">
        <w:rPr>
          <w:color w:val="000000"/>
          <w:szCs w:val="22"/>
        </w:rPr>
        <w:t>, is within the GBR. Meadows in the north of the Burnett Mary region generally face low levels of anthropogenic threat, and monitoring sites are located within Rodd’s Bay</w:t>
      </w:r>
      <w:r w:rsidR="0051765B" w:rsidRPr="00370E70">
        <w:rPr>
          <w:color w:val="000000"/>
          <w:szCs w:val="22"/>
        </w:rPr>
        <w:t xml:space="preserve"> (</w:t>
      </w:r>
      <w:r w:rsidR="0051765B" w:rsidRPr="00370E70">
        <w:rPr>
          <w:color w:val="000000"/>
          <w:szCs w:val="22"/>
        </w:rPr>
        <w:fldChar w:fldCharType="begin"/>
      </w:r>
      <w:r w:rsidR="0051765B" w:rsidRPr="00370E70">
        <w:rPr>
          <w:color w:val="000000"/>
          <w:szCs w:val="22"/>
        </w:rPr>
        <w:instrText xml:space="preserve"> REF _Ref179513900 \h </w:instrText>
      </w:r>
      <w:r w:rsidR="0051765B" w:rsidRPr="00370E70">
        <w:rPr>
          <w:color w:val="000000"/>
          <w:szCs w:val="22"/>
        </w:rPr>
      </w:r>
      <w:r w:rsidR="0051765B"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171</w:t>
      </w:r>
      <w:r w:rsidR="0051765B" w:rsidRPr="00370E70">
        <w:rPr>
          <w:color w:val="000000"/>
          <w:szCs w:val="22"/>
        </w:rPr>
        <w:fldChar w:fldCharType="end"/>
      </w:r>
      <w:r w:rsidR="0051765B" w:rsidRPr="00370E70">
        <w:rPr>
          <w:color w:val="000000"/>
          <w:szCs w:val="22"/>
        </w:rPr>
        <w:t>)</w:t>
      </w:r>
      <w:r w:rsidRPr="00370E70">
        <w:rPr>
          <w:color w:val="000000"/>
          <w:szCs w:val="22"/>
        </w:rPr>
        <w:t>. The only other location that is monitored within this region is in the south, at Urangan (</w:t>
      </w:r>
      <w:smartTag w:uri="urn:schemas-microsoft-com:office:smarttags" w:element="place">
        <w:smartTag w:uri="urn:schemas-microsoft-com:office:smarttags" w:element="PlaceName">
          <w:r w:rsidRPr="00370E70">
            <w:rPr>
              <w:color w:val="000000"/>
              <w:szCs w:val="22"/>
            </w:rPr>
            <w:t>Hervey</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w:t>
      </w:r>
      <w:r w:rsidR="00BB0803" w:rsidRPr="00370E70">
        <w:rPr>
          <w:color w:val="000000"/>
          <w:szCs w:val="22"/>
        </w:rPr>
        <w:t xml:space="preserve"> (</w:t>
      </w:r>
      <w:r w:rsidR="00BB0803" w:rsidRPr="00370E70">
        <w:rPr>
          <w:color w:val="000000"/>
          <w:szCs w:val="22"/>
        </w:rPr>
        <w:fldChar w:fldCharType="begin"/>
      </w:r>
      <w:r w:rsidR="00BB0803" w:rsidRPr="00370E70">
        <w:rPr>
          <w:color w:val="000000"/>
          <w:szCs w:val="22"/>
        </w:rPr>
        <w:instrText xml:space="preserve"> REF _Ref179513900 \h </w:instrText>
      </w:r>
      <w:r w:rsidR="00BB0803" w:rsidRPr="00370E70">
        <w:rPr>
          <w:color w:val="000000"/>
          <w:szCs w:val="22"/>
        </w:rPr>
      </w:r>
      <w:r w:rsidR="00BB0803" w:rsidRPr="00370E70">
        <w:rPr>
          <w:color w:val="000000"/>
          <w:szCs w:val="22"/>
        </w:rPr>
        <w:fldChar w:fldCharType="separate"/>
      </w:r>
      <w:r w:rsidR="005B5FD6" w:rsidRPr="00370E70">
        <w:rPr>
          <w:rStyle w:val="StyleCaptionCaptionCharCharLatinCalibri11ptBlackChar"/>
          <w:lang w:val="en-AU"/>
        </w:rPr>
        <w:t xml:space="preserve">Figure </w:t>
      </w:r>
      <w:r w:rsidR="005B5FD6">
        <w:rPr>
          <w:noProof/>
        </w:rPr>
        <w:t>171</w:t>
      </w:r>
      <w:r w:rsidR="00BB0803" w:rsidRPr="00370E70">
        <w:rPr>
          <w:color w:val="000000"/>
          <w:szCs w:val="22"/>
        </w:rPr>
        <w:fldChar w:fldCharType="end"/>
      </w:r>
      <w:proofErr w:type="gramStart"/>
      <w:r w:rsidR="00BB0803" w:rsidRPr="00370E70">
        <w:rPr>
          <w:color w:val="000000"/>
          <w:szCs w:val="22"/>
        </w:rPr>
        <w:t xml:space="preserve">) </w:t>
      </w:r>
      <w:r w:rsidRPr="00370E70">
        <w:rPr>
          <w:color w:val="000000"/>
          <w:szCs w:val="22"/>
        </w:rPr>
        <w:t>.</w:t>
      </w:r>
      <w:proofErr w:type="gramEnd"/>
      <w:r w:rsidRPr="00370E70">
        <w:rPr>
          <w:color w:val="000000"/>
          <w:szCs w:val="22"/>
        </w:rPr>
        <w:t xml:space="preserve"> This location is adjacent to the Urangan marina and in close proximity to the mouth of the </w:t>
      </w:r>
      <w:smartTag w:uri="urn:schemas-microsoft-com:office:smarttags" w:element="place">
        <w:smartTag w:uri="urn:schemas-microsoft-com:office:smarttags" w:element="PlaceName">
          <w:r w:rsidRPr="00370E70">
            <w:rPr>
              <w:color w:val="000000"/>
              <w:szCs w:val="22"/>
            </w:rPr>
            <w:t>Mary</w:t>
          </w:r>
        </w:smartTag>
        <w:r w:rsidRPr="00370E70">
          <w:rPr>
            <w:color w:val="000000"/>
            <w:szCs w:val="22"/>
          </w:rPr>
          <w:t xml:space="preserve"> </w:t>
        </w:r>
        <w:smartTag w:uri="urn:schemas-microsoft-com:office:smarttags" w:element="PlaceName">
          <w:r w:rsidRPr="00370E70">
            <w:rPr>
              <w:color w:val="000000"/>
              <w:szCs w:val="22"/>
            </w:rPr>
            <w:t>River</w:t>
          </w:r>
        </w:smartTag>
      </w:smartTag>
      <w:r w:rsidRPr="00370E70">
        <w:rPr>
          <w:color w:val="000000"/>
          <w:szCs w:val="22"/>
        </w:rPr>
        <w:t>.</w:t>
      </w:r>
    </w:p>
    <w:p w:rsidR="005132EF" w:rsidRPr="00370E70" w:rsidRDefault="005132EF" w:rsidP="00034AD4">
      <w:pPr>
        <w:spacing w:after="0"/>
        <w:ind w:right="232"/>
        <w:rPr>
          <w:color w:val="000000"/>
          <w:szCs w:val="22"/>
        </w:rPr>
      </w:pPr>
      <w:r w:rsidRPr="00370E70">
        <w:rPr>
          <w:color w:val="000000"/>
          <w:szCs w:val="22"/>
        </w:rPr>
        <w:t>Estuarine habitats occur in bays that are protected from the south easterly-winds and consequent wave action. The seagrasses in this area must survive pulsed events of terrestrial run-off, sediment turbidity and drops in salinity. Estuary seagrasses in the region are susceptible to temperature related threats and desiccation due to the majority being intertidal (</w:t>
      </w:r>
      <w:r w:rsidRPr="00370E70">
        <w:rPr>
          <w:color w:val="000000"/>
        </w:rPr>
        <w:fldChar w:fldCharType="begin"/>
      </w:r>
      <w:r w:rsidRPr="00370E70">
        <w:rPr>
          <w:color w:val="000000"/>
        </w:rPr>
        <w:instrText xml:space="preserve"> REF _Ref179513880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170</w:t>
      </w:r>
      <w:r w:rsidRPr="00370E70">
        <w:rPr>
          <w:color w:val="000000"/>
        </w:rPr>
        <w:fldChar w:fldCharType="end"/>
      </w:r>
      <w:r w:rsidRPr="00370E70">
        <w:rPr>
          <w:color w:val="000000"/>
          <w:szCs w:val="22"/>
        </w:rPr>
        <w:t xml:space="preserve">). </w:t>
      </w:r>
    </w:p>
    <w:p w:rsidR="005132EF" w:rsidRPr="00370E70" w:rsidRDefault="007B15AB" w:rsidP="00034AD4">
      <w:pPr>
        <w:jc w:val="center"/>
        <w:rPr>
          <w:color w:val="000000"/>
          <w:szCs w:val="22"/>
        </w:rPr>
      </w:pPr>
      <w:r>
        <w:rPr>
          <w:noProof/>
          <w:color w:val="000000"/>
          <w:szCs w:val="22"/>
          <w:lang w:eastAsia="en-AU"/>
        </w:rPr>
        <w:drawing>
          <wp:inline distT="0" distB="0" distL="0" distR="0">
            <wp:extent cx="5756910" cy="2176780"/>
            <wp:effectExtent l="0" t="0" r="0" b="0"/>
            <wp:docPr id="220" name="Picture 220" descr="Conceptual diagram of Estuary habitat in the GBR section of the Burnett Mary region – major control is shelter from winds and physical disturbance: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Conceptual diagram of Estuary habitat in the GBR section of the Burnett Mary region – major control is shelter from winds and physical disturbance: general habitat and seagrass meadow processes "/>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5756910" cy="2176780"/>
                    </a:xfrm>
                    <a:prstGeom prst="rect">
                      <a:avLst/>
                    </a:prstGeom>
                    <a:noFill/>
                    <a:ln>
                      <a:noFill/>
                    </a:ln>
                  </pic:spPr>
                </pic:pic>
              </a:graphicData>
            </a:graphic>
          </wp:inline>
        </w:drawing>
      </w:r>
    </w:p>
    <w:p w:rsidR="0030036D" w:rsidRPr="00370E70" w:rsidRDefault="005132EF" w:rsidP="0030036D">
      <w:pPr>
        <w:pStyle w:val="Caption"/>
        <w:spacing w:before="0" w:after="0" w:line="240" w:lineRule="auto"/>
        <w:rPr>
          <w:i/>
          <w:vanish/>
          <w:color w:val="000000"/>
          <w:szCs w:val="22"/>
          <w:lang w:val="en-AU"/>
          <w:specVanish/>
        </w:rPr>
      </w:pPr>
      <w:bookmarkStart w:id="770" w:name="_Ref179513880"/>
      <w:bookmarkStart w:id="771" w:name="_Toc384196517"/>
      <w:bookmarkStart w:id="772" w:name="_Toc176158927"/>
      <w:bookmarkStart w:id="773" w:name="_Toc23284602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170</w:t>
      </w:r>
      <w:r w:rsidRPr="00370E70">
        <w:rPr>
          <w:lang w:val="en-AU"/>
        </w:rPr>
        <w:fldChar w:fldCharType="end"/>
      </w:r>
      <w:bookmarkEnd w:id="770"/>
      <w:r w:rsidRPr="00370E70">
        <w:rPr>
          <w:rStyle w:val="StyleCaptionCaptionCharCharLatinCalibri11ptBlackChar"/>
          <w:lang w:val="en-AU"/>
        </w:rPr>
        <w:t>.</w:t>
      </w:r>
      <w:r w:rsidRPr="00370E70">
        <w:rPr>
          <w:lang w:val="en-AU"/>
        </w:rPr>
        <w:t xml:space="preserve"> </w:t>
      </w:r>
      <w:r w:rsidRPr="00370E70">
        <w:rPr>
          <w:i/>
          <w:lang w:val="en-AU"/>
        </w:rPr>
        <w:t xml:space="preserve">Conceptual diagram of </w:t>
      </w:r>
      <w:r w:rsidR="005567C5">
        <w:rPr>
          <w:i/>
          <w:lang w:val="en-AU"/>
        </w:rPr>
        <w:t>e</w:t>
      </w:r>
      <w:r w:rsidRPr="00370E70">
        <w:rPr>
          <w:i/>
          <w:lang w:val="en-AU"/>
        </w:rPr>
        <w:t>stuary habitat in the GBR section of the Burnett Mary region</w:t>
      </w:r>
      <w:bookmarkEnd w:id="771"/>
    </w:p>
    <w:p w:rsidR="0030036D" w:rsidRPr="00370E70" w:rsidRDefault="005132EF" w:rsidP="0030036D">
      <w:pPr>
        <w:pStyle w:val="Caption"/>
        <w:spacing w:before="0" w:after="0" w:line="240" w:lineRule="auto"/>
        <w:rPr>
          <w:lang w:val="en-AU"/>
        </w:rPr>
      </w:pPr>
      <w:r w:rsidRPr="00370E70">
        <w:rPr>
          <w:i/>
          <w:lang w:val="en-AU"/>
        </w:rPr>
        <w:t xml:space="preserve"> – </w:t>
      </w:r>
      <w:proofErr w:type="gramStart"/>
      <w:r w:rsidRPr="00370E70">
        <w:rPr>
          <w:i/>
          <w:lang w:val="en-AU"/>
        </w:rPr>
        <w:t>major</w:t>
      </w:r>
      <w:proofErr w:type="gramEnd"/>
      <w:r w:rsidRPr="00370E70">
        <w:rPr>
          <w:i/>
          <w:lang w:val="en-AU"/>
        </w:rPr>
        <w:t xml:space="preserve"> control is shelter from winds and physical disturbance: general habitat and seagrass meadow processes (see </w:t>
      </w:r>
      <w:r w:rsidRPr="00370E70">
        <w:rPr>
          <w:i/>
          <w:lang w:val="en-AU"/>
        </w:rPr>
        <w:fldChar w:fldCharType="begin"/>
      </w:r>
      <w:r w:rsidRPr="00370E70">
        <w:rPr>
          <w:i/>
          <w:lang w:val="en-AU"/>
        </w:rPr>
        <w:instrText xml:space="preserve"> REF _Ref316453191 \h  \* MERGEFORMAT </w:instrText>
      </w:r>
      <w:r w:rsidRPr="00370E70">
        <w:rPr>
          <w:i/>
          <w:lang w:val="en-AU"/>
        </w:rPr>
      </w:r>
      <w:r w:rsidRPr="00370E70">
        <w:rPr>
          <w:i/>
          <w:lang w:val="en-AU"/>
        </w:rPr>
        <w:fldChar w:fldCharType="separate"/>
      </w:r>
      <w:r w:rsidR="005B5FD6" w:rsidRPr="005B5FD6">
        <w:rPr>
          <w:i/>
          <w:lang w:val="en-AU"/>
        </w:rPr>
        <w:t xml:space="preserve">Figure </w:t>
      </w:r>
      <w:r w:rsidR="005B5FD6" w:rsidRPr="005B5FD6">
        <w:rPr>
          <w:i/>
          <w:noProof/>
          <w:lang w:val="en-AU"/>
        </w:rPr>
        <w:t>4</w:t>
      </w:r>
      <w:r w:rsidRPr="00370E70">
        <w:rPr>
          <w:i/>
          <w:lang w:val="en-AU"/>
        </w:rPr>
        <w:fldChar w:fldCharType="end"/>
      </w:r>
      <w:r w:rsidRPr="00370E70">
        <w:rPr>
          <w:i/>
          <w:lang w:val="en-AU"/>
        </w:rPr>
        <w:t xml:space="preserve"> for icon explanation).</w:t>
      </w:r>
      <w:bookmarkEnd w:id="772"/>
      <w:bookmarkEnd w:id="773"/>
      <w:r w:rsidR="0030036D" w:rsidRPr="00370E70">
        <w:rPr>
          <w:i/>
          <w:lang w:val="en-AU"/>
        </w:rPr>
        <w:t xml:space="preserve"> </w:t>
      </w:r>
    </w:p>
    <w:p w:rsidR="005132EF" w:rsidRPr="00370E70" w:rsidRDefault="005132EF" w:rsidP="008952A1">
      <w:pPr>
        <w:pStyle w:val="Heading3"/>
        <w:rPr>
          <w:color w:val="000000"/>
        </w:rPr>
      </w:pPr>
      <w:bookmarkStart w:id="774" w:name="_Toc184102040"/>
      <w:bookmarkStart w:id="775" w:name="_Toc384196154"/>
      <w:r w:rsidRPr="00370E70">
        <w:rPr>
          <w:color w:val="000000"/>
        </w:rPr>
        <w:t>Status of the seagrass community</w:t>
      </w:r>
      <w:bookmarkEnd w:id="774"/>
      <w:bookmarkEnd w:id="775"/>
    </w:p>
    <w:p w:rsidR="004B4D7F" w:rsidRPr="00370E70" w:rsidRDefault="004B4D7F" w:rsidP="004B4D7F">
      <w:pPr>
        <w:rPr>
          <w:lang w:eastAsia="en-AU"/>
        </w:rPr>
      </w:pPr>
      <w:r w:rsidRPr="00370E70">
        <w:rPr>
          <w:lang w:eastAsia="en-AU"/>
        </w:rPr>
        <w:t>The overall condition of inshore seagrass in the Burnett Mary region remained very poor in 2011</w:t>
      </w:r>
      <w:r w:rsidR="0042779F" w:rsidRPr="00370E70">
        <w:rPr>
          <w:lang w:eastAsia="en-AU"/>
        </w:rPr>
        <w:t>/</w:t>
      </w:r>
      <w:r w:rsidRPr="00370E70">
        <w:rPr>
          <w:lang w:eastAsia="en-AU"/>
        </w:rPr>
        <w:t>12, reflecting very poor abundance and reproductive effort of seagrass meadows</w:t>
      </w:r>
      <w:r w:rsidR="00143A9C" w:rsidRPr="00370E70">
        <w:rPr>
          <w:lang w:eastAsia="en-AU"/>
        </w:rPr>
        <w:t xml:space="preserve"> (</w:t>
      </w:r>
      <w:r w:rsidR="00143A9C" w:rsidRPr="00370E70">
        <w:rPr>
          <w:lang w:eastAsia="en-AU"/>
        </w:rPr>
        <w:fldChar w:fldCharType="begin"/>
      </w:r>
      <w:r w:rsidR="00143A9C" w:rsidRPr="00370E70">
        <w:rPr>
          <w:lang w:eastAsia="en-AU"/>
        </w:rPr>
        <w:instrText xml:space="preserve"> REF _Ref382836622 \h </w:instrText>
      </w:r>
      <w:r w:rsidR="00143A9C" w:rsidRPr="00370E70">
        <w:rPr>
          <w:lang w:eastAsia="en-AU"/>
        </w:rPr>
      </w:r>
      <w:r w:rsidR="00143A9C" w:rsidRPr="00370E70">
        <w:rPr>
          <w:lang w:eastAsia="en-AU"/>
        </w:rPr>
        <w:fldChar w:fldCharType="separate"/>
      </w:r>
      <w:r w:rsidR="005B5FD6" w:rsidRPr="00370E70">
        <w:t xml:space="preserve">Figure </w:t>
      </w:r>
      <w:r w:rsidR="005B5FD6">
        <w:rPr>
          <w:noProof/>
        </w:rPr>
        <w:t>172</w:t>
      </w:r>
      <w:r w:rsidR="00143A9C" w:rsidRPr="00370E70">
        <w:rPr>
          <w:lang w:eastAsia="en-AU"/>
        </w:rPr>
        <w:fldChar w:fldCharType="end"/>
      </w:r>
      <w:r w:rsidR="00143A9C" w:rsidRPr="00370E70">
        <w:rPr>
          <w:lang w:eastAsia="en-AU"/>
        </w:rPr>
        <w:t>)</w:t>
      </w:r>
      <w:r w:rsidRPr="00370E70">
        <w:rPr>
          <w:lang w:eastAsia="en-AU"/>
        </w:rPr>
        <w:t>. Seagrass condition has generally been declining since 2005-2006; however, the indicators driving the condition assessment have varied over the monitoring period.</w:t>
      </w:r>
      <w:r w:rsidR="0042779F" w:rsidRPr="00370E70">
        <w:rPr>
          <w:lang w:eastAsia="en-AU"/>
        </w:rPr>
        <w:t xml:space="preserve"> </w:t>
      </w:r>
      <w:r w:rsidRPr="00370E70">
        <w:rPr>
          <w:lang w:eastAsia="en-AU"/>
        </w:rPr>
        <w:t>Seagrass abundance and reproductive effort were very poor throughout the region in 2011</w:t>
      </w:r>
      <w:r w:rsidR="0042779F" w:rsidRPr="00370E70">
        <w:rPr>
          <w:lang w:eastAsia="en-AU"/>
        </w:rPr>
        <w:t>/</w:t>
      </w:r>
      <w:r w:rsidRPr="00370E70">
        <w:rPr>
          <w:lang w:eastAsia="en-AU"/>
        </w:rPr>
        <w:t xml:space="preserve">12, which may indicate a reduced capacity of local meadows to recover from environmental disturbances. The nutrient concentrations of seagrass tissue </w:t>
      </w:r>
      <w:r w:rsidR="0042779F" w:rsidRPr="00370E70">
        <w:rPr>
          <w:lang w:eastAsia="en-AU"/>
        </w:rPr>
        <w:t xml:space="preserve">increased </w:t>
      </w:r>
      <w:r w:rsidRPr="00370E70">
        <w:rPr>
          <w:lang w:eastAsia="en-AU"/>
        </w:rPr>
        <w:t xml:space="preserve">from </w:t>
      </w:r>
      <w:r w:rsidR="0042779F" w:rsidRPr="00370E70">
        <w:rPr>
          <w:lang w:eastAsia="en-AU"/>
        </w:rPr>
        <w:t xml:space="preserve">poor in 2010/11 to </w:t>
      </w:r>
      <w:r w:rsidRPr="00370E70">
        <w:rPr>
          <w:lang w:eastAsia="en-AU"/>
        </w:rPr>
        <w:t>moderate in 2011</w:t>
      </w:r>
      <w:r w:rsidR="0042779F" w:rsidRPr="00370E70">
        <w:rPr>
          <w:lang w:eastAsia="en-AU"/>
        </w:rPr>
        <w:t>/</w:t>
      </w:r>
      <w:r w:rsidRPr="00370E70">
        <w:rPr>
          <w:lang w:eastAsia="en-AU"/>
        </w:rPr>
        <w:t xml:space="preserve">12, which is indicative of </w:t>
      </w:r>
      <w:r w:rsidR="0042779F" w:rsidRPr="00370E70">
        <w:rPr>
          <w:lang w:eastAsia="en-AU"/>
        </w:rPr>
        <w:t xml:space="preserve">improving </w:t>
      </w:r>
      <w:r w:rsidRPr="00370E70">
        <w:rPr>
          <w:lang w:eastAsia="en-AU"/>
        </w:rPr>
        <w:t xml:space="preserve">water quality following </w:t>
      </w:r>
      <w:r w:rsidR="0042779F" w:rsidRPr="00370E70">
        <w:rPr>
          <w:lang w:eastAsia="en-AU"/>
        </w:rPr>
        <w:t xml:space="preserve">the 2010/11 </w:t>
      </w:r>
      <w:r w:rsidRPr="00370E70">
        <w:rPr>
          <w:lang w:eastAsia="en-AU"/>
        </w:rPr>
        <w:t>flood events in the region.</w:t>
      </w:r>
    </w:p>
    <w:p w:rsidR="004B4D7F" w:rsidRPr="00370E70" w:rsidRDefault="004B4D7F" w:rsidP="004B4D7F">
      <w:pPr>
        <w:rPr>
          <w:lang w:eastAsia="en-AU"/>
        </w:rPr>
      </w:pPr>
    </w:p>
    <w:p w:rsidR="00143A9C" w:rsidRPr="00370E70" w:rsidRDefault="007B15AB" w:rsidP="00143A9C">
      <w:pPr>
        <w:keepNext/>
        <w:jc w:val="center"/>
        <w:rPr>
          <w:color w:val="000000"/>
        </w:rPr>
      </w:pPr>
      <w:r>
        <w:rPr>
          <w:noProof/>
          <w:color w:val="000000"/>
          <w:lang w:eastAsia="en-AU"/>
        </w:rPr>
        <w:lastRenderedPageBreak/>
        <w:drawing>
          <wp:inline distT="0" distB="0" distL="0" distR="0">
            <wp:extent cx="5756910" cy="7225030"/>
            <wp:effectExtent l="0" t="0" r="0" b="0"/>
            <wp:docPr id="221" name="Picture 221" descr="Map showing the location of Burnett Mary region long-term monitoring location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Map showing the location of Burnett Mary region long-term monitoring locations and the seagrass species composition at each site"/>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5756910" cy="7225030"/>
                    </a:xfrm>
                    <a:prstGeom prst="rect">
                      <a:avLst/>
                    </a:prstGeom>
                    <a:noFill/>
                    <a:ln>
                      <a:noFill/>
                    </a:ln>
                  </pic:spPr>
                </pic:pic>
              </a:graphicData>
            </a:graphic>
          </wp:inline>
        </w:drawing>
      </w:r>
    </w:p>
    <w:p w:rsidR="00143A9C" w:rsidRPr="00370E70" w:rsidRDefault="00143A9C" w:rsidP="00143A9C">
      <w:pPr>
        <w:pStyle w:val="Caption"/>
        <w:rPr>
          <w:i/>
          <w:vanish/>
          <w:color w:val="000000"/>
          <w:szCs w:val="22"/>
          <w:lang w:val="en-AU"/>
          <w:specVanish/>
        </w:rPr>
      </w:pPr>
      <w:bookmarkStart w:id="776" w:name="_Ref179513900"/>
      <w:bookmarkStart w:id="777" w:name="_Toc384196518"/>
      <w:bookmarkStart w:id="778" w:name="_Toc176158928"/>
      <w:bookmarkStart w:id="779" w:name="_Toc232846027"/>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171</w:t>
      </w:r>
      <w:r w:rsidRPr="00370E70">
        <w:rPr>
          <w:lang w:val="en-AU"/>
        </w:rPr>
        <w:fldChar w:fldCharType="end"/>
      </w:r>
      <w:bookmarkEnd w:id="776"/>
      <w:r w:rsidRPr="00370E70">
        <w:rPr>
          <w:rStyle w:val="StyleCaptionCaptionCharCharLatinCalibri11ptBlackChar"/>
          <w:lang w:val="en-AU"/>
        </w:rPr>
        <w:t>.</w:t>
      </w:r>
      <w:r w:rsidRPr="00370E70">
        <w:rPr>
          <w:lang w:val="en-AU"/>
        </w:rPr>
        <w:t xml:space="preserve"> </w:t>
      </w:r>
      <w:r w:rsidRPr="00370E70">
        <w:rPr>
          <w:i/>
          <w:lang w:val="en-AU"/>
        </w:rPr>
        <w:t>Location of Burnett Mary region long-term monitoring locations and the seagrass species composition at each site.</w:t>
      </w:r>
      <w:bookmarkEnd w:id="777"/>
      <w:r w:rsidRPr="00370E70">
        <w:rPr>
          <w:i/>
          <w:lang w:val="en-AU"/>
        </w:rPr>
        <w:t xml:space="preserve"> </w:t>
      </w:r>
    </w:p>
    <w:p w:rsidR="00143A9C" w:rsidRPr="00370E70" w:rsidRDefault="00143A9C" w:rsidP="00143A9C">
      <w:pPr>
        <w:pStyle w:val="Caption"/>
        <w:rPr>
          <w:lang w:val="en-AU"/>
        </w:rPr>
      </w:pPr>
      <w:r w:rsidRPr="00370E70">
        <w:rPr>
          <w:i/>
          <w:lang w:val="en-AU"/>
        </w:rPr>
        <w:t>Please note: replicate sites are within 500m of each other.</w:t>
      </w:r>
      <w:r w:rsidRPr="00370E70">
        <w:rPr>
          <w:lang w:val="en-AU"/>
        </w:rPr>
        <w:t xml:space="preserve"> </w:t>
      </w:r>
    </w:p>
    <w:bookmarkEnd w:id="778"/>
    <w:bookmarkEnd w:id="779"/>
    <w:p w:rsidR="00143A9C" w:rsidRPr="00370E70" w:rsidRDefault="00143A9C" w:rsidP="00143A9C">
      <w:pPr>
        <w:rPr>
          <w:color w:val="000000"/>
        </w:rPr>
      </w:pPr>
    </w:p>
    <w:p w:rsidR="004B4D7F" w:rsidRPr="00370E70" w:rsidRDefault="007B15AB" w:rsidP="0042779F">
      <w:pPr>
        <w:keepNext/>
        <w:jc w:val="center"/>
        <w:rPr>
          <w:lang w:eastAsia="en-AU"/>
        </w:rPr>
      </w:pPr>
      <w:r>
        <w:rPr>
          <w:noProof/>
          <w:lang w:eastAsia="en-AU"/>
        </w:rPr>
        <w:lastRenderedPageBreak/>
        <w:drawing>
          <wp:inline distT="0" distB="0" distL="0" distR="0">
            <wp:extent cx="3593465" cy="1918970"/>
            <wp:effectExtent l="0" t="0" r="6985" b="5080"/>
            <wp:docPr id="222" name="Picture 222" descr="Graph showing report card of seagrass status indicators and index for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Graph showing report card of seagrass status indicators and index for the Burnett Mary NRM region"/>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3593465" cy="1918970"/>
                    </a:xfrm>
                    <a:prstGeom prst="rect">
                      <a:avLst/>
                    </a:prstGeom>
                    <a:noFill/>
                    <a:ln>
                      <a:noFill/>
                    </a:ln>
                  </pic:spPr>
                </pic:pic>
              </a:graphicData>
            </a:graphic>
          </wp:inline>
        </w:drawing>
      </w:r>
    </w:p>
    <w:p w:rsidR="004B4D7F" w:rsidRPr="00370E70" w:rsidRDefault="004B4D7F" w:rsidP="004B4D7F">
      <w:pPr>
        <w:rPr>
          <w:i/>
          <w:vanish/>
          <w:color w:val="000000"/>
          <w:szCs w:val="22"/>
          <w:specVanish/>
        </w:rPr>
      </w:pPr>
      <w:bookmarkStart w:id="780" w:name="_Ref382836622"/>
      <w:bookmarkStart w:id="781" w:name="_Toc384196519"/>
      <w:r w:rsidRPr="00370E70">
        <w:t xml:space="preserve">Figure </w:t>
      </w:r>
      <w:r w:rsidR="009A14B8">
        <w:fldChar w:fldCharType="begin"/>
      </w:r>
      <w:r w:rsidR="009A14B8">
        <w:instrText xml:space="preserve"> SEQ Figure \* ARABIC </w:instrText>
      </w:r>
      <w:r w:rsidR="009A14B8">
        <w:fldChar w:fldCharType="separate"/>
      </w:r>
      <w:r w:rsidR="005B5FD6">
        <w:rPr>
          <w:noProof/>
        </w:rPr>
        <w:t>172</w:t>
      </w:r>
      <w:r w:rsidR="009A14B8">
        <w:rPr>
          <w:noProof/>
        </w:rPr>
        <w:fldChar w:fldCharType="end"/>
      </w:r>
      <w:bookmarkEnd w:id="780"/>
      <w:r w:rsidRPr="00370E70">
        <w:t xml:space="preserve">. </w:t>
      </w:r>
      <w:r w:rsidRPr="00370E70">
        <w:rPr>
          <w:i/>
          <w:color w:val="000000"/>
          <w:szCs w:val="22"/>
        </w:rPr>
        <w:t>Report card of seagrass status indicators and index for the Burnett Mary NRM region</w:t>
      </w:r>
      <w:bookmarkEnd w:id="781"/>
    </w:p>
    <w:p w:rsidR="004B4D7F" w:rsidRPr="00370E70" w:rsidRDefault="004B4D7F" w:rsidP="004B4D7F">
      <w:pPr>
        <w:pStyle w:val="Caption"/>
        <w:rPr>
          <w:lang w:val="en-AU" w:eastAsia="en-AU"/>
        </w:rPr>
      </w:pPr>
      <w:r w:rsidRPr="00370E70">
        <w:rPr>
          <w:i/>
          <w:color w:val="000000"/>
          <w:szCs w:val="22"/>
          <w:lang w:val="en-AU"/>
        </w:rPr>
        <w:t xml:space="preserve"> (averaged across sites). Values are indexed scores scaled from 0-100; </w:t>
      </w:r>
      <w:r w:rsidRPr="00370E70">
        <w:rPr>
          <w:rFonts w:ascii="Arial" w:hAnsi="Arial" w:cs="Arial"/>
          <w:i/>
          <w:color w:val="008000"/>
          <w:szCs w:val="22"/>
          <w:lang w:val="en-AU"/>
        </w:rPr>
        <w:t>■ </w:t>
      </w:r>
      <w:r w:rsidRPr="00370E70">
        <w:rPr>
          <w:i/>
          <w:szCs w:val="22"/>
          <w:lang w:val="en-AU"/>
        </w:rPr>
        <w:t xml:space="preserve">= very good (80-100), </w:t>
      </w:r>
      <w:r w:rsidRPr="00370E70">
        <w:rPr>
          <w:rFonts w:ascii="Arial" w:hAnsi="Arial" w:cs="Arial"/>
          <w:i/>
          <w:color w:val="92D050"/>
          <w:szCs w:val="22"/>
          <w:lang w:val="en-AU"/>
        </w:rPr>
        <w:t>■</w:t>
      </w:r>
      <w:r w:rsidRPr="00370E70">
        <w:rPr>
          <w:i/>
          <w:szCs w:val="22"/>
          <w:lang w:val="en-AU"/>
        </w:rPr>
        <w:t xml:space="preserve"> = good (60 - &lt;80), </w:t>
      </w:r>
      <w:r w:rsidRPr="00370E70">
        <w:rPr>
          <w:rFonts w:ascii="Arial" w:hAnsi="Arial" w:cs="Arial"/>
          <w:i/>
          <w:color w:val="FFFF00"/>
          <w:szCs w:val="22"/>
          <w:lang w:val="en-AU"/>
        </w:rPr>
        <w:t>■</w:t>
      </w:r>
      <w:r w:rsidRPr="00370E70">
        <w:rPr>
          <w:i/>
          <w:szCs w:val="22"/>
          <w:lang w:val="en-AU"/>
        </w:rPr>
        <w:t xml:space="preserve"> = moderate (40 - &lt;60), </w:t>
      </w:r>
      <w:r w:rsidRPr="00370E70">
        <w:rPr>
          <w:rFonts w:ascii="Arial" w:hAnsi="Arial" w:cs="Arial"/>
          <w:i/>
          <w:color w:val="FFC000"/>
          <w:szCs w:val="22"/>
          <w:lang w:val="en-AU"/>
        </w:rPr>
        <w:t>■</w:t>
      </w:r>
      <w:r w:rsidRPr="00370E70">
        <w:rPr>
          <w:i/>
          <w:szCs w:val="22"/>
          <w:lang w:val="en-AU"/>
        </w:rPr>
        <w:t xml:space="preserve"> = poor (20 - &lt;40), </w:t>
      </w:r>
      <w:r w:rsidRPr="00370E70">
        <w:rPr>
          <w:rFonts w:ascii="Arial" w:hAnsi="Arial" w:cs="Arial"/>
          <w:i/>
          <w:color w:val="FF0000"/>
          <w:szCs w:val="22"/>
          <w:lang w:val="en-AU"/>
        </w:rPr>
        <w:t>■</w:t>
      </w:r>
      <w:r w:rsidRPr="00370E70">
        <w:rPr>
          <w:i/>
          <w:szCs w:val="22"/>
          <w:lang w:val="en-AU"/>
        </w:rPr>
        <w:t> = very poor (0 - &lt;20)</w:t>
      </w:r>
      <w:r w:rsidRPr="00370E70">
        <w:rPr>
          <w:i/>
          <w:color w:val="000000"/>
          <w:szCs w:val="22"/>
          <w:lang w:val="en-AU"/>
        </w:rPr>
        <w:t>.</w:t>
      </w:r>
    </w:p>
    <w:p w:rsidR="005132EF" w:rsidRPr="00370E70" w:rsidRDefault="005132EF" w:rsidP="00034AD4">
      <w:pPr>
        <w:pStyle w:val="Heading4"/>
        <w:rPr>
          <w:b/>
          <w:color w:val="000000"/>
        </w:rPr>
      </w:pPr>
      <w:bookmarkStart w:id="782" w:name="_Toc184102041"/>
      <w:r w:rsidRPr="00370E70">
        <w:rPr>
          <w:b/>
          <w:color w:val="000000"/>
        </w:rPr>
        <w:t>Seagrass abundance and composition</w:t>
      </w:r>
      <w:bookmarkEnd w:id="782"/>
    </w:p>
    <w:p w:rsidR="005132EF" w:rsidRPr="00370E70" w:rsidRDefault="005132EF" w:rsidP="00034AD4">
      <w:pPr>
        <w:spacing w:after="0"/>
        <w:ind w:right="232"/>
        <w:rPr>
          <w:color w:val="000000"/>
          <w:szCs w:val="22"/>
        </w:rPr>
      </w:pPr>
      <w:r w:rsidRPr="00370E70">
        <w:rPr>
          <w:color w:val="000000"/>
          <w:szCs w:val="22"/>
        </w:rPr>
        <w:t xml:space="preserve">The estuarine seagrass habitats in the south of the region were dominated by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with small components of </w:t>
      </w:r>
      <w:r w:rsidRPr="00370E70">
        <w:rPr>
          <w:i/>
          <w:color w:val="000000"/>
          <w:szCs w:val="22"/>
        </w:rPr>
        <w:t>Halophila ovalis</w:t>
      </w:r>
      <w:r w:rsidRPr="00370E70">
        <w:rPr>
          <w:color w:val="000000"/>
          <w:szCs w:val="22"/>
        </w:rPr>
        <w:t xml:space="preserve"> over the </w:t>
      </w:r>
      <w:r w:rsidR="002C6536" w:rsidRPr="00370E70">
        <w:rPr>
          <w:color w:val="000000"/>
          <w:szCs w:val="22"/>
        </w:rPr>
        <w:t>monitoring</w:t>
      </w:r>
      <w:r w:rsidRPr="00370E70">
        <w:rPr>
          <w:color w:val="000000"/>
          <w:szCs w:val="22"/>
        </w:rPr>
        <w:t xml:space="preserve"> period (</w:t>
      </w:r>
      <w:r w:rsidRPr="00370E70">
        <w:rPr>
          <w:color w:val="000000"/>
        </w:rPr>
        <w:fldChar w:fldCharType="begin"/>
      </w:r>
      <w:r w:rsidRPr="00370E70">
        <w:rPr>
          <w:color w:val="000000"/>
        </w:rPr>
        <w:instrText xml:space="preserve"> REF _Ref179513900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171</w:t>
      </w:r>
      <w:r w:rsidRPr="00370E70">
        <w:rPr>
          <w:color w:val="000000"/>
        </w:rPr>
        <w:fldChar w:fldCharType="end"/>
      </w:r>
      <w:r w:rsidRPr="00370E70">
        <w:rPr>
          <w:color w:val="000000"/>
          <w:szCs w:val="22"/>
        </w:rPr>
        <w:t>). Although the meadows showed significant recovery over the 2010 calendar year, in early 2011 they declined to small isolated patches which by early 2012 had begun to increase (</w:t>
      </w:r>
      <w:r w:rsidRPr="00370E70">
        <w:rPr>
          <w:color w:val="000000"/>
        </w:rPr>
        <w:fldChar w:fldCharType="begin"/>
      </w:r>
      <w:r w:rsidRPr="00370E70">
        <w:rPr>
          <w:color w:val="000000"/>
        </w:rPr>
        <w:instrText xml:space="preserve"> REF _Ref211951689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173</w:t>
      </w:r>
      <w:r w:rsidRPr="00370E70">
        <w:rPr>
          <w:color w:val="000000"/>
        </w:rPr>
        <w:fldChar w:fldCharType="end"/>
      </w:r>
      <w:r w:rsidRPr="00370E70">
        <w:rPr>
          <w:color w:val="000000"/>
          <w:szCs w:val="22"/>
        </w:rPr>
        <w:t xml:space="preserve">). </w:t>
      </w:r>
    </w:p>
    <w:p w:rsidR="005132EF" w:rsidRPr="00370E70" w:rsidRDefault="007B15AB" w:rsidP="008F5E75">
      <w:pPr>
        <w:keepNext/>
        <w:spacing w:after="0"/>
        <w:jc w:val="center"/>
        <w:rPr>
          <w:color w:val="000000"/>
        </w:rPr>
      </w:pPr>
      <w:r>
        <w:rPr>
          <w:noProof/>
          <w:color w:val="000000"/>
          <w:lang w:eastAsia="en-AU"/>
        </w:rPr>
        <w:drawing>
          <wp:inline distT="0" distB="0" distL="0" distR="0">
            <wp:extent cx="2163445" cy="1532890"/>
            <wp:effectExtent l="0" t="0" r="8255" b="0"/>
            <wp:docPr id="223" name="Picture 213" descr="Graph of changes in seagrass abundance (% cover) at Urangan estuarine meadows in Burnett Mary region from 1999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Graph of changes in seagrass abundance (% cover) at Urangan estuarine meadows in Burnett Mary region from 1999 to 2012"/>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2163445" cy="1532890"/>
                    </a:xfrm>
                    <a:prstGeom prst="rect">
                      <a:avLst/>
                    </a:prstGeom>
                    <a:noFill/>
                    <a:ln>
                      <a:noFill/>
                    </a:ln>
                  </pic:spPr>
                </pic:pic>
              </a:graphicData>
            </a:graphic>
          </wp:inline>
        </w:drawing>
      </w:r>
      <w:r>
        <w:rPr>
          <w:noProof/>
          <w:color w:val="000000"/>
          <w:lang w:eastAsia="en-AU"/>
        </w:rPr>
        <w:drawing>
          <wp:inline distT="0" distB="0" distL="0" distR="0">
            <wp:extent cx="2163445" cy="1532890"/>
            <wp:effectExtent l="0" t="0" r="8255" b="0"/>
            <wp:docPr id="224" name="Picture 214" descr="Graph of changes in seagrass abundance (% cover) at Rodds Bay estuarine meadows in Burnett Mary region from 2007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Graph of changes in seagrass abundance (% cover) at Rodds Bay estuarine meadows in Burnett Mary region from 2007 to 2012"/>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2163445" cy="1532890"/>
                    </a:xfrm>
                    <a:prstGeom prst="rect">
                      <a:avLst/>
                    </a:prstGeom>
                    <a:noFill/>
                    <a:ln>
                      <a:noFill/>
                    </a:ln>
                  </pic:spPr>
                </pic:pic>
              </a:graphicData>
            </a:graphic>
          </wp:inline>
        </w:drawing>
      </w:r>
    </w:p>
    <w:p w:rsidR="0030036D" w:rsidRPr="00370E70" w:rsidRDefault="005132EF" w:rsidP="0030036D">
      <w:pPr>
        <w:pStyle w:val="Caption"/>
        <w:keepNext/>
        <w:spacing w:before="0"/>
        <w:rPr>
          <w:i/>
          <w:vanish/>
          <w:color w:val="000000"/>
          <w:szCs w:val="22"/>
          <w:lang w:val="en-AU"/>
          <w:specVanish/>
        </w:rPr>
      </w:pPr>
      <w:bookmarkStart w:id="783" w:name="_Ref211951689"/>
      <w:bookmarkStart w:id="784" w:name="_Toc232846028"/>
      <w:bookmarkStart w:id="785" w:name="_Toc38419652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173</w:t>
      </w:r>
      <w:r w:rsidRPr="00370E70">
        <w:rPr>
          <w:lang w:val="en-AU"/>
        </w:rPr>
        <w:fldChar w:fldCharType="end"/>
      </w:r>
      <w:bookmarkEnd w:id="783"/>
      <w:r w:rsidRPr="00370E70">
        <w:rPr>
          <w:rStyle w:val="StyleCaptionCaptionCharCharLatinCalibri11ptBlackChar"/>
          <w:lang w:val="en-AU"/>
        </w:rPr>
        <w:t xml:space="preserve">. </w:t>
      </w:r>
      <w:bookmarkEnd w:id="784"/>
      <w:r w:rsidRPr="00370E70">
        <w:rPr>
          <w:i/>
          <w:lang w:val="en-AU"/>
        </w:rPr>
        <w:t xml:space="preserve">Changes in seagrass abundance (% cover ±Standard Error) at </w:t>
      </w:r>
      <w:r w:rsidR="005567C5">
        <w:rPr>
          <w:i/>
          <w:lang w:val="en-AU"/>
        </w:rPr>
        <w:t xml:space="preserve">inshore intertidal </w:t>
      </w:r>
      <w:r w:rsidRPr="00370E70">
        <w:rPr>
          <w:i/>
          <w:lang w:val="en-AU"/>
        </w:rPr>
        <w:t xml:space="preserve">estuarine </w:t>
      </w:r>
      <w:r w:rsidR="005567C5">
        <w:rPr>
          <w:i/>
          <w:lang w:val="en-AU"/>
        </w:rPr>
        <w:t>habitats</w:t>
      </w:r>
      <w:r w:rsidRPr="00370E70">
        <w:rPr>
          <w:i/>
          <w:lang w:val="en-AU"/>
        </w:rPr>
        <w:t xml:space="preserve"> in Burnett Mary region from 1999 to 201</w:t>
      </w:r>
      <w:r w:rsidR="00DC4EB3">
        <w:rPr>
          <w:i/>
          <w:lang w:val="en-AU"/>
        </w:rPr>
        <w:t>2</w:t>
      </w:r>
      <w:r w:rsidRPr="00370E70">
        <w:rPr>
          <w:i/>
          <w:lang w:val="en-AU"/>
        </w:rPr>
        <w:t>.</w:t>
      </w:r>
      <w:bookmarkEnd w:id="785"/>
      <w:r w:rsidRPr="00370E70">
        <w:rPr>
          <w:i/>
          <w:lang w:val="en-AU"/>
        </w:rPr>
        <w:t xml:space="preserve"> </w:t>
      </w:r>
    </w:p>
    <w:p w:rsidR="0030036D" w:rsidRPr="00370E70" w:rsidRDefault="005132EF" w:rsidP="0030036D">
      <w:pPr>
        <w:pStyle w:val="Caption"/>
        <w:keepNext/>
        <w:spacing w:before="0"/>
        <w:rPr>
          <w:lang w:val="en-AU"/>
        </w:rPr>
      </w:pPr>
      <w:r w:rsidRPr="00370E70">
        <w:rPr>
          <w:i/>
          <w:lang w:val="en-AU"/>
        </w:rPr>
        <w:t>Urangan trendline is 3</w:t>
      </w:r>
      <w:r w:rsidRPr="00370E70">
        <w:rPr>
          <w:i/>
          <w:vertAlign w:val="superscript"/>
          <w:lang w:val="en-AU"/>
        </w:rPr>
        <w:t>rd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0.339. Rodds Bay trendline is 2</w:t>
      </w:r>
      <w:r w:rsidRPr="00370E70">
        <w:rPr>
          <w:i/>
          <w:vertAlign w:val="superscript"/>
          <w:lang w:val="en-AU"/>
        </w:rPr>
        <w:t>nd</w:t>
      </w:r>
      <w:r w:rsidRPr="00370E70">
        <w:rPr>
          <w:i/>
          <w:lang w:val="en-AU"/>
        </w:rPr>
        <w:t xml:space="preserve"> order polynomial, 95% confidence intervals displayed, r</w:t>
      </w:r>
      <w:r w:rsidRPr="00370E70">
        <w:rPr>
          <w:i/>
          <w:vertAlign w:val="superscript"/>
          <w:lang w:val="en-AU"/>
        </w:rPr>
        <w:t>2</w:t>
      </w:r>
      <w:r w:rsidRPr="00370E70">
        <w:rPr>
          <w:i/>
          <w:lang w:val="en-AU"/>
        </w:rPr>
        <w:t xml:space="preserve"> = 0.721.</w:t>
      </w:r>
      <w:r w:rsidRPr="00370E70">
        <w:rPr>
          <w:lang w:val="en-AU"/>
        </w:rPr>
        <w:t xml:space="preserve"> </w:t>
      </w:r>
    </w:p>
    <w:p w:rsidR="008F5E75" w:rsidRPr="00370E70" w:rsidRDefault="008F5E75" w:rsidP="00034AD4">
      <w:pPr>
        <w:rPr>
          <w:color w:val="000000"/>
          <w:szCs w:val="22"/>
        </w:rPr>
      </w:pPr>
    </w:p>
    <w:p w:rsidR="005132EF" w:rsidRPr="00370E70" w:rsidRDefault="005132EF" w:rsidP="00034AD4">
      <w:pPr>
        <w:rPr>
          <w:color w:val="000000"/>
          <w:szCs w:val="22"/>
        </w:rPr>
      </w:pPr>
      <w:r w:rsidRPr="00370E70">
        <w:rPr>
          <w:color w:val="000000"/>
          <w:szCs w:val="22"/>
        </w:rPr>
        <w:t xml:space="preserve">In the north of the region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the greater contribution of the colonising species </w:t>
      </w:r>
      <w:r w:rsidRPr="00370E70">
        <w:rPr>
          <w:i/>
          <w:color w:val="000000"/>
          <w:szCs w:val="22"/>
        </w:rPr>
        <w:t>H. ovalis</w:t>
      </w:r>
      <w:r w:rsidRPr="00370E70">
        <w:rPr>
          <w:color w:val="000000"/>
          <w:szCs w:val="22"/>
        </w:rPr>
        <w:t xml:space="preserve"> indicated that the meadows were in early stages of recovery (</w:t>
      </w:r>
      <w:r w:rsidRPr="00370E70">
        <w:rPr>
          <w:color w:val="000000"/>
        </w:rPr>
        <w:fldChar w:fldCharType="begin"/>
      </w:r>
      <w:r w:rsidRPr="00370E70">
        <w:rPr>
          <w:color w:val="000000"/>
        </w:rPr>
        <w:instrText xml:space="preserve"> REF _Ref179513900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171</w:t>
      </w:r>
      <w:r w:rsidRPr="00370E70">
        <w:rPr>
          <w:color w:val="000000"/>
        </w:rPr>
        <w:fldChar w:fldCharType="end"/>
      </w:r>
      <w:r w:rsidRPr="00370E70">
        <w:rPr>
          <w:color w:val="000000"/>
          <w:szCs w:val="22"/>
        </w:rPr>
        <w:t>). However, after November 2011, seagrass was absent from one of the sites (RD2) (</w:t>
      </w:r>
      <w:r w:rsidRPr="00370E70">
        <w:rPr>
          <w:color w:val="000000"/>
        </w:rPr>
        <w:fldChar w:fldCharType="begin"/>
      </w:r>
      <w:r w:rsidRPr="00370E70">
        <w:rPr>
          <w:color w:val="000000"/>
        </w:rPr>
        <w:instrText xml:space="preserve"> REF _Ref211951689 \h  \* MERGEFORMAT </w:instrText>
      </w:r>
      <w:r w:rsidRPr="00370E70">
        <w:rPr>
          <w:color w:val="000000"/>
        </w:rPr>
      </w:r>
      <w:r w:rsidRPr="00370E70">
        <w:rPr>
          <w:color w:val="000000"/>
        </w:rPr>
        <w:fldChar w:fldCharType="separate"/>
      </w:r>
      <w:r w:rsidR="005B5FD6" w:rsidRPr="005B5FD6">
        <w:rPr>
          <w:szCs w:val="22"/>
        </w:rPr>
        <w:t xml:space="preserve">Figure </w:t>
      </w:r>
      <w:r w:rsidR="005B5FD6" w:rsidRPr="005B5FD6">
        <w:rPr>
          <w:noProof/>
          <w:color w:val="000000"/>
          <w:szCs w:val="22"/>
        </w:rPr>
        <w:t>173</w:t>
      </w:r>
      <w:r w:rsidRPr="00370E70">
        <w:rPr>
          <w:color w:val="000000"/>
        </w:rPr>
        <w:fldChar w:fldCharType="end"/>
      </w:r>
      <w:r w:rsidRPr="00370E70">
        <w:rPr>
          <w:color w:val="000000"/>
          <w:szCs w:val="22"/>
        </w:rPr>
        <w:t>).</w:t>
      </w:r>
    </w:p>
    <w:p w:rsidR="005132EF" w:rsidRPr="00370E70" w:rsidRDefault="005132EF" w:rsidP="00034AD4">
      <w:pPr>
        <w:rPr>
          <w:color w:val="000000"/>
          <w:szCs w:val="22"/>
        </w:rPr>
      </w:pPr>
      <w:r w:rsidRPr="00370E70">
        <w:rPr>
          <w:color w:val="000000"/>
          <w:szCs w:val="22"/>
        </w:rPr>
        <w:t>Since monitoring was established at this location in 1998, the Urangan meadow has come and gone on an irregular basis. It is unknown if this is a long-term pattern. Within years however, a seasonal pattern is apparent across both sites, with greater abundance in the late dry season (</w:t>
      </w:r>
      <w:r w:rsidRPr="00370E70">
        <w:fldChar w:fldCharType="begin"/>
      </w:r>
      <w:r w:rsidRPr="00370E70">
        <w:instrText xml:space="preserve"> REF _Ref305090366 \h  \* MERGEFORMAT </w:instrText>
      </w:r>
      <w:r w:rsidRPr="00370E70">
        <w:fldChar w:fldCharType="separate"/>
      </w:r>
      <w:r w:rsidR="005B5FD6" w:rsidRPr="005B5FD6">
        <w:rPr>
          <w:szCs w:val="22"/>
        </w:rPr>
        <w:t xml:space="preserve">Figure </w:t>
      </w:r>
      <w:r w:rsidR="005B5FD6" w:rsidRPr="005B5FD6">
        <w:rPr>
          <w:noProof/>
          <w:color w:val="000000"/>
          <w:szCs w:val="22"/>
        </w:rPr>
        <w:t>174</w:t>
      </w:r>
      <w:r w:rsidRPr="00370E70">
        <w:fldChar w:fldCharType="end"/>
      </w:r>
      <w:r w:rsidRPr="00370E70">
        <w:rPr>
          <w:color w:val="000000"/>
          <w:szCs w:val="22"/>
        </w:rPr>
        <w:t xml:space="preserve">). Abundance is also significantly higher during the late dry season in </w:t>
      </w:r>
      <w:smartTag w:uri="urn:schemas-microsoft-com:office:smarttags" w:element="PlaceName">
        <w:r w:rsidRPr="00370E70">
          <w:rPr>
            <w:color w:val="000000"/>
            <w:szCs w:val="22"/>
          </w:rPr>
          <w:t>Rodds</w:t>
        </w:r>
      </w:smartTag>
      <w:r w:rsidRPr="00370E70">
        <w:rPr>
          <w:color w:val="000000"/>
          <w:szCs w:val="22"/>
        </w:rPr>
        <w:t xml:space="preserve"> </w:t>
      </w:r>
      <w:proofErr w:type="gramStart"/>
      <w:r w:rsidRPr="00370E70">
        <w:rPr>
          <w:color w:val="000000"/>
          <w:szCs w:val="22"/>
        </w:rPr>
        <w:t>Bay,</w:t>
      </w:r>
      <w:proofErr w:type="gramEnd"/>
      <w:r w:rsidRPr="00370E70">
        <w:rPr>
          <w:color w:val="000000"/>
          <w:szCs w:val="22"/>
        </w:rPr>
        <w:t xml:space="preserve"> however the dataset has become limited with the recent losses (</w:t>
      </w:r>
      <w:r w:rsidRPr="00370E70">
        <w:fldChar w:fldCharType="begin"/>
      </w:r>
      <w:r w:rsidRPr="00370E70">
        <w:instrText xml:space="preserve"> REF _Ref179513934 \h  \* MERGEFORMAT </w:instrText>
      </w:r>
      <w:r w:rsidRPr="00370E70">
        <w:fldChar w:fldCharType="separate"/>
      </w:r>
      <w:r w:rsidR="005B5FD6" w:rsidRPr="005B5FD6">
        <w:rPr>
          <w:szCs w:val="22"/>
        </w:rPr>
        <w:t xml:space="preserve">Figure </w:t>
      </w:r>
      <w:r w:rsidR="005B5FD6" w:rsidRPr="005B5FD6">
        <w:rPr>
          <w:noProof/>
          <w:color w:val="000000"/>
          <w:szCs w:val="22"/>
        </w:rPr>
        <w:t>175</w:t>
      </w:r>
      <w:r w:rsidRPr="00370E70">
        <w:fldChar w:fldCharType="end"/>
      </w:r>
      <w:r w:rsidRPr="00370E70">
        <w:rPr>
          <w:color w:val="000000"/>
          <w:szCs w:val="22"/>
        </w:rPr>
        <w:t>).</w:t>
      </w:r>
    </w:p>
    <w:p w:rsidR="005132EF" w:rsidRPr="00370E70" w:rsidRDefault="007B15AB" w:rsidP="00034AD4">
      <w:pPr>
        <w:keepNext/>
        <w:spacing w:after="0"/>
        <w:jc w:val="center"/>
        <w:rPr>
          <w:color w:val="000000"/>
        </w:rPr>
      </w:pPr>
      <w:r>
        <w:rPr>
          <w:noProof/>
          <w:lang w:eastAsia="en-AU"/>
        </w:rPr>
        <w:lastRenderedPageBreak/>
        <w:drawing>
          <wp:inline distT="0" distB="0" distL="0" distR="0">
            <wp:extent cx="4314190" cy="1609725"/>
            <wp:effectExtent l="0" t="0" r="0" b="9525"/>
            <wp:docPr id="225" name="Picture 216" descr="Graph showing seasonality of mean percentage seagrass cover (all species pooled)  at Urangan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Graph showing seasonality of mean percentage seagrass cover (all species pooled)  at Urangan long-term monitoring sites at time of year"/>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30036D" w:rsidRPr="00370E70" w:rsidRDefault="005132EF" w:rsidP="0030036D">
      <w:pPr>
        <w:pStyle w:val="Caption"/>
        <w:rPr>
          <w:i/>
          <w:vanish/>
          <w:color w:val="000000"/>
          <w:szCs w:val="22"/>
          <w:lang w:val="en-AU"/>
          <w:specVanish/>
        </w:rPr>
      </w:pPr>
      <w:bookmarkStart w:id="786" w:name="_Ref305090366"/>
      <w:bookmarkStart w:id="787" w:name="_Toc38419652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174</w:t>
      </w:r>
      <w:r w:rsidRPr="00370E70">
        <w:rPr>
          <w:lang w:val="en-AU"/>
        </w:rPr>
        <w:fldChar w:fldCharType="end"/>
      </w:r>
      <w:bookmarkEnd w:id="786"/>
      <w:r w:rsidRPr="00370E70">
        <w:rPr>
          <w:rStyle w:val="StyleCaptionCaptionCharCharLatinCalibri11ptBlackChar"/>
          <w:lang w:val="en-AU"/>
        </w:rPr>
        <w:t>.</w:t>
      </w:r>
      <w:r w:rsidRPr="00370E70">
        <w:rPr>
          <w:lang w:val="en-AU"/>
        </w:rPr>
        <w:t xml:space="preserve"> </w:t>
      </w:r>
      <w:r w:rsidRPr="00370E70">
        <w:rPr>
          <w:i/>
          <w:lang w:val="en-AU"/>
        </w:rPr>
        <w:t xml:space="preserve">Mean percentage seagrass cover (all species pooled) (± Standard Error) at </w:t>
      </w:r>
      <w:r w:rsidR="005567C5">
        <w:rPr>
          <w:i/>
          <w:lang w:val="en-AU"/>
        </w:rPr>
        <w:t>inshore estuar</w:t>
      </w:r>
      <w:r w:rsidR="003C440C">
        <w:rPr>
          <w:i/>
          <w:lang w:val="en-AU"/>
        </w:rPr>
        <w:t>y</w:t>
      </w:r>
      <w:r w:rsidR="005567C5">
        <w:rPr>
          <w:i/>
          <w:lang w:val="en-AU"/>
        </w:rPr>
        <w:t xml:space="preserve"> habitat (</w:t>
      </w:r>
      <w:r w:rsidR="005567C5" w:rsidRPr="00370E70">
        <w:rPr>
          <w:i/>
          <w:lang w:val="en-AU"/>
        </w:rPr>
        <w:t>Urangan</w:t>
      </w:r>
      <w:r w:rsidR="005567C5">
        <w:rPr>
          <w:i/>
          <w:lang w:val="en-AU"/>
        </w:rPr>
        <w:t>)</w:t>
      </w:r>
      <w:r w:rsidR="005567C5" w:rsidRPr="00370E70">
        <w:rPr>
          <w:i/>
          <w:lang w:val="en-AU"/>
        </w:rPr>
        <w:t xml:space="preserve"> </w:t>
      </w:r>
      <w:r w:rsidR="005567C5">
        <w:rPr>
          <w:i/>
          <w:lang w:val="en-AU"/>
        </w:rPr>
        <w:t>in the southern Burnett Mary region</w:t>
      </w:r>
      <w:r w:rsidRPr="00370E70">
        <w:rPr>
          <w:i/>
          <w:lang w:val="en-AU"/>
        </w:rPr>
        <w:t xml:space="preserve"> at time of year.</w:t>
      </w:r>
      <w:bookmarkEnd w:id="787"/>
      <w:r w:rsidRPr="00370E70">
        <w:rPr>
          <w:i/>
          <w:lang w:val="en-AU"/>
        </w:rPr>
        <w:t xml:space="preserve"> </w:t>
      </w:r>
    </w:p>
    <w:p w:rsidR="0030036D" w:rsidRPr="00370E70" w:rsidRDefault="005132EF" w:rsidP="0030036D">
      <w:pPr>
        <w:pStyle w:val="Caption"/>
        <w:rPr>
          <w:lang w:val="en-AU"/>
        </w:rPr>
      </w:pPr>
      <w:r w:rsidRPr="00370E70">
        <w:rPr>
          <w:i/>
          <w:lang w:val="en-AU"/>
        </w:rPr>
        <w:t>NB: Polynomial trendline for all years pooled.</w:t>
      </w:r>
      <w:r w:rsidR="0030036D" w:rsidRPr="00370E70">
        <w:rPr>
          <w:lang w:val="en-AU"/>
        </w:rPr>
        <w:t xml:space="preserve"> </w:t>
      </w:r>
    </w:p>
    <w:p w:rsidR="005132EF" w:rsidRPr="00370E70" w:rsidRDefault="005132EF" w:rsidP="00034AD4"/>
    <w:p w:rsidR="005132EF" w:rsidRPr="00370E70" w:rsidRDefault="007B15AB" w:rsidP="00034AD4">
      <w:pPr>
        <w:keepNext/>
        <w:spacing w:before="0" w:after="0"/>
        <w:jc w:val="center"/>
        <w:rPr>
          <w:color w:val="000000"/>
        </w:rPr>
      </w:pPr>
      <w:r>
        <w:rPr>
          <w:noProof/>
          <w:lang w:eastAsia="en-AU"/>
        </w:rPr>
        <w:drawing>
          <wp:inline distT="0" distB="0" distL="0" distR="0">
            <wp:extent cx="4314190" cy="1609725"/>
            <wp:effectExtent l="0" t="0" r="0" b="9525"/>
            <wp:docPr id="226" name="Picture 217" descr="Graph showing seasonality of mean percentage seagrass cover (all species pooled)  at Rodds Bay long-term monitoring sites at time of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Graph showing seasonality of mean percentage seagrass cover (all species pooled)  at Rodds Bay long-term monitoring sites at time of year"/>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4314190" cy="1609725"/>
                    </a:xfrm>
                    <a:prstGeom prst="rect">
                      <a:avLst/>
                    </a:prstGeom>
                    <a:noFill/>
                    <a:ln>
                      <a:noFill/>
                    </a:ln>
                  </pic:spPr>
                </pic:pic>
              </a:graphicData>
            </a:graphic>
          </wp:inline>
        </w:drawing>
      </w:r>
    </w:p>
    <w:p w:rsidR="0030036D" w:rsidRPr="00370E70" w:rsidRDefault="005132EF" w:rsidP="0030036D">
      <w:pPr>
        <w:pStyle w:val="Caption"/>
        <w:spacing w:before="0"/>
        <w:ind w:right="233"/>
        <w:rPr>
          <w:i/>
          <w:vanish/>
          <w:color w:val="000000"/>
          <w:szCs w:val="22"/>
          <w:lang w:val="en-AU"/>
          <w:specVanish/>
        </w:rPr>
      </w:pPr>
      <w:bookmarkStart w:id="788" w:name="_Ref179513934"/>
      <w:bookmarkStart w:id="789" w:name="_Toc384196522"/>
      <w:bookmarkStart w:id="790" w:name="_Toc176158929"/>
      <w:bookmarkStart w:id="791" w:name="_Toc232846029"/>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175</w:t>
      </w:r>
      <w:r w:rsidRPr="00370E70">
        <w:rPr>
          <w:lang w:val="en-AU"/>
        </w:rPr>
        <w:fldChar w:fldCharType="end"/>
      </w:r>
      <w:bookmarkEnd w:id="788"/>
      <w:r w:rsidRPr="00370E70">
        <w:rPr>
          <w:rStyle w:val="StyleCaptionCaptionCharCharLatinCalibri11ptBlackChar"/>
          <w:lang w:val="en-AU"/>
        </w:rPr>
        <w:t>.</w:t>
      </w:r>
      <w:r w:rsidRPr="00370E70">
        <w:rPr>
          <w:lang w:val="en-AU"/>
        </w:rPr>
        <w:t xml:space="preserve"> </w:t>
      </w:r>
      <w:r w:rsidRPr="00370E70">
        <w:rPr>
          <w:i/>
          <w:lang w:val="en-AU"/>
        </w:rPr>
        <w:t xml:space="preserve">Mean percentage seagrass cover (all species pooled) (± Standard Error) at </w:t>
      </w:r>
      <w:r w:rsidR="005567C5">
        <w:rPr>
          <w:i/>
          <w:lang w:val="en-AU"/>
        </w:rPr>
        <w:t>inshore estuar</w:t>
      </w:r>
      <w:r w:rsidR="003C440C">
        <w:rPr>
          <w:i/>
          <w:lang w:val="en-AU"/>
        </w:rPr>
        <w:t>y</w:t>
      </w:r>
      <w:r w:rsidR="005567C5">
        <w:rPr>
          <w:i/>
          <w:lang w:val="en-AU"/>
        </w:rPr>
        <w:t xml:space="preserve"> habitat (</w:t>
      </w:r>
      <w:smartTag w:uri="urn:schemas-microsoft-com:office:smarttags" w:element="place">
        <w:smartTag w:uri="urn:schemas-microsoft-com:office:smarttags" w:element="PlaceName">
          <w:r w:rsidR="005567C5" w:rsidRPr="00370E70">
            <w:rPr>
              <w:i/>
              <w:lang w:val="en-AU"/>
            </w:rPr>
            <w:t>Rodds</w:t>
          </w:r>
        </w:smartTag>
        <w:r w:rsidR="005567C5" w:rsidRPr="00370E70">
          <w:rPr>
            <w:i/>
            <w:lang w:val="en-AU"/>
          </w:rPr>
          <w:t xml:space="preserve"> </w:t>
        </w:r>
        <w:smartTag w:uri="urn:schemas-microsoft-com:office:smarttags" w:element="PlaceType">
          <w:r w:rsidR="005567C5" w:rsidRPr="00370E70">
            <w:rPr>
              <w:i/>
              <w:lang w:val="en-AU"/>
            </w:rPr>
            <w:t>Bay</w:t>
          </w:r>
        </w:smartTag>
      </w:smartTag>
      <w:r w:rsidR="005567C5">
        <w:rPr>
          <w:i/>
          <w:lang w:val="en-AU"/>
        </w:rPr>
        <w:t>)</w:t>
      </w:r>
      <w:r w:rsidR="005567C5" w:rsidRPr="00370E70">
        <w:rPr>
          <w:i/>
          <w:lang w:val="en-AU"/>
        </w:rPr>
        <w:t xml:space="preserve"> </w:t>
      </w:r>
      <w:r w:rsidR="005567C5">
        <w:rPr>
          <w:i/>
          <w:lang w:val="en-AU"/>
        </w:rPr>
        <w:t>in the southern Burnett Mary region</w:t>
      </w:r>
      <w:r w:rsidR="005567C5" w:rsidRPr="00370E70">
        <w:rPr>
          <w:i/>
          <w:lang w:val="en-AU"/>
        </w:rPr>
        <w:t xml:space="preserve"> at time of year</w:t>
      </w:r>
      <w:r w:rsidRPr="00370E70">
        <w:rPr>
          <w:i/>
          <w:lang w:val="en-AU"/>
        </w:rPr>
        <w:t>.</w:t>
      </w:r>
      <w:bookmarkEnd w:id="789"/>
      <w:r w:rsidRPr="00370E70">
        <w:rPr>
          <w:i/>
          <w:lang w:val="en-AU"/>
        </w:rPr>
        <w:t xml:space="preserve"> </w:t>
      </w:r>
    </w:p>
    <w:p w:rsidR="0030036D" w:rsidRPr="00370E70" w:rsidRDefault="005132EF" w:rsidP="0030036D">
      <w:pPr>
        <w:pStyle w:val="Caption"/>
        <w:spacing w:before="0"/>
        <w:ind w:right="233"/>
        <w:rPr>
          <w:lang w:val="en-AU"/>
        </w:rPr>
      </w:pPr>
      <w:r w:rsidRPr="00370E70">
        <w:rPr>
          <w:i/>
          <w:lang w:val="en-AU"/>
        </w:rPr>
        <w:t>NB: Polynomial trendline for all years pooled.</w:t>
      </w:r>
      <w:bookmarkEnd w:id="790"/>
      <w:bookmarkEnd w:id="791"/>
      <w:r w:rsidR="0030036D" w:rsidRPr="00370E70">
        <w:rPr>
          <w:lang w:val="en-AU"/>
        </w:rPr>
        <w:t xml:space="preserve"> </w:t>
      </w:r>
    </w:p>
    <w:p w:rsidR="005132EF" w:rsidRPr="00370E70" w:rsidRDefault="005132EF" w:rsidP="00034AD4">
      <w:pPr>
        <w:rPr>
          <w:color w:val="000000"/>
          <w:szCs w:val="22"/>
        </w:rPr>
      </w:pPr>
      <w:r w:rsidRPr="00370E70">
        <w:rPr>
          <w:color w:val="000000"/>
          <w:szCs w:val="22"/>
        </w:rPr>
        <w:t>Seagrass meadow edge mapping was conducted within a 100m radius of all monitoring sites in September/October and March/April of each year (</w:t>
      </w:r>
      <w:r w:rsidRPr="00370E70">
        <w:fldChar w:fldCharType="begin"/>
      </w:r>
      <w:r w:rsidRPr="00370E70">
        <w:instrText xml:space="preserve"> REF _Ref211937423 \h  \* MERGEFORMAT </w:instrText>
      </w:r>
      <w:r w:rsidRPr="00370E70">
        <w:fldChar w:fldCharType="separate"/>
      </w:r>
      <w:r w:rsidR="005B5FD6" w:rsidRPr="005B5FD6">
        <w:rPr>
          <w:szCs w:val="22"/>
        </w:rPr>
        <w:t xml:space="preserve">Table </w:t>
      </w:r>
      <w:r w:rsidR="005B5FD6" w:rsidRPr="005B5FD6">
        <w:rPr>
          <w:noProof/>
          <w:color w:val="000000"/>
          <w:szCs w:val="22"/>
        </w:rPr>
        <w:t>34</w:t>
      </w:r>
      <w:r w:rsidRPr="00370E70">
        <w:fldChar w:fldCharType="end"/>
      </w:r>
      <w:r w:rsidRPr="00370E70">
        <w:rPr>
          <w:color w:val="000000"/>
          <w:szCs w:val="22"/>
        </w:rPr>
        <w:t xml:space="preserve">) to determine if changes in abundance were a consequence of the meadow edges changing. Over the last 12 months the seagrass meadows at Urangan increased after </w:t>
      </w:r>
      <w:r w:rsidR="002C6536" w:rsidRPr="00370E70">
        <w:rPr>
          <w:color w:val="000000"/>
          <w:szCs w:val="22"/>
        </w:rPr>
        <w:t>significantly</w:t>
      </w:r>
      <w:r w:rsidRPr="00370E70">
        <w:rPr>
          <w:color w:val="000000"/>
          <w:szCs w:val="22"/>
        </w:rPr>
        <w:t xml:space="preserve"> losses occurred in early 2011 (</w:t>
      </w:r>
      <w:r w:rsidRPr="00370E70">
        <w:fldChar w:fldCharType="begin"/>
      </w:r>
      <w:r w:rsidRPr="00370E70">
        <w:instrText xml:space="preserve"> REF _Ref233166043 \h  \* MERGEFORMAT </w:instrText>
      </w:r>
      <w:r w:rsidRPr="00370E70">
        <w:fldChar w:fldCharType="separate"/>
      </w:r>
      <w:r w:rsidR="005B5FD6" w:rsidRPr="005B5FD6">
        <w:rPr>
          <w:szCs w:val="22"/>
        </w:rPr>
        <w:t xml:space="preserve">Figure </w:t>
      </w:r>
      <w:r w:rsidR="005B5FD6">
        <w:rPr>
          <w:noProof/>
          <w:color w:val="000000"/>
          <w:szCs w:val="22"/>
        </w:rPr>
        <w:t>176</w:t>
      </w:r>
      <w:r w:rsidRPr="00370E70">
        <w:fldChar w:fldCharType="end"/>
      </w:r>
      <w:r w:rsidRPr="00370E70">
        <w:rPr>
          <w:color w:val="000000"/>
          <w:szCs w:val="22"/>
        </w:rPr>
        <w:t xml:space="preserve">, </w:t>
      </w:r>
      <w:r w:rsidRPr="00370E70">
        <w:fldChar w:fldCharType="begin"/>
      </w:r>
      <w:r w:rsidRPr="00370E70">
        <w:instrText xml:space="preserve"> REF _Ref211937423 \h  \* MERGEFORMAT </w:instrText>
      </w:r>
      <w:r w:rsidRPr="00370E70">
        <w:fldChar w:fldCharType="separate"/>
      </w:r>
      <w:r w:rsidR="005B5FD6" w:rsidRPr="005B5FD6">
        <w:rPr>
          <w:szCs w:val="22"/>
        </w:rPr>
        <w:t xml:space="preserve">Table </w:t>
      </w:r>
      <w:r w:rsidR="005B5FD6" w:rsidRPr="005B5FD6">
        <w:rPr>
          <w:noProof/>
          <w:color w:val="000000"/>
          <w:szCs w:val="22"/>
        </w:rPr>
        <w:t>34</w:t>
      </w:r>
      <w:r w:rsidRPr="00370E70">
        <w:fldChar w:fldCharType="end"/>
      </w:r>
      <w:r w:rsidRPr="00370E70">
        <w:rPr>
          <w:color w:val="000000"/>
          <w:szCs w:val="22"/>
        </w:rPr>
        <w:t xml:space="preserve">). In late 2011, the isolated patches of seagrass that had appeared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sites the previous year, continued to expand. However seagrass was lost from one of the Rodds Bay monitoring sites and reduced to isolated shoots at the other by late monsoon 2012 (</w:t>
      </w:r>
      <w:r w:rsidRPr="00370E70">
        <w:fldChar w:fldCharType="begin"/>
      </w:r>
      <w:r w:rsidRPr="00370E70">
        <w:instrText xml:space="preserve"> REF _Ref233166043 \h  \* MERGEFORMAT </w:instrText>
      </w:r>
      <w:r w:rsidRPr="00370E70">
        <w:fldChar w:fldCharType="separate"/>
      </w:r>
      <w:r w:rsidR="005B5FD6" w:rsidRPr="005B5FD6">
        <w:rPr>
          <w:szCs w:val="22"/>
        </w:rPr>
        <w:t xml:space="preserve">Figure </w:t>
      </w:r>
      <w:r w:rsidR="005B5FD6">
        <w:rPr>
          <w:noProof/>
          <w:color w:val="000000"/>
          <w:szCs w:val="22"/>
        </w:rPr>
        <w:t>176</w:t>
      </w:r>
      <w:r w:rsidRPr="00370E70">
        <w:fldChar w:fldCharType="end"/>
      </w:r>
      <w:r w:rsidRPr="00370E70">
        <w:rPr>
          <w:color w:val="000000"/>
          <w:szCs w:val="22"/>
        </w:rPr>
        <w:t xml:space="preserve">, </w:t>
      </w:r>
      <w:r w:rsidRPr="00370E70">
        <w:fldChar w:fldCharType="begin"/>
      </w:r>
      <w:r w:rsidRPr="00370E70">
        <w:instrText xml:space="preserve"> REF _Ref211937423 \h  \* MERGEFORMAT </w:instrText>
      </w:r>
      <w:r w:rsidRPr="00370E70">
        <w:fldChar w:fldCharType="separate"/>
      </w:r>
      <w:r w:rsidR="005B5FD6" w:rsidRPr="005B5FD6">
        <w:rPr>
          <w:szCs w:val="22"/>
        </w:rPr>
        <w:t xml:space="preserve">Table </w:t>
      </w:r>
      <w:r w:rsidR="005B5FD6" w:rsidRPr="005B5FD6">
        <w:rPr>
          <w:noProof/>
          <w:color w:val="000000"/>
          <w:szCs w:val="22"/>
        </w:rPr>
        <w:t>34</w:t>
      </w:r>
      <w:r w:rsidRPr="00370E70">
        <w:fldChar w:fldCharType="end"/>
      </w:r>
      <w:r w:rsidRPr="00370E70">
        <w:rPr>
          <w:color w:val="000000"/>
          <w:szCs w:val="22"/>
        </w:rPr>
        <w:t>).</w:t>
      </w:r>
    </w:p>
    <w:p w:rsidR="00BB0803" w:rsidRPr="00370E70" w:rsidRDefault="005132EF" w:rsidP="00BB0803">
      <w:pPr>
        <w:pStyle w:val="Caption"/>
        <w:keepNext/>
        <w:jc w:val="center"/>
        <w:rPr>
          <w:i/>
          <w:vanish/>
          <w:lang w:val="en-AU"/>
          <w:specVanish/>
        </w:rPr>
      </w:pPr>
      <w:bookmarkStart w:id="792" w:name="_Ref211937423"/>
      <w:bookmarkStart w:id="793" w:name="_Toc176158947"/>
      <w:bookmarkStart w:id="794" w:name="_Toc384196570"/>
      <w:r w:rsidRPr="00370E70">
        <w:rPr>
          <w:rStyle w:val="StyleCaptionCaptionCharCharLatinCalibri11ptBlackChar"/>
          <w:lang w:val="en-AU"/>
        </w:rPr>
        <w:lastRenderedPageBreak/>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34</w:t>
      </w:r>
      <w:r w:rsidRPr="00370E70">
        <w:rPr>
          <w:lang w:val="en-AU"/>
        </w:rPr>
        <w:fldChar w:fldCharType="end"/>
      </w:r>
      <w:bookmarkEnd w:id="792"/>
      <w:r w:rsidRPr="00370E70">
        <w:rPr>
          <w:rStyle w:val="StyleCaptionCaptionCharCharLatinCalibri11ptBlackChar"/>
          <w:lang w:val="en-AU"/>
        </w:rPr>
        <w:t xml:space="preserve">. </w:t>
      </w:r>
      <w:bookmarkEnd w:id="793"/>
      <w:r w:rsidRPr="00370E70">
        <w:rPr>
          <w:rStyle w:val="StyleCaptionCaptionCharCharLatinCalibri11ptBlackChar"/>
          <w:lang w:val="en-AU"/>
        </w:rPr>
        <w:t xml:space="preserve"> </w:t>
      </w:r>
      <w:r w:rsidRPr="00370E70">
        <w:rPr>
          <w:i/>
          <w:lang w:val="en-AU"/>
        </w:rPr>
        <w:t>Area (ha) of seagrass meadow within 100m radius of each monitoring site.</w:t>
      </w:r>
      <w:bookmarkEnd w:id="794"/>
      <w:r w:rsidR="00DA7131" w:rsidRPr="00370E70">
        <w:rPr>
          <w:i/>
          <w:vanish/>
          <w:color w:val="000000"/>
          <w:szCs w:val="22"/>
          <w:lang w:val="en-AU"/>
          <w:specVanish/>
        </w:rPr>
        <w:t xml:space="preserve"> </w:t>
      </w:r>
      <w:r w:rsidRPr="00370E70">
        <w:rPr>
          <w:i/>
          <w:lang w:val="en-AU"/>
        </w:rPr>
        <w:t xml:space="preserve"> </w:t>
      </w:r>
    </w:p>
    <w:p w:rsidR="00BB0803" w:rsidRPr="00370E70" w:rsidRDefault="005132EF" w:rsidP="00BB0803">
      <w:pPr>
        <w:pStyle w:val="Caption"/>
        <w:keepNext/>
        <w:jc w:val="center"/>
        <w:rPr>
          <w:lang w:val="en-AU"/>
        </w:rPr>
      </w:pPr>
      <w:r w:rsidRPr="00370E70">
        <w:rPr>
          <w:i/>
          <w:lang w:val="en-AU"/>
        </w:rPr>
        <w:t>Value in parenthesis is % change from baseline and direction of change from previous mapping. Shading indicates decrease in meadow area since baseline. NA=no data available as site not established.</w:t>
      </w:r>
      <w:r w:rsidR="0030036D" w:rsidRPr="00370E70">
        <w:rPr>
          <w:lang w:val="en-AU"/>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926"/>
        <w:gridCol w:w="1970"/>
        <w:gridCol w:w="2173"/>
        <w:gridCol w:w="2116"/>
      </w:tblGrid>
      <w:tr w:rsidR="005132EF" w:rsidRPr="00370E70" w:rsidTr="002C0BC5">
        <w:trPr>
          <w:jc w:val="center"/>
        </w:trPr>
        <w:tc>
          <w:tcPr>
            <w:tcW w:w="1101" w:type="dxa"/>
            <w:tcBorders>
              <w:top w:val="nil"/>
              <w:left w:val="nil"/>
            </w:tcBorders>
            <w:vAlign w:val="center"/>
          </w:tcPr>
          <w:p w:rsidR="005132EF" w:rsidRPr="00370E70" w:rsidRDefault="005132EF" w:rsidP="00034AD4">
            <w:pPr>
              <w:keepNext/>
              <w:rPr>
                <w:b/>
                <w:color w:val="000000"/>
              </w:rPr>
            </w:pPr>
          </w:p>
        </w:tc>
        <w:tc>
          <w:tcPr>
            <w:tcW w:w="3896" w:type="dxa"/>
            <w:gridSpan w:val="2"/>
            <w:vAlign w:val="center"/>
          </w:tcPr>
          <w:p w:rsidR="005132EF" w:rsidRPr="00370E70" w:rsidRDefault="005132EF" w:rsidP="00034AD4">
            <w:pPr>
              <w:keepNext/>
              <w:jc w:val="center"/>
              <w:rPr>
                <w:b/>
                <w:color w:val="000000"/>
              </w:rPr>
            </w:pPr>
            <w:r w:rsidRPr="00370E70">
              <w:rPr>
                <w:b/>
                <w:color w:val="000000"/>
              </w:rPr>
              <w:t>Urangan (</w:t>
            </w:r>
            <w:smartTag w:uri="urn:schemas-microsoft-com:office:smarttags" w:element="place">
              <w:smartTag w:uri="urn:schemas-microsoft-com:office:smarttags" w:element="PlaceName">
                <w:r w:rsidRPr="00370E70">
                  <w:rPr>
                    <w:b/>
                    <w:color w:val="000000"/>
                  </w:rPr>
                  <w:t>Hervey</w:t>
                </w:r>
              </w:smartTag>
              <w:r w:rsidRPr="00370E70">
                <w:rPr>
                  <w:b/>
                  <w:color w:val="000000"/>
                </w:rPr>
                <w:t xml:space="preserve"> </w:t>
              </w:r>
              <w:smartTag w:uri="urn:schemas-microsoft-com:office:smarttags" w:element="PlaceType">
                <w:r w:rsidRPr="00370E70">
                  <w:rPr>
                    <w:b/>
                    <w:color w:val="000000"/>
                  </w:rPr>
                  <w:t>Bay</w:t>
                </w:r>
              </w:smartTag>
            </w:smartTag>
            <w:r w:rsidRPr="00370E70">
              <w:rPr>
                <w:b/>
                <w:color w:val="000000"/>
              </w:rPr>
              <w:t>)</w:t>
            </w:r>
          </w:p>
        </w:tc>
        <w:tc>
          <w:tcPr>
            <w:tcW w:w="4289" w:type="dxa"/>
            <w:gridSpan w:val="2"/>
            <w:vAlign w:val="center"/>
          </w:tcPr>
          <w:p w:rsidR="005132EF" w:rsidRPr="00370E70" w:rsidRDefault="005132EF" w:rsidP="00034AD4">
            <w:pPr>
              <w:keepNext/>
              <w:jc w:val="center"/>
              <w:rPr>
                <w:b/>
                <w:color w:val="000000"/>
              </w:rPr>
            </w:pPr>
            <w:smartTag w:uri="urn:schemas-microsoft-com:office:smarttags" w:element="place">
              <w:smartTag w:uri="urn:schemas-microsoft-com:office:smarttags" w:element="PlaceName">
                <w:r w:rsidRPr="00370E70">
                  <w:rPr>
                    <w:b/>
                    <w:color w:val="000000"/>
                  </w:rPr>
                  <w:t>Rodds</w:t>
                </w:r>
              </w:smartTag>
              <w:r w:rsidRPr="00370E70">
                <w:rPr>
                  <w:b/>
                  <w:color w:val="000000"/>
                </w:rPr>
                <w:t xml:space="preserve"> </w:t>
              </w:r>
              <w:smartTag w:uri="urn:schemas-microsoft-com:office:smarttags" w:element="PlaceType">
                <w:r w:rsidRPr="00370E70">
                  <w:rPr>
                    <w:b/>
                    <w:color w:val="000000"/>
                  </w:rPr>
                  <w:t>Bay</w:t>
                </w:r>
              </w:smartTag>
            </w:smartTag>
          </w:p>
        </w:tc>
      </w:tr>
      <w:tr w:rsidR="005132EF" w:rsidRPr="00370E70" w:rsidTr="002C0BC5">
        <w:trPr>
          <w:jc w:val="center"/>
        </w:trPr>
        <w:tc>
          <w:tcPr>
            <w:tcW w:w="1101" w:type="dxa"/>
            <w:vAlign w:val="center"/>
          </w:tcPr>
          <w:p w:rsidR="005132EF" w:rsidRPr="00370E70" w:rsidRDefault="005132EF" w:rsidP="00034AD4">
            <w:pPr>
              <w:keepNext/>
              <w:rPr>
                <w:b/>
                <w:color w:val="000000"/>
              </w:rPr>
            </w:pPr>
          </w:p>
        </w:tc>
        <w:tc>
          <w:tcPr>
            <w:tcW w:w="1926" w:type="dxa"/>
            <w:vAlign w:val="center"/>
          </w:tcPr>
          <w:p w:rsidR="005132EF" w:rsidRPr="00370E70" w:rsidRDefault="005132EF" w:rsidP="00034AD4">
            <w:pPr>
              <w:keepNext/>
              <w:jc w:val="center"/>
              <w:rPr>
                <w:b/>
                <w:color w:val="000000"/>
              </w:rPr>
            </w:pPr>
            <w:r w:rsidRPr="00370E70">
              <w:rPr>
                <w:b/>
                <w:color w:val="000000"/>
              </w:rPr>
              <w:t>UG1</w:t>
            </w:r>
          </w:p>
        </w:tc>
        <w:tc>
          <w:tcPr>
            <w:tcW w:w="1970" w:type="dxa"/>
            <w:vAlign w:val="center"/>
          </w:tcPr>
          <w:p w:rsidR="005132EF" w:rsidRPr="00370E70" w:rsidRDefault="005132EF" w:rsidP="00034AD4">
            <w:pPr>
              <w:keepNext/>
              <w:jc w:val="center"/>
              <w:rPr>
                <w:b/>
                <w:color w:val="000000"/>
              </w:rPr>
            </w:pPr>
            <w:r w:rsidRPr="00370E70">
              <w:rPr>
                <w:b/>
                <w:color w:val="000000"/>
              </w:rPr>
              <w:t>UG2</w:t>
            </w:r>
          </w:p>
        </w:tc>
        <w:tc>
          <w:tcPr>
            <w:tcW w:w="2173" w:type="dxa"/>
            <w:vAlign w:val="center"/>
          </w:tcPr>
          <w:p w:rsidR="005132EF" w:rsidRPr="00370E70" w:rsidRDefault="005132EF" w:rsidP="00034AD4">
            <w:pPr>
              <w:keepNext/>
              <w:jc w:val="center"/>
              <w:rPr>
                <w:b/>
                <w:color w:val="000000"/>
              </w:rPr>
            </w:pPr>
            <w:r w:rsidRPr="00370E70">
              <w:rPr>
                <w:b/>
                <w:color w:val="000000"/>
              </w:rPr>
              <w:t>RD1</w:t>
            </w:r>
          </w:p>
        </w:tc>
        <w:tc>
          <w:tcPr>
            <w:tcW w:w="2116" w:type="dxa"/>
            <w:vAlign w:val="center"/>
          </w:tcPr>
          <w:p w:rsidR="005132EF" w:rsidRPr="00370E70" w:rsidRDefault="005132EF" w:rsidP="00034AD4">
            <w:pPr>
              <w:keepNext/>
              <w:jc w:val="center"/>
              <w:rPr>
                <w:b/>
                <w:color w:val="000000"/>
              </w:rPr>
            </w:pPr>
            <w:r w:rsidRPr="00370E70">
              <w:rPr>
                <w:b/>
                <w:color w:val="000000"/>
              </w:rPr>
              <w:t>RD2</w:t>
            </w:r>
          </w:p>
        </w:tc>
      </w:tr>
      <w:tr w:rsidR="005132EF" w:rsidRPr="00370E70" w:rsidTr="002C0BC5">
        <w:trPr>
          <w:trHeight w:val="641"/>
          <w:jc w:val="center"/>
        </w:trPr>
        <w:tc>
          <w:tcPr>
            <w:tcW w:w="1101" w:type="dxa"/>
            <w:vAlign w:val="center"/>
          </w:tcPr>
          <w:p w:rsidR="005132EF" w:rsidRPr="00370E70" w:rsidRDefault="005132EF" w:rsidP="00034AD4">
            <w:pPr>
              <w:keepNext/>
              <w:spacing w:before="0" w:after="0"/>
              <w:jc w:val="center"/>
              <w:rPr>
                <w:b/>
                <w:color w:val="000000"/>
              </w:rPr>
            </w:pPr>
            <w:r w:rsidRPr="00370E70">
              <w:rPr>
                <w:b/>
                <w:color w:val="000000"/>
                <w:szCs w:val="22"/>
              </w:rPr>
              <w:t>October 2005</w:t>
            </w:r>
          </w:p>
          <w:p w:rsidR="005132EF" w:rsidRPr="00370E70" w:rsidRDefault="005132EF" w:rsidP="00034AD4">
            <w:pPr>
              <w:keepNext/>
              <w:spacing w:before="0" w:after="0"/>
              <w:jc w:val="center"/>
              <w:rPr>
                <w:color w:val="000000"/>
              </w:rPr>
            </w:pPr>
            <w:r w:rsidRPr="00370E70">
              <w:rPr>
                <w:color w:val="000000"/>
                <w:szCs w:val="22"/>
              </w:rPr>
              <w:t>(baseline)</w:t>
            </w:r>
          </w:p>
        </w:tc>
        <w:tc>
          <w:tcPr>
            <w:tcW w:w="1926" w:type="dxa"/>
            <w:vAlign w:val="center"/>
          </w:tcPr>
          <w:p w:rsidR="005132EF" w:rsidRPr="00370E70" w:rsidRDefault="005132EF" w:rsidP="00034AD4">
            <w:pPr>
              <w:spacing w:before="0" w:after="0"/>
              <w:ind w:left="-692" w:firstLine="692"/>
              <w:jc w:val="center"/>
              <w:rPr>
                <w:rFonts w:cs="Arial"/>
                <w:b/>
                <w:color w:val="000000"/>
              </w:rPr>
            </w:pPr>
            <w:r w:rsidRPr="00370E70">
              <w:rPr>
                <w:b/>
                <w:color w:val="000000"/>
                <w:szCs w:val="22"/>
              </w:rPr>
              <w:t>5.266</w:t>
            </w:r>
          </w:p>
        </w:tc>
        <w:tc>
          <w:tcPr>
            <w:tcW w:w="1970" w:type="dxa"/>
            <w:vAlign w:val="center"/>
          </w:tcPr>
          <w:p w:rsidR="005132EF" w:rsidRPr="00370E70" w:rsidRDefault="005132EF" w:rsidP="00034AD4">
            <w:pPr>
              <w:spacing w:before="0" w:after="0"/>
              <w:ind w:left="-692" w:firstLine="692"/>
              <w:jc w:val="center"/>
              <w:rPr>
                <w:rFonts w:cs="Arial"/>
                <w:b/>
                <w:color w:val="000000"/>
              </w:rPr>
            </w:pPr>
            <w:r w:rsidRPr="00370E70">
              <w:rPr>
                <w:b/>
                <w:color w:val="000000"/>
                <w:szCs w:val="22"/>
              </w:rPr>
              <w:t>5.326</w:t>
            </w:r>
          </w:p>
        </w:tc>
        <w:tc>
          <w:tcPr>
            <w:tcW w:w="2173" w:type="dxa"/>
            <w:vAlign w:val="center"/>
          </w:tcPr>
          <w:p w:rsidR="005132EF" w:rsidRPr="00370E70" w:rsidRDefault="005132EF" w:rsidP="00034AD4">
            <w:pPr>
              <w:keepNext/>
              <w:spacing w:before="0" w:after="0"/>
              <w:ind w:left="-692" w:firstLine="692"/>
              <w:jc w:val="center"/>
              <w:rPr>
                <w:rFonts w:cs="Arial"/>
                <w:b/>
                <w:color w:val="000000"/>
              </w:rPr>
            </w:pPr>
            <w:r w:rsidRPr="00370E70">
              <w:rPr>
                <w:rFonts w:cs="Arial"/>
                <w:i/>
                <w:color w:val="000000"/>
                <w:szCs w:val="22"/>
              </w:rPr>
              <w:t>NA</w:t>
            </w:r>
          </w:p>
        </w:tc>
        <w:tc>
          <w:tcPr>
            <w:tcW w:w="2116" w:type="dxa"/>
            <w:vAlign w:val="center"/>
          </w:tcPr>
          <w:p w:rsidR="005132EF" w:rsidRPr="00370E70" w:rsidRDefault="005132EF" w:rsidP="00034AD4">
            <w:pPr>
              <w:keepNext/>
              <w:spacing w:before="0" w:after="0"/>
              <w:ind w:left="-692" w:firstLine="692"/>
              <w:jc w:val="center"/>
              <w:rPr>
                <w:rFonts w:cs="Arial"/>
                <w:b/>
                <w:color w:val="000000"/>
              </w:rPr>
            </w:pPr>
            <w:r w:rsidRPr="00370E70">
              <w:rPr>
                <w:rFonts w:cs="Arial"/>
                <w:i/>
                <w:color w:val="000000"/>
                <w:szCs w:val="22"/>
              </w:rPr>
              <w:t>NA</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color w:val="000000"/>
              </w:rPr>
            </w:pPr>
            <w:r w:rsidRPr="00370E70">
              <w:rPr>
                <w:b/>
                <w:color w:val="000000"/>
                <w:szCs w:val="22"/>
              </w:rPr>
              <w:t>2006</w:t>
            </w:r>
          </w:p>
        </w:tc>
        <w:tc>
          <w:tcPr>
            <w:tcW w:w="1926"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ind w:left="-14" w:firstLine="14"/>
              <w:jc w:val="center"/>
              <w:rPr>
                <w:rFonts w:cs="Arial"/>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1970"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ind w:left="-14" w:firstLine="14"/>
              <w:jc w:val="center"/>
              <w:rPr>
                <w:rFonts w:cs="Arial"/>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73" w:type="dxa"/>
            <w:vAlign w:val="center"/>
          </w:tcPr>
          <w:p w:rsidR="005132EF" w:rsidRPr="00370E70" w:rsidRDefault="005132EF" w:rsidP="00034AD4">
            <w:pPr>
              <w:keepNext/>
              <w:spacing w:before="0" w:after="0"/>
              <w:ind w:left="-14" w:firstLine="14"/>
              <w:jc w:val="center"/>
              <w:rPr>
                <w:rFonts w:cs="Arial"/>
                <w:color w:val="000000"/>
              </w:rPr>
            </w:pPr>
            <w:r w:rsidRPr="00370E70">
              <w:rPr>
                <w:rFonts w:cs="Arial"/>
                <w:i/>
                <w:color w:val="000000"/>
                <w:szCs w:val="22"/>
              </w:rPr>
              <w:t>NA</w:t>
            </w:r>
          </w:p>
        </w:tc>
        <w:tc>
          <w:tcPr>
            <w:tcW w:w="2116" w:type="dxa"/>
            <w:vAlign w:val="center"/>
          </w:tcPr>
          <w:p w:rsidR="005132EF" w:rsidRPr="00370E70" w:rsidRDefault="005132EF" w:rsidP="00034AD4">
            <w:pPr>
              <w:keepNext/>
              <w:spacing w:before="0" w:after="0"/>
              <w:ind w:left="-14" w:firstLine="14"/>
              <w:jc w:val="center"/>
              <w:rPr>
                <w:rFonts w:cs="Arial"/>
                <w:color w:val="000000"/>
              </w:rPr>
            </w:pPr>
            <w:r w:rsidRPr="00370E70">
              <w:rPr>
                <w:rFonts w:cs="Arial"/>
                <w:i/>
                <w:color w:val="000000"/>
                <w:szCs w:val="22"/>
              </w:rPr>
              <w:t>NA</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October</w:t>
            </w:r>
          </w:p>
          <w:p w:rsidR="005132EF" w:rsidRPr="00370E70" w:rsidRDefault="005132EF" w:rsidP="00034AD4">
            <w:pPr>
              <w:keepNext/>
              <w:spacing w:before="0" w:after="0"/>
              <w:jc w:val="center"/>
              <w:rPr>
                <w:color w:val="000000"/>
              </w:rPr>
            </w:pPr>
            <w:r w:rsidRPr="00370E70">
              <w:rPr>
                <w:b/>
                <w:color w:val="000000"/>
                <w:szCs w:val="22"/>
              </w:rPr>
              <w:t>2006</w:t>
            </w:r>
          </w:p>
        </w:tc>
        <w:tc>
          <w:tcPr>
            <w:tcW w:w="1926"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jc w:val="center"/>
              <w:rPr>
                <w:rFonts w:cs="Arial"/>
                <w:b/>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1970"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jc w:val="center"/>
              <w:rPr>
                <w:rFonts w:cs="Arial"/>
                <w:b/>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73" w:type="dxa"/>
          </w:tcPr>
          <w:p w:rsidR="005132EF" w:rsidRPr="00370E70" w:rsidRDefault="005132EF" w:rsidP="00034AD4">
            <w:pPr>
              <w:keepNext/>
              <w:spacing w:before="0" w:after="0"/>
              <w:jc w:val="center"/>
              <w:rPr>
                <w:rFonts w:cs="Arial"/>
                <w:color w:val="000000"/>
              </w:rPr>
            </w:pPr>
            <w:r w:rsidRPr="00370E70">
              <w:rPr>
                <w:rFonts w:cs="Arial"/>
                <w:i/>
                <w:color w:val="000000"/>
                <w:szCs w:val="22"/>
              </w:rPr>
              <w:t>NA</w:t>
            </w:r>
          </w:p>
        </w:tc>
        <w:tc>
          <w:tcPr>
            <w:tcW w:w="2116" w:type="dxa"/>
          </w:tcPr>
          <w:p w:rsidR="005132EF" w:rsidRPr="00370E70" w:rsidRDefault="005132EF" w:rsidP="00034AD4">
            <w:pPr>
              <w:keepNext/>
              <w:spacing w:before="0" w:after="0"/>
              <w:jc w:val="center"/>
              <w:rPr>
                <w:rFonts w:cs="Arial"/>
                <w:color w:val="000000"/>
              </w:rPr>
            </w:pPr>
            <w:r w:rsidRPr="00370E70">
              <w:rPr>
                <w:rFonts w:cs="Arial"/>
                <w:i/>
                <w:color w:val="000000"/>
                <w:szCs w:val="22"/>
              </w:rPr>
              <w:t>NA</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color w:val="000000"/>
              </w:rPr>
            </w:pPr>
            <w:r w:rsidRPr="00370E70">
              <w:rPr>
                <w:b/>
                <w:color w:val="000000"/>
                <w:szCs w:val="22"/>
              </w:rPr>
              <w:t>2007</w:t>
            </w:r>
          </w:p>
        </w:tc>
        <w:tc>
          <w:tcPr>
            <w:tcW w:w="1926"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jc w:val="center"/>
              <w:rPr>
                <w:rFonts w:cs="Arial"/>
                <w:b/>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1970"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jc w:val="center"/>
              <w:rPr>
                <w:rFonts w:cs="Arial"/>
                <w:b/>
                <w:i/>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73" w:type="dxa"/>
          </w:tcPr>
          <w:p w:rsidR="005132EF" w:rsidRPr="00370E70" w:rsidRDefault="005132EF" w:rsidP="00034AD4">
            <w:pPr>
              <w:keepNext/>
              <w:spacing w:before="0" w:after="0"/>
              <w:jc w:val="center"/>
              <w:rPr>
                <w:rFonts w:cs="Arial"/>
                <w:color w:val="000000"/>
              </w:rPr>
            </w:pPr>
            <w:r w:rsidRPr="00370E70">
              <w:rPr>
                <w:rFonts w:cs="Arial"/>
                <w:i/>
                <w:color w:val="000000"/>
                <w:szCs w:val="22"/>
              </w:rPr>
              <w:t>NA</w:t>
            </w:r>
          </w:p>
        </w:tc>
        <w:tc>
          <w:tcPr>
            <w:tcW w:w="2116" w:type="dxa"/>
          </w:tcPr>
          <w:p w:rsidR="005132EF" w:rsidRPr="00370E70" w:rsidRDefault="005132EF" w:rsidP="00034AD4">
            <w:pPr>
              <w:keepNext/>
              <w:spacing w:before="0" w:after="0"/>
              <w:jc w:val="center"/>
              <w:rPr>
                <w:rFonts w:cs="Arial"/>
                <w:color w:val="000000"/>
              </w:rPr>
            </w:pPr>
            <w:r w:rsidRPr="00370E70">
              <w:rPr>
                <w:rFonts w:cs="Arial"/>
                <w:i/>
                <w:color w:val="000000"/>
                <w:szCs w:val="22"/>
              </w:rPr>
              <w:t>NA</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October</w:t>
            </w:r>
          </w:p>
          <w:p w:rsidR="005132EF" w:rsidRPr="00370E70" w:rsidRDefault="005132EF" w:rsidP="00034AD4">
            <w:pPr>
              <w:keepNext/>
              <w:spacing w:before="0" w:after="0"/>
              <w:jc w:val="center"/>
              <w:rPr>
                <w:color w:val="000000"/>
              </w:rPr>
            </w:pPr>
            <w:r w:rsidRPr="00370E70">
              <w:rPr>
                <w:b/>
                <w:color w:val="000000"/>
                <w:szCs w:val="22"/>
              </w:rPr>
              <w:t>2007</w:t>
            </w:r>
          </w:p>
        </w:tc>
        <w:tc>
          <w:tcPr>
            <w:tcW w:w="192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0.003</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(-99.9%, increase overall)</w:t>
            </w:r>
          </w:p>
        </w:tc>
        <w:tc>
          <w:tcPr>
            <w:tcW w:w="1970" w:type="dxa"/>
            <w:shd w:val="clear" w:color="auto" w:fill="E6E6E6"/>
          </w:tcPr>
          <w:p w:rsidR="005132EF" w:rsidRPr="00370E70" w:rsidRDefault="005132EF" w:rsidP="00034AD4">
            <w:pPr>
              <w:spacing w:before="0" w:after="0"/>
              <w:ind w:left="-692" w:firstLine="692"/>
              <w:jc w:val="center"/>
              <w:rPr>
                <w:rFonts w:cs="Arial"/>
                <w:color w:val="000000"/>
              </w:rPr>
            </w:pPr>
            <w:r w:rsidRPr="00370E70">
              <w:rPr>
                <w:rFonts w:cs="Arial"/>
                <w:color w:val="000000"/>
                <w:szCs w:val="22"/>
              </w:rPr>
              <w:t>0</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73" w:type="dxa"/>
          </w:tcPr>
          <w:p w:rsidR="005132EF" w:rsidRPr="00370E70" w:rsidRDefault="005132EF" w:rsidP="00034AD4">
            <w:pPr>
              <w:spacing w:before="0" w:after="0"/>
              <w:jc w:val="center"/>
              <w:rPr>
                <w:rFonts w:cs="Arial"/>
                <w:b/>
                <w:color w:val="000000"/>
              </w:rPr>
            </w:pPr>
            <w:r w:rsidRPr="00370E70">
              <w:rPr>
                <w:rFonts w:cs="Arial"/>
                <w:b/>
                <w:color w:val="000000"/>
                <w:szCs w:val="22"/>
              </w:rPr>
              <w:t>0.96</w:t>
            </w:r>
          </w:p>
          <w:p w:rsidR="005132EF" w:rsidRPr="00370E70" w:rsidRDefault="005132EF" w:rsidP="00034AD4">
            <w:pPr>
              <w:spacing w:before="0" w:after="0"/>
              <w:jc w:val="center"/>
              <w:rPr>
                <w:rFonts w:cs="Arial"/>
                <w:b/>
                <w:color w:val="000000"/>
              </w:rPr>
            </w:pPr>
          </w:p>
        </w:tc>
        <w:tc>
          <w:tcPr>
            <w:tcW w:w="2116" w:type="dxa"/>
          </w:tcPr>
          <w:p w:rsidR="005132EF" w:rsidRPr="00370E70" w:rsidRDefault="005132EF" w:rsidP="00034AD4">
            <w:pPr>
              <w:spacing w:before="0" w:after="0"/>
              <w:jc w:val="center"/>
              <w:rPr>
                <w:rFonts w:cs="Arial"/>
                <w:b/>
                <w:color w:val="000000"/>
              </w:rPr>
            </w:pPr>
            <w:r w:rsidRPr="00370E70">
              <w:rPr>
                <w:rFonts w:cs="Arial"/>
                <w:b/>
                <w:color w:val="000000"/>
                <w:szCs w:val="22"/>
              </w:rPr>
              <w:t>3.573</w:t>
            </w:r>
          </w:p>
          <w:p w:rsidR="005132EF" w:rsidRPr="00370E70" w:rsidRDefault="005132EF" w:rsidP="00034AD4">
            <w:pPr>
              <w:spacing w:before="0" w:after="0"/>
              <w:jc w:val="center"/>
              <w:rPr>
                <w:rFonts w:cs="Arial"/>
                <w:b/>
                <w:color w:val="000000"/>
                <w:sz w:val="20"/>
                <w:szCs w:val="20"/>
              </w:rPr>
            </w:pP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b/>
                <w:color w:val="000000"/>
              </w:rPr>
            </w:pPr>
            <w:r w:rsidRPr="00370E70">
              <w:rPr>
                <w:b/>
                <w:color w:val="000000"/>
                <w:szCs w:val="22"/>
              </w:rPr>
              <w:t>2008</w:t>
            </w:r>
          </w:p>
        </w:tc>
        <w:tc>
          <w:tcPr>
            <w:tcW w:w="192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0.386</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(-92.7%, increase overall)</w:t>
            </w:r>
          </w:p>
        </w:tc>
        <w:tc>
          <w:tcPr>
            <w:tcW w:w="1970"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1.559</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(-70.7%, increase overall)</w:t>
            </w:r>
          </w:p>
        </w:tc>
        <w:tc>
          <w:tcPr>
            <w:tcW w:w="2173" w:type="dxa"/>
          </w:tcPr>
          <w:p w:rsidR="005132EF" w:rsidRPr="00370E70" w:rsidRDefault="005132EF" w:rsidP="00034AD4">
            <w:pPr>
              <w:spacing w:before="0" w:after="0"/>
              <w:jc w:val="center"/>
              <w:rPr>
                <w:rFonts w:cs="Arial"/>
                <w:color w:val="000000"/>
                <w:sz w:val="20"/>
                <w:szCs w:val="20"/>
              </w:rPr>
            </w:pPr>
            <w:r w:rsidRPr="00370E70">
              <w:rPr>
                <w:rFonts w:cs="Arial"/>
                <w:color w:val="000000"/>
                <w:sz w:val="20"/>
                <w:szCs w:val="20"/>
              </w:rPr>
              <w:t>1.291</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(34.5%, increase seaward)</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3.511</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(-1.7%, decrease shoreward)</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October</w:t>
            </w:r>
          </w:p>
          <w:p w:rsidR="005132EF" w:rsidRPr="00370E70" w:rsidRDefault="005132EF" w:rsidP="00034AD4">
            <w:pPr>
              <w:keepNext/>
              <w:spacing w:before="0" w:after="0"/>
              <w:jc w:val="center"/>
              <w:rPr>
                <w:b/>
                <w:color w:val="000000"/>
              </w:rPr>
            </w:pPr>
            <w:r w:rsidRPr="00370E70">
              <w:rPr>
                <w:b/>
                <w:color w:val="000000"/>
                <w:szCs w:val="22"/>
              </w:rPr>
              <w:t>2008</w:t>
            </w:r>
          </w:p>
        </w:tc>
        <w:tc>
          <w:tcPr>
            <w:tcW w:w="192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0.343</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(-93.5%, negligible)</w:t>
            </w:r>
          </w:p>
        </w:tc>
        <w:tc>
          <w:tcPr>
            <w:tcW w:w="1970"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2.778</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(-47.8%, increase overall)</w:t>
            </w:r>
          </w:p>
        </w:tc>
        <w:tc>
          <w:tcPr>
            <w:tcW w:w="2173" w:type="dxa"/>
          </w:tcPr>
          <w:p w:rsidR="005132EF" w:rsidRPr="00370E70" w:rsidRDefault="005132EF" w:rsidP="00034AD4">
            <w:pPr>
              <w:spacing w:before="0" w:after="0"/>
              <w:jc w:val="center"/>
              <w:rPr>
                <w:rFonts w:cs="Arial"/>
                <w:color w:val="000000"/>
                <w:sz w:val="20"/>
                <w:szCs w:val="20"/>
              </w:rPr>
            </w:pPr>
            <w:r w:rsidRPr="00370E70">
              <w:rPr>
                <w:rFonts w:cs="Arial"/>
                <w:color w:val="000000"/>
                <w:sz w:val="20"/>
                <w:szCs w:val="20"/>
              </w:rPr>
              <w:t>1.207</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(25.8%, decrease shoreward)</w:t>
            </w:r>
          </w:p>
        </w:tc>
        <w:tc>
          <w:tcPr>
            <w:tcW w:w="2116" w:type="dxa"/>
          </w:tcPr>
          <w:p w:rsidR="005132EF" w:rsidRPr="00370E70" w:rsidRDefault="005132EF" w:rsidP="00034AD4">
            <w:pPr>
              <w:spacing w:before="0" w:after="0"/>
              <w:jc w:val="center"/>
              <w:rPr>
                <w:rFonts w:cs="Arial"/>
                <w:color w:val="000000"/>
              </w:rPr>
            </w:pPr>
            <w:r w:rsidRPr="00370E70">
              <w:rPr>
                <w:rFonts w:cs="Arial"/>
                <w:color w:val="000000"/>
                <w:szCs w:val="22"/>
              </w:rPr>
              <w:t>3.618</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(1.3%, increase seaward)</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b/>
                <w:color w:val="000000"/>
              </w:rPr>
            </w:pPr>
            <w:r w:rsidRPr="00370E70">
              <w:rPr>
                <w:b/>
                <w:color w:val="000000"/>
                <w:szCs w:val="22"/>
              </w:rPr>
              <w:t>2009</w:t>
            </w:r>
          </w:p>
        </w:tc>
        <w:tc>
          <w:tcPr>
            <w:tcW w:w="192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0.044</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(-99.2%, decrease overall)</w:t>
            </w:r>
          </w:p>
        </w:tc>
        <w:tc>
          <w:tcPr>
            <w:tcW w:w="1970"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0.470</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(-91.2%, decrease overall)</w:t>
            </w:r>
          </w:p>
        </w:tc>
        <w:tc>
          <w:tcPr>
            <w:tcW w:w="2173" w:type="dxa"/>
            <w:shd w:val="clear" w:color="auto" w:fill="E6E6E6"/>
          </w:tcPr>
          <w:p w:rsidR="005132EF" w:rsidRPr="00370E70" w:rsidRDefault="005132EF" w:rsidP="00034AD4">
            <w:pPr>
              <w:spacing w:before="0" w:after="0"/>
              <w:jc w:val="center"/>
              <w:rPr>
                <w:rFonts w:cs="Arial"/>
                <w:color w:val="000000"/>
                <w:sz w:val="20"/>
                <w:szCs w:val="20"/>
              </w:rPr>
            </w:pPr>
            <w:r w:rsidRPr="00370E70">
              <w:rPr>
                <w:rFonts w:cs="Arial"/>
                <w:color w:val="000000"/>
                <w:sz w:val="20"/>
                <w:szCs w:val="20"/>
              </w:rPr>
              <w:t>0</w:t>
            </w:r>
          </w:p>
          <w:p w:rsidR="005132EF" w:rsidRPr="00370E70" w:rsidRDefault="005132EF" w:rsidP="00034AD4">
            <w:pPr>
              <w:spacing w:before="0" w:after="0"/>
              <w:jc w:val="center"/>
              <w:rPr>
                <w:rFonts w:cs="Arial"/>
                <w:color w:val="000000"/>
                <w:sz w:val="16"/>
                <w:szCs w:val="16"/>
                <w:highlight w:val="yellow"/>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3.527</w:t>
            </w:r>
          </w:p>
          <w:p w:rsidR="005132EF" w:rsidRPr="00370E70" w:rsidRDefault="005132EF" w:rsidP="00034AD4">
            <w:pPr>
              <w:spacing w:before="0" w:after="0"/>
              <w:jc w:val="center"/>
              <w:rPr>
                <w:rFonts w:cs="Arial"/>
                <w:color w:val="000000"/>
                <w:sz w:val="16"/>
                <w:szCs w:val="16"/>
              </w:rPr>
            </w:pPr>
            <w:r w:rsidRPr="00370E70">
              <w:rPr>
                <w:rFonts w:cs="Arial"/>
                <w:i/>
                <w:color w:val="000000"/>
                <w:sz w:val="16"/>
                <w:szCs w:val="16"/>
              </w:rPr>
              <w:t>(0.4%, negligible)</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October</w:t>
            </w:r>
          </w:p>
          <w:p w:rsidR="005132EF" w:rsidRPr="00370E70" w:rsidRDefault="005132EF" w:rsidP="00034AD4">
            <w:pPr>
              <w:keepNext/>
              <w:spacing w:before="0" w:after="0"/>
              <w:jc w:val="center"/>
              <w:rPr>
                <w:b/>
                <w:color w:val="000000"/>
              </w:rPr>
            </w:pPr>
            <w:r w:rsidRPr="00370E70">
              <w:rPr>
                <w:b/>
                <w:color w:val="000000"/>
                <w:szCs w:val="22"/>
              </w:rPr>
              <w:t>2009</w:t>
            </w:r>
          </w:p>
        </w:tc>
        <w:tc>
          <w:tcPr>
            <w:tcW w:w="1926" w:type="dxa"/>
            <w:shd w:val="clear" w:color="auto" w:fill="E6E6E6"/>
          </w:tcPr>
          <w:p w:rsidR="005132EF" w:rsidRPr="00370E70" w:rsidRDefault="005132EF" w:rsidP="00034AD4">
            <w:pPr>
              <w:keepNext/>
              <w:spacing w:before="0" w:after="0"/>
              <w:jc w:val="center"/>
              <w:rPr>
                <w:color w:val="000000"/>
              </w:rPr>
            </w:pPr>
            <w:r w:rsidRPr="00370E70">
              <w:rPr>
                <w:color w:val="000000"/>
                <w:szCs w:val="22"/>
              </w:rPr>
              <w:t>0.333</w:t>
            </w:r>
          </w:p>
          <w:p w:rsidR="005132EF" w:rsidRPr="00370E70" w:rsidRDefault="005132EF" w:rsidP="00034AD4">
            <w:pPr>
              <w:keepNext/>
              <w:spacing w:before="0" w:after="0"/>
              <w:jc w:val="center"/>
              <w:rPr>
                <w:color w:val="000000"/>
              </w:rPr>
            </w:pPr>
            <w:r w:rsidRPr="00370E70">
              <w:rPr>
                <w:rFonts w:cs="Arial"/>
                <w:i/>
                <w:color w:val="000000"/>
                <w:sz w:val="16"/>
                <w:szCs w:val="16"/>
              </w:rPr>
              <w:t>(-93.7%, increase overall)</w:t>
            </w:r>
          </w:p>
        </w:tc>
        <w:tc>
          <w:tcPr>
            <w:tcW w:w="1970" w:type="dxa"/>
            <w:shd w:val="clear" w:color="auto" w:fill="E6E6E6"/>
          </w:tcPr>
          <w:p w:rsidR="005132EF" w:rsidRPr="00370E70" w:rsidRDefault="005132EF" w:rsidP="00034AD4">
            <w:pPr>
              <w:keepNext/>
              <w:spacing w:before="0" w:after="0"/>
              <w:jc w:val="center"/>
              <w:rPr>
                <w:color w:val="000000"/>
              </w:rPr>
            </w:pPr>
            <w:r w:rsidRPr="00370E70">
              <w:rPr>
                <w:color w:val="000000"/>
                <w:szCs w:val="22"/>
              </w:rPr>
              <w:t>0.998</w:t>
            </w:r>
          </w:p>
          <w:p w:rsidR="005132EF" w:rsidRPr="00370E70" w:rsidRDefault="005132EF" w:rsidP="00034AD4">
            <w:pPr>
              <w:keepNext/>
              <w:spacing w:before="0" w:after="0"/>
              <w:jc w:val="center"/>
              <w:rPr>
                <w:color w:val="000000"/>
              </w:rPr>
            </w:pPr>
            <w:r w:rsidRPr="00370E70">
              <w:rPr>
                <w:rFonts w:cs="Arial"/>
                <w:i/>
                <w:color w:val="000000"/>
                <w:sz w:val="16"/>
                <w:szCs w:val="16"/>
              </w:rPr>
              <w:t>(-81.3%, increase overall)</w:t>
            </w:r>
          </w:p>
        </w:tc>
        <w:tc>
          <w:tcPr>
            <w:tcW w:w="2173" w:type="dxa"/>
            <w:shd w:val="clear" w:color="auto" w:fill="E6E6E6"/>
          </w:tcPr>
          <w:p w:rsidR="005132EF" w:rsidRPr="00370E70" w:rsidRDefault="005132EF" w:rsidP="00034AD4">
            <w:pPr>
              <w:spacing w:before="0" w:after="0"/>
              <w:jc w:val="center"/>
              <w:rPr>
                <w:rFonts w:cs="Arial"/>
                <w:color w:val="000000"/>
                <w:sz w:val="20"/>
                <w:szCs w:val="20"/>
              </w:rPr>
            </w:pPr>
            <w:r w:rsidRPr="00370E70">
              <w:rPr>
                <w:rFonts w:cs="Arial"/>
                <w:color w:val="000000"/>
              </w:rPr>
              <w:t>0.041</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(95.8%, increase overall)</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2.770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(22.5%, decrease shoreward)</w:t>
            </w:r>
          </w:p>
        </w:tc>
      </w:tr>
      <w:tr w:rsidR="005132EF" w:rsidRPr="00370E70" w:rsidTr="002C0BC5">
        <w:trPr>
          <w:jc w:val="center"/>
        </w:trPr>
        <w:tc>
          <w:tcPr>
            <w:tcW w:w="1101" w:type="dxa"/>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b/>
                <w:color w:val="000000"/>
              </w:rPr>
            </w:pPr>
            <w:r w:rsidRPr="00370E70">
              <w:rPr>
                <w:b/>
                <w:color w:val="000000"/>
                <w:szCs w:val="22"/>
              </w:rPr>
              <w:t>2010</w:t>
            </w:r>
          </w:p>
        </w:tc>
        <w:tc>
          <w:tcPr>
            <w:tcW w:w="1926" w:type="dxa"/>
            <w:shd w:val="clear" w:color="auto" w:fill="E6E6E6"/>
          </w:tcPr>
          <w:p w:rsidR="005132EF" w:rsidRPr="00370E70" w:rsidRDefault="005132EF" w:rsidP="00034AD4">
            <w:pPr>
              <w:keepNext/>
              <w:spacing w:before="0" w:after="0"/>
              <w:jc w:val="center"/>
              <w:rPr>
                <w:color w:val="000000"/>
              </w:rPr>
            </w:pPr>
            <w:r w:rsidRPr="00370E70">
              <w:rPr>
                <w:color w:val="000000"/>
                <w:szCs w:val="22"/>
              </w:rPr>
              <w:t>1.812</w:t>
            </w:r>
          </w:p>
          <w:p w:rsidR="005132EF" w:rsidRPr="00370E70" w:rsidRDefault="005132EF" w:rsidP="00034AD4">
            <w:pPr>
              <w:keepNext/>
              <w:spacing w:before="0" w:after="0"/>
              <w:jc w:val="center"/>
              <w:rPr>
                <w:color w:val="000000"/>
              </w:rPr>
            </w:pPr>
            <w:r w:rsidRPr="00370E70">
              <w:rPr>
                <w:rFonts w:cs="Arial"/>
                <w:i/>
                <w:color w:val="000000"/>
                <w:sz w:val="16"/>
                <w:szCs w:val="16"/>
              </w:rPr>
              <w:t>(-65.6%, increase overall)</w:t>
            </w:r>
          </w:p>
        </w:tc>
        <w:tc>
          <w:tcPr>
            <w:tcW w:w="1970" w:type="dxa"/>
            <w:shd w:val="clear" w:color="auto" w:fill="E6E6E6"/>
          </w:tcPr>
          <w:p w:rsidR="005132EF" w:rsidRPr="00370E70" w:rsidRDefault="005132EF" w:rsidP="00034AD4">
            <w:pPr>
              <w:keepNext/>
              <w:spacing w:before="0" w:after="0"/>
              <w:jc w:val="center"/>
              <w:rPr>
                <w:color w:val="000000"/>
              </w:rPr>
            </w:pPr>
            <w:r w:rsidRPr="00370E70">
              <w:rPr>
                <w:color w:val="000000"/>
                <w:szCs w:val="22"/>
              </w:rPr>
              <w:t>3.730</w:t>
            </w:r>
          </w:p>
          <w:p w:rsidR="005132EF" w:rsidRPr="00370E70" w:rsidRDefault="005132EF" w:rsidP="00034AD4">
            <w:pPr>
              <w:keepNext/>
              <w:spacing w:before="0" w:after="0"/>
              <w:jc w:val="center"/>
              <w:rPr>
                <w:color w:val="000000"/>
              </w:rPr>
            </w:pPr>
            <w:r w:rsidRPr="00370E70">
              <w:rPr>
                <w:rFonts w:cs="Arial"/>
                <w:i/>
                <w:color w:val="000000"/>
                <w:sz w:val="16"/>
                <w:szCs w:val="16"/>
              </w:rPr>
              <w:t>(-30%, increase overall)</w:t>
            </w:r>
          </w:p>
        </w:tc>
        <w:tc>
          <w:tcPr>
            <w:tcW w:w="2173"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r>
      <w:tr w:rsidR="005132EF" w:rsidRPr="00370E70" w:rsidTr="002C0BC5">
        <w:trPr>
          <w:jc w:val="center"/>
        </w:trPr>
        <w:tc>
          <w:tcPr>
            <w:tcW w:w="1101" w:type="dxa"/>
            <w:shd w:val="clear" w:color="auto" w:fill="FFFFFF"/>
          </w:tcPr>
          <w:p w:rsidR="005132EF" w:rsidRPr="00370E70" w:rsidRDefault="005132EF" w:rsidP="00034AD4">
            <w:pPr>
              <w:keepNext/>
              <w:spacing w:before="0" w:after="0"/>
              <w:jc w:val="center"/>
              <w:rPr>
                <w:b/>
                <w:color w:val="000000"/>
              </w:rPr>
            </w:pPr>
            <w:r w:rsidRPr="00370E70">
              <w:rPr>
                <w:b/>
                <w:color w:val="000000"/>
                <w:szCs w:val="22"/>
              </w:rPr>
              <w:t>October</w:t>
            </w:r>
          </w:p>
          <w:p w:rsidR="005132EF" w:rsidRPr="00370E70" w:rsidRDefault="005132EF" w:rsidP="00034AD4">
            <w:pPr>
              <w:keepNext/>
              <w:spacing w:before="0" w:after="0"/>
              <w:jc w:val="center"/>
              <w:rPr>
                <w:b/>
                <w:color w:val="000000"/>
              </w:rPr>
            </w:pPr>
            <w:r w:rsidRPr="00370E70">
              <w:rPr>
                <w:b/>
                <w:color w:val="000000"/>
                <w:szCs w:val="22"/>
              </w:rPr>
              <w:t>2010</w:t>
            </w:r>
          </w:p>
        </w:tc>
        <w:tc>
          <w:tcPr>
            <w:tcW w:w="1926" w:type="dxa"/>
            <w:shd w:val="clear" w:color="auto" w:fill="E6E6E6"/>
          </w:tcPr>
          <w:p w:rsidR="005132EF" w:rsidRPr="00370E70" w:rsidRDefault="005132EF" w:rsidP="00034AD4">
            <w:pPr>
              <w:keepNext/>
              <w:spacing w:before="0" w:after="0"/>
              <w:jc w:val="center"/>
              <w:rPr>
                <w:color w:val="000000"/>
              </w:rPr>
            </w:pPr>
            <w:r w:rsidRPr="00370E70">
              <w:rPr>
                <w:color w:val="000000"/>
                <w:szCs w:val="22"/>
              </w:rPr>
              <w:t>1.426</w:t>
            </w:r>
          </w:p>
          <w:p w:rsidR="005132EF" w:rsidRPr="00370E70" w:rsidRDefault="005132EF" w:rsidP="00034AD4">
            <w:pPr>
              <w:keepNext/>
              <w:spacing w:before="0" w:after="0"/>
              <w:jc w:val="center"/>
              <w:rPr>
                <w:color w:val="000000"/>
              </w:rPr>
            </w:pPr>
            <w:r w:rsidRPr="00370E70">
              <w:rPr>
                <w:rFonts w:cs="Arial"/>
                <w:i/>
                <w:color w:val="000000"/>
                <w:sz w:val="16"/>
                <w:szCs w:val="16"/>
              </w:rPr>
              <w:t>(-72.9%, decrease overall)</w:t>
            </w:r>
          </w:p>
        </w:tc>
        <w:tc>
          <w:tcPr>
            <w:tcW w:w="1970" w:type="dxa"/>
            <w:shd w:val="clear" w:color="auto" w:fill="E6E6E6"/>
          </w:tcPr>
          <w:p w:rsidR="005132EF" w:rsidRPr="00370E70" w:rsidRDefault="005132EF" w:rsidP="00034AD4">
            <w:pPr>
              <w:keepNext/>
              <w:spacing w:before="0" w:after="0"/>
              <w:jc w:val="center"/>
              <w:rPr>
                <w:color w:val="000000"/>
              </w:rPr>
            </w:pPr>
            <w:r w:rsidRPr="00370E70">
              <w:rPr>
                <w:color w:val="000000"/>
                <w:szCs w:val="22"/>
              </w:rPr>
              <w:t>3.726</w:t>
            </w:r>
          </w:p>
          <w:p w:rsidR="005132EF" w:rsidRPr="00370E70" w:rsidRDefault="005132EF" w:rsidP="00034AD4">
            <w:pPr>
              <w:keepNext/>
              <w:spacing w:before="0" w:after="0"/>
              <w:jc w:val="center"/>
              <w:rPr>
                <w:color w:val="000000"/>
              </w:rPr>
            </w:pPr>
            <w:r w:rsidRPr="00370E70">
              <w:rPr>
                <w:rFonts w:cs="Arial"/>
                <w:i/>
                <w:color w:val="000000"/>
                <w:sz w:val="16"/>
                <w:szCs w:val="16"/>
              </w:rPr>
              <w:t>(-30%, negligible)</w:t>
            </w:r>
          </w:p>
        </w:tc>
        <w:tc>
          <w:tcPr>
            <w:tcW w:w="2173"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0.541</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(-43.7, increase overall)</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w:t>
            </w:r>
            <w:r w:rsidRPr="00370E70">
              <w:rPr>
                <w:i/>
                <w:color w:val="000000"/>
                <w:sz w:val="16"/>
                <w:szCs w:val="16"/>
              </w:rPr>
              <w:t>meadow absent</w:t>
            </w:r>
            <w:r w:rsidRPr="00370E70">
              <w:rPr>
                <w:rFonts w:cs="Arial"/>
                <w:i/>
                <w:color w:val="000000"/>
                <w:sz w:val="16"/>
                <w:szCs w:val="16"/>
              </w:rPr>
              <w:t>)</w:t>
            </w:r>
          </w:p>
        </w:tc>
      </w:tr>
      <w:tr w:rsidR="005132EF" w:rsidRPr="00370E70" w:rsidTr="002C0BC5">
        <w:trPr>
          <w:jc w:val="center"/>
        </w:trPr>
        <w:tc>
          <w:tcPr>
            <w:tcW w:w="1101" w:type="dxa"/>
            <w:shd w:val="clear" w:color="auto" w:fill="FFFFFF"/>
          </w:tcPr>
          <w:p w:rsidR="005132EF" w:rsidRPr="00370E70" w:rsidRDefault="005132EF" w:rsidP="00034AD4">
            <w:pPr>
              <w:keepNext/>
              <w:spacing w:before="0" w:after="0"/>
              <w:jc w:val="center"/>
              <w:rPr>
                <w:b/>
                <w:color w:val="000000"/>
              </w:rPr>
            </w:pPr>
            <w:r w:rsidRPr="00370E70">
              <w:rPr>
                <w:b/>
                <w:color w:val="000000"/>
                <w:szCs w:val="22"/>
              </w:rPr>
              <w:t>April</w:t>
            </w:r>
          </w:p>
          <w:p w:rsidR="005132EF" w:rsidRPr="00370E70" w:rsidRDefault="005132EF" w:rsidP="00034AD4">
            <w:pPr>
              <w:keepNext/>
              <w:spacing w:before="0" w:after="0"/>
              <w:jc w:val="center"/>
              <w:rPr>
                <w:b/>
                <w:color w:val="000000"/>
              </w:rPr>
            </w:pPr>
            <w:r w:rsidRPr="00370E70">
              <w:rPr>
                <w:b/>
                <w:color w:val="000000"/>
                <w:szCs w:val="22"/>
              </w:rPr>
              <w:t>2011</w:t>
            </w:r>
          </w:p>
        </w:tc>
        <w:tc>
          <w:tcPr>
            <w:tcW w:w="1926" w:type="dxa"/>
            <w:shd w:val="clear" w:color="auto" w:fill="E6E6E6"/>
          </w:tcPr>
          <w:p w:rsidR="005132EF" w:rsidRPr="00370E70" w:rsidRDefault="005132EF" w:rsidP="00034AD4">
            <w:pPr>
              <w:keepNext/>
              <w:spacing w:before="0" w:after="0"/>
              <w:jc w:val="center"/>
              <w:rPr>
                <w:color w:val="000000"/>
              </w:rPr>
            </w:pPr>
            <w:r w:rsidRPr="00370E70">
              <w:rPr>
                <w:color w:val="000000"/>
                <w:szCs w:val="22"/>
              </w:rPr>
              <w:t>0.296</w:t>
            </w:r>
          </w:p>
          <w:p w:rsidR="005132EF" w:rsidRPr="00370E70" w:rsidRDefault="005132EF" w:rsidP="00034AD4">
            <w:pPr>
              <w:keepNext/>
              <w:spacing w:before="0" w:after="0"/>
              <w:jc w:val="center"/>
              <w:rPr>
                <w:color w:val="000000"/>
              </w:rPr>
            </w:pPr>
            <w:r w:rsidRPr="00370E70">
              <w:rPr>
                <w:rFonts w:cs="Arial"/>
                <w:i/>
                <w:color w:val="000000"/>
                <w:sz w:val="16"/>
                <w:szCs w:val="16"/>
              </w:rPr>
              <w:t>(-94.4%, decrease overall)</w:t>
            </w:r>
          </w:p>
        </w:tc>
        <w:tc>
          <w:tcPr>
            <w:tcW w:w="1970" w:type="dxa"/>
            <w:shd w:val="clear" w:color="auto" w:fill="E6E6E6"/>
          </w:tcPr>
          <w:p w:rsidR="005132EF" w:rsidRPr="00370E70" w:rsidRDefault="005132EF" w:rsidP="00034AD4">
            <w:pPr>
              <w:keepNext/>
              <w:spacing w:before="0" w:after="0"/>
              <w:jc w:val="center"/>
              <w:rPr>
                <w:color w:val="000000"/>
              </w:rPr>
            </w:pPr>
            <w:r w:rsidRPr="00370E70">
              <w:rPr>
                <w:color w:val="000000"/>
                <w:szCs w:val="22"/>
              </w:rPr>
              <w:t>2.035</w:t>
            </w:r>
          </w:p>
          <w:p w:rsidR="005132EF" w:rsidRPr="00370E70" w:rsidRDefault="005132EF" w:rsidP="00034AD4">
            <w:pPr>
              <w:keepNext/>
              <w:spacing w:before="0" w:after="0"/>
              <w:jc w:val="center"/>
              <w:rPr>
                <w:color w:val="000000"/>
              </w:rPr>
            </w:pPr>
            <w:r w:rsidRPr="00370E70">
              <w:rPr>
                <w:rFonts w:cs="Arial"/>
                <w:i/>
                <w:color w:val="000000"/>
                <w:sz w:val="16"/>
                <w:szCs w:val="16"/>
              </w:rPr>
              <w:t>(-61.8%, decrease overall)</w:t>
            </w:r>
          </w:p>
        </w:tc>
        <w:tc>
          <w:tcPr>
            <w:tcW w:w="2173"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0.199</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(-79.3, decrease overall)</w:t>
            </w:r>
          </w:p>
        </w:tc>
        <w:tc>
          <w:tcPr>
            <w:tcW w:w="2116" w:type="dxa"/>
            <w:shd w:val="clear" w:color="auto" w:fill="E6E6E6"/>
          </w:tcPr>
          <w:p w:rsidR="005132EF" w:rsidRPr="00370E70" w:rsidRDefault="005132EF" w:rsidP="00034AD4">
            <w:pPr>
              <w:spacing w:before="0" w:after="0"/>
              <w:jc w:val="center"/>
              <w:rPr>
                <w:rFonts w:cs="Arial"/>
                <w:color w:val="000000"/>
              </w:rPr>
            </w:pPr>
            <w:r w:rsidRPr="00370E70">
              <w:rPr>
                <w:rFonts w:cs="Arial"/>
                <w:color w:val="000000"/>
                <w:szCs w:val="22"/>
              </w:rPr>
              <w:t>0.082</w:t>
            </w:r>
          </w:p>
          <w:p w:rsidR="005132EF" w:rsidRPr="00370E70" w:rsidRDefault="005132EF" w:rsidP="00034AD4">
            <w:pPr>
              <w:keepNext/>
              <w:spacing w:before="0" w:after="0"/>
              <w:jc w:val="center"/>
              <w:rPr>
                <w:rFonts w:cs="Arial"/>
                <w:color w:val="000000"/>
              </w:rPr>
            </w:pPr>
            <w:r w:rsidRPr="00370E70">
              <w:rPr>
                <w:rFonts w:cs="Arial"/>
                <w:i/>
                <w:color w:val="000000"/>
                <w:sz w:val="16"/>
                <w:szCs w:val="16"/>
              </w:rPr>
              <w:t>(-97.7%, isolated patches)</w:t>
            </w:r>
          </w:p>
        </w:tc>
      </w:tr>
      <w:tr w:rsidR="005132EF" w:rsidRPr="00370E70" w:rsidTr="004024EE">
        <w:trPr>
          <w:jc w:val="center"/>
        </w:trPr>
        <w:tc>
          <w:tcPr>
            <w:tcW w:w="1101" w:type="dxa"/>
            <w:shd w:val="clear" w:color="auto" w:fill="FFFFFF"/>
          </w:tcPr>
          <w:p w:rsidR="005132EF" w:rsidRPr="00370E70" w:rsidRDefault="005132EF" w:rsidP="00104000">
            <w:pPr>
              <w:keepNext/>
              <w:spacing w:before="0" w:after="0"/>
              <w:jc w:val="center"/>
              <w:rPr>
                <w:b/>
                <w:color w:val="000000"/>
              </w:rPr>
            </w:pPr>
            <w:r w:rsidRPr="00370E70">
              <w:rPr>
                <w:b/>
                <w:color w:val="000000"/>
                <w:szCs w:val="22"/>
              </w:rPr>
              <w:t>October</w:t>
            </w:r>
          </w:p>
          <w:p w:rsidR="005132EF" w:rsidRPr="00370E70" w:rsidRDefault="005132EF" w:rsidP="00104000">
            <w:pPr>
              <w:keepNext/>
              <w:spacing w:before="0" w:after="0"/>
              <w:jc w:val="center"/>
              <w:rPr>
                <w:b/>
                <w:color w:val="000000"/>
              </w:rPr>
            </w:pPr>
            <w:r w:rsidRPr="00370E70">
              <w:rPr>
                <w:b/>
                <w:color w:val="000000"/>
                <w:szCs w:val="22"/>
              </w:rPr>
              <w:t>2011</w:t>
            </w:r>
          </w:p>
        </w:tc>
        <w:tc>
          <w:tcPr>
            <w:tcW w:w="1926" w:type="dxa"/>
            <w:shd w:val="clear" w:color="auto" w:fill="E6E6E6"/>
          </w:tcPr>
          <w:p w:rsidR="005132EF" w:rsidRPr="00370E70" w:rsidRDefault="005132EF" w:rsidP="004024EE">
            <w:pPr>
              <w:keepNext/>
              <w:spacing w:before="0" w:after="0"/>
              <w:jc w:val="center"/>
              <w:rPr>
                <w:color w:val="000000"/>
              </w:rPr>
            </w:pPr>
            <w:r w:rsidRPr="00370E70">
              <w:rPr>
                <w:color w:val="000000"/>
                <w:szCs w:val="22"/>
              </w:rPr>
              <w:t>0.356</w:t>
            </w:r>
          </w:p>
          <w:p w:rsidR="005132EF" w:rsidRPr="00370E70" w:rsidRDefault="005132EF" w:rsidP="004024EE">
            <w:pPr>
              <w:keepNext/>
              <w:spacing w:before="0" w:after="0"/>
              <w:jc w:val="center"/>
              <w:rPr>
                <w:rFonts w:cs="Arial"/>
                <w:i/>
                <w:color w:val="000000"/>
                <w:sz w:val="16"/>
                <w:szCs w:val="16"/>
              </w:rPr>
            </w:pPr>
            <w:r w:rsidRPr="00370E70">
              <w:rPr>
                <w:rFonts w:cs="Arial"/>
                <w:i/>
                <w:color w:val="000000"/>
                <w:sz w:val="16"/>
                <w:szCs w:val="16"/>
              </w:rPr>
              <w:t>(-93.2% negligible change)</w:t>
            </w:r>
          </w:p>
        </w:tc>
        <w:tc>
          <w:tcPr>
            <w:tcW w:w="1970" w:type="dxa"/>
            <w:shd w:val="clear" w:color="auto" w:fill="E6E6E6"/>
          </w:tcPr>
          <w:p w:rsidR="005132EF" w:rsidRPr="00370E70" w:rsidRDefault="005132EF" w:rsidP="004024EE">
            <w:pPr>
              <w:keepNext/>
              <w:spacing w:before="0" w:after="0"/>
              <w:jc w:val="center"/>
              <w:rPr>
                <w:color w:val="000000"/>
              </w:rPr>
            </w:pPr>
            <w:r w:rsidRPr="00370E70">
              <w:rPr>
                <w:color w:val="000000"/>
                <w:szCs w:val="22"/>
              </w:rPr>
              <w:t>2.300</w:t>
            </w:r>
          </w:p>
          <w:p w:rsidR="005132EF" w:rsidRPr="00370E70" w:rsidRDefault="005132EF" w:rsidP="004024EE">
            <w:pPr>
              <w:keepNext/>
              <w:spacing w:before="0" w:after="0"/>
              <w:jc w:val="center"/>
              <w:rPr>
                <w:rFonts w:cs="Arial"/>
                <w:i/>
                <w:color w:val="000000"/>
                <w:sz w:val="16"/>
                <w:szCs w:val="16"/>
              </w:rPr>
            </w:pPr>
            <w:r w:rsidRPr="00370E70">
              <w:rPr>
                <w:rFonts w:cs="Arial"/>
                <w:i/>
                <w:color w:val="000000"/>
                <w:sz w:val="16"/>
                <w:szCs w:val="16"/>
              </w:rPr>
              <w:t>(-56.8%, decrease overall)</w:t>
            </w:r>
          </w:p>
        </w:tc>
        <w:tc>
          <w:tcPr>
            <w:tcW w:w="2173" w:type="dxa"/>
            <w:shd w:val="clear" w:color="auto" w:fill="E6E6E6"/>
          </w:tcPr>
          <w:p w:rsidR="005132EF" w:rsidRPr="00370E70" w:rsidRDefault="005132EF" w:rsidP="004024EE">
            <w:pPr>
              <w:keepNext/>
              <w:spacing w:before="0" w:after="0"/>
              <w:jc w:val="center"/>
              <w:rPr>
                <w:color w:val="000000"/>
              </w:rPr>
            </w:pPr>
            <w:r w:rsidRPr="00370E70">
              <w:rPr>
                <w:color w:val="000000"/>
                <w:szCs w:val="22"/>
              </w:rPr>
              <w:t>0.293</w:t>
            </w:r>
          </w:p>
          <w:p w:rsidR="005132EF" w:rsidRPr="00370E70" w:rsidRDefault="005132EF" w:rsidP="004024EE">
            <w:pPr>
              <w:spacing w:before="0" w:after="0"/>
              <w:jc w:val="center"/>
              <w:rPr>
                <w:rFonts w:cs="Arial"/>
                <w:i/>
                <w:color w:val="000000"/>
                <w:sz w:val="16"/>
                <w:szCs w:val="16"/>
              </w:rPr>
            </w:pPr>
            <w:r w:rsidRPr="00370E70">
              <w:rPr>
                <w:rFonts w:cs="Arial"/>
                <w:i/>
                <w:color w:val="000000"/>
                <w:sz w:val="16"/>
                <w:szCs w:val="16"/>
              </w:rPr>
              <w:t>-69.5%, increase overall)</w:t>
            </w:r>
          </w:p>
        </w:tc>
        <w:tc>
          <w:tcPr>
            <w:tcW w:w="2116" w:type="dxa"/>
            <w:shd w:val="clear" w:color="auto" w:fill="E6E6E6"/>
          </w:tcPr>
          <w:p w:rsidR="005132EF" w:rsidRPr="00370E70" w:rsidRDefault="005132EF" w:rsidP="004024EE">
            <w:pPr>
              <w:keepNext/>
              <w:spacing w:before="0" w:after="0"/>
              <w:jc w:val="center"/>
              <w:rPr>
                <w:color w:val="000000"/>
              </w:rPr>
            </w:pPr>
            <w:r w:rsidRPr="00370E70">
              <w:rPr>
                <w:color w:val="000000"/>
                <w:szCs w:val="22"/>
              </w:rPr>
              <w:t>0.073</w:t>
            </w:r>
          </w:p>
          <w:p w:rsidR="005132EF" w:rsidRPr="00370E70" w:rsidRDefault="005132EF" w:rsidP="004024EE">
            <w:pPr>
              <w:spacing w:before="0" w:after="0"/>
              <w:jc w:val="center"/>
              <w:rPr>
                <w:rFonts w:cs="Arial"/>
                <w:i/>
                <w:color w:val="000000"/>
                <w:sz w:val="16"/>
                <w:szCs w:val="16"/>
              </w:rPr>
            </w:pPr>
            <w:r w:rsidRPr="00370E70">
              <w:rPr>
                <w:rFonts w:cs="Arial"/>
                <w:i/>
                <w:color w:val="000000"/>
                <w:sz w:val="16"/>
                <w:szCs w:val="16"/>
              </w:rPr>
              <w:t>(-98% isolated patches)</w:t>
            </w:r>
          </w:p>
        </w:tc>
      </w:tr>
      <w:tr w:rsidR="005132EF" w:rsidRPr="00370E70" w:rsidTr="004024EE">
        <w:trPr>
          <w:jc w:val="center"/>
        </w:trPr>
        <w:tc>
          <w:tcPr>
            <w:tcW w:w="1101" w:type="dxa"/>
            <w:shd w:val="clear" w:color="auto" w:fill="FFFFFF"/>
          </w:tcPr>
          <w:p w:rsidR="005132EF" w:rsidRPr="00370E70" w:rsidRDefault="005132EF" w:rsidP="00104000">
            <w:pPr>
              <w:keepNext/>
              <w:spacing w:before="0" w:after="0"/>
              <w:jc w:val="center"/>
              <w:rPr>
                <w:b/>
                <w:color w:val="000000"/>
              </w:rPr>
            </w:pPr>
            <w:r w:rsidRPr="00370E70">
              <w:rPr>
                <w:b/>
                <w:color w:val="000000"/>
                <w:szCs w:val="22"/>
              </w:rPr>
              <w:t>April</w:t>
            </w:r>
          </w:p>
          <w:p w:rsidR="005132EF" w:rsidRPr="00370E70" w:rsidRDefault="005132EF" w:rsidP="00104000">
            <w:pPr>
              <w:keepNext/>
              <w:spacing w:before="0" w:after="0"/>
              <w:jc w:val="center"/>
              <w:rPr>
                <w:b/>
                <w:color w:val="000000"/>
              </w:rPr>
            </w:pPr>
            <w:r w:rsidRPr="00370E70">
              <w:rPr>
                <w:b/>
                <w:color w:val="000000"/>
                <w:szCs w:val="22"/>
              </w:rPr>
              <w:t>2012</w:t>
            </w:r>
          </w:p>
        </w:tc>
        <w:tc>
          <w:tcPr>
            <w:tcW w:w="1926" w:type="dxa"/>
            <w:shd w:val="clear" w:color="auto" w:fill="E6E6E6"/>
          </w:tcPr>
          <w:p w:rsidR="005132EF" w:rsidRPr="00370E70" w:rsidRDefault="005132EF" w:rsidP="004024EE">
            <w:pPr>
              <w:keepNext/>
              <w:spacing w:before="0" w:after="0"/>
              <w:jc w:val="center"/>
              <w:rPr>
                <w:color w:val="000000"/>
              </w:rPr>
            </w:pPr>
            <w:r w:rsidRPr="00370E70">
              <w:rPr>
                <w:color w:val="000000"/>
                <w:szCs w:val="22"/>
              </w:rPr>
              <w:t>0.458</w:t>
            </w:r>
          </w:p>
          <w:p w:rsidR="005132EF" w:rsidRPr="00370E70" w:rsidRDefault="005132EF" w:rsidP="004024EE">
            <w:pPr>
              <w:keepNext/>
              <w:spacing w:before="0" w:after="0"/>
              <w:jc w:val="center"/>
              <w:rPr>
                <w:rFonts w:cs="Arial"/>
                <w:i/>
                <w:color w:val="000000"/>
                <w:sz w:val="16"/>
                <w:szCs w:val="16"/>
              </w:rPr>
            </w:pPr>
            <w:r w:rsidRPr="00370E70">
              <w:rPr>
                <w:rFonts w:cs="Arial"/>
                <w:i/>
                <w:color w:val="000000"/>
                <w:sz w:val="16"/>
                <w:szCs w:val="16"/>
              </w:rPr>
              <w:t>(-91.3% negligible change)</w:t>
            </w:r>
          </w:p>
        </w:tc>
        <w:tc>
          <w:tcPr>
            <w:tcW w:w="1970" w:type="dxa"/>
            <w:shd w:val="clear" w:color="auto" w:fill="E6E6E6"/>
          </w:tcPr>
          <w:p w:rsidR="005132EF" w:rsidRPr="00370E70" w:rsidRDefault="005132EF" w:rsidP="004024EE">
            <w:pPr>
              <w:keepNext/>
              <w:spacing w:before="0" w:after="0"/>
              <w:jc w:val="center"/>
              <w:rPr>
                <w:color w:val="000000"/>
              </w:rPr>
            </w:pPr>
            <w:r w:rsidRPr="00370E70">
              <w:rPr>
                <w:color w:val="000000"/>
                <w:szCs w:val="22"/>
              </w:rPr>
              <w:t>2.879</w:t>
            </w:r>
          </w:p>
          <w:p w:rsidR="005132EF" w:rsidRPr="00370E70" w:rsidRDefault="005132EF" w:rsidP="004024EE">
            <w:pPr>
              <w:keepNext/>
              <w:spacing w:before="0" w:after="0"/>
              <w:jc w:val="center"/>
              <w:rPr>
                <w:rFonts w:cs="Arial"/>
                <w:i/>
                <w:color w:val="000000"/>
                <w:sz w:val="16"/>
                <w:szCs w:val="16"/>
              </w:rPr>
            </w:pPr>
            <w:r w:rsidRPr="00370E70">
              <w:rPr>
                <w:rFonts w:cs="Arial"/>
                <w:i/>
                <w:color w:val="000000"/>
                <w:sz w:val="16"/>
                <w:szCs w:val="16"/>
              </w:rPr>
              <w:t>(-46%, increase overall)</w:t>
            </w:r>
          </w:p>
        </w:tc>
        <w:tc>
          <w:tcPr>
            <w:tcW w:w="2173" w:type="dxa"/>
            <w:shd w:val="clear" w:color="auto" w:fill="E6E6E6"/>
          </w:tcPr>
          <w:p w:rsidR="005132EF" w:rsidRPr="00370E70" w:rsidRDefault="005132EF" w:rsidP="004024EE">
            <w:pPr>
              <w:keepNext/>
              <w:spacing w:before="0" w:after="0"/>
              <w:jc w:val="center"/>
              <w:rPr>
                <w:color w:val="000000"/>
              </w:rPr>
            </w:pPr>
            <w:r w:rsidRPr="00370E70">
              <w:rPr>
                <w:color w:val="000000"/>
                <w:szCs w:val="22"/>
              </w:rPr>
              <w:t>0</w:t>
            </w:r>
          </w:p>
          <w:p w:rsidR="005132EF" w:rsidRPr="00370E70" w:rsidRDefault="005132EF" w:rsidP="004024EE">
            <w:pPr>
              <w:spacing w:before="0" w:after="0"/>
              <w:jc w:val="center"/>
              <w:rPr>
                <w:rFonts w:cs="Arial"/>
                <w:i/>
                <w:color w:val="000000"/>
                <w:sz w:val="16"/>
                <w:szCs w:val="16"/>
              </w:rPr>
            </w:pPr>
            <w:r w:rsidRPr="00370E70">
              <w:rPr>
                <w:rFonts w:cs="Arial"/>
                <w:i/>
                <w:color w:val="000000"/>
                <w:sz w:val="16"/>
                <w:szCs w:val="16"/>
              </w:rPr>
              <w:t>(meadow absent)</w:t>
            </w:r>
          </w:p>
        </w:tc>
        <w:tc>
          <w:tcPr>
            <w:tcW w:w="2116" w:type="dxa"/>
            <w:shd w:val="clear" w:color="auto" w:fill="E6E6E6"/>
          </w:tcPr>
          <w:p w:rsidR="005132EF" w:rsidRPr="00370E70" w:rsidRDefault="005132EF" w:rsidP="004024EE">
            <w:pPr>
              <w:keepNext/>
              <w:spacing w:before="0" w:after="0"/>
              <w:jc w:val="center"/>
              <w:rPr>
                <w:color w:val="000000"/>
              </w:rPr>
            </w:pPr>
            <w:r w:rsidRPr="00370E70">
              <w:rPr>
                <w:color w:val="000000"/>
                <w:szCs w:val="22"/>
              </w:rPr>
              <w:t>0</w:t>
            </w:r>
          </w:p>
          <w:p w:rsidR="005132EF" w:rsidRPr="00370E70" w:rsidRDefault="005132EF" w:rsidP="004024EE">
            <w:pPr>
              <w:spacing w:before="0" w:after="0"/>
              <w:jc w:val="center"/>
              <w:rPr>
                <w:rFonts w:cs="Arial"/>
                <w:i/>
                <w:color w:val="000000"/>
                <w:sz w:val="16"/>
                <w:szCs w:val="16"/>
              </w:rPr>
            </w:pPr>
            <w:r w:rsidRPr="00370E70">
              <w:rPr>
                <w:rFonts w:cs="Arial"/>
                <w:i/>
                <w:color w:val="000000"/>
                <w:sz w:val="16"/>
                <w:szCs w:val="16"/>
              </w:rPr>
              <w:t>(meadow absent)</w:t>
            </w:r>
          </w:p>
        </w:tc>
      </w:tr>
    </w:tbl>
    <w:p w:rsidR="005132EF" w:rsidRPr="00370E70" w:rsidRDefault="005132EF" w:rsidP="00233C4D">
      <w:pPr>
        <w:widowControl w:val="0"/>
        <w:rPr>
          <w:color w:val="000000"/>
        </w:rPr>
      </w:pPr>
    </w:p>
    <w:p w:rsidR="005132EF" w:rsidRPr="00370E70" w:rsidRDefault="007B15AB" w:rsidP="00034AD4">
      <w:pPr>
        <w:keepNext/>
        <w:jc w:val="center"/>
        <w:rPr>
          <w:color w:val="000000"/>
        </w:rPr>
      </w:pPr>
      <w:r>
        <w:rPr>
          <w:noProof/>
          <w:lang w:eastAsia="en-AU"/>
        </w:rPr>
        <w:lastRenderedPageBreak/>
        <w:drawing>
          <wp:inline distT="0" distB="0" distL="0" distR="0">
            <wp:extent cx="5396230" cy="1816100"/>
            <wp:effectExtent l="0" t="0" r="0" b="0"/>
            <wp:docPr id="227" name="Picture 218" descr="Graphs of long-term changes in extent of area (100m radius of monitoring site) covered by seagrass at each monitoring site at Rodds Bay and Urangan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Graphs of long-term changes in extent of area (100m radius of monitoring site) covered by seagrass at each monitoring site at Rodds Bay and Urangan locations"/>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5396230" cy="181610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795" w:name="_Ref233166043"/>
      <w:bookmarkStart w:id="796" w:name="_Toc232846031"/>
      <w:bookmarkStart w:id="797" w:name="_Toc384196523"/>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176</w:t>
      </w:r>
      <w:r w:rsidRPr="00370E70">
        <w:rPr>
          <w:color w:val="000000"/>
          <w:szCs w:val="22"/>
          <w:lang w:val="en-AU"/>
        </w:rPr>
        <w:fldChar w:fldCharType="end"/>
      </w:r>
      <w:bookmarkEnd w:id="795"/>
      <w:r w:rsidRPr="00370E70">
        <w:rPr>
          <w:rStyle w:val="StyleCaptionCaptionCharCharLatinCalibri11ptBlackChar"/>
          <w:lang w:val="en-AU"/>
        </w:rPr>
        <w:t xml:space="preserve">. </w:t>
      </w:r>
      <w:r w:rsidRPr="00370E70">
        <w:rPr>
          <w:i/>
          <w:color w:val="000000"/>
          <w:szCs w:val="22"/>
          <w:lang w:val="en-AU"/>
        </w:rPr>
        <w:t xml:space="preserve">Extent of area (100m radius of monitoring site) covered by seagrass at </w:t>
      </w:r>
      <w:r w:rsidR="005567C5">
        <w:rPr>
          <w:i/>
          <w:color w:val="000000"/>
          <w:szCs w:val="22"/>
          <w:lang w:val="en-AU"/>
        </w:rPr>
        <w:t>inshore intertidal estuar</w:t>
      </w:r>
      <w:r w:rsidR="003C440C">
        <w:rPr>
          <w:i/>
          <w:color w:val="000000"/>
          <w:szCs w:val="22"/>
          <w:lang w:val="en-AU"/>
        </w:rPr>
        <w:t>y</w:t>
      </w:r>
      <w:r w:rsidR="005567C5">
        <w:rPr>
          <w:i/>
          <w:color w:val="000000"/>
          <w:szCs w:val="22"/>
          <w:lang w:val="en-AU"/>
        </w:rPr>
        <w:t xml:space="preserve"> habitats (</w:t>
      </w:r>
      <w:smartTag w:uri="urn:schemas-microsoft-com:office:smarttags" w:element="place">
        <w:smartTag w:uri="urn:schemas-microsoft-com:office:smarttags" w:element="PlaceName">
          <w:r w:rsidRPr="00370E70">
            <w:rPr>
              <w:i/>
              <w:color w:val="000000"/>
              <w:szCs w:val="22"/>
              <w:lang w:val="en-AU"/>
            </w:rPr>
            <w:t>Rodds</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smartTag>
      <w:r w:rsidRPr="00370E70">
        <w:rPr>
          <w:i/>
          <w:color w:val="000000"/>
          <w:szCs w:val="22"/>
          <w:lang w:val="en-AU"/>
        </w:rPr>
        <w:t xml:space="preserve"> and Urangan</w:t>
      </w:r>
      <w:r w:rsidR="005567C5">
        <w:rPr>
          <w:i/>
          <w:color w:val="000000"/>
          <w:szCs w:val="22"/>
          <w:lang w:val="en-AU"/>
        </w:rPr>
        <w:t>)</w:t>
      </w:r>
      <w:r w:rsidRPr="00370E70">
        <w:rPr>
          <w:i/>
          <w:color w:val="000000"/>
          <w:szCs w:val="22"/>
          <w:lang w:val="en-AU"/>
        </w:rPr>
        <w:t xml:space="preserve"> </w:t>
      </w:r>
      <w:r w:rsidR="005567C5">
        <w:rPr>
          <w:i/>
          <w:color w:val="000000"/>
          <w:szCs w:val="22"/>
          <w:lang w:val="en-AU"/>
        </w:rPr>
        <w:t>in the Burnett Mary region</w:t>
      </w:r>
      <w:r w:rsidRPr="00370E70">
        <w:rPr>
          <w:i/>
          <w:color w:val="000000"/>
          <w:szCs w:val="22"/>
          <w:lang w:val="en-AU"/>
        </w:rPr>
        <w:t>.</w:t>
      </w:r>
      <w:bookmarkEnd w:id="796"/>
      <w:bookmarkEnd w:id="797"/>
    </w:p>
    <w:p w:rsidR="005132EF" w:rsidRPr="00370E70" w:rsidRDefault="005132EF" w:rsidP="00034AD4">
      <w:pPr>
        <w:pStyle w:val="Heading4"/>
        <w:rPr>
          <w:b/>
          <w:color w:val="000000"/>
        </w:rPr>
      </w:pPr>
      <w:bookmarkStart w:id="798" w:name="_Toc184102042"/>
      <w:r w:rsidRPr="00370E70">
        <w:rPr>
          <w:b/>
          <w:color w:val="000000"/>
        </w:rPr>
        <w:t>Seagrass reproductive status</w:t>
      </w:r>
      <w:bookmarkEnd w:id="798"/>
    </w:p>
    <w:p w:rsidR="005132EF" w:rsidRPr="00370E70" w:rsidRDefault="005132EF" w:rsidP="002E5315">
      <w:pPr>
        <w:tabs>
          <w:tab w:val="num" w:pos="284"/>
        </w:tabs>
        <w:rPr>
          <w:color w:val="000000"/>
          <w:szCs w:val="22"/>
          <w:lang w:eastAsia="en-AU"/>
        </w:rPr>
      </w:pPr>
      <w:r w:rsidRPr="00370E70">
        <w:rPr>
          <w:color w:val="000000"/>
          <w:szCs w:val="22"/>
          <w:lang w:eastAsia="en-AU"/>
        </w:rPr>
        <w:t>Seed banks were found for the first time in 5 years across the region (</w:t>
      </w:r>
      <w:r w:rsidRPr="00370E70">
        <w:fldChar w:fldCharType="begin"/>
      </w:r>
      <w:r w:rsidRPr="00370E70">
        <w:instrText xml:space="preserve"> REF _Ref318458630 \h  \* MERGEFORMAT </w:instrText>
      </w:r>
      <w:r w:rsidRPr="00370E70">
        <w:fldChar w:fldCharType="separate"/>
      </w:r>
      <w:r w:rsidR="005B5FD6" w:rsidRPr="005B5FD6">
        <w:rPr>
          <w:szCs w:val="22"/>
        </w:rPr>
        <w:t xml:space="preserve">Figure </w:t>
      </w:r>
      <w:r w:rsidR="005B5FD6">
        <w:rPr>
          <w:noProof/>
          <w:color w:val="000000"/>
          <w:szCs w:val="22"/>
        </w:rPr>
        <w:t>177</w:t>
      </w:r>
      <w:r w:rsidRPr="00370E70">
        <w:fldChar w:fldCharType="end"/>
      </w:r>
      <w:r w:rsidRPr="00370E70">
        <w:rPr>
          <w:color w:val="000000"/>
          <w:szCs w:val="22"/>
          <w:lang w:eastAsia="en-AU"/>
        </w:rPr>
        <w:t xml:space="preserve">). Both seeds banks and evidence of germinated seeds were found in late dry 2011 and late monsoon 2012 at </w:t>
      </w:r>
      <w:smartTag w:uri="urn:schemas-microsoft-com:office:smarttags" w:element="place">
        <w:smartTag w:uri="urn:schemas-microsoft-com:office:smarttags" w:element="PlaceName">
          <w:r w:rsidRPr="00370E70">
            <w:rPr>
              <w:color w:val="000000"/>
              <w:szCs w:val="22"/>
              <w:lang w:eastAsia="en-AU"/>
            </w:rPr>
            <w:t>Rodds</w:t>
          </w:r>
        </w:smartTag>
        <w:r w:rsidRPr="00370E70">
          <w:rPr>
            <w:color w:val="000000"/>
            <w:szCs w:val="22"/>
            <w:lang w:eastAsia="en-AU"/>
          </w:rPr>
          <w:t xml:space="preserve"> </w:t>
        </w:r>
        <w:smartTag w:uri="urn:schemas-microsoft-com:office:smarttags" w:element="PlaceType">
          <w:r w:rsidRPr="00370E70">
            <w:rPr>
              <w:color w:val="000000"/>
              <w:szCs w:val="22"/>
              <w:lang w:eastAsia="en-AU"/>
            </w:rPr>
            <w:t>Bay</w:t>
          </w:r>
        </w:smartTag>
      </w:smartTag>
      <w:r w:rsidRPr="00370E70">
        <w:rPr>
          <w:color w:val="000000"/>
          <w:szCs w:val="22"/>
          <w:lang w:eastAsia="en-AU"/>
        </w:rPr>
        <w:t xml:space="preserve"> sites. In the late monsoon 2012, seeds banks and evidence of germinated seeds were also found at Urangan sites. This is likely a consequence of the improved sampling for </w:t>
      </w:r>
      <w:r w:rsidRPr="00370E70">
        <w:rPr>
          <w:i/>
          <w:color w:val="000000"/>
          <w:szCs w:val="22"/>
          <w:lang w:eastAsia="en-AU"/>
        </w:rPr>
        <w:t xml:space="preserve">Zostera </w:t>
      </w:r>
      <w:r w:rsidR="00145BB9" w:rsidRPr="00370E70">
        <w:rPr>
          <w:i/>
          <w:color w:val="000000"/>
          <w:szCs w:val="22"/>
          <w:lang w:eastAsia="en-AU"/>
        </w:rPr>
        <w:t>muelleri</w:t>
      </w:r>
      <w:r w:rsidRPr="00370E70">
        <w:rPr>
          <w:color w:val="000000"/>
          <w:szCs w:val="22"/>
          <w:lang w:eastAsia="en-AU"/>
        </w:rPr>
        <w:t xml:space="preserve"> seeds using 750ɥm mesh sieves since late monsoon 2011. No </w:t>
      </w:r>
      <w:r w:rsidRPr="00370E70">
        <w:rPr>
          <w:i/>
          <w:color w:val="000000"/>
          <w:szCs w:val="22"/>
          <w:lang w:eastAsia="en-AU"/>
        </w:rPr>
        <w:t>Halodule uninervis</w:t>
      </w:r>
      <w:r w:rsidRPr="00370E70">
        <w:rPr>
          <w:color w:val="000000"/>
          <w:szCs w:val="22"/>
          <w:lang w:eastAsia="en-AU"/>
        </w:rPr>
        <w:t xml:space="preserve"> seeds have been found in the region since monitoring commenced. </w:t>
      </w:r>
    </w:p>
    <w:p w:rsidR="005132EF" w:rsidRPr="00370E70" w:rsidRDefault="005132EF" w:rsidP="00034AD4">
      <w:pPr>
        <w:tabs>
          <w:tab w:val="num" w:pos="284"/>
        </w:tabs>
        <w:rPr>
          <w:color w:val="000000"/>
          <w:szCs w:val="22"/>
          <w:lang w:eastAsia="en-AU"/>
        </w:rPr>
      </w:pPr>
      <w:r w:rsidRPr="00370E70">
        <w:rPr>
          <w:color w:val="000000"/>
          <w:szCs w:val="22"/>
          <w:lang w:eastAsia="en-AU"/>
        </w:rPr>
        <w:t xml:space="preserve">Reproductive effort across the Burnett Mary region was classified as very poor in 2010 </w:t>
      </w:r>
      <w:r w:rsidR="00471FCB" w:rsidRPr="00370E70">
        <w:rPr>
          <w:color w:val="000000"/>
          <w:szCs w:val="22"/>
          <w:lang w:eastAsia="en-AU"/>
        </w:rPr>
        <w:t xml:space="preserve">and remained unchanged throughout 2011/12 </w:t>
      </w:r>
      <w:r w:rsidRPr="00370E70">
        <w:rPr>
          <w:color w:val="000000"/>
          <w:szCs w:val="22"/>
          <w:lang w:eastAsia="en-AU"/>
        </w:rPr>
        <w:t>(</w:t>
      </w:r>
      <w:r w:rsidRPr="00370E70">
        <w:rPr>
          <w:color w:val="000000"/>
        </w:rPr>
        <w:fldChar w:fldCharType="begin"/>
      </w:r>
      <w:r w:rsidRPr="00370E70">
        <w:rPr>
          <w:color w:val="000000"/>
        </w:rPr>
        <w:instrText xml:space="preserve"> REF _Ref318458630 \h  \* MERGEFORMAT </w:instrText>
      </w:r>
      <w:r w:rsidRPr="00370E70">
        <w:rPr>
          <w:color w:val="000000"/>
        </w:rPr>
      </w:r>
      <w:r w:rsidRPr="00370E70">
        <w:rPr>
          <w:color w:val="000000"/>
        </w:rPr>
        <w:fldChar w:fldCharType="separate"/>
      </w:r>
      <w:r w:rsidR="005B5FD6" w:rsidRPr="005B5FD6">
        <w:rPr>
          <w:szCs w:val="22"/>
        </w:rPr>
        <w:t xml:space="preserve">Figure </w:t>
      </w:r>
      <w:r w:rsidR="005B5FD6">
        <w:rPr>
          <w:noProof/>
          <w:color w:val="000000"/>
          <w:szCs w:val="22"/>
        </w:rPr>
        <w:t>177</w:t>
      </w:r>
      <w:r w:rsidRPr="00370E70">
        <w:rPr>
          <w:color w:val="000000"/>
        </w:rPr>
        <w:fldChar w:fldCharType="end"/>
      </w:r>
      <w:r w:rsidRPr="00370E70">
        <w:rPr>
          <w:color w:val="000000"/>
          <w:szCs w:val="22"/>
          <w:lang w:eastAsia="en-AU"/>
        </w:rPr>
        <w:t xml:space="preserve">). This suggests that </w:t>
      </w:r>
      <w:r w:rsidR="00471FCB" w:rsidRPr="00370E70">
        <w:rPr>
          <w:color w:val="000000"/>
          <w:szCs w:val="22"/>
          <w:lang w:eastAsia="en-AU"/>
        </w:rPr>
        <w:t>meadows</w:t>
      </w:r>
      <w:r w:rsidRPr="00370E70">
        <w:rPr>
          <w:color w:val="000000"/>
          <w:szCs w:val="22"/>
          <w:lang w:eastAsia="en-AU"/>
        </w:rPr>
        <w:t xml:space="preserve"> within the region will take longer to recover following disturbance and may be at risk from repeated impacts</w:t>
      </w:r>
      <w:r w:rsidRPr="00370E70">
        <w:rPr>
          <w:color w:val="000000"/>
          <w:szCs w:val="22"/>
        </w:rPr>
        <w:t>.</w:t>
      </w:r>
    </w:p>
    <w:p w:rsidR="005132EF" w:rsidRPr="00370E70" w:rsidRDefault="007B15AB" w:rsidP="00DA7131">
      <w:pPr>
        <w:keepNext/>
        <w:spacing w:after="0"/>
        <w:jc w:val="center"/>
        <w:rPr>
          <w:noProof/>
          <w:lang w:eastAsia="en-AU"/>
        </w:rPr>
      </w:pPr>
      <w:r>
        <w:rPr>
          <w:noProof/>
          <w:lang w:eastAsia="en-AU"/>
        </w:rPr>
        <w:drawing>
          <wp:inline distT="0" distB="0" distL="0" distR="0">
            <wp:extent cx="4314190" cy="1558290"/>
            <wp:effectExtent l="0" t="0" r="0" b="3810"/>
            <wp:docPr id="228" name="Picture 219" descr="Graph of estuary habitat seed banks and germinated seed abundance 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Graph of estuary habitat seed banks and germinated seed abundance in the Burnett Mary region"/>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4314190" cy="1558290"/>
                    </a:xfrm>
                    <a:prstGeom prst="rect">
                      <a:avLst/>
                    </a:prstGeom>
                    <a:noFill/>
                    <a:ln>
                      <a:noFill/>
                    </a:ln>
                  </pic:spPr>
                </pic:pic>
              </a:graphicData>
            </a:graphic>
          </wp:inline>
        </w:drawing>
      </w:r>
    </w:p>
    <w:p w:rsidR="00DA7131" w:rsidRPr="00370E70" w:rsidRDefault="00DA7131" w:rsidP="00DA7131">
      <w:pPr>
        <w:keepNext/>
        <w:tabs>
          <w:tab w:val="left" w:pos="2694"/>
        </w:tabs>
        <w:spacing w:before="0" w:after="0"/>
        <w:rPr>
          <w:rFonts w:ascii="Arial" w:hAnsi="Arial" w:cs="Arial"/>
          <w:b/>
          <w:sz w:val="14"/>
          <w:szCs w:val="14"/>
        </w:rPr>
      </w:pPr>
      <w:r w:rsidRPr="00370E70">
        <w:rPr>
          <w:rFonts w:ascii="Arial" w:hAnsi="Arial" w:cs="Arial"/>
          <w:b/>
          <w:noProof/>
          <w:sz w:val="14"/>
          <w:szCs w:val="14"/>
          <w:lang w:eastAsia="en-AU"/>
        </w:rPr>
        <w:tab/>
        <w:t>c.</w:t>
      </w:r>
    </w:p>
    <w:p w:rsidR="005132EF" w:rsidRPr="00370E70" w:rsidRDefault="007B15AB" w:rsidP="00DA7131">
      <w:pPr>
        <w:keepNext/>
        <w:tabs>
          <w:tab w:val="num" w:pos="284"/>
        </w:tabs>
        <w:spacing w:before="0" w:after="0"/>
        <w:jc w:val="center"/>
      </w:pPr>
      <w:r>
        <w:rPr>
          <w:noProof/>
          <w:lang w:eastAsia="en-AU"/>
        </w:rPr>
        <w:drawing>
          <wp:inline distT="0" distB="0" distL="0" distR="0">
            <wp:extent cx="2163445" cy="1597025"/>
            <wp:effectExtent l="0" t="0" r="0" b="3175"/>
            <wp:docPr id="229" name="Picture 252" descr="Graph of estuary habitat reproductive effort 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Graph of estuary habitat reproductive effort in the Burnett Mary region"/>
                    <pic:cNvPicPr>
                      <a:picLocks noChangeAspect="1" noChangeArrowheads="1"/>
                    </pic:cNvPicPr>
                  </pic:nvPicPr>
                  <pic:blipFill>
                    <a:blip r:embed="rId255">
                      <a:extLst>
                        <a:ext uri="{28A0092B-C50C-407E-A947-70E740481C1C}">
                          <a14:useLocalDpi xmlns:a14="http://schemas.microsoft.com/office/drawing/2010/main" val="0"/>
                        </a:ext>
                      </a:extLst>
                    </a:blip>
                    <a:srcRect t="2689" b="8066"/>
                    <a:stretch>
                      <a:fillRect/>
                    </a:stretch>
                  </pic:blipFill>
                  <pic:spPr bwMode="auto">
                    <a:xfrm>
                      <a:off x="0" y="0"/>
                      <a:ext cx="2163445" cy="1597025"/>
                    </a:xfrm>
                    <a:prstGeom prst="rect">
                      <a:avLst/>
                    </a:prstGeom>
                    <a:noFill/>
                    <a:ln>
                      <a:noFill/>
                    </a:ln>
                  </pic:spPr>
                </pic:pic>
              </a:graphicData>
            </a:graphic>
          </wp:inline>
        </w:drawing>
      </w:r>
    </w:p>
    <w:p w:rsidR="00DA7131" w:rsidRPr="00370E70" w:rsidRDefault="005132EF" w:rsidP="00DA7131">
      <w:pPr>
        <w:pStyle w:val="Caption"/>
        <w:rPr>
          <w:i/>
          <w:vanish/>
          <w:lang w:val="en-AU"/>
          <w:specVanish/>
        </w:rPr>
      </w:pPr>
      <w:bookmarkStart w:id="799" w:name="_Ref318458630"/>
      <w:bookmarkStart w:id="800" w:name="_Toc384196524"/>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177</w:t>
      </w:r>
      <w:r w:rsidRPr="00370E70">
        <w:rPr>
          <w:color w:val="000000"/>
          <w:szCs w:val="22"/>
          <w:lang w:val="en-AU"/>
        </w:rPr>
        <w:fldChar w:fldCharType="end"/>
      </w:r>
      <w:bookmarkEnd w:id="799"/>
      <w:r w:rsidRPr="00370E70">
        <w:rPr>
          <w:rStyle w:val="StyleCaptionCaptionCharCharLatinCalibri11ptBlackChar"/>
          <w:lang w:val="en-AU"/>
        </w:rPr>
        <w:t xml:space="preserve">. </w:t>
      </w:r>
      <w:r w:rsidR="005567C5" w:rsidRPr="003C440C">
        <w:rPr>
          <w:rStyle w:val="StyleCaptionCaptionCharCharLatinCalibri11ptBlackChar"/>
          <w:i/>
          <w:lang w:val="en-AU"/>
        </w:rPr>
        <w:t>Inshore intertidal</w:t>
      </w:r>
      <w:r w:rsidR="005567C5">
        <w:rPr>
          <w:rStyle w:val="StyleCaptionCaptionCharCharLatinCalibri11ptBlackChar"/>
          <w:lang w:val="en-AU"/>
        </w:rPr>
        <w:t xml:space="preserve"> e</w:t>
      </w:r>
      <w:r w:rsidR="00DA7131" w:rsidRPr="00370E70">
        <w:rPr>
          <w:i/>
          <w:lang w:val="en-AU"/>
        </w:rPr>
        <w:t>stuary habitat s</w:t>
      </w:r>
      <w:r w:rsidRPr="00370E70">
        <w:rPr>
          <w:i/>
          <w:color w:val="000000"/>
          <w:szCs w:val="22"/>
          <w:lang w:val="en-AU"/>
        </w:rPr>
        <w:t>eed bank</w:t>
      </w:r>
      <w:r w:rsidR="00DA7131" w:rsidRPr="00370E70">
        <w:rPr>
          <w:i/>
          <w:color w:val="000000"/>
          <w:szCs w:val="22"/>
          <w:lang w:val="en-AU"/>
        </w:rPr>
        <w:t>s</w:t>
      </w:r>
      <w:r w:rsidRPr="00370E70">
        <w:rPr>
          <w:i/>
          <w:color w:val="000000"/>
          <w:szCs w:val="22"/>
          <w:lang w:val="en-AU"/>
        </w:rPr>
        <w:t xml:space="preserve"> (a)</w:t>
      </w:r>
      <w:r w:rsidR="00DA7131" w:rsidRPr="00370E70">
        <w:rPr>
          <w:i/>
          <w:color w:val="000000"/>
          <w:szCs w:val="22"/>
          <w:lang w:val="en-AU"/>
        </w:rPr>
        <w:t>,</w:t>
      </w:r>
      <w:r w:rsidRPr="00370E70">
        <w:rPr>
          <w:i/>
          <w:color w:val="000000"/>
          <w:szCs w:val="22"/>
          <w:lang w:val="en-AU"/>
        </w:rPr>
        <w:t xml:space="preserve"> germinated seed abundance (b) </w:t>
      </w:r>
      <w:r w:rsidR="00DA7131" w:rsidRPr="00370E70">
        <w:rPr>
          <w:i/>
          <w:lang w:val="en-AU"/>
        </w:rPr>
        <w:t xml:space="preserve">and total reproductive effort (c) </w:t>
      </w:r>
      <w:r w:rsidRPr="00370E70">
        <w:rPr>
          <w:i/>
          <w:color w:val="000000"/>
          <w:szCs w:val="22"/>
          <w:lang w:val="en-AU"/>
        </w:rPr>
        <w:t>in the Burnett Mary region</w:t>
      </w:r>
      <w:r w:rsidR="00DA7131" w:rsidRPr="00370E70">
        <w:rPr>
          <w:i/>
          <w:color w:val="000000"/>
          <w:szCs w:val="22"/>
          <w:lang w:val="en-AU"/>
        </w:rPr>
        <w:t>.</w:t>
      </w:r>
      <w:bookmarkEnd w:id="800"/>
      <w:r w:rsidRPr="00370E70">
        <w:rPr>
          <w:i/>
          <w:color w:val="000000"/>
          <w:szCs w:val="22"/>
          <w:lang w:val="en-AU"/>
        </w:rPr>
        <w:t xml:space="preserve"> </w:t>
      </w:r>
    </w:p>
    <w:p w:rsidR="00DA7131" w:rsidRPr="00370E70" w:rsidRDefault="00DA7131" w:rsidP="00DA7131">
      <w:pPr>
        <w:pStyle w:val="Caption"/>
        <w:rPr>
          <w:i/>
          <w:lang w:val="en-AU"/>
        </w:rPr>
      </w:pPr>
      <w:r w:rsidRPr="00370E70">
        <w:rPr>
          <w:i/>
          <w:lang w:val="en-AU"/>
        </w:rPr>
        <w:t>Seed bank presented as the total number of seeds per m</w:t>
      </w:r>
      <w:r w:rsidRPr="00370E70">
        <w:rPr>
          <w:i/>
          <w:vertAlign w:val="superscript"/>
          <w:lang w:val="en-AU"/>
        </w:rPr>
        <w:t>2</w:t>
      </w:r>
      <w:r w:rsidRPr="00370E70">
        <w:rPr>
          <w:i/>
          <w:lang w:val="en-AU"/>
        </w:rPr>
        <w:t xml:space="preserve"> sediment surface and reproductive effort presented as the average number of reproductive structures per core (all species pooled). </w:t>
      </w:r>
    </w:p>
    <w:p w:rsidR="00DA7131" w:rsidRPr="00370E70" w:rsidRDefault="00DA7131" w:rsidP="00DA7131"/>
    <w:p w:rsidR="005132EF" w:rsidRPr="00370E70" w:rsidRDefault="005132EF" w:rsidP="00464632">
      <w:pPr>
        <w:pStyle w:val="Heading3"/>
        <w:rPr>
          <w:color w:val="000000"/>
        </w:rPr>
      </w:pPr>
      <w:bookmarkStart w:id="801" w:name="_Toc384196155"/>
      <w:r w:rsidRPr="00370E70">
        <w:rPr>
          <w:color w:val="000000"/>
        </w:rPr>
        <w:lastRenderedPageBreak/>
        <w:t>Status of the seagrass environment</w:t>
      </w:r>
      <w:bookmarkEnd w:id="801"/>
    </w:p>
    <w:p w:rsidR="005132EF" w:rsidRPr="00370E70" w:rsidRDefault="005132EF" w:rsidP="00464632">
      <w:pPr>
        <w:pStyle w:val="Heading4"/>
        <w:rPr>
          <w:b/>
          <w:iCs/>
          <w:color w:val="000000"/>
        </w:rPr>
      </w:pPr>
      <w:r w:rsidRPr="00370E70">
        <w:rPr>
          <w:b/>
          <w:iCs/>
          <w:color w:val="000000"/>
        </w:rPr>
        <w:t>Seagrass tissue nutrients</w:t>
      </w:r>
    </w:p>
    <w:p w:rsidR="005132EF" w:rsidRPr="00370E70" w:rsidRDefault="005132EF" w:rsidP="00034AD4">
      <w:pPr>
        <w:rPr>
          <w:rFonts w:cs="TimesNewRoman,Italic"/>
          <w:iCs/>
          <w:szCs w:val="22"/>
        </w:rPr>
      </w:pPr>
      <w:r w:rsidRPr="00370E70">
        <w:rPr>
          <w:rFonts w:cs="TimesNewRoman,Italic"/>
          <w:iCs/>
          <w:szCs w:val="22"/>
        </w:rPr>
        <w:t>In 2011, C</w:t>
      </w:r>
      <w:proofErr w:type="gramStart"/>
      <w:r w:rsidRPr="00370E70">
        <w:rPr>
          <w:rFonts w:cs="TimesNewRoman,Italic"/>
          <w:iCs/>
          <w:szCs w:val="22"/>
        </w:rPr>
        <w:t>:N</w:t>
      </w:r>
      <w:proofErr w:type="gramEnd"/>
      <w:r w:rsidRPr="00370E70">
        <w:rPr>
          <w:rFonts w:cs="TimesNewRoman,Italic"/>
          <w:iCs/>
          <w:szCs w:val="22"/>
        </w:rPr>
        <w:t xml:space="preserve"> ratios remained below 20 for both </w:t>
      </w:r>
      <w:smartTag w:uri="urn:schemas-microsoft-com:office:smarttags" w:element="PlaceName">
        <w:r w:rsidRPr="00370E70">
          <w:rPr>
            <w:rFonts w:cs="TimesNewRoman,Italic"/>
            <w:iCs/>
            <w:szCs w:val="22"/>
          </w:rPr>
          <w:t>Rodds</w:t>
        </w:r>
      </w:smartTag>
      <w:r w:rsidRPr="00370E70">
        <w:rPr>
          <w:rFonts w:cs="TimesNewRoman,Italic"/>
          <w:iCs/>
          <w:szCs w:val="22"/>
        </w:rPr>
        <w:t xml:space="preserve"> </w:t>
      </w:r>
      <w:smartTag w:uri="urn:schemas-microsoft-com:office:smarttags" w:element="PlaceType">
        <w:r w:rsidRPr="00370E70">
          <w:rPr>
            <w:rFonts w:cs="TimesNewRoman,Italic"/>
            <w:iCs/>
            <w:szCs w:val="22"/>
          </w:rPr>
          <w:t>Bay</w:t>
        </w:r>
      </w:smartTag>
      <w:r w:rsidRPr="00370E70">
        <w:rPr>
          <w:rFonts w:cs="TimesNewRoman,Italic"/>
          <w:iCs/>
          <w:szCs w:val="22"/>
        </w:rPr>
        <w:t xml:space="preserve"> and Urangan (</w:t>
      </w:r>
      <w:smartTag w:uri="urn:schemas-microsoft-com:office:smarttags" w:element="place">
        <w:smartTag w:uri="urn:schemas-microsoft-com:office:smarttags" w:element="PlaceName">
          <w:r w:rsidRPr="00370E70">
            <w:rPr>
              <w:rFonts w:cs="TimesNewRoman,Italic"/>
              <w:iCs/>
              <w:szCs w:val="22"/>
            </w:rPr>
            <w:t>Hervey</w:t>
          </w:r>
        </w:smartTag>
        <w:r w:rsidRPr="00370E70">
          <w:rPr>
            <w:rFonts w:cs="TimesNewRoman,Italic"/>
            <w:iCs/>
            <w:szCs w:val="22"/>
          </w:rPr>
          <w:t xml:space="preserve"> </w:t>
        </w:r>
        <w:smartTag w:uri="urn:schemas-microsoft-com:office:smarttags" w:element="PlaceType">
          <w:r w:rsidRPr="00370E70">
            <w:rPr>
              <w:rFonts w:cs="TimesNewRoman,Italic"/>
              <w:iCs/>
              <w:szCs w:val="22"/>
            </w:rPr>
            <w:t>Bay</w:t>
          </w:r>
        </w:smartTag>
      </w:smartTag>
      <w:r w:rsidRPr="00370E70">
        <w:rPr>
          <w:rFonts w:cs="TimesNewRoman,Italic"/>
          <w:iCs/>
          <w:szCs w:val="22"/>
        </w:rPr>
        <w:t>) (</w:t>
      </w:r>
      <w:r w:rsidRPr="00370E70">
        <w:fldChar w:fldCharType="begin"/>
      </w:r>
      <w:r w:rsidRPr="00370E70">
        <w:instrText xml:space="preserve"> REF _Ref271135628 \h  \* MERGEFORMAT </w:instrText>
      </w:r>
      <w:r w:rsidRPr="00370E70">
        <w:fldChar w:fldCharType="separate"/>
      </w:r>
      <w:r w:rsidR="005B5FD6" w:rsidRPr="005B5FD6">
        <w:rPr>
          <w:szCs w:val="22"/>
        </w:rPr>
        <w:t xml:space="preserve">Figure </w:t>
      </w:r>
      <w:r w:rsidR="005B5FD6" w:rsidRPr="005B5FD6">
        <w:rPr>
          <w:noProof/>
          <w:szCs w:val="22"/>
        </w:rPr>
        <w:t>178</w:t>
      </w:r>
      <w:r w:rsidRPr="00370E70">
        <w:fldChar w:fldCharType="end"/>
      </w:r>
      <w:r w:rsidRPr="00370E70">
        <w:rPr>
          <w:rFonts w:cs="TimesNewRoman,Italic"/>
          <w:iCs/>
          <w:szCs w:val="22"/>
        </w:rPr>
        <w:t xml:space="preserve">), indicative of either a low light environment or increasing N pool. </w:t>
      </w:r>
    </w:p>
    <w:p w:rsidR="005132EF" w:rsidRPr="00370E70" w:rsidRDefault="007B15AB" w:rsidP="00FD7DCB">
      <w:pPr>
        <w:keepNext/>
        <w:jc w:val="center"/>
        <w:rPr>
          <w:color w:val="000000"/>
        </w:rPr>
      </w:pPr>
      <w:r>
        <w:rPr>
          <w:noProof/>
          <w:color w:val="000000"/>
          <w:lang w:eastAsia="en-AU"/>
        </w:rPr>
        <w:drawing>
          <wp:inline distT="0" distB="0" distL="0" distR="0">
            <wp:extent cx="4314190" cy="1996440"/>
            <wp:effectExtent l="0" t="0" r="0" b="3810"/>
            <wp:docPr id="230" name="Picture 222" descr="Graph showing the long-term trends in elemental ratios (atomic) of seagrass leaf tissue C:N for the foundation seagrass species examined at each habitat in the Burnett Mary region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Graph showing the long-term trends in elemental ratios (atomic) of seagrass leaf tissue C:N for the foundation seagrass species examined at each habitat in the Burnett Mary region each year"/>
                    <pic:cNvPicPr>
                      <a:picLocks noChangeAspect="1" noChangeArrowheads="1"/>
                    </pic:cNvPicPr>
                  </pic:nvPicPr>
                  <pic:blipFill>
                    <a:blip r:embed="rId256" cstate="print">
                      <a:extLst>
                        <a:ext uri="{28A0092B-C50C-407E-A947-70E740481C1C}">
                          <a14:useLocalDpi xmlns:a14="http://schemas.microsoft.com/office/drawing/2010/main" val="0"/>
                        </a:ext>
                      </a:extLst>
                    </a:blip>
                    <a:srcRect t="14374" r="4233" b="4274"/>
                    <a:stretch>
                      <a:fillRect/>
                    </a:stretch>
                  </pic:blipFill>
                  <pic:spPr bwMode="auto">
                    <a:xfrm>
                      <a:off x="0" y="0"/>
                      <a:ext cx="4314190" cy="1996440"/>
                    </a:xfrm>
                    <a:prstGeom prst="rect">
                      <a:avLst/>
                    </a:prstGeom>
                    <a:noFill/>
                    <a:ln>
                      <a:noFill/>
                    </a:ln>
                  </pic:spPr>
                </pic:pic>
              </a:graphicData>
            </a:graphic>
          </wp:inline>
        </w:drawing>
      </w:r>
    </w:p>
    <w:p w:rsidR="00A62B1C" w:rsidRPr="00370E70" w:rsidRDefault="005132EF" w:rsidP="00A62B1C">
      <w:pPr>
        <w:pStyle w:val="Caption"/>
        <w:rPr>
          <w:i/>
          <w:vanish/>
          <w:color w:val="000000"/>
          <w:szCs w:val="22"/>
          <w:lang w:val="en-AU"/>
          <w:specVanish/>
        </w:rPr>
      </w:pPr>
      <w:bookmarkStart w:id="802" w:name="_Ref271135628"/>
      <w:bookmarkStart w:id="803" w:name="_Toc384196525"/>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178</w:t>
      </w:r>
      <w:r w:rsidRPr="00370E70">
        <w:rPr>
          <w:lang w:val="en-AU"/>
        </w:rPr>
        <w:fldChar w:fldCharType="end"/>
      </w:r>
      <w:bookmarkEnd w:id="802"/>
      <w:r w:rsidRPr="00370E70">
        <w:rPr>
          <w:rStyle w:val="StyleCaptionCaptionCharCharLatinCalibri11ptBlackChar"/>
          <w:lang w:val="en-AU"/>
        </w:rPr>
        <w:t xml:space="preserve">. </w:t>
      </w:r>
      <w:r w:rsidRPr="00370E70">
        <w:rPr>
          <w:i/>
          <w:lang w:val="en-AU" w:eastAsia="en-AU"/>
        </w:rPr>
        <w:t xml:space="preserve">Elemental ratios (atomic) of seagrass leaf tissue C:N for </w:t>
      </w:r>
      <w:r w:rsidRPr="00370E70">
        <w:rPr>
          <w:i/>
          <w:lang w:val="en-AU"/>
        </w:rPr>
        <w:t xml:space="preserve">the foundation seagrass species examined at each </w:t>
      </w:r>
      <w:r w:rsidR="003C440C">
        <w:rPr>
          <w:i/>
          <w:lang w:val="en-AU"/>
        </w:rPr>
        <w:t xml:space="preserve">inshore intertidal estuary </w:t>
      </w:r>
      <w:r w:rsidRPr="00370E70">
        <w:rPr>
          <w:i/>
          <w:lang w:val="en-AU"/>
        </w:rPr>
        <w:t>habitat in the Burnett Mary region</w:t>
      </w:r>
      <w:r w:rsidRPr="00370E70">
        <w:rPr>
          <w:i/>
          <w:lang w:val="en-AU" w:eastAsia="en-AU"/>
        </w:rPr>
        <w:t xml:space="preserve"> each year</w:t>
      </w:r>
      <w:bookmarkEnd w:id="803"/>
    </w:p>
    <w:p w:rsidR="00A62B1C" w:rsidRPr="00370E70" w:rsidRDefault="005132EF" w:rsidP="00A62B1C">
      <w:pPr>
        <w:pStyle w:val="Caption"/>
        <w:rPr>
          <w:i/>
          <w:lang w:val="en-AU"/>
        </w:rPr>
      </w:pPr>
      <w:r w:rsidRPr="00370E70">
        <w:rPr>
          <w:i/>
          <w:lang w:val="en-AU" w:eastAsia="en-AU"/>
        </w:rPr>
        <w:t xml:space="preserve"> (species pooled) </w:t>
      </w:r>
      <w:r w:rsidRPr="00370E70">
        <w:rPr>
          <w:i/>
          <w:lang w:val="en-AU"/>
        </w:rPr>
        <w:t>(mean</w:t>
      </w:r>
      <w:r w:rsidRPr="00370E70">
        <w:rPr>
          <w:i/>
          <w:lang w:val="en-AU" w:eastAsia="en-AU"/>
        </w:rPr>
        <w:t xml:space="preserve"> ± Standard Error</w:t>
      </w:r>
      <w:r w:rsidRPr="00370E70">
        <w:rPr>
          <w:i/>
          <w:lang w:val="en-AU"/>
        </w:rPr>
        <w:t>)</w:t>
      </w:r>
      <w:r w:rsidRPr="00370E70">
        <w:rPr>
          <w:i/>
          <w:lang w:val="en-AU" w:eastAsia="en-AU"/>
        </w:rPr>
        <w:t xml:space="preserve">. Horizontal shaded band on the C:N ratio panel represents the accepted </w:t>
      </w:r>
      <w:r w:rsidRPr="00370E70">
        <w:rPr>
          <w:i/>
          <w:lang w:val="en-AU"/>
        </w:rPr>
        <w:t xml:space="preserve">guideline </w:t>
      </w:r>
      <w:r w:rsidRPr="00370E70">
        <w:rPr>
          <w:i/>
          <w:lang w:val="en-AU" w:eastAsia="en-AU"/>
        </w:rPr>
        <w:t xml:space="preserve">seagrass “Redfield” ratio </w:t>
      </w:r>
      <w:r w:rsidRPr="00370E70">
        <w:rPr>
          <w:i/>
          <w:lang w:val="en-AU"/>
        </w:rPr>
        <w:t xml:space="preserve">of 20:1 </w:t>
      </w:r>
      <w:r w:rsidR="00A62B1C" w:rsidRPr="00370E70">
        <w:rPr>
          <w:i/>
          <w:lang w:val="en-AU"/>
        </w:rPr>
        <w:t>(</w:t>
      </w:r>
      <w:r w:rsidR="00A62B1C"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 </w:instrText>
      </w:r>
      <w:r w:rsidR="00126051" w:rsidRPr="00370E70">
        <w:rPr>
          <w:i/>
          <w:lang w:val="en-AU"/>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PkdyaWNlLCBBLiBNLjwvYXV0aG9yPjxhdXRob3I+TG9uZXJhZ2FuLCBOLiBSLjwvYXV0aG9yPjxh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</w:fldData>
        </w:fldChar>
      </w:r>
      <w:r w:rsidR="00126051" w:rsidRPr="00370E70">
        <w:rPr>
          <w:i/>
          <w:lang w:val="en-AU"/>
        </w:rPr>
        <w:instrText xml:space="preserve"> ADDIN EN.CITE.DATA </w:instrText>
      </w:r>
      <w:r w:rsidR="00126051" w:rsidRPr="00370E70">
        <w:rPr>
          <w:i/>
          <w:lang w:val="en-AU"/>
        </w:rPr>
      </w:r>
      <w:r w:rsidR="00126051" w:rsidRPr="00370E70">
        <w:rPr>
          <w:i/>
          <w:lang w:val="en-AU"/>
        </w:rPr>
        <w:fldChar w:fldCharType="end"/>
      </w:r>
      <w:r w:rsidR="00A62B1C" w:rsidRPr="00370E70">
        <w:rPr>
          <w:i/>
          <w:lang w:val="en-AU"/>
        </w:rPr>
      </w:r>
      <w:r w:rsidR="00A62B1C" w:rsidRPr="00370E70">
        <w:rPr>
          <w:i/>
          <w:lang w:val="en-AU"/>
        </w:rPr>
        <w:fldChar w:fldCharType="separate"/>
      </w:r>
      <w:hyperlink w:anchor="_ENREF_3" w:tooltip="Abal, 1994 #7405" w:history="1">
        <w:r w:rsidR="00964A70" w:rsidRPr="00370E70">
          <w:rPr>
            <w:i/>
            <w:noProof/>
            <w:lang w:val="en-AU"/>
          </w:rPr>
          <w:t>Abal, et al. 1994</w:t>
        </w:r>
      </w:hyperlink>
      <w:r w:rsidR="00126051" w:rsidRPr="00370E70">
        <w:rPr>
          <w:i/>
          <w:noProof/>
          <w:lang w:val="en-AU"/>
        </w:rPr>
        <w:t xml:space="preserve">; </w:t>
      </w:r>
      <w:hyperlink w:anchor="_ENREF_93" w:tooltip="Grice, 1996 #1346" w:history="1">
        <w:r w:rsidR="00964A70" w:rsidRPr="00370E70">
          <w:rPr>
            <w:i/>
            <w:noProof/>
            <w:lang w:val="en-AU"/>
          </w:rPr>
          <w:t>Grice, et al. 1996</w:t>
        </w:r>
      </w:hyperlink>
      <w:r w:rsidR="00A62B1C" w:rsidRPr="00370E70">
        <w:rPr>
          <w:i/>
          <w:lang w:val="en-AU"/>
        </w:rPr>
        <w:fldChar w:fldCharType="end"/>
      </w:r>
      <w:r w:rsidR="00A62B1C" w:rsidRPr="00370E70">
        <w:rPr>
          <w:i/>
          <w:lang w:val="en-AU"/>
        </w:rPr>
        <w:t>)</w:t>
      </w:r>
      <w:r w:rsidRPr="00370E70">
        <w:rPr>
          <w:i/>
          <w:lang w:val="en-AU" w:eastAsia="en-AU"/>
        </w:rPr>
        <w:t xml:space="preserve">. C:N ratios below this line may </w:t>
      </w:r>
      <w:r w:rsidRPr="00370E70">
        <w:rPr>
          <w:i/>
          <w:lang w:val="en-AU"/>
        </w:rPr>
        <w:t>indicate reduced light availability</w:t>
      </w:r>
      <w:r w:rsidR="003C440C">
        <w:rPr>
          <w:i/>
          <w:lang w:val="en-AU"/>
        </w:rPr>
        <w:t xml:space="preserve"> and/or N enrichment</w:t>
      </w:r>
      <w:r w:rsidRPr="00370E70">
        <w:rPr>
          <w:i/>
          <w:lang w:val="en-AU"/>
        </w:rPr>
        <w:t>.</w:t>
      </w:r>
      <w:r w:rsidR="00A62B1C" w:rsidRPr="00370E70">
        <w:rPr>
          <w:i/>
          <w:lang w:val="en-AU"/>
        </w:rPr>
        <w:t xml:space="preserve"> </w:t>
      </w:r>
    </w:p>
    <w:p w:rsidR="005132EF" w:rsidRPr="00370E70" w:rsidRDefault="005132EF" w:rsidP="00034AD4">
      <w:pPr>
        <w:rPr>
          <w:rFonts w:cs="TimesNewRoman,Italic"/>
          <w:iCs/>
          <w:color w:val="000000"/>
          <w:szCs w:val="22"/>
        </w:rPr>
      </w:pPr>
      <w:r w:rsidRPr="00370E70">
        <w:rPr>
          <w:rFonts w:cs="TimesNewRoman,Italic"/>
          <w:iCs/>
          <w:color w:val="000000"/>
          <w:szCs w:val="22"/>
        </w:rPr>
        <w:t>The late dry season 2011 C</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of seagrass remained below 500 at </w:t>
      </w:r>
      <w:smartTag w:uri="urn:schemas-microsoft-com:office:smarttags" w:element="place">
        <w:smartTag w:uri="urn:schemas-microsoft-com:office:smarttags" w:element="PlaceName">
          <w:r w:rsidRPr="00370E70">
            <w:rPr>
              <w:rFonts w:cs="TimesNewRoman,Italic"/>
              <w:iCs/>
              <w:color w:val="000000"/>
              <w:szCs w:val="22"/>
            </w:rPr>
            <w:t>Rodds</w:t>
          </w:r>
        </w:smartTag>
        <w:r w:rsidRPr="00370E70">
          <w:rPr>
            <w:rFonts w:cs="TimesNewRoman,Italic"/>
            <w:iCs/>
            <w:color w:val="000000"/>
            <w:szCs w:val="22"/>
          </w:rPr>
          <w:t xml:space="preserve"> </w:t>
        </w:r>
        <w:smartTag w:uri="urn:schemas-microsoft-com:office:smarttags" w:element="PlaceType">
          <w:r w:rsidRPr="00370E70">
            <w:rPr>
              <w:rFonts w:cs="TimesNewRoman,Italic"/>
              <w:iCs/>
              <w:color w:val="000000"/>
              <w:szCs w:val="22"/>
            </w:rPr>
            <w:t>Bay</w:t>
          </w:r>
        </w:smartTag>
      </w:smartTag>
      <w:r w:rsidRPr="00370E70">
        <w:rPr>
          <w:rFonts w:cs="TimesNewRoman,Italic"/>
          <w:iCs/>
          <w:color w:val="000000"/>
          <w:szCs w:val="22"/>
        </w:rPr>
        <w:t>, indicating a nutrient rich environment with a relatively large P pool (</w:t>
      </w:r>
      <w:r w:rsidRPr="00370E70">
        <w:fldChar w:fldCharType="begin"/>
      </w:r>
      <w:r w:rsidRPr="00370E70">
        <w:instrText xml:space="preserve"> REF _Ref236801085 \h  \* MERGEFORMAT </w:instrText>
      </w:r>
      <w:r w:rsidRPr="00370E70">
        <w:fldChar w:fldCharType="separate"/>
      </w:r>
      <w:r w:rsidR="005B5FD6" w:rsidRPr="00370E70">
        <w:rPr>
          <w:color w:val="000000"/>
          <w:szCs w:val="22"/>
        </w:rPr>
        <w:t xml:space="preserve">Figure </w:t>
      </w:r>
      <w:r w:rsidR="005B5FD6">
        <w:rPr>
          <w:noProof/>
          <w:color w:val="000000"/>
          <w:szCs w:val="22"/>
        </w:rPr>
        <w:t>179</w:t>
      </w:r>
      <w:r w:rsidRPr="00370E70">
        <w:fldChar w:fldCharType="end"/>
      </w:r>
      <w:r w:rsidRPr="00370E70">
        <w:rPr>
          <w:rFonts w:cs="TimesNewRoman,Italic"/>
          <w:iCs/>
          <w:color w:val="000000"/>
          <w:szCs w:val="22"/>
        </w:rPr>
        <w:t xml:space="preserve">). At Urangan in </w:t>
      </w:r>
      <w:r w:rsidR="002C6536" w:rsidRPr="00370E70">
        <w:rPr>
          <w:rFonts w:cs="TimesNewRoman,Italic"/>
          <w:iCs/>
          <w:color w:val="000000"/>
          <w:szCs w:val="22"/>
        </w:rPr>
        <w:t>the</w:t>
      </w:r>
      <w:r w:rsidRPr="00370E70">
        <w:rPr>
          <w:rFonts w:cs="TimesNewRoman,Italic"/>
          <w:iCs/>
          <w:color w:val="000000"/>
          <w:szCs w:val="22"/>
        </w:rPr>
        <w:t xml:space="preserve"> south of the region, C</w:t>
      </w:r>
      <w:proofErr w:type="gramStart"/>
      <w:r w:rsidRPr="00370E70">
        <w:rPr>
          <w:rFonts w:cs="TimesNewRoman,Italic"/>
          <w:iCs/>
          <w:color w:val="000000"/>
          <w:szCs w:val="22"/>
        </w:rPr>
        <w:t>:P</w:t>
      </w:r>
      <w:proofErr w:type="gramEnd"/>
      <w:r w:rsidRPr="00370E70">
        <w:rPr>
          <w:rFonts w:cs="TimesNewRoman,Italic"/>
          <w:iCs/>
          <w:color w:val="000000"/>
          <w:szCs w:val="22"/>
        </w:rPr>
        <w:t xml:space="preserve"> ratios increased, suggested a declining P pool (</w:t>
      </w:r>
      <w:r w:rsidRPr="00370E70">
        <w:fldChar w:fldCharType="begin"/>
      </w:r>
      <w:r w:rsidRPr="00370E70">
        <w:instrText xml:space="preserve"> REF _Ref236801085 \h  \* MERGEFORMAT </w:instrText>
      </w:r>
      <w:r w:rsidRPr="00370E70">
        <w:fldChar w:fldCharType="separate"/>
      </w:r>
      <w:r w:rsidR="005B5FD6" w:rsidRPr="00370E70">
        <w:rPr>
          <w:color w:val="000000"/>
          <w:szCs w:val="22"/>
        </w:rPr>
        <w:t xml:space="preserve">Figure </w:t>
      </w:r>
      <w:r w:rsidR="005B5FD6">
        <w:rPr>
          <w:noProof/>
          <w:color w:val="000000"/>
          <w:szCs w:val="22"/>
        </w:rPr>
        <w:t>179</w:t>
      </w:r>
      <w:r w:rsidRPr="00370E70">
        <w:fldChar w:fldCharType="end"/>
      </w:r>
      <w:r w:rsidRPr="00370E70">
        <w:rPr>
          <w:rFonts w:cs="TimesNewRoman,Italic"/>
          <w:iCs/>
          <w:color w:val="000000"/>
          <w:szCs w:val="22"/>
        </w:rPr>
        <w:t xml:space="preserve">). </w:t>
      </w:r>
      <w:r w:rsidRPr="00370E70">
        <w:rPr>
          <w:color w:val="000000"/>
          <w:szCs w:val="22"/>
          <w:lang w:eastAsia="en-AU"/>
        </w:rPr>
        <w:t>Tissue ratios of N</w:t>
      </w:r>
      <w:proofErr w:type="gramStart"/>
      <w:r w:rsidRPr="00370E70">
        <w:rPr>
          <w:color w:val="000000"/>
          <w:szCs w:val="22"/>
          <w:lang w:eastAsia="en-AU"/>
        </w:rPr>
        <w:t>:P</w:t>
      </w:r>
      <w:proofErr w:type="gramEnd"/>
      <w:r w:rsidRPr="00370E70">
        <w:rPr>
          <w:color w:val="000000"/>
          <w:szCs w:val="22"/>
          <w:lang w:eastAsia="en-AU"/>
        </w:rPr>
        <w:t xml:space="preserve"> ratio either remained stable (</w:t>
      </w:r>
      <w:smartTag w:uri="urn:schemas-microsoft-com:office:smarttags" w:element="place">
        <w:smartTag w:uri="urn:schemas-microsoft-com:office:smarttags" w:element="PlaceName">
          <w:r w:rsidRPr="00370E70">
            <w:rPr>
              <w:color w:val="000000"/>
              <w:szCs w:val="22"/>
              <w:lang w:eastAsia="en-AU"/>
            </w:rPr>
            <w:t>Rodds</w:t>
          </w:r>
        </w:smartTag>
        <w:r w:rsidRPr="00370E70">
          <w:rPr>
            <w:color w:val="000000"/>
            <w:szCs w:val="22"/>
            <w:lang w:eastAsia="en-AU"/>
          </w:rPr>
          <w:t xml:space="preserve"> </w:t>
        </w:r>
        <w:smartTag w:uri="urn:schemas-microsoft-com:office:smarttags" w:element="PlaceType">
          <w:r w:rsidRPr="00370E70">
            <w:rPr>
              <w:color w:val="000000"/>
              <w:szCs w:val="22"/>
              <w:lang w:eastAsia="en-AU"/>
            </w:rPr>
            <w:t>Bay</w:t>
          </w:r>
        </w:smartTag>
      </w:smartTag>
      <w:r w:rsidRPr="00370E70">
        <w:rPr>
          <w:color w:val="000000"/>
          <w:szCs w:val="22"/>
          <w:lang w:eastAsia="en-AU"/>
        </w:rPr>
        <w:t xml:space="preserve">) or increased (Urangan) in 2011 indicating N enrichment </w:t>
      </w:r>
      <w:r w:rsidRPr="00370E70">
        <w:rPr>
          <w:rFonts w:cs="TimesNewRoman,Italic"/>
          <w:iCs/>
          <w:color w:val="000000"/>
          <w:szCs w:val="22"/>
        </w:rPr>
        <w:t>(</w:t>
      </w:r>
      <w:r w:rsidRPr="00370E70">
        <w:fldChar w:fldCharType="begin"/>
      </w:r>
      <w:r w:rsidRPr="00370E70">
        <w:instrText xml:space="preserve"> REF _Ref236801085 \h  \* MERGEFORMAT </w:instrText>
      </w:r>
      <w:r w:rsidRPr="00370E70">
        <w:fldChar w:fldCharType="separate"/>
      </w:r>
      <w:r w:rsidR="005B5FD6" w:rsidRPr="00370E70">
        <w:rPr>
          <w:color w:val="000000"/>
          <w:szCs w:val="22"/>
        </w:rPr>
        <w:t xml:space="preserve">Figure </w:t>
      </w:r>
      <w:r w:rsidR="005B5FD6">
        <w:rPr>
          <w:noProof/>
          <w:color w:val="000000"/>
          <w:szCs w:val="22"/>
        </w:rPr>
        <w:t>179</w:t>
      </w:r>
      <w:r w:rsidRPr="00370E70">
        <w:fldChar w:fldCharType="end"/>
      </w:r>
      <w:r w:rsidRPr="00370E70">
        <w:rPr>
          <w:rFonts w:cs="TimesNewRoman,Italic"/>
          <w:iCs/>
          <w:color w:val="000000"/>
          <w:szCs w:val="22"/>
        </w:rPr>
        <w:t>).</w:t>
      </w:r>
    </w:p>
    <w:p w:rsidR="005132EF" w:rsidRPr="00370E70" w:rsidRDefault="007B15AB" w:rsidP="00034AD4">
      <w:pPr>
        <w:keepNext/>
        <w:jc w:val="center"/>
        <w:rPr>
          <w:color w:val="000000"/>
          <w:szCs w:val="22"/>
        </w:rPr>
      </w:pPr>
      <w:r>
        <w:rPr>
          <w:noProof/>
          <w:color w:val="000000"/>
          <w:lang w:eastAsia="en-AU"/>
        </w:rPr>
        <w:drawing>
          <wp:inline distT="0" distB="0" distL="0" distR="0">
            <wp:extent cx="4327525" cy="3219450"/>
            <wp:effectExtent l="0" t="0" r="0" b="0"/>
            <wp:docPr id="231" name="Picture 223" descr="Graphs showing the long-term trends in elemental ratios (atomic) of seagrass leaf tissue N:P and C:P for the foundation seagrass species examined at each location in the Burnett Mary region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Graphs showing the long-term trends in elemental ratios (atomic) of seagrass leaf tissue N:P and C:P for the foundation seagrass species examined at each location in the Burnett Mary region each year"/>
                    <pic:cNvPicPr>
                      <a:picLocks noChangeAspect="1" noChangeArrowheads="1"/>
                    </pic:cNvPicPr>
                  </pic:nvPicPr>
                  <pic:blipFill>
                    <a:blip r:embed="rId257" cstate="print">
                      <a:extLst>
                        <a:ext uri="{28A0092B-C50C-407E-A947-70E740481C1C}">
                          <a14:useLocalDpi xmlns:a14="http://schemas.microsoft.com/office/drawing/2010/main" val="0"/>
                        </a:ext>
                      </a:extLst>
                    </a:blip>
                    <a:srcRect t="8861" r="3673" b="2666"/>
                    <a:stretch>
                      <a:fillRect/>
                    </a:stretch>
                  </pic:blipFill>
                  <pic:spPr bwMode="auto">
                    <a:xfrm>
                      <a:off x="0" y="0"/>
                      <a:ext cx="4327525" cy="3219450"/>
                    </a:xfrm>
                    <a:prstGeom prst="rect">
                      <a:avLst/>
                    </a:prstGeom>
                    <a:noFill/>
                    <a:ln>
                      <a:noFill/>
                    </a:ln>
                  </pic:spPr>
                </pic:pic>
              </a:graphicData>
            </a:graphic>
          </wp:inline>
        </w:drawing>
      </w:r>
    </w:p>
    <w:p w:rsidR="00A62B1C" w:rsidRPr="00370E70" w:rsidRDefault="005132EF" w:rsidP="00A62B1C">
      <w:pPr>
        <w:rPr>
          <w:i/>
          <w:iCs/>
          <w:vanish/>
          <w:color w:val="000000"/>
          <w:szCs w:val="22"/>
          <w:lang w:eastAsia="en-AU"/>
          <w:specVanish/>
        </w:rPr>
      </w:pPr>
      <w:bookmarkStart w:id="804" w:name="_Ref236801085"/>
      <w:bookmarkStart w:id="805" w:name="_Toc384196526"/>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179</w:t>
      </w:r>
      <w:r w:rsidRPr="00370E70">
        <w:rPr>
          <w:color w:val="000000"/>
          <w:szCs w:val="22"/>
        </w:rPr>
        <w:fldChar w:fldCharType="end"/>
      </w:r>
      <w:bookmarkEnd w:id="804"/>
      <w:r w:rsidRPr="00370E70">
        <w:rPr>
          <w:color w:val="000000"/>
          <w:szCs w:val="22"/>
        </w:rPr>
        <w:t xml:space="preserve">. </w:t>
      </w:r>
      <w:r w:rsidRPr="00370E70">
        <w:rPr>
          <w:i/>
          <w:iCs/>
          <w:color w:val="000000"/>
          <w:szCs w:val="22"/>
          <w:lang w:eastAsia="en-AU"/>
        </w:rPr>
        <w:t xml:space="preserve">Elemental ratios (atomic) of seagrass leaf tissue N:P and C:P </w:t>
      </w:r>
      <w:r w:rsidRPr="00370E70">
        <w:rPr>
          <w:i/>
          <w:iCs/>
          <w:color w:val="000000"/>
          <w:szCs w:val="22"/>
        </w:rPr>
        <w:t xml:space="preserve">for the foundation seagrass species examined at each </w:t>
      </w:r>
      <w:r w:rsidR="003C440C">
        <w:rPr>
          <w:i/>
          <w:iCs/>
          <w:color w:val="000000"/>
          <w:szCs w:val="22"/>
        </w:rPr>
        <w:t>inshore intertidal estuary habitat</w:t>
      </w:r>
      <w:r w:rsidRPr="00370E70">
        <w:rPr>
          <w:i/>
          <w:iCs/>
          <w:color w:val="000000"/>
          <w:szCs w:val="22"/>
        </w:rPr>
        <w:t xml:space="preserve"> in the Burnett Mary region </w:t>
      </w:r>
      <w:r w:rsidRPr="00370E70">
        <w:rPr>
          <w:i/>
          <w:iCs/>
          <w:color w:val="000000"/>
          <w:szCs w:val="22"/>
          <w:lang w:eastAsia="en-AU"/>
        </w:rPr>
        <w:t>each year</w:t>
      </w:r>
      <w:bookmarkEnd w:id="805"/>
    </w:p>
    <w:p w:rsidR="00A62B1C" w:rsidRPr="00370E70" w:rsidRDefault="005132EF" w:rsidP="00034AD4">
      <w:pPr>
        <w:rPr>
          <w:i/>
          <w:iCs/>
          <w:color w:val="000000"/>
          <w:szCs w:val="22"/>
          <w:lang w:eastAsia="en-AU"/>
        </w:rPr>
      </w:pPr>
      <w:r w:rsidRPr="00370E70">
        <w:rPr>
          <w:i/>
          <w:iCs/>
          <w:color w:val="000000"/>
          <w:szCs w:val="22"/>
          <w:lang w:eastAsia="en-AU"/>
        </w:rPr>
        <w:t xml:space="preserve"> (species pooled) (</w:t>
      </w:r>
      <w:r w:rsidRPr="00370E70">
        <w:rPr>
          <w:i/>
          <w:iCs/>
          <w:color w:val="000000"/>
          <w:szCs w:val="22"/>
        </w:rPr>
        <w:t>mean</w:t>
      </w:r>
      <w:r w:rsidRPr="00370E70">
        <w:rPr>
          <w:i/>
          <w:iCs/>
          <w:color w:val="000000"/>
          <w:szCs w:val="22"/>
          <w:lang w:eastAsia="en-AU"/>
        </w:rPr>
        <w:t xml:space="preserve"> ± Standard Error). </w:t>
      </w:r>
      <w:r w:rsidR="00A62B1C" w:rsidRPr="00370E70">
        <w:rPr>
          <w:i/>
          <w:iCs/>
          <w:color w:val="000000"/>
          <w:szCs w:val="22"/>
          <w:lang w:eastAsia="en-AU"/>
        </w:rPr>
        <w:t xml:space="preserve">Horizontal shaded band on the N:P ratio panel represents the range of value associated with N:P balance ratio in the plant tissues, i.e. a seagrass “Redfield” </w:t>
      </w:r>
      <w:r w:rsidR="00A62B1C" w:rsidRPr="00370E70">
        <w:rPr>
          <w:i/>
          <w:iCs/>
          <w:color w:val="000000"/>
          <w:szCs w:val="22"/>
          <w:lang w:eastAsia="en-AU"/>
        </w:rPr>
        <w:lastRenderedPageBreak/>
        <w:t xml:space="preserve">ratio </w:t>
      </w:r>
      <w:r w:rsidR="00A62B1C" w:rsidRPr="00370E70">
        <w:rPr>
          <w:i/>
          <w:lang w:eastAsia="en-AU"/>
        </w:rPr>
        <w:t>(</w:t>
      </w:r>
      <w:r w:rsidR="00A62B1C"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 </w:instrText>
      </w:r>
      <w:r w:rsidR="00494624" w:rsidRPr="00370E70">
        <w:rPr>
          <w:i/>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494624" w:rsidRPr="00370E70">
        <w:rPr>
          <w:i/>
          <w:lang w:eastAsia="en-AU"/>
        </w:rPr>
        <w:instrText xml:space="preserve"> ADDIN EN.CITE.DATA </w:instrText>
      </w:r>
      <w:r w:rsidR="00494624" w:rsidRPr="00370E70">
        <w:rPr>
          <w:i/>
          <w:lang w:eastAsia="en-AU"/>
        </w:rPr>
      </w:r>
      <w:r w:rsidR="00494624" w:rsidRPr="00370E70">
        <w:rPr>
          <w:i/>
          <w:lang w:eastAsia="en-AU"/>
        </w:rPr>
        <w:fldChar w:fldCharType="end"/>
      </w:r>
      <w:r w:rsidR="00A62B1C" w:rsidRPr="00370E70">
        <w:rPr>
          <w:i/>
          <w:lang w:eastAsia="en-AU"/>
        </w:rPr>
      </w:r>
      <w:r w:rsidR="00A62B1C" w:rsidRPr="00370E70">
        <w:rPr>
          <w:i/>
          <w:lang w:eastAsia="en-AU"/>
        </w:rPr>
        <w:fldChar w:fldCharType="separate"/>
      </w:r>
      <w:hyperlink w:anchor="_ENREF_9" w:tooltip="Atkinson, 1983 #6292" w:history="1">
        <w:r w:rsidR="00964A70" w:rsidRPr="00370E70">
          <w:rPr>
            <w:i/>
            <w:noProof/>
            <w:lang w:eastAsia="en-AU"/>
          </w:rPr>
          <w:t>Atkinson and Smith 1983</w:t>
        </w:r>
      </w:hyperlink>
      <w:r w:rsidR="00494624" w:rsidRPr="00370E70">
        <w:rPr>
          <w:i/>
          <w:noProof/>
          <w:lang w:eastAsia="en-AU"/>
        </w:rPr>
        <w:t xml:space="preserve">; </w:t>
      </w:r>
      <w:hyperlink w:anchor="_ENREF_66" w:tooltip="Duarte, 1990 #1954" w:history="1">
        <w:r w:rsidR="00964A70" w:rsidRPr="00370E70">
          <w:rPr>
            <w:i/>
            <w:noProof/>
            <w:lang w:eastAsia="en-AU"/>
          </w:rPr>
          <w:t>Duarte 1990</w:t>
        </w:r>
      </w:hyperlink>
      <w:r w:rsidR="00494624" w:rsidRPr="00370E70">
        <w:rPr>
          <w:i/>
          <w:noProof/>
          <w:lang w:eastAsia="en-AU"/>
        </w:rPr>
        <w:t xml:space="preserve">; </w:t>
      </w:r>
      <w:hyperlink w:anchor="_ENREF_80" w:tooltip="Fourqurean, 1992 #9493" w:history="1">
        <w:r w:rsidR="00964A70" w:rsidRPr="00370E70">
          <w:rPr>
            <w:i/>
            <w:noProof/>
            <w:lang w:eastAsia="en-AU"/>
          </w:rPr>
          <w:t>Fourqurean, et al. 1992b</w:t>
        </w:r>
      </w:hyperlink>
      <w:r w:rsidR="00494624" w:rsidRPr="00370E70">
        <w:rPr>
          <w:i/>
          <w:noProof/>
          <w:lang w:eastAsia="en-AU"/>
        </w:rPr>
        <w:t xml:space="preserve">; </w:t>
      </w:r>
      <w:hyperlink w:anchor="_ENREF_76" w:tooltip="Fourqurean, 2001 #9492" w:history="1">
        <w:r w:rsidR="00964A70" w:rsidRPr="00370E70">
          <w:rPr>
            <w:i/>
            <w:noProof/>
            <w:lang w:eastAsia="en-AU"/>
          </w:rPr>
          <w:t>Fourqurean and Cai 2001</w:t>
        </w:r>
      </w:hyperlink>
      <w:r w:rsidR="00A62B1C" w:rsidRPr="00370E70">
        <w:rPr>
          <w:i/>
          <w:lang w:eastAsia="en-AU"/>
        </w:rPr>
        <w:fldChar w:fldCharType="end"/>
      </w:r>
      <w:r w:rsidR="00A62B1C" w:rsidRPr="00370E70">
        <w:rPr>
          <w:i/>
          <w:lang w:eastAsia="en-AU"/>
        </w:rPr>
        <w:t>)</w:t>
      </w:r>
      <w:r w:rsidR="00A62B1C" w:rsidRPr="00370E70">
        <w:rPr>
          <w:i/>
          <w:iCs/>
          <w:color w:val="000000"/>
          <w:szCs w:val="22"/>
          <w:lang w:eastAsia="en-AU"/>
        </w:rPr>
        <w:t xml:space="preserve">. N:P ratio above this band indicates P limitation, below indicates N limitation and within indicates replete (balanced). Shaded portion on the C:P panel ≤500 represents the value associated with C:P balance ratio in the plant tissues, C:P values &lt;500 may indicate nutrient rich habitats (large P pool). </w:t>
      </w:r>
    </w:p>
    <w:p w:rsidR="00B63F0D" w:rsidRPr="00370E70" w:rsidRDefault="00B63F0D" w:rsidP="00B63F0D">
      <w:pPr>
        <w:rPr>
          <w:color w:val="000000"/>
          <w:szCs w:val="22"/>
        </w:rPr>
      </w:pPr>
      <w:r w:rsidRPr="00370E70">
        <w:rPr>
          <w:color w:val="000000"/>
          <w:szCs w:val="22"/>
        </w:rPr>
        <w:t>δ</w:t>
      </w:r>
      <w:r w:rsidRPr="00370E70">
        <w:rPr>
          <w:color w:val="000000"/>
          <w:szCs w:val="22"/>
          <w:vertAlign w:val="superscript"/>
        </w:rPr>
        <w:t>13</w:t>
      </w:r>
      <w:r w:rsidRPr="00370E70">
        <w:rPr>
          <w:color w:val="000000"/>
          <w:szCs w:val="22"/>
        </w:rPr>
        <w:t xml:space="preserve">C values for </w:t>
      </w:r>
      <w:r w:rsidRPr="00370E70">
        <w:rPr>
          <w:i/>
          <w:color w:val="000000"/>
          <w:szCs w:val="22"/>
        </w:rPr>
        <w:t xml:space="preserve">Zostera </w:t>
      </w:r>
      <w:r w:rsidR="00145BB9" w:rsidRPr="00370E70">
        <w:rPr>
          <w:i/>
          <w:color w:val="000000"/>
          <w:szCs w:val="22"/>
        </w:rPr>
        <w:t>muelleri</w:t>
      </w:r>
      <w:r w:rsidRPr="00370E70">
        <w:rPr>
          <w:color w:val="000000"/>
          <w:szCs w:val="22"/>
        </w:rPr>
        <w:t xml:space="preserve"> (foundation species) and </w:t>
      </w:r>
      <w:r w:rsidRPr="00370E70">
        <w:rPr>
          <w:i/>
          <w:color w:val="000000"/>
          <w:szCs w:val="22"/>
        </w:rPr>
        <w:t>Halophila ovalis</w:t>
      </w:r>
      <w:r w:rsidRPr="00370E70">
        <w:rPr>
          <w:color w:val="0000FF"/>
          <w:szCs w:val="22"/>
        </w:rPr>
        <w:t xml:space="preserve"> </w:t>
      </w:r>
      <w:r w:rsidRPr="00370E70">
        <w:rPr>
          <w:color w:val="000000"/>
          <w:szCs w:val="22"/>
        </w:rPr>
        <w:t>at estuarine habitats (Urangan) during the late dry (growing) season were all above or at the global average and within global ranges (</w:t>
      </w:r>
      <w:r w:rsidRPr="00370E70">
        <w:rPr>
          <w:color w:val="000000"/>
          <w:szCs w:val="22"/>
        </w:rPr>
        <w:fldChar w:fldCharType="begin"/>
      </w:r>
      <w:r w:rsidRPr="00370E70">
        <w:rPr>
          <w:color w:val="000000"/>
          <w:szCs w:val="22"/>
        </w:rPr>
        <w:instrText xml:space="preserve"> REF _Ref353384744 \h </w:instrText>
      </w:r>
      <w:r w:rsidRPr="00370E70">
        <w:rPr>
          <w:color w:val="000000"/>
          <w:szCs w:val="22"/>
        </w:rPr>
      </w:r>
      <w:r w:rsidRPr="00370E70">
        <w:rPr>
          <w:color w:val="000000"/>
          <w:szCs w:val="22"/>
        </w:rPr>
        <w:fldChar w:fldCharType="separate"/>
      </w:r>
      <w:r w:rsidR="005B5FD6" w:rsidRPr="00370E70">
        <w:rPr>
          <w:color w:val="000000"/>
          <w:szCs w:val="22"/>
        </w:rPr>
        <w:t xml:space="preserve">Table </w:t>
      </w:r>
      <w:r w:rsidR="005B5FD6">
        <w:rPr>
          <w:noProof/>
          <w:color w:val="000000"/>
          <w:szCs w:val="22"/>
        </w:rPr>
        <w:t>35</w:t>
      </w:r>
      <w:r w:rsidRPr="00370E70">
        <w:rPr>
          <w:color w:val="000000"/>
          <w:szCs w:val="22"/>
        </w:rPr>
        <w:fldChar w:fldCharType="end"/>
      </w:r>
      <w:r w:rsidRPr="00370E70">
        <w:rPr>
          <w:color w:val="000000"/>
          <w:szCs w:val="22"/>
        </w:rPr>
        <w:t xml:space="preserve">), suggesting sufficient carbon </w:t>
      </w:r>
      <w:r w:rsidR="002C6536" w:rsidRPr="00370E70">
        <w:rPr>
          <w:color w:val="000000"/>
          <w:szCs w:val="22"/>
        </w:rPr>
        <w:t>available</w:t>
      </w:r>
      <w:r w:rsidRPr="00370E70">
        <w:rPr>
          <w:color w:val="000000"/>
          <w:szCs w:val="22"/>
        </w:rPr>
        <w:t xml:space="preserve"> for growth. Similarly, as %C in the leaves was also above the literature median values, suggests adequate light available for growth. The low C:N ratios are likely a consequence of the elevated N, where the elevated δ</w:t>
      </w:r>
      <w:r w:rsidRPr="00370E70">
        <w:rPr>
          <w:color w:val="000000"/>
          <w:szCs w:val="22"/>
          <w:vertAlign w:val="superscript"/>
        </w:rPr>
        <w:t>15</w:t>
      </w:r>
      <w:r w:rsidRPr="00370E70">
        <w:rPr>
          <w:color w:val="000000"/>
          <w:szCs w:val="22"/>
        </w:rPr>
        <w:t xml:space="preserve">N value in the leaf tissue of both species suggests some sewage influence in their primary source of N. </w:t>
      </w:r>
    </w:p>
    <w:p w:rsidR="00DA7131" w:rsidRPr="00370E70" w:rsidRDefault="005132EF" w:rsidP="00DA7131">
      <w:pPr>
        <w:jc w:val="center"/>
        <w:rPr>
          <w:i/>
          <w:vanish/>
          <w:color w:val="000000"/>
          <w:szCs w:val="22"/>
          <w:specVanish/>
        </w:rPr>
      </w:pPr>
      <w:bookmarkStart w:id="806" w:name="_Ref353384744"/>
      <w:bookmarkStart w:id="807" w:name="_Toc384196571"/>
      <w:r w:rsidRPr="00370E70">
        <w:rPr>
          <w:color w:val="000000"/>
          <w:szCs w:val="22"/>
        </w:rPr>
        <w:t xml:space="preserve">Table </w:t>
      </w:r>
      <w:r w:rsidRPr="00370E70">
        <w:rPr>
          <w:color w:val="000000"/>
          <w:szCs w:val="22"/>
        </w:rPr>
        <w:fldChar w:fldCharType="begin"/>
      </w:r>
      <w:r w:rsidRPr="00370E70">
        <w:rPr>
          <w:color w:val="000000"/>
          <w:szCs w:val="22"/>
        </w:rPr>
        <w:instrText xml:space="preserve"> SEQ Table \* ARABIC </w:instrText>
      </w:r>
      <w:r w:rsidRPr="00370E70">
        <w:rPr>
          <w:color w:val="000000"/>
          <w:szCs w:val="22"/>
        </w:rPr>
        <w:fldChar w:fldCharType="separate"/>
      </w:r>
      <w:r w:rsidR="005B5FD6">
        <w:rPr>
          <w:noProof/>
          <w:color w:val="000000"/>
          <w:szCs w:val="22"/>
        </w:rPr>
        <w:t>35</w:t>
      </w:r>
      <w:r w:rsidRPr="00370E70">
        <w:rPr>
          <w:color w:val="000000"/>
          <w:szCs w:val="22"/>
        </w:rPr>
        <w:fldChar w:fldCharType="end"/>
      </w:r>
      <w:bookmarkEnd w:id="806"/>
      <w:r w:rsidRPr="00370E70">
        <w:rPr>
          <w:color w:val="000000"/>
          <w:szCs w:val="22"/>
        </w:rPr>
        <w:t xml:space="preserve">. </w:t>
      </w:r>
      <w:r w:rsidRPr="00370E70">
        <w:rPr>
          <w:i/>
          <w:color w:val="000000"/>
          <w:szCs w:val="22"/>
        </w:rPr>
        <w:t>Seagrass leaf tissue nutrient, δ</w:t>
      </w:r>
      <w:r w:rsidRPr="00370E70">
        <w:rPr>
          <w:i/>
          <w:color w:val="000000"/>
          <w:szCs w:val="22"/>
          <w:vertAlign w:val="superscript"/>
        </w:rPr>
        <w:t>13</w:t>
      </w:r>
      <w:r w:rsidRPr="00370E70">
        <w:rPr>
          <w:i/>
          <w:color w:val="000000"/>
          <w:szCs w:val="22"/>
        </w:rPr>
        <w:t>C and δ</w:t>
      </w:r>
      <w:r w:rsidRPr="00370E70">
        <w:rPr>
          <w:i/>
          <w:color w:val="000000"/>
          <w:szCs w:val="22"/>
          <w:vertAlign w:val="superscript"/>
        </w:rPr>
        <w:t>15</w:t>
      </w:r>
      <w:r w:rsidRPr="00370E70">
        <w:rPr>
          <w:i/>
          <w:color w:val="000000"/>
          <w:szCs w:val="22"/>
        </w:rPr>
        <w:t>N concentrations from Urangan (Burnett Mary region) in the late dry 2011.</w:t>
      </w:r>
      <w:bookmarkEnd w:id="807"/>
      <w:r w:rsidRPr="00370E70">
        <w:rPr>
          <w:i/>
          <w:color w:val="000000"/>
          <w:szCs w:val="22"/>
        </w:rPr>
        <w:t xml:space="preserve"> </w:t>
      </w:r>
    </w:p>
    <w:p w:rsidR="00DA7131" w:rsidRPr="00370E70" w:rsidRDefault="00B63F0D" w:rsidP="00745C97">
      <w:pPr>
        <w:jc w:val="center"/>
        <w:rPr>
          <w:color w:val="000000"/>
          <w:szCs w:val="22"/>
        </w:rPr>
      </w:pPr>
      <w:r w:rsidRPr="00370E70">
        <w:rPr>
          <w:i/>
          <w:color w:val="000000"/>
          <w:szCs w:val="22"/>
        </w:rPr>
        <w:t xml:space="preserve">Leaf tissues with low %C (see </w:t>
      </w:r>
      <w:r w:rsidRPr="00370E70">
        <w:rPr>
          <w:i/>
          <w:color w:val="000000"/>
          <w:szCs w:val="22"/>
        </w:rPr>
        <w:fldChar w:fldCharType="begin"/>
      </w:r>
      <w:r w:rsidRPr="00370E70">
        <w:rPr>
          <w:i/>
          <w:color w:val="000000"/>
          <w:szCs w:val="22"/>
        </w:rPr>
        <w:instrText xml:space="preserve"> REF _Ref353029075 \h  \* MERGEFORMAT </w:instrText>
      </w:r>
      <w:r w:rsidRPr="00370E70">
        <w:rPr>
          <w:i/>
          <w:color w:val="000000"/>
          <w:szCs w:val="22"/>
        </w:rPr>
      </w:r>
      <w:r w:rsidRPr="00370E70">
        <w:rPr>
          <w:i/>
          <w:color w:val="000000"/>
          <w:szCs w:val="22"/>
        </w:rPr>
        <w:fldChar w:fldCharType="separate"/>
      </w:r>
      <w:r w:rsidR="005B5FD6" w:rsidRPr="005B5FD6">
        <w:rPr>
          <w:i/>
          <w:szCs w:val="22"/>
        </w:rPr>
        <w:t xml:space="preserve">Table </w:t>
      </w:r>
      <w:r w:rsidR="005B5FD6" w:rsidRPr="005B5FD6">
        <w:rPr>
          <w:i/>
          <w:noProof/>
          <w:color w:val="000000"/>
          <w:szCs w:val="22"/>
        </w:rPr>
        <w:t>37</w:t>
      </w:r>
      <w:r w:rsidRPr="00370E70">
        <w:rPr>
          <w:i/>
          <w:color w:val="000000"/>
          <w:szCs w:val="22"/>
        </w:rPr>
        <w:fldChar w:fldCharType="end"/>
      </w:r>
      <w:r w:rsidRPr="00370E70">
        <w:rPr>
          <w:i/>
          <w:color w:val="000000"/>
          <w:szCs w:val="22"/>
        </w:rPr>
        <w:t>), low C</w:t>
      </w:r>
      <w:proofErr w:type="gramStart"/>
      <w:r w:rsidRPr="00370E70">
        <w:rPr>
          <w:i/>
          <w:color w:val="000000"/>
          <w:szCs w:val="22"/>
        </w:rPr>
        <w:t>:N</w:t>
      </w:r>
      <w:proofErr w:type="gramEnd"/>
      <w:r w:rsidRPr="00370E70">
        <w:rPr>
          <w:i/>
          <w:color w:val="000000"/>
          <w:szCs w:val="22"/>
        </w:rPr>
        <w:t xml:space="preserve"> (&lt;20:1), and isotopically depleted δ</w:t>
      </w:r>
      <w:r w:rsidRPr="00370E70">
        <w:rPr>
          <w:i/>
          <w:color w:val="000000"/>
          <w:szCs w:val="22"/>
          <w:vertAlign w:val="superscript"/>
        </w:rPr>
        <w:t>13</w:t>
      </w:r>
      <w:r w:rsidRPr="00370E70">
        <w:rPr>
          <w:i/>
          <w:color w:val="000000"/>
          <w:szCs w:val="22"/>
        </w:rPr>
        <w:t xml:space="preserve">C may indicate that growth is light limited </w:t>
      </w:r>
      <w:r w:rsidR="0064478C" w:rsidRPr="00370E70">
        <w:rPr>
          <w:i/>
          <w:color w:val="000000"/>
          <w:szCs w:val="22"/>
        </w:rPr>
        <w:t>(</w:t>
      </w:r>
      <w:r w:rsidR="0064478C"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 </w:instrText>
      </w:r>
      <w:r w:rsidR="00126051" w:rsidRPr="00370E70">
        <w:rPr>
          <w:i/>
          <w:color w:val="000000"/>
          <w:szCs w:val="22"/>
        </w:rPr>
        <w:fldChar w:fldCharType="begin">
          <w:fldData xml:space="preserve">PEVuZE5vdGU+PENpdGU+PEF1dGhvcj5HcmljZTwvQXV0aG9yPjxZZWFyPjE5OTY8L1llYXI+PFJl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</w:fldData>
        </w:fldChar>
      </w:r>
      <w:r w:rsidR="00126051" w:rsidRPr="00370E70">
        <w:rPr>
          <w:i/>
          <w:color w:val="000000"/>
          <w:szCs w:val="22"/>
        </w:rPr>
        <w:instrText xml:space="preserve"> ADDIN EN.CITE.DATA </w:instrText>
      </w:r>
      <w:r w:rsidR="00126051" w:rsidRPr="00370E70">
        <w:rPr>
          <w:i/>
          <w:color w:val="000000"/>
          <w:szCs w:val="22"/>
        </w:rPr>
      </w:r>
      <w:r w:rsidR="00126051" w:rsidRPr="00370E70">
        <w:rPr>
          <w:i/>
          <w:color w:val="000000"/>
          <w:szCs w:val="22"/>
        </w:rPr>
        <w:fldChar w:fldCharType="end"/>
      </w:r>
      <w:r w:rsidR="0064478C" w:rsidRPr="00370E70">
        <w:rPr>
          <w:i/>
          <w:color w:val="000000"/>
          <w:szCs w:val="22"/>
        </w:rPr>
      </w:r>
      <w:r w:rsidR="0064478C" w:rsidRPr="00370E70">
        <w:rPr>
          <w:i/>
          <w:color w:val="000000"/>
          <w:szCs w:val="22"/>
        </w:rPr>
        <w:fldChar w:fldCharType="separate"/>
      </w:r>
      <w:hyperlink w:anchor="_ENREF_93" w:tooltip="Grice, 1996 #1346" w:history="1">
        <w:r w:rsidR="00964A70" w:rsidRPr="00370E70">
          <w:rPr>
            <w:i/>
            <w:noProof/>
            <w:color w:val="000000"/>
            <w:szCs w:val="22"/>
          </w:rPr>
          <w:t>Grice, et al. 1996</w:t>
        </w:r>
      </w:hyperlink>
      <w:r w:rsidR="00126051" w:rsidRPr="00370E70">
        <w:rPr>
          <w:i/>
          <w:noProof/>
          <w:color w:val="000000"/>
          <w:szCs w:val="22"/>
        </w:rPr>
        <w:t xml:space="preserve">; </w:t>
      </w:r>
      <w:hyperlink w:anchor="_ENREF_77" w:tooltip="Fourqurean, 2005 #7505" w:history="1">
        <w:r w:rsidR="00964A70" w:rsidRPr="00370E70">
          <w:rPr>
            <w:i/>
            <w:noProof/>
            <w:color w:val="000000"/>
            <w:szCs w:val="22"/>
          </w:rPr>
          <w:t>Fourqurean, et al. 2005</w:t>
        </w:r>
      </w:hyperlink>
      <w:r w:rsidR="0064478C" w:rsidRPr="00370E70">
        <w:rPr>
          <w:i/>
          <w:color w:val="000000"/>
          <w:szCs w:val="22"/>
        </w:rPr>
        <w:fldChar w:fldCharType="end"/>
      </w:r>
      <w:r w:rsidR="0064478C" w:rsidRPr="00370E70">
        <w:rPr>
          <w:i/>
          <w:color w:val="000000"/>
          <w:szCs w:val="22"/>
        </w:rPr>
        <w:t>)</w:t>
      </w:r>
      <w:r w:rsidRPr="00370E70">
        <w:rPr>
          <w:i/>
          <w:color w:val="000000"/>
          <w:szCs w:val="22"/>
        </w:rPr>
        <w:t>. Shading indicates values lower than literature. HO=Halophila ovalis, Z</w:t>
      </w:r>
      <w:r w:rsidR="0064478C" w:rsidRPr="00370E70">
        <w:rPr>
          <w:i/>
          <w:color w:val="000000"/>
          <w:szCs w:val="22"/>
        </w:rPr>
        <w:t>M</w:t>
      </w:r>
      <w:r w:rsidRPr="00370E70">
        <w:rPr>
          <w:i/>
          <w:color w:val="000000"/>
          <w:szCs w:val="22"/>
        </w:rPr>
        <w:t xml:space="preserve">=Zostera </w:t>
      </w:r>
      <w:r w:rsidR="00145BB9" w:rsidRPr="00370E70">
        <w:rPr>
          <w:i/>
          <w:color w:val="000000"/>
          <w:szCs w:val="22"/>
        </w:rPr>
        <w:t>muelleri</w:t>
      </w:r>
      <w:r w:rsidRPr="00370E70">
        <w:rPr>
          <w:i/>
          <w:color w:val="000000"/>
          <w:szCs w:val="22"/>
        </w:rPr>
        <w:t>.</w:t>
      </w:r>
      <w:r w:rsidR="00DA7131" w:rsidRPr="00370E70">
        <w:rPr>
          <w:color w:val="000000"/>
          <w:szCs w:val="22"/>
        </w:rPr>
        <w:t xml:space="preserve"> </w:t>
      </w:r>
    </w:p>
    <w:tbl>
      <w:tblPr>
        <w:tblW w:w="8749" w:type="dxa"/>
        <w:jc w:val="center"/>
        <w:tblLook w:val="0000" w:firstRow="0" w:lastRow="0" w:firstColumn="0" w:lastColumn="0" w:noHBand="0" w:noVBand="0"/>
      </w:tblPr>
      <w:tblGrid>
        <w:gridCol w:w="1454"/>
        <w:gridCol w:w="850"/>
        <w:gridCol w:w="793"/>
        <w:gridCol w:w="703"/>
        <w:gridCol w:w="954"/>
        <w:gridCol w:w="943"/>
        <w:gridCol w:w="1328"/>
        <w:gridCol w:w="1724"/>
      </w:tblGrid>
      <w:tr w:rsidR="00B63F0D" w:rsidRPr="00370E70" w:rsidTr="00B63F0D">
        <w:trPr>
          <w:trHeight w:val="288"/>
          <w:jc w:val="center"/>
        </w:trPr>
        <w:tc>
          <w:tcPr>
            <w:tcW w:w="1454" w:type="dxa"/>
            <w:tcBorders>
              <w:top w:val="single" w:sz="4" w:space="0" w:color="auto"/>
              <w:bottom w:val="single" w:sz="4" w:space="0" w:color="auto"/>
            </w:tcBorders>
            <w:noWrap/>
            <w:vAlign w:val="center"/>
          </w:tcPr>
          <w:p w:rsidR="00B63F0D" w:rsidRPr="00370E70" w:rsidRDefault="00B63F0D" w:rsidP="008C585C">
            <w:pPr>
              <w:spacing w:before="0" w:after="0"/>
              <w:rPr>
                <w:b/>
                <w:color w:val="000000"/>
                <w:sz w:val="18"/>
                <w:szCs w:val="18"/>
              </w:rPr>
            </w:pPr>
            <w:r w:rsidRPr="00370E70">
              <w:rPr>
                <w:b/>
                <w:color w:val="000000"/>
                <w:sz w:val="18"/>
                <w:szCs w:val="18"/>
              </w:rPr>
              <w:t>Location</w:t>
            </w:r>
          </w:p>
        </w:tc>
        <w:tc>
          <w:tcPr>
            <w:tcW w:w="850" w:type="dxa"/>
            <w:tcBorders>
              <w:top w:val="single" w:sz="4" w:space="0" w:color="auto"/>
              <w:bottom w:val="single" w:sz="4" w:space="0" w:color="auto"/>
            </w:tcBorders>
            <w:noWrap/>
            <w:vAlign w:val="center"/>
          </w:tcPr>
          <w:p w:rsidR="00B63F0D" w:rsidRPr="00370E70" w:rsidRDefault="00B63F0D" w:rsidP="008C585C">
            <w:pPr>
              <w:spacing w:before="0" w:after="0"/>
              <w:jc w:val="center"/>
              <w:rPr>
                <w:b/>
                <w:color w:val="000000"/>
                <w:sz w:val="18"/>
                <w:szCs w:val="18"/>
              </w:rPr>
            </w:pPr>
            <w:r w:rsidRPr="00370E70">
              <w:rPr>
                <w:b/>
                <w:color w:val="000000"/>
                <w:sz w:val="18"/>
                <w:szCs w:val="18"/>
              </w:rPr>
              <w:t>Species</w:t>
            </w:r>
          </w:p>
        </w:tc>
        <w:tc>
          <w:tcPr>
            <w:tcW w:w="793" w:type="dxa"/>
            <w:tcBorders>
              <w:top w:val="single" w:sz="4" w:space="0" w:color="auto"/>
              <w:bottom w:val="single" w:sz="4" w:space="0" w:color="auto"/>
            </w:tcBorders>
            <w:vAlign w:val="center"/>
          </w:tcPr>
          <w:p w:rsidR="00B63F0D" w:rsidRPr="00370E70" w:rsidRDefault="00B63F0D" w:rsidP="008C585C">
            <w:pPr>
              <w:spacing w:before="0" w:after="0"/>
              <w:jc w:val="center"/>
              <w:rPr>
                <w:b/>
                <w:color w:val="000000"/>
                <w:sz w:val="18"/>
                <w:szCs w:val="18"/>
              </w:rPr>
            </w:pPr>
            <w:r w:rsidRPr="00370E70">
              <w:rPr>
                <w:b/>
                <w:color w:val="000000"/>
                <w:sz w:val="18"/>
                <w:szCs w:val="18"/>
              </w:rPr>
              <w:t>%C</w:t>
            </w:r>
          </w:p>
        </w:tc>
        <w:tc>
          <w:tcPr>
            <w:tcW w:w="703" w:type="dxa"/>
            <w:tcBorders>
              <w:top w:val="single" w:sz="4" w:space="0" w:color="auto"/>
              <w:bottom w:val="single" w:sz="4" w:space="0" w:color="auto"/>
            </w:tcBorders>
            <w:vAlign w:val="center"/>
          </w:tcPr>
          <w:p w:rsidR="00B63F0D" w:rsidRPr="00370E70" w:rsidRDefault="00B63F0D" w:rsidP="008C585C">
            <w:pPr>
              <w:spacing w:before="0" w:after="0"/>
              <w:jc w:val="center"/>
              <w:rPr>
                <w:b/>
                <w:color w:val="000000"/>
                <w:sz w:val="18"/>
                <w:szCs w:val="18"/>
              </w:rPr>
            </w:pPr>
            <w:r w:rsidRPr="00370E70">
              <w:rPr>
                <w:b/>
                <w:color w:val="000000"/>
                <w:sz w:val="18"/>
                <w:szCs w:val="18"/>
              </w:rPr>
              <w:t>C:N</w:t>
            </w:r>
          </w:p>
        </w:tc>
        <w:tc>
          <w:tcPr>
            <w:tcW w:w="954" w:type="dxa"/>
            <w:tcBorders>
              <w:top w:val="single" w:sz="4" w:space="0" w:color="auto"/>
              <w:bottom w:val="single" w:sz="4" w:space="0" w:color="auto"/>
            </w:tcBorders>
            <w:noWrap/>
            <w:vAlign w:val="center"/>
          </w:tcPr>
          <w:p w:rsidR="00B63F0D" w:rsidRPr="00370E70" w:rsidRDefault="00B63F0D" w:rsidP="00B63F0D">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c>
          <w:tcPr>
            <w:tcW w:w="943" w:type="dxa"/>
            <w:tcBorders>
              <w:top w:val="single" w:sz="4" w:space="0" w:color="auto"/>
              <w:bottom w:val="single" w:sz="4" w:space="0" w:color="auto"/>
            </w:tcBorders>
            <w:vAlign w:val="center"/>
          </w:tcPr>
          <w:p w:rsidR="00B63F0D" w:rsidRPr="00370E70" w:rsidRDefault="00B63F0D" w:rsidP="00B63F0D">
            <w:pPr>
              <w:spacing w:before="0" w:after="0"/>
              <w:jc w:val="center"/>
              <w:rPr>
                <w:b/>
                <w:color w:val="000000"/>
                <w:sz w:val="18"/>
                <w:szCs w:val="18"/>
              </w:rPr>
            </w:pPr>
            <w:r w:rsidRPr="00370E70">
              <w:rPr>
                <w:b/>
                <w:i/>
                <w:color w:val="000000"/>
                <w:sz w:val="18"/>
                <w:szCs w:val="18"/>
              </w:rPr>
              <w:t>δ</w:t>
            </w:r>
            <w:r w:rsidRPr="00370E70">
              <w:rPr>
                <w:b/>
                <w:color w:val="000000"/>
                <w:sz w:val="18"/>
                <w:szCs w:val="18"/>
                <w:vertAlign w:val="superscript"/>
              </w:rPr>
              <w:t>15</w:t>
            </w:r>
            <w:r w:rsidRPr="00370E70">
              <w:rPr>
                <w:b/>
                <w:color w:val="000000"/>
                <w:sz w:val="18"/>
                <w:szCs w:val="18"/>
              </w:rPr>
              <w:t>N</w:t>
            </w:r>
          </w:p>
        </w:tc>
        <w:tc>
          <w:tcPr>
            <w:tcW w:w="1328" w:type="dxa"/>
            <w:tcBorders>
              <w:top w:val="single" w:sz="4" w:space="0" w:color="auto"/>
              <w:bottom w:val="single" w:sz="4" w:space="0" w:color="auto"/>
            </w:tcBorders>
            <w:vAlign w:val="center"/>
          </w:tcPr>
          <w:p w:rsidR="00B63F0D" w:rsidRPr="00370E70" w:rsidRDefault="00B63F0D" w:rsidP="00B63F0D">
            <w:pPr>
              <w:spacing w:before="0" w:after="0"/>
              <w:jc w:val="center"/>
              <w:rPr>
                <w:b/>
                <w:color w:val="000000"/>
                <w:sz w:val="18"/>
                <w:szCs w:val="18"/>
              </w:rPr>
            </w:pPr>
            <w:r w:rsidRPr="00370E70">
              <w:rPr>
                <w:b/>
                <w:color w:val="000000"/>
                <w:sz w:val="18"/>
                <w:szCs w:val="18"/>
              </w:rPr>
              <w:t>%C lit median</w:t>
            </w:r>
          </w:p>
        </w:tc>
        <w:tc>
          <w:tcPr>
            <w:tcW w:w="1724" w:type="dxa"/>
            <w:tcBorders>
              <w:top w:val="single" w:sz="4" w:space="0" w:color="auto"/>
              <w:bottom w:val="single" w:sz="4" w:space="0" w:color="auto"/>
            </w:tcBorders>
            <w:noWrap/>
            <w:vAlign w:val="center"/>
          </w:tcPr>
          <w:p w:rsidR="00B63F0D" w:rsidRPr="00370E70" w:rsidRDefault="00B63F0D" w:rsidP="00B63F0D">
            <w:pPr>
              <w:spacing w:before="0" w:after="0"/>
              <w:jc w:val="center"/>
              <w:rPr>
                <w:b/>
                <w:color w:val="000000"/>
                <w:sz w:val="18"/>
                <w:szCs w:val="18"/>
              </w:rPr>
            </w:pPr>
            <w:r w:rsidRPr="00370E70">
              <w:rPr>
                <w:b/>
                <w:color w:val="000000"/>
                <w:sz w:val="18"/>
                <w:szCs w:val="18"/>
              </w:rPr>
              <w:t xml:space="preserve">Global </w:t>
            </w:r>
            <w:r w:rsidRPr="00370E70">
              <w:rPr>
                <w:b/>
                <w:i/>
                <w:color w:val="000000"/>
                <w:sz w:val="18"/>
                <w:szCs w:val="18"/>
              </w:rPr>
              <w:t>δ</w:t>
            </w:r>
            <w:r w:rsidRPr="00370E70">
              <w:rPr>
                <w:b/>
                <w:color w:val="000000"/>
                <w:sz w:val="18"/>
                <w:szCs w:val="18"/>
                <w:vertAlign w:val="superscript"/>
              </w:rPr>
              <w:t>13</w:t>
            </w:r>
            <w:r w:rsidRPr="00370E70">
              <w:rPr>
                <w:b/>
                <w:color w:val="000000"/>
                <w:sz w:val="18"/>
                <w:szCs w:val="18"/>
              </w:rPr>
              <w:t>C</w:t>
            </w:r>
          </w:p>
        </w:tc>
      </w:tr>
      <w:tr w:rsidR="00B63F0D" w:rsidRPr="00370E70" w:rsidTr="00B63F0D">
        <w:trPr>
          <w:trHeight w:val="276"/>
          <w:jc w:val="center"/>
        </w:trPr>
        <w:tc>
          <w:tcPr>
            <w:tcW w:w="1454" w:type="dxa"/>
            <w:noWrap/>
            <w:vAlign w:val="center"/>
          </w:tcPr>
          <w:p w:rsidR="00B63F0D" w:rsidRPr="00370E70" w:rsidRDefault="00B63F0D" w:rsidP="008C585C">
            <w:pPr>
              <w:spacing w:before="0" w:after="0"/>
              <w:rPr>
                <w:color w:val="000000"/>
                <w:sz w:val="18"/>
                <w:szCs w:val="18"/>
              </w:rPr>
            </w:pPr>
            <w:r w:rsidRPr="00370E70">
              <w:rPr>
                <w:color w:val="000000"/>
                <w:sz w:val="18"/>
                <w:szCs w:val="18"/>
              </w:rPr>
              <w:t>Urangan</w:t>
            </w:r>
          </w:p>
        </w:tc>
        <w:tc>
          <w:tcPr>
            <w:tcW w:w="850" w:type="dxa"/>
            <w:noWrap/>
            <w:vAlign w:val="center"/>
          </w:tcPr>
          <w:p w:rsidR="00B63F0D" w:rsidRPr="00370E70" w:rsidRDefault="00B63F0D" w:rsidP="008C585C">
            <w:pPr>
              <w:spacing w:before="0" w:after="0"/>
              <w:rPr>
                <w:color w:val="000000"/>
                <w:sz w:val="18"/>
                <w:szCs w:val="18"/>
              </w:rPr>
            </w:pPr>
            <w:r w:rsidRPr="00370E70">
              <w:rPr>
                <w:color w:val="000000"/>
                <w:sz w:val="18"/>
                <w:szCs w:val="18"/>
              </w:rPr>
              <w:t>HO</w:t>
            </w:r>
          </w:p>
        </w:tc>
        <w:tc>
          <w:tcPr>
            <w:tcW w:w="793" w:type="dxa"/>
            <w:vAlign w:val="center"/>
          </w:tcPr>
          <w:p w:rsidR="00B63F0D" w:rsidRPr="00370E70" w:rsidRDefault="00B63F0D" w:rsidP="008C585C">
            <w:pPr>
              <w:spacing w:before="0" w:after="0"/>
              <w:rPr>
                <w:color w:val="000000"/>
                <w:sz w:val="18"/>
                <w:szCs w:val="18"/>
              </w:rPr>
            </w:pPr>
            <w:r w:rsidRPr="00370E70">
              <w:rPr>
                <w:color w:val="000000"/>
                <w:sz w:val="18"/>
                <w:szCs w:val="18"/>
              </w:rPr>
              <w:t>36.9</w:t>
            </w:r>
          </w:p>
        </w:tc>
        <w:tc>
          <w:tcPr>
            <w:tcW w:w="703" w:type="dxa"/>
            <w:shd w:val="clear" w:color="auto" w:fill="CCFFCC"/>
            <w:vAlign w:val="center"/>
          </w:tcPr>
          <w:p w:rsidR="00B63F0D" w:rsidRPr="00370E70" w:rsidRDefault="00B63F0D" w:rsidP="008C585C">
            <w:pPr>
              <w:spacing w:before="0" w:after="0"/>
              <w:rPr>
                <w:color w:val="000000"/>
                <w:sz w:val="18"/>
                <w:szCs w:val="18"/>
              </w:rPr>
            </w:pPr>
            <w:r w:rsidRPr="00370E70">
              <w:rPr>
                <w:color w:val="000000"/>
                <w:sz w:val="18"/>
                <w:szCs w:val="18"/>
              </w:rPr>
              <w:t>15.89</w:t>
            </w:r>
          </w:p>
        </w:tc>
        <w:tc>
          <w:tcPr>
            <w:tcW w:w="954" w:type="dxa"/>
            <w:shd w:val="clear" w:color="auto" w:fill="auto"/>
            <w:noWrap/>
            <w:vAlign w:val="center"/>
          </w:tcPr>
          <w:p w:rsidR="00B63F0D" w:rsidRPr="00370E70" w:rsidRDefault="00B63F0D" w:rsidP="00B63F0D">
            <w:pPr>
              <w:spacing w:before="0" w:after="0"/>
              <w:jc w:val="center"/>
              <w:rPr>
                <w:color w:val="000000"/>
                <w:sz w:val="18"/>
                <w:szCs w:val="18"/>
              </w:rPr>
            </w:pPr>
            <w:r w:rsidRPr="00370E70">
              <w:rPr>
                <w:color w:val="000000"/>
                <w:sz w:val="18"/>
                <w:szCs w:val="18"/>
              </w:rPr>
              <w:t>-10.5</w:t>
            </w:r>
          </w:p>
        </w:tc>
        <w:tc>
          <w:tcPr>
            <w:tcW w:w="943" w:type="dxa"/>
            <w:vAlign w:val="center"/>
          </w:tcPr>
          <w:p w:rsidR="00B63F0D" w:rsidRPr="00370E70" w:rsidRDefault="00B63F0D" w:rsidP="00B63F0D">
            <w:pPr>
              <w:spacing w:before="0" w:after="0"/>
              <w:jc w:val="center"/>
              <w:rPr>
                <w:color w:val="000000"/>
                <w:sz w:val="18"/>
                <w:szCs w:val="18"/>
              </w:rPr>
            </w:pPr>
            <w:r w:rsidRPr="00370E70">
              <w:rPr>
                <w:color w:val="000000"/>
                <w:sz w:val="18"/>
                <w:szCs w:val="18"/>
              </w:rPr>
              <w:t>4.55</w:t>
            </w:r>
          </w:p>
        </w:tc>
        <w:tc>
          <w:tcPr>
            <w:tcW w:w="1328" w:type="dxa"/>
            <w:vAlign w:val="center"/>
          </w:tcPr>
          <w:p w:rsidR="00B63F0D" w:rsidRPr="00370E70" w:rsidRDefault="00B63F0D" w:rsidP="00B63F0D">
            <w:pPr>
              <w:spacing w:before="0" w:after="0"/>
              <w:jc w:val="center"/>
              <w:rPr>
                <w:i/>
                <w:color w:val="000000"/>
                <w:sz w:val="18"/>
                <w:szCs w:val="18"/>
              </w:rPr>
            </w:pPr>
            <w:r w:rsidRPr="00370E70">
              <w:rPr>
                <w:i/>
                <w:color w:val="000000"/>
                <w:sz w:val="18"/>
                <w:szCs w:val="18"/>
              </w:rPr>
              <w:t>30.5</w:t>
            </w:r>
          </w:p>
        </w:tc>
        <w:tc>
          <w:tcPr>
            <w:tcW w:w="1724" w:type="dxa"/>
            <w:noWrap/>
            <w:vAlign w:val="center"/>
          </w:tcPr>
          <w:p w:rsidR="00B63F0D" w:rsidRPr="00370E70" w:rsidRDefault="00B63F0D" w:rsidP="00B63F0D">
            <w:pPr>
              <w:spacing w:before="0" w:after="0"/>
              <w:jc w:val="center"/>
              <w:rPr>
                <w:i/>
                <w:color w:val="000000"/>
                <w:sz w:val="18"/>
                <w:szCs w:val="18"/>
              </w:rPr>
            </w:pPr>
            <w:r w:rsidRPr="00370E70">
              <w:rPr>
                <w:i/>
                <w:color w:val="000000"/>
                <w:sz w:val="18"/>
                <w:szCs w:val="18"/>
              </w:rPr>
              <w:t>-10 (-15.5 to -6.4)</w:t>
            </w:r>
          </w:p>
        </w:tc>
      </w:tr>
      <w:tr w:rsidR="00B63F0D" w:rsidRPr="00370E70" w:rsidTr="00B63F0D">
        <w:trPr>
          <w:trHeight w:val="288"/>
          <w:jc w:val="center"/>
        </w:trPr>
        <w:tc>
          <w:tcPr>
            <w:tcW w:w="1454" w:type="dxa"/>
            <w:tcBorders>
              <w:bottom w:val="single" w:sz="4" w:space="0" w:color="auto"/>
            </w:tcBorders>
            <w:noWrap/>
            <w:vAlign w:val="center"/>
          </w:tcPr>
          <w:p w:rsidR="00B63F0D" w:rsidRPr="00370E70" w:rsidRDefault="00B63F0D" w:rsidP="008C585C">
            <w:pPr>
              <w:spacing w:before="0" w:after="0"/>
              <w:rPr>
                <w:color w:val="000000"/>
                <w:sz w:val="18"/>
                <w:szCs w:val="18"/>
              </w:rPr>
            </w:pPr>
            <w:r w:rsidRPr="00370E70">
              <w:rPr>
                <w:color w:val="000000"/>
                <w:sz w:val="18"/>
                <w:szCs w:val="18"/>
              </w:rPr>
              <w:t>Urangan</w:t>
            </w:r>
          </w:p>
        </w:tc>
        <w:tc>
          <w:tcPr>
            <w:tcW w:w="850" w:type="dxa"/>
            <w:tcBorders>
              <w:bottom w:val="single" w:sz="4" w:space="0" w:color="auto"/>
            </w:tcBorders>
            <w:noWrap/>
            <w:vAlign w:val="center"/>
          </w:tcPr>
          <w:p w:rsidR="00B63F0D" w:rsidRPr="00370E70" w:rsidRDefault="00B63F0D" w:rsidP="008C585C">
            <w:pPr>
              <w:spacing w:before="0" w:after="0"/>
              <w:rPr>
                <w:color w:val="000000"/>
                <w:sz w:val="18"/>
                <w:szCs w:val="18"/>
              </w:rPr>
            </w:pPr>
            <w:r w:rsidRPr="00370E70">
              <w:rPr>
                <w:color w:val="000000"/>
                <w:sz w:val="18"/>
                <w:szCs w:val="18"/>
              </w:rPr>
              <w:t>Z</w:t>
            </w:r>
            <w:r w:rsidR="0064478C" w:rsidRPr="00370E70">
              <w:rPr>
                <w:color w:val="000000"/>
                <w:sz w:val="18"/>
                <w:szCs w:val="18"/>
              </w:rPr>
              <w:t>M</w:t>
            </w:r>
          </w:p>
        </w:tc>
        <w:tc>
          <w:tcPr>
            <w:tcW w:w="793" w:type="dxa"/>
            <w:tcBorders>
              <w:bottom w:val="single" w:sz="4" w:space="0" w:color="auto"/>
            </w:tcBorders>
            <w:vAlign w:val="center"/>
          </w:tcPr>
          <w:p w:rsidR="00B63F0D" w:rsidRPr="00370E70" w:rsidRDefault="00B63F0D" w:rsidP="008C585C">
            <w:pPr>
              <w:spacing w:before="0" w:after="0"/>
              <w:rPr>
                <w:color w:val="000000"/>
                <w:sz w:val="18"/>
                <w:szCs w:val="18"/>
              </w:rPr>
            </w:pPr>
            <w:r w:rsidRPr="00370E70">
              <w:rPr>
                <w:color w:val="000000"/>
                <w:sz w:val="18"/>
                <w:szCs w:val="18"/>
              </w:rPr>
              <w:t>41.033</w:t>
            </w:r>
          </w:p>
        </w:tc>
        <w:tc>
          <w:tcPr>
            <w:tcW w:w="703" w:type="dxa"/>
            <w:tcBorders>
              <w:bottom w:val="single" w:sz="4" w:space="0" w:color="auto"/>
            </w:tcBorders>
            <w:shd w:val="clear" w:color="auto" w:fill="CCFFCC"/>
            <w:vAlign w:val="center"/>
          </w:tcPr>
          <w:p w:rsidR="00B63F0D" w:rsidRPr="00370E70" w:rsidRDefault="00B63F0D" w:rsidP="008C585C">
            <w:pPr>
              <w:spacing w:before="0" w:after="0"/>
              <w:rPr>
                <w:color w:val="000000"/>
                <w:sz w:val="18"/>
                <w:szCs w:val="18"/>
              </w:rPr>
            </w:pPr>
            <w:r w:rsidRPr="00370E70">
              <w:rPr>
                <w:color w:val="000000"/>
                <w:sz w:val="18"/>
                <w:szCs w:val="18"/>
              </w:rPr>
              <w:t>17.80</w:t>
            </w:r>
          </w:p>
        </w:tc>
        <w:tc>
          <w:tcPr>
            <w:tcW w:w="954" w:type="dxa"/>
            <w:tcBorders>
              <w:bottom w:val="single" w:sz="4" w:space="0" w:color="auto"/>
            </w:tcBorders>
            <w:noWrap/>
            <w:vAlign w:val="center"/>
          </w:tcPr>
          <w:p w:rsidR="00B63F0D" w:rsidRPr="00370E70" w:rsidRDefault="00B63F0D" w:rsidP="00B63F0D">
            <w:pPr>
              <w:spacing w:before="0" w:after="0"/>
              <w:jc w:val="center"/>
              <w:rPr>
                <w:color w:val="000000"/>
                <w:sz w:val="18"/>
                <w:szCs w:val="18"/>
              </w:rPr>
            </w:pPr>
            <w:r w:rsidRPr="00370E70">
              <w:rPr>
                <w:color w:val="000000"/>
                <w:sz w:val="18"/>
                <w:szCs w:val="18"/>
              </w:rPr>
              <w:t>-8.9±0.2</w:t>
            </w:r>
          </w:p>
        </w:tc>
        <w:tc>
          <w:tcPr>
            <w:tcW w:w="943" w:type="dxa"/>
            <w:tcBorders>
              <w:bottom w:val="single" w:sz="4" w:space="0" w:color="auto"/>
            </w:tcBorders>
            <w:vAlign w:val="center"/>
          </w:tcPr>
          <w:p w:rsidR="00B63F0D" w:rsidRPr="00370E70" w:rsidRDefault="00B63F0D" w:rsidP="00B63F0D">
            <w:pPr>
              <w:spacing w:before="0" w:after="0"/>
              <w:jc w:val="center"/>
              <w:rPr>
                <w:color w:val="000000"/>
                <w:sz w:val="18"/>
                <w:szCs w:val="18"/>
              </w:rPr>
            </w:pPr>
            <w:r w:rsidRPr="00370E70">
              <w:rPr>
                <w:color w:val="000000"/>
                <w:sz w:val="18"/>
                <w:szCs w:val="18"/>
              </w:rPr>
              <w:t>3.11±0.5</w:t>
            </w:r>
          </w:p>
        </w:tc>
        <w:tc>
          <w:tcPr>
            <w:tcW w:w="1328" w:type="dxa"/>
            <w:tcBorders>
              <w:bottom w:val="single" w:sz="4" w:space="0" w:color="auto"/>
            </w:tcBorders>
            <w:vAlign w:val="center"/>
          </w:tcPr>
          <w:p w:rsidR="00B63F0D" w:rsidRPr="00370E70" w:rsidRDefault="00B63F0D" w:rsidP="00B63F0D">
            <w:pPr>
              <w:spacing w:before="0" w:after="0"/>
              <w:jc w:val="center"/>
              <w:rPr>
                <w:i/>
                <w:color w:val="000000"/>
                <w:sz w:val="18"/>
                <w:szCs w:val="18"/>
              </w:rPr>
            </w:pPr>
            <w:r w:rsidRPr="00370E70">
              <w:rPr>
                <w:i/>
                <w:color w:val="000000"/>
                <w:sz w:val="18"/>
                <w:szCs w:val="18"/>
              </w:rPr>
              <w:t>32</w:t>
            </w:r>
          </w:p>
        </w:tc>
        <w:tc>
          <w:tcPr>
            <w:tcW w:w="1724" w:type="dxa"/>
            <w:tcBorders>
              <w:bottom w:val="single" w:sz="4" w:space="0" w:color="auto"/>
            </w:tcBorders>
            <w:noWrap/>
            <w:vAlign w:val="center"/>
          </w:tcPr>
          <w:p w:rsidR="00B63F0D" w:rsidRPr="00370E70" w:rsidRDefault="00B63F0D" w:rsidP="00B63F0D">
            <w:pPr>
              <w:spacing w:before="0" w:after="0"/>
              <w:jc w:val="center"/>
              <w:rPr>
                <w:i/>
                <w:color w:val="000000"/>
                <w:sz w:val="18"/>
                <w:szCs w:val="18"/>
              </w:rPr>
            </w:pPr>
            <w:r w:rsidRPr="00370E70">
              <w:rPr>
                <w:i/>
                <w:color w:val="000000"/>
                <w:sz w:val="18"/>
                <w:szCs w:val="18"/>
              </w:rPr>
              <w:t>-10.8 (-12.4 to -9.2)</w:t>
            </w:r>
          </w:p>
        </w:tc>
      </w:tr>
    </w:tbl>
    <w:p w:rsidR="005132EF" w:rsidRPr="00370E70" w:rsidRDefault="005132EF" w:rsidP="00034AD4">
      <w:pPr>
        <w:pStyle w:val="Heading4"/>
        <w:rPr>
          <w:b/>
          <w:iCs/>
          <w:color w:val="000000"/>
        </w:rPr>
      </w:pPr>
      <w:bookmarkStart w:id="808" w:name="_Toc232845938"/>
      <w:bookmarkStart w:id="809" w:name="_Toc184102045"/>
      <w:r w:rsidRPr="00370E70">
        <w:rPr>
          <w:b/>
          <w:iCs/>
          <w:color w:val="000000"/>
        </w:rPr>
        <w:t>Epiphytes and macro-algae</w:t>
      </w:r>
      <w:bookmarkEnd w:id="808"/>
      <w:bookmarkEnd w:id="809"/>
    </w:p>
    <w:p w:rsidR="005132EF" w:rsidRPr="00370E70" w:rsidRDefault="005132EF" w:rsidP="00034AD4">
      <w:pPr>
        <w:rPr>
          <w:color w:val="000000"/>
          <w:szCs w:val="22"/>
        </w:rPr>
      </w:pPr>
      <w:r w:rsidRPr="00370E70">
        <w:rPr>
          <w:color w:val="000000"/>
          <w:szCs w:val="22"/>
        </w:rPr>
        <w:t xml:space="preserve">Epiphyte cover on the seagrass leaf blades at Urangan was highly variable over the years of monitoring, irrespective of seagrass abundance.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however, epiphyte cover in 2011/12 was lower than previous years and remained lower than the GBR long-term average for estuary habitats (</w:t>
      </w:r>
      <w:r w:rsidRPr="00370E70">
        <w:fldChar w:fldCharType="begin"/>
      </w:r>
      <w:r w:rsidRPr="00370E70">
        <w:instrText xml:space="preserve"> REF _Ref211937738 \h  \* MERGEFORMAT </w:instrText>
      </w:r>
      <w:r w:rsidRPr="00370E70">
        <w:fldChar w:fldCharType="separate"/>
      </w:r>
      <w:r w:rsidR="005B5FD6" w:rsidRPr="005B5FD6">
        <w:rPr>
          <w:szCs w:val="22"/>
        </w:rPr>
        <w:t xml:space="preserve">Figure </w:t>
      </w:r>
      <w:r w:rsidR="005B5FD6" w:rsidRPr="005B5FD6">
        <w:rPr>
          <w:noProof/>
          <w:color w:val="000000"/>
          <w:szCs w:val="22"/>
        </w:rPr>
        <w:t>180</w:t>
      </w:r>
      <w:r w:rsidRPr="00370E70">
        <w:fldChar w:fldCharType="end"/>
      </w:r>
      <w:r w:rsidRPr="00370E70">
        <w:rPr>
          <w:color w:val="000000"/>
          <w:szCs w:val="22"/>
        </w:rPr>
        <w:t xml:space="preserve">). Percentage cover of macro-algae has continued to remain low at </w:t>
      </w:r>
      <w:proofErr w:type="gramStart"/>
      <w:r w:rsidRPr="00370E70">
        <w:rPr>
          <w:color w:val="000000"/>
          <w:szCs w:val="22"/>
        </w:rPr>
        <w:t>Urangan,</w:t>
      </w:r>
      <w:proofErr w:type="gramEnd"/>
      <w:r w:rsidRPr="00370E70">
        <w:rPr>
          <w:color w:val="000000"/>
          <w:szCs w:val="22"/>
        </w:rPr>
        <w:t xml:space="preserve"> however there was a brief increase above the GBR long-term average in February 2012 (</w:t>
      </w:r>
      <w:r w:rsidRPr="00370E70">
        <w:fldChar w:fldCharType="begin"/>
      </w:r>
      <w:r w:rsidRPr="00370E70">
        <w:instrText xml:space="preserve"> REF _Ref211937738 \h  \* MERGEFORMAT </w:instrText>
      </w:r>
      <w:r w:rsidRPr="00370E70">
        <w:fldChar w:fldCharType="separate"/>
      </w:r>
      <w:r w:rsidR="005B5FD6" w:rsidRPr="005B5FD6">
        <w:rPr>
          <w:szCs w:val="22"/>
        </w:rPr>
        <w:t xml:space="preserve">Figure </w:t>
      </w:r>
      <w:r w:rsidR="005B5FD6" w:rsidRPr="005B5FD6">
        <w:rPr>
          <w:noProof/>
          <w:color w:val="000000"/>
          <w:szCs w:val="22"/>
        </w:rPr>
        <w:t>180</w:t>
      </w:r>
      <w:r w:rsidRPr="00370E70">
        <w:fldChar w:fldCharType="end"/>
      </w:r>
      <w:r w:rsidRPr="00370E70">
        <w:rPr>
          <w:color w:val="000000"/>
          <w:szCs w:val="22"/>
        </w:rPr>
        <w:t xml:space="preserve">). </w:t>
      </w:r>
    </w:p>
    <w:p w:rsidR="005132EF" w:rsidRPr="00370E70" w:rsidRDefault="007B15AB" w:rsidP="0034068E">
      <w:pPr>
        <w:keepNext/>
        <w:jc w:val="center"/>
        <w:rPr>
          <w:szCs w:val="22"/>
        </w:rPr>
      </w:pPr>
      <w:r>
        <w:rPr>
          <w:noProof/>
          <w:lang w:eastAsia="en-AU"/>
        </w:rPr>
        <w:drawing>
          <wp:inline distT="0" distB="0" distL="0" distR="0">
            <wp:extent cx="4314190" cy="2936240"/>
            <wp:effectExtent l="0" t="0" r="0" b="0"/>
            <wp:docPr id="232" name="Picture 224" descr="Graphs of the man abundance (% cover) of epiphytes and macro-algae at intertidal estuarine (Rodds Bay and Urangan) seagrass monitoring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Graphs of the man abundance (% cover) of epiphytes and macro-algae at intertidal estuarine (Rodds Bay and Urangan) seagrass monitoring locations"/>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4314190" cy="2936240"/>
                    </a:xfrm>
                    <a:prstGeom prst="rect">
                      <a:avLst/>
                    </a:prstGeom>
                    <a:noFill/>
                    <a:ln>
                      <a:noFill/>
                    </a:ln>
                  </pic:spPr>
                </pic:pic>
              </a:graphicData>
            </a:graphic>
          </wp:inline>
        </w:drawing>
      </w:r>
    </w:p>
    <w:p w:rsidR="00DA7131" w:rsidRPr="00370E70" w:rsidRDefault="005132EF" w:rsidP="00DA7131">
      <w:pPr>
        <w:pStyle w:val="Caption"/>
        <w:rPr>
          <w:i/>
          <w:vanish/>
          <w:color w:val="000000"/>
          <w:szCs w:val="22"/>
          <w:lang w:val="en-AU"/>
          <w:specVanish/>
        </w:rPr>
      </w:pPr>
      <w:bookmarkStart w:id="810" w:name="_Ref211937738"/>
      <w:bookmarkStart w:id="811" w:name="_Toc384196527"/>
      <w:bookmarkStart w:id="812" w:name="_Toc232846030"/>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180</w:t>
      </w:r>
      <w:r w:rsidRPr="00370E70">
        <w:rPr>
          <w:lang w:val="en-AU"/>
        </w:rPr>
        <w:fldChar w:fldCharType="end"/>
      </w:r>
      <w:bookmarkEnd w:id="810"/>
      <w:r w:rsidRPr="00370E70">
        <w:rPr>
          <w:rStyle w:val="StyleCaptionCaptionCharCharLatinCalibri11ptBlackChar"/>
          <w:lang w:val="en-AU"/>
        </w:rPr>
        <w:t xml:space="preserve">. </w:t>
      </w:r>
      <w:r w:rsidRPr="00370E70">
        <w:rPr>
          <w:i/>
          <w:lang w:val="en-AU"/>
        </w:rPr>
        <w:t xml:space="preserve">Mean abundance (% cover) (± Standard Error) of epiphytes and macro-algae at </w:t>
      </w:r>
      <w:r w:rsidR="003C440C">
        <w:rPr>
          <w:i/>
          <w:lang w:val="en-AU"/>
        </w:rPr>
        <w:t xml:space="preserve">inshore </w:t>
      </w:r>
      <w:r w:rsidRPr="00370E70">
        <w:rPr>
          <w:i/>
          <w:lang w:val="en-AU"/>
        </w:rPr>
        <w:t>intertidal estuar</w:t>
      </w:r>
      <w:r w:rsidR="003C440C">
        <w:rPr>
          <w:i/>
          <w:lang w:val="en-AU"/>
        </w:rPr>
        <w:t>y habitats</w:t>
      </w:r>
      <w:r w:rsidRPr="00370E70">
        <w:rPr>
          <w:i/>
          <w:lang w:val="en-AU"/>
        </w:rPr>
        <w:t xml:space="preserve"> (</w:t>
      </w:r>
      <w:smartTag w:uri="urn:schemas-microsoft-com:office:smarttags" w:element="place">
        <w:smartTag w:uri="urn:schemas-microsoft-com:office:smarttags" w:element="PlaceName">
          <w:r w:rsidRPr="00370E70">
            <w:rPr>
              <w:i/>
              <w:lang w:val="en-AU"/>
            </w:rPr>
            <w:t>Rodds</w:t>
          </w:r>
        </w:smartTag>
        <w:r w:rsidRPr="00370E70">
          <w:rPr>
            <w:i/>
            <w:lang w:val="en-AU"/>
          </w:rPr>
          <w:t xml:space="preserve"> </w:t>
        </w:r>
        <w:smartTag w:uri="urn:schemas-microsoft-com:office:smarttags" w:element="PlaceType">
          <w:r w:rsidRPr="00370E70">
            <w:rPr>
              <w:i/>
              <w:lang w:val="en-AU"/>
            </w:rPr>
            <w:t>Bay</w:t>
          </w:r>
        </w:smartTag>
      </w:smartTag>
      <w:r w:rsidRPr="00370E70">
        <w:rPr>
          <w:i/>
          <w:lang w:val="en-AU"/>
        </w:rPr>
        <w:t xml:space="preserve"> and Urangan) </w:t>
      </w:r>
      <w:r w:rsidR="003C440C">
        <w:rPr>
          <w:i/>
          <w:lang w:val="en-AU"/>
        </w:rPr>
        <w:t>in the Burnett Mary region</w:t>
      </w:r>
      <w:r w:rsidRPr="00370E70">
        <w:rPr>
          <w:i/>
          <w:lang w:val="en-AU"/>
        </w:rPr>
        <w:t>.</w:t>
      </w:r>
      <w:bookmarkEnd w:id="811"/>
      <w:r w:rsidRPr="00370E70">
        <w:rPr>
          <w:i/>
          <w:lang w:val="en-AU"/>
        </w:rPr>
        <w:t xml:space="preserve"> </w:t>
      </w:r>
    </w:p>
    <w:p w:rsidR="00DA7131" w:rsidRPr="00370E70" w:rsidRDefault="005132EF" w:rsidP="00DA7131">
      <w:pPr>
        <w:pStyle w:val="Caption"/>
        <w:rPr>
          <w:lang w:val="en-AU"/>
        </w:rPr>
      </w:pPr>
      <w:r w:rsidRPr="00370E70">
        <w:rPr>
          <w:i/>
          <w:lang w:val="en-AU"/>
        </w:rPr>
        <w:t>Red line = GBR long-term average; epiphytes=25%, macro-algae=3.2%.</w:t>
      </w:r>
      <w:bookmarkEnd w:id="812"/>
      <w:r w:rsidR="00DA7131" w:rsidRPr="00370E70">
        <w:rPr>
          <w:i/>
          <w:lang w:val="en-AU"/>
        </w:rPr>
        <w:t xml:space="preserve"> </w:t>
      </w:r>
    </w:p>
    <w:p w:rsidR="005132EF" w:rsidRPr="00370E70" w:rsidRDefault="005132EF" w:rsidP="00034AD4">
      <w:pPr>
        <w:pStyle w:val="Heading4"/>
        <w:rPr>
          <w:b/>
          <w:iCs/>
          <w:color w:val="000000"/>
        </w:rPr>
      </w:pPr>
      <w:bookmarkStart w:id="813" w:name="_Toc175991097"/>
      <w:bookmarkStart w:id="814" w:name="_Toc232845940"/>
      <w:bookmarkStart w:id="815" w:name="_Toc184102047"/>
      <w:r w:rsidRPr="00370E70">
        <w:rPr>
          <w:b/>
          <w:iCs/>
          <w:color w:val="000000"/>
        </w:rPr>
        <w:t>Within canopy temperature</w:t>
      </w:r>
      <w:bookmarkEnd w:id="813"/>
      <w:bookmarkEnd w:id="814"/>
      <w:bookmarkEnd w:id="815"/>
    </w:p>
    <w:p w:rsidR="005132EF" w:rsidRPr="00370E70" w:rsidRDefault="005132EF" w:rsidP="00034AD4">
      <w:pPr>
        <w:rPr>
          <w:color w:val="000000"/>
          <w:szCs w:val="22"/>
        </w:rPr>
      </w:pPr>
      <w:r w:rsidRPr="00370E70">
        <w:rPr>
          <w:color w:val="000000"/>
          <w:szCs w:val="22"/>
        </w:rPr>
        <w:t xml:space="preserve">Within canopy temperatures were monitored at </w:t>
      </w:r>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r w:rsidRPr="00370E70">
        <w:rPr>
          <w:color w:val="000000"/>
          <w:szCs w:val="22"/>
        </w:rPr>
        <w:t xml:space="preserve"> and Urangan (</w:t>
      </w:r>
      <w:smartTag w:uri="urn:schemas-microsoft-com:office:smarttags" w:element="place">
        <w:smartTag w:uri="urn:schemas-microsoft-com:office:smarttags" w:element="PlaceName">
          <w:r w:rsidRPr="00370E70">
            <w:rPr>
              <w:color w:val="000000"/>
              <w:szCs w:val="22"/>
            </w:rPr>
            <w:t>Hervey</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over the past 12 months (</w:t>
      </w:r>
      <w:r w:rsidRPr="00370E70">
        <w:fldChar w:fldCharType="begin"/>
      </w:r>
      <w:r w:rsidRPr="00370E70">
        <w:instrText xml:space="preserve"> REF _Ref179515097 \h  \* MERGEFORMAT </w:instrText>
      </w:r>
      <w:r w:rsidRPr="00370E70">
        <w:fldChar w:fldCharType="separate"/>
      </w:r>
      <w:r w:rsidR="005B5FD6" w:rsidRPr="005B5FD6">
        <w:rPr>
          <w:szCs w:val="22"/>
        </w:rPr>
        <w:t xml:space="preserve">Figure </w:t>
      </w:r>
      <w:r w:rsidR="005B5FD6">
        <w:rPr>
          <w:noProof/>
          <w:color w:val="000000"/>
          <w:szCs w:val="22"/>
        </w:rPr>
        <w:t>181</w:t>
      </w:r>
      <w:r w:rsidRPr="00370E70">
        <w:fldChar w:fldCharType="end"/>
      </w:r>
      <w:r w:rsidRPr="00370E70">
        <w:rPr>
          <w:color w:val="000000"/>
          <w:szCs w:val="22"/>
        </w:rPr>
        <w:t xml:space="preserve">). Extreme temperatures (&gt;38°C) were recorded in the north of the region at </w:t>
      </w:r>
      <w:r w:rsidRPr="00370E70">
        <w:rPr>
          <w:color w:val="000000"/>
          <w:szCs w:val="22"/>
        </w:rPr>
        <w:lastRenderedPageBreak/>
        <w:t xml:space="preserve">on 5th March 2012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site 1 (39.5°C</w:t>
      </w:r>
      <w:proofErr w:type="gramStart"/>
      <w:r w:rsidRPr="00370E70">
        <w:rPr>
          <w:color w:val="000000"/>
          <w:szCs w:val="22"/>
        </w:rPr>
        <w:t>,1</w:t>
      </w:r>
      <w:r w:rsidR="00B63F0D" w:rsidRPr="00370E70">
        <w:rPr>
          <w:color w:val="000000"/>
          <w:szCs w:val="22"/>
        </w:rPr>
        <w:t>:00</w:t>
      </w:r>
      <w:proofErr w:type="gramEnd"/>
      <w:r w:rsidR="00B63F0D" w:rsidRPr="00370E70">
        <w:rPr>
          <w:color w:val="000000"/>
          <w:szCs w:val="22"/>
        </w:rPr>
        <w:t xml:space="preserve"> </w:t>
      </w:r>
      <w:r w:rsidRPr="00370E70">
        <w:rPr>
          <w:color w:val="000000"/>
          <w:szCs w:val="22"/>
        </w:rPr>
        <w:t>-</w:t>
      </w:r>
      <w:r w:rsidR="00B63F0D" w:rsidRPr="00370E70">
        <w:rPr>
          <w:color w:val="000000"/>
          <w:szCs w:val="22"/>
        </w:rPr>
        <w:t xml:space="preserve"> </w:t>
      </w:r>
      <w:r w:rsidRPr="00370E70">
        <w:rPr>
          <w:color w:val="000000"/>
          <w:szCs w:val="22"/>
        </w:rPr>
        <w:t>1:30pm) (</w:t>
      </w:r>
      <w:r w:rsidRPr="00370E70">
        <w:fldChar w:fldCharType="begin"/>
      </w:r>
      <w:r w:rsidRPr="00370E70">
        <w:instrText xml:space="preserve"> REF _Ref179515097 \h  \* MERGEFORMAT </w:instrText>
      </w:r>
      <w:r w:rsidRPr="00370E70">
        <w:fldChar w:fldCharType="separate"/>
      </w:r>
      <w:r w:rsidR="005B5FD6" w:rsidRPr="005B5FD6">
        <w:rPr>
          <w:szCs w:val="22"/>
        </w:rPr>
        <w:t xml:space="preserve">Figure </w:t>
      </w:r>
      <w:r w:rsidR="005B5FD6">
        <w:rPr>
          <w:noProof/>
          <w:color w:val="000000"/>
          <w:szCs w:val="22"/>
        </w:rPr>
        <w:t>181</w:t>
      </w:r>
      <w:r w:rsidRPr="00370E70">
        <w:fldChar w:fldCharType="end"/>
      </w:r>
      <w:r w:rsidRPr="00370E70">
        <w:rPr>
          <w:color w:val="000000"/>
          <w:szCs w:val="22"/>
        </w:rPr>
        <w:t xml:space="preserve">). Mean within canopy temperatures monitored at Urangan and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were within 16 </w:t>
      </w:r>
      <w:r w:rsidR="00B63F0D" w:rsidRPr="00370E70">
        <w:rPr>
          <w:color w:val="000000"/>
          <w:szCs w:val="22"/>
        </w:rPr>
        <w:t>-</w:t>
      </w:r>
      <w:r w:rsidRPr="00370E70">
        <w:rPr>
          <w:color w:val="000000"/>
          <w:szCs w:val="22"/>
        </w:rPr>
        <w:t xml:space="preserve"> 28°C range, with highest mean temperatures in January and February 2012. Mean within canopy temperatures for the 2011/12 monitoring period at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(23.3°C) were 0.2°C higher than the previous period. Overall, however, mean within canopy temperatures across the region for the period were between 0.3 - 0.5°C cooler than the last 5 periods (</w:t>
      </w:r>
      <w:r w:rsidRPr="00370E70">
        <w:fldChar w:fldCharType="begin"/>
      </w:r>
      <w:r w:rsidRPr="00370E70">
        <w:instrText xml:space="preserve"> REF _Ref211937311 \h  \* MERGEFORMAT </w:instrText>
      </w:r>
      <w:r w:rsidRPr="00370E70">
        <w:fldChar w:fldCharType="separate"/>
      </w:r>
      <w:r w:rsidR="005B5FD6" w:rsidRPr="005B5FD6">
        <w:rPr>
          <w:szCs w:val="22"/>
        </w:rPr>
        <w:t xml:space="preserve">Figure </w:t>
      </w:r>
      <w:r w:rsidR="005B5FD6">
        <w:rPr>
          <w:noProof/>
          <w:color w:val="000000"/>
          <w:szCs w:val="22"/>
        </w:rPr>
        <w:t>182</w:t>
      </w:r>
      <w:r w:rsidRPr="00370E70">
        <w:fldChar w:fldCharType="end"/>
      </w:r>
      <w:r w:rsidRPr="00370E70">
        <w:rPr>
          <w:color w:val="000000"/>
          <w:szCs w:val="22"/>
        </w:rPr>
        <w:t>).</w:t>
      </w:r>
    </w:p>
    <w:p w:rsidR="005132EF" w:rsidRPr="00370E70" w:rsidRDefault="007B15AB" w:rsidP="00034AD4">
      <w:pPr>
        <w:keepNext/>
        <w:spacing w:before="240"/>
        <w:jc w:val="center"/>
        <w:rPr>
          <w:color w:val="000000"/>
        </w:rPr>
      </w:pPr>
      <w:r>
        <w:rPr>
          <w:noProof/>
          <w:lang w:eastAsia="en-AU"/>
        </w:rPr>
        <w:drawing>
          <wp:inline distT="0" distB="0" distL="0" distR="0">
            <wp:extent cx="4327525" cy="3194050"/>
            <wp:effectExtent l="0" t="0" r="0" b="6350"/>
            <wp:docPr id="233" name="Picture 225" descr="Graphs of the within seagrass canopy temperature (°C) at Rodds Bay and Urangan intertidal estuary meadows over the 2011/2012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Graphs of the within seagrass canopy temperature (°C) at Rodds Bay and Urangan intertidal estuary meadows over the 2011/2012 monitoring period"/>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4327525" cy="319405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816" w:name="_Ref179515097"/>
      <w:bookmarkStart w:id="817" w:name="_Toc176158937"/>
      <w:bookmarkStart w:id="818" w:name="_Toc232846032"/>
      <w:bookmarkStart w:id="819" w:name="_Toc384196528"/>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181</w:t>
      </w:r>
      <w:r w:rsidRPr="00370E70">
        <w:rPr>
          <w:color w:val="000000"/>
          <w:szCs w:val="22"/>
          <w:lang w:val="en-AU"/>
        </w:rPr>
        <w:fldChar w:fldCharType="end"/>
      </w:r>
      <w:bookmarkEnd w:id="816"/>
      <w:r w:rsidRPr="00370E70">
        <w:rPr>
          <w:rStyle w:val="StyleCaptionCaptionCharCharLatinCalibri11ptBlackChar"/>
          <w:lang w:val="en-AU"/>
        </w:rPr>
        <w:t>.</w:t>
      </w:r>
      <w:r w:rsidRPr="00370E70">
        <w:rPr>
          <w:i/>
          <w:color w:val="000000"/>
          <w:szCs w:val="22"/>
          <w:lang w:val="en-AU"/>
        </w:rPr>
        <w:t xml:space="preserve"> Within seagrass canopy temperature (°C) at </w:t>
      </w:r>
      <w:r w:rsidR="003C440C">
        <w:rPr>
          <w:i/>
          <w:color w:val="000000"/>
          <w:szCs w:val="22"/>
          <w:lang w:val="en-AU"/>
        </w:rPr>
        <w:t xml:space="preserve">inshore </w:t>
      </w:r>
      <w:r w:rsidR="003C440C" w:rsidRPr="00370E70">
        <w:rPr>
          <w:i/>
          <w:color w:val="000000"/>
          <w:szCs w:val="22"/>
          <w:lang w:val="en-AU"/>
        </w:rPr>
        <w:t xml:space="preserve">intertidal estuary </w:t>
      </w:r>
      <w:r w:rsidR="003C440C">
        <w:rPr>
          <w:i/>
          <w:color w:val="000000"/>
          <w:szCs w:val="22"/>
          <w:lang w:val="en-AU"/>
        </w:rPr>
        <w:t>habitats (</w:t>
      </w:r>
      <w:smartTag w:uri="urn:schemas-microsoft-com:office:smarttags" w:element="place">
        <w:smartTag w:uri="urn:schemas-microsoft-com:office:smarttags" w:element="PlaceName">
          <w:r w:rsidRPr="00370E70">
            <w:rPr>
              <w:i/>
              <w:color w:val="000000"/>
              <w:szCs w:val="22"/>
              <w:lang w:val="en-AU"/>
            </w:rPr>
            <w:t>Rodds</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smartTag>
      <w:r w:rsidRPr="00370E70">
        <w:rPr>
          <w:i/>
          <w:color w:val="000000"/>
          <w:szCs w:val="22"/>
          <w:lang w:val="en-AU"/>
        </w:rPr>
        <w:t xml:space="preserve"> and Urangan</w:t>
      </w:r>
      <w:r w:rsidR="003C440C">
        <w:rPr>
          <w:i/>
          <w:color w:val="000000"/>
          <w:szCs w:val="22"/>
          <w:lang w:val="en-AU"/>
        </w:rPr>
        <w:t>) in the Burnett Mary region</w:t>
      </w:r>
      <w:r w:rsidRPr="00370E70">
        <w:rPr>
          <w:i/>
          <w:color w:val="000000"/>
          <w:szCs w:val="22"/>
          <w:lang w:val="en-AU"/>
        </w:rPr>
        <w:t xml:space="preserve"> over the 2011/2012 monitoring period.</w:t>
      </w:r>
      <w:bookmarkEnd w:id="817"/>
      <w:bookmarkEnd w:id="818"/>
      <w:bookmarkEnd w:id="819"/>
    </w:p>
    <w:p w:rsidR="005132EF" w:rsidRPr="00370E70" w:rsidRDefault="007B15AB" w:rsidP="00034AD4">
      <w:pPr>
        <w:jc w:val="center"/>
      </w:pPr>
      <w:r>
        <w:rPr>
          <w:noProof/>
          <w:lang w:eastAsia="en-AU"/>
        </w:rPr>
        <w:drawing>
          <wp:inline distT="0" distB="0" distL="0" distR="0">
            <wp:extent cx="4327525" cy="2459990"/>
            <wp:effectExtent l="0" t="0" r="0" b="0"/>
            <wp:docPr id="234" name="Picture 226" descr="Graphs of teh long-term monthly mean and maximum within seagrass canopy temperature (°C) at intertidal meadows in estuarine (Rodds Bay and Urangan) monitoring habitats with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Graphs of teh long-term monthly mean and maximum within seagrass canopy temperature (°C) at intertidal meadows in estuarine (Rodds Bay and Urangan) monitoring habitats within the Burnett Mary region."/>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4327525" cy="2459990"/>
                    </a:xfrm>
                    <a:prstGeom prst="rect">
                      <a:avLst/>
                    </a:prstGeom>
                    <a:noFill/>
                    <a:ln>
                      <a:noFill/>
                    </a:ln>
                  </pic:spPr>
                </pic:pic>
              </a:graphicData>
            </a:graphic>
          </wp:inline>
        </w:drawing>
      </w:r>
    </w:p>
    <w:p w:rsidR="005132EF" w:rsidRPr="00370E70" w:rsidRDefault="005132EF" w:rsidP="00034AD4">
      <w:pPr>
        <w:pStyle w:val="Caption"/>
        <w:rPr>
          <w:i/>
          <w:color w:val="000000"/>
          <w:szCs w:val="22"/>
          <w:lang w:val="en-AU"/>
        </w:rPr>
      </w:pPr>
      <w:bookmarkStart w:id="820" w:name="_Ref211937311"/>
      <w:bookmarkStart w:id="821" w:name="_Toc232846033"/>
      <w:bookmarkStart w:id="822" w:name="_Toc384196529"/>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182</w:t>
      </w:r>
      <w:r w:rsidRPr="00370E70">
        <w:rPr>
          <w:color w:val="000000"/>
          <w:szCs w:val="22"/>
          <w:lang w:val="en-AU"/>
        </w:rPr>
        <w:fldChar w:fldCharType="end"/>
      </w:r>
      <w:bookmarkEnd w:id="820"/>
      <w:r w:rsidRPr="00370E70">
        <w:rPr>
          <w:rStyle w:val="StyleCaptionCaptionCharCharLatinCalibri11ptBlackChar"/>
          <w:lang w:val="en-AU"/>
        </w:rPr>
        <w:t xml:space="preserve">. </w:t>
      </w:r>
      <w:r w:rsidRPr="00370E70">
        <w:rPr>
          <w:i/>
          <w:color w:val="000000"/>
          <w:szCs w:val="22"/>
          <w:lang w:val="en-AU"/>
        </w:rPr>
        <w:t xml:space="preserve">Monthly mean and maximum within seagrass canopy temperature (°C) at </w:t>
      </w:r>
      <w:r w:rsidR="003C440C">
        <w:rPr>
          <w:i/>
          <w:color w:val="000000"/>
          <w:szCs w:val="22"/>
          <w:lang w:val="en-AU"/>
        </w:rPr>
        <w:t xml:space="preserve">insore </w:t>
      </w:r>
      <w:r w:rsidRPr="00370E70">
        <w:rPr>
          <w:i/>
          <w:color w:val="000000"/>
          <w:szCs w:val="22"/>
          <w:lang w:val="en-AU"/>
        </w:rPr>
        <w:t>intertidal estuar</w:t>
      </w:r>
      <w:r w:rsidR="003C440C">
        <w:rPr>
          <w:i/>
          <w:color w:val="000000"/>
          <w:szCs w:val="22"/>
          <w:lang w:val="en-AU"/>
        </w:rPr>
        <w:t>y habitats</w:t>
      </w:r>
      <w:r w:rsidRPr="00370E70">
        <w:rPr>
          <w:i/>
          <w:color w:val="000000"/>
          <w:szCs w:val="22"/>
          <w:lang w:val="en-AU"/>
        </w:rPr>
        <w:t xml:space="preserve"> (</w:t>
      </w:r>
      <w:smartTag w:uri="urn:schemas-microsoft-com:office:smarttags" w:element="place">
        <w:smartTag w:uri="urn:schemas-microsoft-com:office:smarttags" w:element="PlaceName">
          <w:r w:rsidRPr="00370E70">
            <w:rPr>
              <w:i/>
              <w:color w:val="000000"/>
              <w:szCs w:val="22"/>
              <w:lang w:val="en-AU"/>
            </w:rPr>
            <w:t>Rodds</w:t>
          </w:r>
        </w:smartTag>
        <w:r w:rsidRPr="00370E70">
          <w:rPr>
            <w:i/>
            <w:color w:val="000000"/>
            <w:szCs w:val="22"/>
            <w:lang w:val="en-AU"/>
          </w:rPr>
          <w:t xml:space="preserve"> </w:t>
        </w:r>
        <w:smartTag w:uri="urn:schemas-microsoft-com:office:smarttags" w:element="PlaceType">
          <w:r w:rsidRPr="00370E70">
            <w:rPr>
              <w:i/>
              <w:color w:val="000000"/>
              <w:szCs w:val="22"/>
              <w:lang w:val="en-AU"/>
            </w:rPr>
            <w:t>Bay</w:t>
          </w:r>
        </w:smartTag>
      </w:smartTag>
      <w:r w:rsidRPr="00370E70">
        <w:rPr>
          <w:i/>
          <w:color w:val="000000"/>
          <w:szCs w:val="22"/>
          <w:lang w:val="en-AU"/>
        </w:rPr>
        <w:t xml:space="preserve"> and Urangan) </w:t>
      </w:r>
      <w:r w:rsidR="003C440C">
        <w:rPr>
          <w:i/>
          <w:color w:val="000000"/>
          <w:szCs w:val="22"/>
          <w:lang w:val="en-AU"/>
        </w:rPr>
        <w:t>in</w:t>
      </w:r>
      <w:r w:rsidRPr="00370E70">
        <w:rPr>
          <w:i/>
          <w:color w:val="000000"/>
          <w:szCs w:val="22"/>
          <w:lang w:val="en-AU"/>
        </w:rPr>
        <w:t xml:space="preserve"> the Burnett Mary region.</w:t>
      </w:r>
      <w:bookmarkEnd w:id="821"/>
      <w:bookmarkEnd w:id="822"/>
    </w:p>
    <w:p w:rsidR="005132EF" w:rsidRPr="00370E70" w:rsidRDefault="005132EF" w:rsidP="00034AD4">
      <w:pPr>
        <w:pStyle w:val="Heading4"/>
        <w:rPr>
          <w:b/>
          <w:iCs/>
          <w:color w:val="000000"/>
        </w:rPr>
      </w:pPr>
      <w:bookmarkStart w:id="823" w:name="_Toc184102048"/>
      <w:r w:rsidRPr="00370E70">
        <w:rPr>
          <w:b/>
          <w:iCs/>
          <w:color w:val="000000"/>
        </w:rPr>
        <w:t>Canopy incident light</w:t>
      </w:r>
      <w:bookmarkEnd w:id="823"/>
    </w:p>
    <w:p w:rsidR="005132EF" w:rsidRPr="00370E70" w:rsidRDefault="005132EF" w:rsidP="001F6D59">
      <w:pPr>
        <w:rPr>
          <w:color w:val="000000"/>
          <w:szCs w:val="22"/>
        </w:rPr>
      </w:pPr>
      <w:bookmarkStart w:id="824" w:name="_Ref145428071"/>
      <w:r w:rsidRPr="00370E70">
        <w:rPr>
          <w:color w:val="000000"/>
          <w:szCs w:val="22"/>
        </w:rPr>
        <w:t xml:space="preserve">There is limited light data available for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due to </w:t>
      </w:r>
      <w:r w:rsidRPr="00370E70">
        <w:rPr>
          <w:i/>
          <w:color w:val="000000"/>
          <w:szCs w:val="22"/>
        </w:rPr>
        <w:t>in situ</w:t>
      </w:r>
      <w:r w:rsidRPr="00370E70">
        <w:rPr>
          <w:color w:val="000000"/>
          <w:szCs w:val="22"/>
        </w:rPr>
        <w:t xml:space="preserve"> light logger failure and low deployment frequency. Based on the limited data available, daily irradiance (I</w:t>
      </w:r>
      <w:r w:rsidRPr="00370E70">
        <w:rPr>
          <w:color w:val="000000"/>
          <w:szCs w:val="22"/>
          <w:vertAlign w:val="subscript"/>
        </w:rPr>
        <w:t>d</w:t>
      </w:r>
      <w:r w:rsidRPr="00370E70">
        <w:rPr>
          <w:color w:val="000000"/>
          <w:szCs w:val="22"/>
        </w:rPr>
        <w:t>) is the highest of all monitoring sites, being, on average 22.9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I</w:t>
      </w:r>
      <w:r w:rsidRPr="00370E70">
        <w:rPr>
          <w:color w:val="000000"/>
          <w:szCs w:val="22"/>
          <w:vertAlign w:val="subscript"/>
        </w:rPr>
        <w:t>d</w:t>
      </w:r>
      <w:r w:rsidRPr="00370E70">
        <w:rPr>
          <w:color w:val="000000"/>
          <w:szCs w:val="22"/>
        </w:rPr>
        <w:t xml:space="preserve"> was 24.8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 xml:space="preserve">-1 </w:t>
      </w:r>
      <w:r w:rsidRPr="00370E70">
        <w:rPr>
          <w:color w:val="000000"/>
          <w:szCs w:val="22"/>
        </w:rPr>
        <w:t xml:space="preserve">in 2011/12, but given the </w:t>
      </w:r>
      <w:r w:rsidRPr="00370E70">
        <w:rPr>
          <w:color w:val="000000"/>
          <w:szCs w:val="22"/>
        </w:rPr>
        <w:lastRenderedPageBreak/>
        <w:t>patchy data prior to 2011/12 it isn’t possible to assess interannual trends. At Urangan in 2011/12, I</w:t>
      </w:r>
      <w:r w:rsidRPr="00370E70">
        <w:rPr>
          <w:color w:val="000000"/>
          <w:szCs w:val="22"/>
          <w:vertAlign w:val="subscript"/>
        </w:rPr>
        <w:t xml:space="preserve">d </w:t>
      </w:r>
      <w:r w:rsidRPr="00370E70">
        <w:rPr>
          <w:color w:val="000000"/>
          <w:szCs w:val="22"/>
        </w:rPr>
        <w:t>was 16.7 mol m</w:t>
      </w:r>
      <w:r w:rsidRPr="00370E70">
        <w:rPr>
          <w:color w:val="000000"/>
          <w:szCs w:val="22"/>
          <w:vertAlign w:val="superscript"/>
        </w:rPr>
        <w:t>-2</w:t>
      </w:r>
      <w:r w:rsidRPr="00370E70">
        <w:rPr>
          <w:color w:val="000000"/>
          <w:szCs w:val="22"/>
        </w:rPr>
        <w:t xml:space="preserve"> d</w:t>
      </w:r>
      <w:r w:rsidRPr="00370E70">
        <w:rPr>
          <w:color w:val="000000"/>
          <w:szCs w:val="22"/>
          <w:vertAlign w:val="superscript"/>
        </w:rPr>
        <w:t>-1</w:t>
      </w:r>
      <w:r w:rsidRPr="00370E70">
        <w:rPr>
          <w:color w:val="000000"/>
          <w:szCs w:val="22"/>
        </w:rPr>
        <w:t xml:space="preserve">, with insufficient data to assess longer-term averages. </w:t>
      </w:r>
    </w:p>
    <w:p w:rsidR="00DA7131" w:rsidRPr="00370E70" w:rsidRDefault="007B15AB" w:rsidP="00DA7131">
      <w:pPr>
        <w:keepNext/>
        <w:spacing w:after="0"/>
        <w:jc w:val="center"/>
        <w:rPr>
          <w:color w:val="000000"/>
          <w:szCs w:val="22"/>
        </w:rPr>
      </w:pPr>
      <w:r>
        <w:rPr>
          <w:noProof/>
          <w:lang w:eastAsia="en-AU"/>
        </w:rPr>
        <w:drawing>
          <wp:inline distT="0" distB="0" distL="0" distR="0">
            <wp:extent cx="4314190" cy="1635760"/>
            <wp:effectExtent l="0" t="0" r="0" b="2540"/>
            <wp:docPr id="235" name="Picture 235" descr="Graph of the daily light (28 day rolling average) at estuarine meadows in the northern (Rodds Bay)  section of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Graph of the daily light (28 day rolling average) at estuarine meadows in the northern (Rodds Bay)  section of the Burnett Mary region"/>
                    <pic:cNvPicPr>
                      <a:picLocks noChangeAspect="1" noChangeArrowheads="1"/>
                    </pic:cNvPicPr>
                  </pic:nvPicPr>
                  <pic:blipFill>
                    <a:blip r:embed="rId261">
                      <a:extLst>
                        <a:ext uri="{28A0092B-C50C-407E-A947-70E740481C1C}">
                          <a14:useLocalDpi xmlns:a14="http://schemas.microsoft.com/office/drawing/2010/main" val="0"/>
                        </a:ext>
                      </a:extLst>
                    </a:blip>
                    <a:srcRect b="11327"/>
                    <a:stretch>
                      <a:fillRect/>
                    </a:stretch>
                  </pic:blipFill>
                  <pic:spPr bwMode="auto">
                    <a:xfrm>
                      <a:off x="0" y="0"/>
                      <a:ext cx="4314190" cy="1635760"/>
                    </a:xfrm>
                    <a:prstGeom prst="rect">
                      <a:avLst/>
                    </a:prstGeom>
                    <a:noFill/>
                    <a:ln>
                      <a:noFill/>
                    </a:ln>
                  </pic:spPr>
                </pic:pic>
              </a:graphicData>
            </a:graphic>
          </wp:inline>
        </w:drawing>
      </w:r>
    </w:p>
    <w:p w:rsidR="00DA7131" w:rsidRPr="00370E70" w:rsidRDefault="007B15AB" w:rsidP="00DA7131">
      <w:pPr>
        <w:keepNext/>
        <w:spacing w:before="0" w:after="0"/>
        <w:jc w:val="center"/>
        <w:rPr>
          <w:color w:val="000000"/>
          <w:szCs w:val="22"/>
        </w:rPr>
      </w:pPr>
      <w:r>
        <w:rPr>
          <w:noProof/>
          <w:lang w:eastAsia="en-AU"/>
        </w:rPr>
        <w:drawing>
          <wp:inline distT="0" distB="0" distL="0" distR="0">
            <wp:extent cx="4314190" cy="1699895"/>
            <wp:effectExtent l="0" t="0" r="0" b="0"/>
            <wp:docPr id="236" name="Picture 236" descr="Graphs of the daily light (28 day rolling average) at estuarine locations in the southern (Urangan) section of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Graphs of the daily light (28 day rolling average) at estuarine locations in the southern (Urangan) section of the  Burnett Mary region"/>
                    <pic:cNvPicPr>
                      <a:picLocks noChangeAspect="1" noChangeArrowheads="1"/>
                    </pic:cNvPicPr>
                  </pic:nvPicPr>
                  <pic:blipFill>
                    <a:blip r:embed="rId262">
                      <a:extLst>
                        <a:ext uri="{28A0092B-C50C-407E-A947-70E740481C1C}">
                          <a14:useLocalDpi xmlns:a14="http://schemas.microsoft.com/office/drawing/2010/main" val="0"/>
                        </a:ext>
                      </a:extLst>
                    </a:blip>
                    <a:srcRect t="2634"/>
                    <a:stretch>
                      <a:fillRect/>
                    </a:stretch>
                  </pic:blipFill>
                  <pic:spPr bwMode="auto">
                    <a:xfrm>
                      <a:off x="0" y="0"/>
                      <a:ext cx="4314190" cy="1699895"/>
                    </a:xfrm>
                    <a:prstGeom prst="rect">
                      <a:avLst/>
                    </a:prstGeom>
                    <a:noFill/>
                    <a:ln>
                      <a:noFill/>
                    </a:ln>
                  </pic:spPr>
                </pic:pic>
              </a:graphicData>
            </a:graphic>
          </wp:inline>
        </w:drawing>
      </w:r>
    </w:p>
    <w:p w:rsidR="00DA7131" w:rsidRPr="00370E70" w:rsidRDefault="005132EF" w:rsidP="00DA7131">
      <w:pPr>
        <w:rPr>
          <w:i/>
          <w:vanish/>
          <w:specVanish/>
        </w:rPr>
      </w:pPr>
      <w:bookmarkStart w:id="825" w:name="_Toc384196530"/>
      <w:r w:rsidRPr="00370E70">
        <w:t xml:space="preserve">Figure </w:t>
      </w:r>
      <w:r w:rsidR="009A14B8">
        <w:fldChar w:fldCharType="begin"/>
      </w:r>
      <w:r w:rsidR="009A14B8">
        <w:instrText xml:space="preserve"> SEQ Figure \* ARABIC </w:instrText>
      </w:r>
      <w:r w:rsidR="009A14B8">
        <w:fldChar w:fldCharType="separate"/>
      </w:r>
      <w:r w:rsidR="005B5FD6">
        <w:rPr>
          <w:noProof/>
        </w:rPr>
        <w:t>183</w:t>
      </w:r>
      <w:r w:rsidR="009A14B8">
        <w:rPr>
          <w:noProof/>
        </w:rPr>
        <w:fldChar w:fldCharType="end"/>
      </w:r>
      <w:r w:rsidRPr="00370E70">
        <w:t xml:space="preserve">. </w:t>
      </w:r>
      <w:r w:rsidR="00DA7131" w:rsidRPr="00370E70">
        <w:rPr>
          <w:i/>
        </w:rPr>
        <w:t xml:space="preserve">Daily light (28 </w:t>
      </w:r>
      <w:r w:rsidRPr="00370E70">
        <w:rPr>
          <w:i/>
        </w:rPr>
        <w:t xml:space="preserve">day rolling average) at </w:t>
      </w:r>
      <w:r w:rsidR="00DC4EB3">
        <w:rPr>
          <w:i/>
        </w:rPr>
        <w:t>estuarine</w:t>
      </w:r>
      <w:r w:rsidRPr="00370E70">
        <w:rPr>
          <w:i/>
        </w:rPr>
        <w:t xml:space="preserve"> </w:t>
      </w:r>
      <w:r w:rsidR="00244339">
        <w:rPr>
          <w:i/>
        </w:rPr>
        <w:t xml:space="preserve">locations in the </w:t>
      </w:r>
      <w:r w:rsidR="003C440C">
        <w:rPr>
          <w:i/>
        </w:rPr>
        <w:t xml:space="preserve">inshore intertidal estuary habitats in the </w:t>
      </w:r>
      <w:r w:rsidR="00244339">
        <w:rPr>
          <w:i/>
        </w:rPr>
        <w:t xml:space="preserve">northern </w:t>
      </w:r>
      <w:r w:rsidRPr="00370E70">
        <w:rPr>
          <w:i/>
        </w:rPr>
        <w:t>(</w:t>
      </w:r>
      <w:smartTag w:uri="urn:schemas-microsoft-com:office:smarttags" w:element="place">
        <w:smartTag w:uri="urn:schemas-microsoft-com:office:smarttags" w:element="PlaceName">
          <w:r w:rsidRPr="00370E70">
            <w:rPr>
              <w:i/>
            </w:rPr>
            <w:t>Rodds</w:t>
          </w:r>
        </w:smartTag>
        <w:r w:rsidRPr="00370E70">
          <w:rPr>
            <w:i/>
          </w:rPr>
          <w:t xml:space="preserve"> </w:t>
        </w:r>
        <w:smartTag w:uri="urn:schemas-microsoft-com:office:smarttags" w:element="PlaceType">
          <w:r w:rsidRPr="00370E70">
            <w:rPr>
              <w:i/>
            </w:rPr>
            <w:t>Bay</w:t>
          </w:r>
        </w:smartTag>
      </w:smartTag>
      <w:r w:rsidRPr="00370E70">
        <w:rPr>
          <w:i/>
        </w:rPr>
        <w:t xml:space="preserve">) </w:t>
      </w:r>
      <w:r w:rsidR="00244339">
        <w:rPr>
          <w:i/>
        </w:rPr>
        <w:t>and southern (Urangan) section of</w:t>
      </w:r>
      <w:r w:rsidRPr="00370E70">
        <w:rPr>
          <w:i/>
        </w:rPr>
        <w:t xml:space="preserve"> the </w:t>
      </w:r>
      <w:r w:rsidR="00244339">
        <w:rPr>
          <w:i/>
        </w:rPr>
        <w:t>Burnett Mary</w:t>
      </w:r>
      <w:r w:rsidRPr="00370E70">
        <w:rPr>
          <w:i/>
        </w:rPr>
        <w:t xml:space="preserve"> region</w:t>
      </w:r>
      <w:bookmarkEnd w:id="825"/>
    </w:p>
    <w:p w:rsidR="00DA7131" w:rsidRPr="00370E70" w:rsidRDefault="005132EF" w:rsidP="00DA7131">
      <w:r w:rsidRPr="00370E70">
        <w:rPr>
          <w:i/>
        </w:rPr>
        <w:t xml:space="preserve">, also showing approximate light threshold required for positive growth in Zostera </w:t>
      </w:r>
      <w:r w:rsidR="00145BB9" w:rsidRPr="00370E70">
        <w:rPr>
          <w:i/>
        </w:rPr>
        <w:t>muelleri</w:t>
      </w:r>
      <w:r w:rsidR="002C6536" w:rsidRPr="00370E70">
        <w:rPr>
          <w:i/>
        </w:rPr>
        <w:t xml:space="preserve"> </w:t>
      </w:r>
      <w:r w:rsidRPr="00370E70">
        <w:rPr>
          <w:i/>
        </w:rPr>
        <w:t>dominated communities in the southern GBR (6 mol m</w:t>
      </w:r>
      <w:r w:rsidRPr="00370E70">
        <w:rPr>
          <w:i/>
          <w:vertAlign w:val="superscript"/>
        </w:rPr>
        <w:t>-2</w:t>
      </w:r>
      <w:r w:rsidRPr="00370E70">
        <w:rPr>
          <w:i/>
        </w:rPr>
        <w:t xml:space="preserve"> d</w:t>
      </w:r>
      <w:r w:rsidRPr="00370E70">
        <w:rPr>
          <w:i/>
          <w:vertAlign w:val="superscript"/>
        </w:rPr>
        <w:t>-1</w:t>
      </w:r>
      <w:r w:rsidRPr="00370E70">
        <w:rPr>
          <w:i/>
        </w:rPr>
        <w:t>)</w:t>
      </w:r>
      <w:r w:rsidR="00DA7131" w:rsidRPr="00370E70">
        <w:rPr>
          <w:i/>
        </w:rPr>
        <w:t>(</w:t>
      </w:r>
      <w:hyperlink w:anchor="_ENREF_33" w:tooltip="Chartrand, 2012 #9309" w:history="1">
        <w:r w:rsidR="00964A70" w:rsidRPr="00370E70">
          <w:rPr>
            <w:i/>
          </w:rPr>
          <w:fldChar w:fldCharType="begin"/>
        </w:r>
        <w:r w:rsidR="00964A70" w:rsidRPr="00370E70">
          <w:rPr>
            <w:i/>
          </w:rPr>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964A70" w:rsidRPr="00370E70">
          <w:rPr>
            <w:i/>
          </w:rPr>
          <w:fldChar w:fldCharType="separate"/>
        </w:r>
        <w:r w:rsidR="00964A70" w:rsidRPr="00370E70">
          <w:rPr>
            <w:i/>
            <w:noProof/>
          </w:rPr>
          <w:t>Chartrand, et al. 2012</w:t>
        </w:r>
        <w:r w:rsidR="00964A70" w:rsidRPr="00370E70">
          <w:rPr>
            <w:i/>
          </w:rPr>
          <w:fldChar w:fldCharType="end"/>
        </w:r>
      </w:hyperlink>
      <w:r w:rsidR="00DA7131" w:rsidRPr="00370E70">
        <w:rPr>
          <w:i/>
        </w:rPr>
        <w:t>).</w:t>
      </w:r>
      <w:r w:rsidRPr="00370E70">
        <w:rPr>
          <w:i/>
        </w:rPr>
        <w:t xml:space="preserve"> NB</w:t>
      </w:r>
      <w:r w:rsidR="00DA7131" w:rsidRPr="00370E70">
        <w:rPr>
          <w:i/>
        </w:rPr>
        <w:t xml:space="preserve">: </w:t>
      </w:r>
      <w:r w:rsidRPr="00370E70">
        <w:rPr>
          <w:i/>
        </w:rPr>
        <w:t>threshold is based on 2</w:t>
      </w:r>
      <w:r w:rsidR="00DA7131" w:rsidRPr="00370E70">
        <w:rPr>
          <w:i/>
        </w:rPr>
        <w:t xml:space="preserve"> </w:t>
      </w:r>
      <w:r w:rsidRPr="00370E70">
        <w:rPr>
          <w:i/>
        </w:rPr>
        <w:t>week average.</w:t>
      </w:r>
      <w:r w:rsidR="00DA7131" w:rsidRPr="00370E70">
        <w:t xml:space="preserve"> </w:t>
      </w:r>
    </w:p>
    <w:p w:rsidR="005132EF" w:rsidRPr="00370E70" w:rsidRDefault="005132EF" w:rsidP="00034AD4">
      <w:pPr>
        <w:pStyle w:val="Heading4"/>
        <w:rPr>
          <w:b/>
          <w:iCs/>
          <w:color w:val="000000"/>
        </w:rPr>
      </w:pPr>
      <w:bookmarkStart w:id="826" w:name="_Toc232845941"/>
      <w:bookmarkStart w:id="827" w:name="_Toc184102049"/>
      <w:bookmarkEnd w:id="824"/>
      <w:r w:rsidRPr="00370E70">
        <w:rPr>
          <w:b/>
          <w:iCs/>
          <w:color w:val="000000"/>
        </w:rPr>
        <w:t>Regional Climate</w:t>
      </w:r>
      <w:bookmarkEnd w:id="826"/>
      <w:bookmarkEnd w:id="827"/>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Climate across the Mary Burnett region varied between the northern and southern locations over the 2011/12 monitoring period. In the north the climate was drier and windier than the decadal </w:t>
      </w:r>
      <w:r w:rsidR="002C6536" w:rsidRPr="00370E70">
        <w:rPr>
          <w:rFonts w:cs="TimesNewRoman"/>
          <w:color w:val="000000"/>
          <w:szCs w:val="22"/>
        </w:rPr>
        <w:t>annual</w:t>
      </w:r>
      <w:r w:rsidRPr="00370E70">
        <w:rPr>
          <w:rFonts w:cs="TimesNewRoman"/>
          <w:color w:val="000000"/>
          <w:szCs w:val="22"/>
        </w:rPr>
        <w:t xml:space="preserve"> average, whereas in the </w:t>
      </w:r>
      <w:r w:rsidR="002C6536" w:rsidRPr="00370E70">
        <w:rPr>
          <w:rFonts w:cs="TimesNewRoman"/>
          <w:color w:val="000000"/>
          <w:szCs w:val="22"/>
        </w:rPr>
        <w:t>south</w:t>
      </w:r>
      <w:r w:rsidRPr="00370E70">
        <w:rPr>
          <w:rFonts w:cs="TimesNewRoman"/>
          <w:color w:val="000000"/>
          <w:szCs w:val="22"/>
        </w:rPr>
        <w:t xml:space="preserve"> it was cooler, wetter, and windier than the previous  decade.</w:t>
      </w:r>
    </w:p>
    <w:p w:rsidR="005132EF" w:rsidRPr="00370E70" w:rsidRDefault="003C440C" w:rsidP="00034AD4">
      <w:pPr>
        <w:pStyle w:val="Heading5"/>
        <w:rPr>
          <w:color w:val="000000"/>
        </w:rPr>
      </w:pPr>
      <w:r>
        <w:rPr>
          <w:color w:val="000000"/>
        </w:rPr>
        <w:t>Inshore estuary in southern section (</w:t>
      </w:r>
      <w:r w:rsidR="005132EF" w:rsidRPr="00370E70">
        <w:rPr>
          <w:color w:val="000000"/>
        </w:rPr>
        <w:t>Urangan</w:t>
      </w:r>
      <w:r>
        <w:rPr>
          <w:color w:val="000000"/>
        </w:rPr>
        <w:t>)</w:t>
      </w:r>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The mean maximum daily air temperature recorded in </w:t>
      </w:r>
      <w:smartTag w:uri="urn:schemas-microsoft-com:office:smarttags" w:element="place">
        <w:smartTag w:uri="urn:schemas-microsoft-com:office:smarttags" w:element="PlaceName">
          <w:r w:rsidRPr="00370E70">
            <w:rPr>
              <w:rFonts w:cs="TimesNewRoman"/>
              <w:color w:val="000000"/>
              <w:szCs w:val="22"/>
            </w:rPr>
            <w:t>Hervey</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smartTag>
      <w:r w:rsidRPr="00370E70">
        <w:rPr>
          <w:rFonts w:cs="TimesNewRoman"/>
          <w:color w:val="000000"/>
          <w:szCs w:val="22"/>
        </w:rPr>
        <w:t xml:space="preserve"> during the 2011/12 monitoring period was 25.8°C. Although similar to the previous monitoring period, it was 0.4 °C cooler than the decade and long-term (13 year) averages. The highest recorded daily maximum air temperature in 2011/12 was 33.5°C. </w:t>
      </w:r>
    </w:p>
    <w:p w:rsidR="005132EF" w:rsidRPr="00370E70" w:rsidRDefault="005132EF" w:rsidP="002D4701">
      <w:pPr>
        <w:autoSpaceDE w:val="0"/>
        <w:autoSpaceDN w:val="0"/>
        <w:adjustRightInd w:val="0"/>
        <w:rPr>
          <w:rFonts w:cs="TimesNewRoman"/>
          <w:color w:val="000000"/>
          <w:szCs w:val="22"/>
        </w:rPr>
      </w:pPr>
      <w:r w:rsidRPr="00370E70">
        <w:rPr>
          <w:rFonts w:cs="TimesNewRoman"/>
          <w:color w:val="000000"/>
          <w:szCs w:val="22"/>
        </w:rPr>
        <w:t>2011/12 was a wet monitoring period (1691mm), compared to the previous period. It was also 50% wetter relative to the decade and long-term (13 year) averages (</w:t>
      </w:r>
      <w:r w:rsidRPr="00370E70">
        <w:fldChar w:fldCharType="begin"/>
      </w:r>
      <w:r w:rsidRPr="00370E70">
        <w:instrText xml:space="preserve"> REF _Ref276110107 \h  \* MERGEFORMAT </w:instrText>
      </w:r>
      <w:r w:rsidRPr="00370E70">
        <w:fldChar w:fldCharType="separate"/>
      </w:r>
      <w:r w:rsidR="005B5FD6" w:rsidRPr="005B5FD6">
        <w:rPr>
          <w:szCs w:val="22"/>
        </w:rPr>
        <w:t xml:space="preserve">Figure </w:t>
      </w:r>
      <w:r w:rsidR="005B5FD6" w:rsidRPr="005B5FD6">
        <w:rPr>
          <w:noProof/>
          <w:color w:val="000000"/>
          <w:szCs w:val="22"/>
        </w:rPr>
        <w:t>184</w:t>
      </w:r>
      <w:r w:rsidRPr="00370E70">
        <w:fldChar w:fldCharType="end"/>
      </w:r>
      <w:r w:rsidRPr="00370E70">
        <w:rPr>
          <w:rFonts w:cs="TimesNewRoman"/>
          <w:color w:val="000000"/>
          <w:szCs w:val="22"/>
        </w:rPr>
        <w:t xml:space="preserve">). Most rainfall occurred from December 2011 to March 2012, and March was the wettest month. Mean monthly wind speed during 2011/12 was </w:t>
      </w:r>
      <w:proofErr w:type="gramStart"/>
      <w:r w:rsidRPr="00370E70">
        <w:rPr>
          <w:rFonts w:cs="TimesNewRoman"/>
          <w:color w:val="000000"/>
          <w:szCs w:val="22"/>
        </w:rPr>
        <w:t>18.7 km.hr</w:t>
      </w:r>
      <w:r w:rsidRPr="00370E70">
        <w:rPr>
          <w:rFonts w:cs="TimesNewRoman"/>
          <w:color w:val="000000"/>
          <w:szCs w:val="22"/>
          <w:vertAlign w:val="superscript"/>
        </w:rPr>
        <w:t>-1</w:t>
      </w:r>
      <w:proofErr w:type="gramEnd"/>
      <w:r w:rsidRPr="00370E70">
        <w:rPr>
          <w:rFonts w:cs="TimesNewRoman"/>
          <w:color w:val="000000"/>
          <w:szCs w:val="22"/>
        </w:rPr>
        <w:t xml:space="preserve">, this was higher than the previous </w:t>
      </w:r>
      <w:r w:rsidR="002C6536" w:rsidRPr="00370E70">
        <w:rPr>
          <w:rFonts w:cs="TimesNewRoman"/>
          <w:color w:val="000000"/>
          <w:szCs w:val="22"/>
        </w:rPr>
        <w:t>monitoring</w:t>
      </w:r>
      <w:r w:rsidRPr="00370E70">
        <w:rPr>
          <w:rFonts w:cs="TimesNewRoman"/>
          <w:color w:val="000000"/>
          <w:szCs w:val="22"/>
        </w:rPr>
        <w:t xml:space="preserve"> period but 5% below the decade and long-term (13 year) averages (</w:t>
      </w:r>
      <w:r w:rsidRPr="00370E70">
        <w:fldChar w:fldCharType="begin"/>
      </w:r>
      <w:r w:rsidRPr="00370E70">
        <w:instrText xml:space="preserve"> REF _Ref276110107 \h  \* MERGEFORMAT </w:instrText>
      </w:r>
      <w:r w:rsidRPr="00370E70">
        <w:fldChar w:fldCharType="separate"/>
      </w:r>
      <w:r w:rsidR="005B5FD6" w:rsidRPr="005B5FD6">
        <w:rPr>
          <w:szCs w:val="22"/>
        </w:rPr>
        <w:t xml:space="preserve">Figure </w:t>
      </w:r>
      <w:r w:rsidR="005B5FD6" w:rsidRPr="005B5FD6">
        <w:rPr>
          <w:noProof/>
          <w:color w:val="000000"/>
          <w:szCs w:val="22"/>
        </w:rPr>
        <w:t>184</w:t>
      </w:r>
      <w:r w:rsidRPr="00370E70">
        <w:fldChar w:fldCharType="end"/>
      </w:r>
      <w:r w:rsidRPr="00370E70">
        <w:rPr>
          <w:rFonts w:cs="TimesNewRoman"/>
          <w:color w:val="000000"/>
          <w:szCs w:val="22"/>
        </w:rPr>
        <w:t>).</w:t>
      </w:r>
    </w:p>
    <w:p w:rsidR="005132EF" w:rsidRPr="00370E70" w:rsidRDefault="007B15AB" w:rsidP="00DA7131">
      <w:pPr>
        <w:autoSpaceDE w:val="0"/>
        <w:autoSpaceDN w:val="0"/>
        <w:adjustRightInd w:val="0"/>
        <w:spacing w:after="0"/>
        <w:jc w:val="center"/>
        <w:rPr>
          <w:color w:val="000000"/>
          <w:szCs w:val="22"/>
        </w:rPr>
      </w:pPr>
      <w:r>
        <w:rPr>
          <w:noProof/>
          <w:lang w:eastAsia="en-AU"/>
        </w:rPr>
        <w:lastRenderedPageBreak/>
        <w:drawing>
          <wp:inline distT="0" distB="0" distL="0" distR="0">
            <wp:extent cx="4262755" cy="3489960"/>
            <wp:effectExtent l="0" t="0" r="4445" b="0"/>
            <wp:docPr id="237" name="Picture 231" descr="Graphs of mean monthly daily maximum temperature, total monthly rainfall, and mean monthly 3pm wind speed for Urangan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Graphs of mean monthly daily maximum temperature, total monthly rainfall, and mean monthly 3pm wind speed for Urangan monitoring sites. "/>
                    <pic:cNvPicPr>
                      <a:picLocks noChangeAspect="1" noChangeArrowheads="1"/>
                    </pic:cNvPicPr>
                  </pic:nvPicPr>
                  <pic:blipFill>
                    <a:blip r:embed="rId263" cstate="print">
                      <a:extLst>
                        <a:ext uri="{28A0092B-C50C-407E-A947-70E740481C1C}">
                          <a14:useLocalDpi xmlns:a14="http://schemas.microsoft.com/office/drawing/2010/main" val="0"/>
                        </a:ext>
                      </a:extLst>
                    </a:blip>
                    <a:srcRect t="7292"/>
                    <a:stretch>
                      <a:fillRect/>
                    </a:stretch>
                  </pic:blipFill>
                  <pic:spPr bwMode="auto">
                    <a:xfrm>
                      <a:off x="0" y="0"/>
                      <a:ext cx="4262755" cy="3489960"/>
                    </a:xfrm>
                    <a:prstGeom prst="rect">
                      <a:avLst/>
                    </a:prstGeom>
                    <a:noFill/>
                    <a:ln>
                      <a:noFill/>
                    </a:ln>
                  </pic:spPr>
                </pic:pic>
              </a:graphicData>
            </a:graphic>
          </wp:inline>
        </w:drawing>
      </w:r>
    </w:p>
    <w:p w:rsidR="00A91077" w:rsidRPr="00370E70" w:rsidRDefault="005132EF" w:rsidP="00A91077">
      <w:pPr>
        <w:pStyle w:val="Caption"/>
        <w:rPr>
          <w:i/>
          <w:vanish/>
          <w:lang w:val="en-AU"/>
          <w:specVanish/>
        </w:rPr>
      </w:pPr>
      <w:bookmarkStart w:id="828" w:name="_Ref276110107"/>
      <w:bookmarkStart w:id="829" w:name="_Toc384196531"/>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184</w:t>
      </w:r>
      <w:r w:rsidRPr="00370E70">
        <w:rPr>
          <w:lang w:val="en-AU"/>
        </w:rPr>
        <w:fldChar w:fldCharType="end"/>
      </w:r>
      <w:bookmarkEnd w:id="828"/>
      <w:r w:rsidRPr="00370E70">
        <w:rPr>
          <w:rStyle w:val="StyleCaptionCaptionCharCharLatinCalibri11ptBlackChar"/>
          <w:lang w:val="en-AU"/>
        </w:rPr>
        <w:t xml:space="preserve">. </w:t>
      </w:r>
      <w:r w:rsidRPr="00370E70">
        <w:rPr>
          <w:i/>
          <w:lang w:val="en-AU"/>
        </w:rPr>
        <w:t>Mean mo</w:t>
      </w:r>
      <w:r w:rsidR="00DA7131" w:rsidRPr="00370E70">
        <w:rPr>
          <w:i/>
          <w:lang w:val="en-AU"/>
        </w:rPr>
        <w:t>nthly daily maximum temperature</w:t>
      </w:r>
      <w:r w:rsidRPr="00370E70">
        <w:rPr>
          <w:i/>
          <w:lang w:val="en-AU"/>
        </w:rPr>
        <w:t>, total monthly rainfall</w:t>
      </w:r>
      <w:r w:rsidR="00DA7131" w:rsidRPr="00370E70">
        <w:rPr>
          <w:i/>
          <w:lang w:val="en-AU"/>
        </w:rPr>
        <w:t xml:space="preserve"> (grey bar)</w:t>
      </w:r>
      <w:r w:rsidRPr="00370E70">
        <w:rPr>
          <w:i/>
          <w:lang w:val="en-AU"/>
        </w:rPr>
        <w:t xml:space="preserve">, and mean monthly 3pm wind speed </w:t>
      </w:r>
      <w:r w:rsidR="00DA7131" w:rsidRPr="00370E70">
        <w:rPr>
          <w:i/>
          <w:lang w:val="en-AU"/>
        </w:rPr>
        <w:t>for Urangan monitoring sites.</w:t>
      </w:r>
      <w:bookmarkEnd w:id="829"/>
      <w:r w:rsidR="00DA7131" w:rsidRPr="00370E70">
        <w:rPr>
          <w:i/>
          <w:vanish/>
          <w:color w:val="000000"/>
          <w:szCs w:val="22"/>
          <w:lang w:val="en-AU"/>
          <w:specVanish/>
        </w:rPr>
        <w:t xml:space="preserve"> </w:t>
      </w:r>
      <w:r w:rsidR="00DA7131" w:rsidRPr="00370E70">
        <w:rPr>
          <w:i/>
          <w:lang w:val="en-AU"/>
        </w:rPr>
        <w:t xml:space="preserve"> </w:t>
      </w:r>
    </w:p>
    <w:p w:rsidR="00A91077" w:rsidRPr="00370E70" w:rsidRDefault="00DA7131" w:rsidP="00A91077">
      <w:pPr>
        <w:pStyle w:val="Caption"/>
        <w:rPr>
          <w:lang w:val="en-AU"/>
        </w:rPr>
      </w:pPr>
      <w:r w:rsidRPr="00370E70">
        <w:rPr>
          <w:i/>
          <w:lang w:val="en-AU"/>
        </w:rPr>
        <w:t>R</w:t>
      </w:r>
      <w:r w:rsidR="005132EF" w:rsidRPr="00370E70">
        <w:rPr>
          <w:i/>
          <w:lang w:val="en-AU"/>
        </w:rPr>
        <w:t xml:space="preserve">ecorded at </w:t>
      </w:r>
      <w:smartTag w:uri="urn:schemas-microsoft-com:office:smarttags" w:element="place">
        <w:smartTag w:uri="urn:schemas-microsoft-com:office:smarttags" w:element="PlaceName">
          <w:r w:rsidR="005132EF" w:rsidRPr="00370E70">
            <w:rPr>
              <w:i/>
              <w:lang w:val="en-AU"/>
            </w:rPr>
            <w:t>Hervey</w:t>
          </w:r>
        </w:smartTag>
        <w:r w:rsidR="005132EF" w:rsidRPr="00370E70">
          <w:rPr>
            <w:i/>
            <w:lang w:val="en-AU"/>
          </w:rPr>
          <w:t xml:space="preserve"> </w:t>
        </w:r>
        <w:smartTag w:uri="urn:schemas-microsoft-com:office:smarttags" w:element="PlaceType">
          <w:r w:rsidR="005132EF" w:rsidRPr="00370E70">
            <w:rPr>
              <w:i/>
              <w:lang w:val="en-AU"/>
            </w:rPr>
            <w:t>Bay</w:t>
          </w:r>
        </w:smartTag>
        <w:r w:rsidR="005132EF" w:rsidRPr="00370E70">
          <w:rPr>
            <w:i/>
            <w:lang w:val="en-AU"/>
          </w:rPr>
          <w:t xml:space="preserve"> </w:t>
        </w:r>
        <w:smartTag w:uri="urn:schemas-microsoft-com:office:smarttags" w:element="PlaceType">
          <w:r w:rsidR="005132EF" w:rsidRPr="00370E70">
            <w:rPr>
              <w:i/>
              <w:lang w:val="en-AU"/>
            </w:rPr>
            <w:t>Airport</w:t>
          </w:r>
        </w:smartTag>
      </w:smartTag>
      <w:r w:rsidR="005132EF" w:rsidRPr="00370E70">
        <w:rPr>
          <w:i/>
          <w:lang w:val="en-AU"/>
        </w:rPr>
        <w:t xml:space="preserve"> (BOM station 040405, source www.bom.gov.au), approximately 3km from Urangan monitoring sites.</w:t>
      </w:r>
      <w:r w:rsidRPr="00370E70">
        <w:rPr>
          <w:i/>
          <w:lang w:val="en-AU"/>
        </w:rPr>
        <w:t xml:space="preserve"> </w:t>
      </w:r>
    </w:p>
    <w:p w:rsidR="005132EF" w:rsidRPr="00370E70" w:rsidRDefault="003C440C" w:rsidP="00034AD4">
      <w:pPr>
        <w:pStyle w:val="Heading5"/>
        <w:rPr>
          <w:color w:val="000000"/>
        </w:rPr>
      </w:pPr>
      <w:r>
        <w:rPr>
          <w:color w:val="000000"/>
        </w:rPr>
        <w:t>Inshore estuary in northern section (</w:t>
      </w:r>
      <w:smartTag w:uri="urn:schemas-microsoft-com:office:smarttags" w:element="place">
        <w:smartTag w:uri="urn:schemas-microsoft-com:office:smarttags" w:element="PlaceName">
          <w:r w:rsidR="005132EF" w:rsidRPr="00370E70">
            <w:rPr>
              <w:color w:val="000000"/>
            </w:rPr>
            <w:t>Rodds</w:t>
          </w:r>
        </w:smartTag>
        <w:r w:rsidR="005132EF" w:rsidRPr="00370E70">
          <w:rPr>
            <w:color w:val="000000"/>
          </w:rPr>
          <w:t xml:space="preserve"> </w:t>
        </w:r>
        <w:smartTag w:uri="urn:schemas-microsoft-com:office:smarttags" w:element="PlaceType">
          <w:r w:rsidR="005132EF" w:rsidRPr="00370E70">
            <w:rPr>
              <w:color w:val="000000"/>
            </w:rPr>
            <w:t>Bay</w:t>
          </w:r>
        </w:smartTag>
      </w:smartTag>
      <w:r>
        <w:rPr>
          <w:color w:val="000000"/>
        </w:rPr>
        <w:t>)</w:t>
      </w:r>
    </w:p>
    <w:p w:rsidR="005132EF" w:rsidRPr="00370E70" w:rsidRDefault="005132EF" w:rsidP="00034AD4">
      <w:pPr>
        <w:rPr>
          <w:color w:val="000000"/>
          <w:szCs w:val="22"/>
        </w:rPr>
      </w:pPr>
      <w:r w:rsidRPr="00370E70">
        <w:rPr>
          <w:color w:val="000000"/>
          <w:szCs w:val="22"/>
        </w:rPr>
        <w:t>The mean maximum daily air temperature recorded at Seventeen Seventy (</w:t>
      </w:r>
      <w:r w:rsidRPr="00370E70">
        <w:rPr>
          <w:rFonts w:cs="TimesNewRoman,Italic"/>
          <w:iCs/>
          <w:color w:val="000000"/>
          <w:szCs w:val="22"/>
        </w:rPr>
        <w:t xml:space="preserve">approximately 27km from </w:t>
      </w:r>
      <w:smartTag w:uri="urn:schemas-microsoft-com:office:smarttags" w:element="place">
        <w:smartTag w:uri="urn:schemas-microsoft-com:office:smarttags" w:element="PlaceName">
          <w:r w:rsidRPr="00370E70">
            <w:rPr>
              <w:color w:val="000000"/>
              <w:szCs w:val="22"/>
            </w:rPr>
            <w:t>Rodds</w:t>
          </w:r>
        </w:smartTag>
        <w:r w:rsidRPr="00370E70">
          <w:rPr>
            <w:color w:val="000000"/>
            <w:szCs w:val="22"/>
          </w:rPr>
          <w:t xml:space="preserve"> </w:t>
        </w:r>
        <w:smartTag w:uri="urn:schemas-microsoft-com:office:smarttags" w:element="PlaceType">
          <w:r w:rsidRPr="00370E70">
            <w:rPr>
              <w:color w:val="000000"/>
              <w:szCs w:val="22"/>
            </w:rPr>
            <w:t>Bay</w:t>
          </w:r>
        </w:smartTag>
      </w:smartTag>
      <w:r w:rsidRPr="00370E70">
        <w:rPr>
          <w:color w:val="000000"/>
          <w:szCs w:val="22"/>
        </w:rPr>
        <w:t xml:space="preserve"> </w:t>
      </w:r>
      <w:r w:rsidRPr="00370E70">
        <w:rPr>
          <w:rFonts w:cs="TimesNewRoman,Italic"/>
          <w:iCs/>
          <w:color w:val="000000"/>
          <w:szCs w:val="22"/>
        </w:rPr>
        <w:t xml:space="preserve">monitoring </w:t>
      </w:r>
      <w:proofErr w:type="gramStart"/>
      <w:r w:rsidRPr="00370E70">
        <w:rPr>
          <w:rFonts w:cs="TimesNewRoman,Italic"/>
          <w:iCs/>
          <w:color w:val="000000"/>
          <w:szCs w:val="22"/>
        </w:rPr>
        <w:t>sites</w:t>
      </w:r>
      <w:r w:rsidRPr="00370E70">
        <w:rPr>
          <w:color w:val="000000"/>
          <w:szCs w:val="22"/>
        </w:rPr>
        <w:t xml:space="preserve"> )</w:t>
      </w:r>
      <w:proofErr w:type="gramEnd"/>
      <w:r w:rsidRPr="00370E70">
        <w:rPr>
          <w:color w:val="000000"/>
          <w:szCs w:val="22"/>
        </w:rPr>
        <w:t xml:space="preserve"> in 2011/12 monitoring period was 32.2°C; this was 0.2°C higher than the previous period but similar to both the long-term (26 year) and decade averages </w:t>
      </w:r>
      <w:r w:rsidRPr="00370E70">
        <w:rPr>
          <w:rFonts w:cs="TimesNewRoman"/>
          <w:color w:val="000000"/>
          <w:szCs w:val="22"/>
        </w:rPr>
        <w:t>(</w:t>
      </w:r>
      <w:r w:rsidRPr="00370E70">
        <w:fldChar w:fldCharType="begin"/>
      </w:r>
      <w:r w:rsidRPr="00370E70">
        <w:instrText xml:space="preserve"> REF _Ref276110140 \h  \* MERGEFORMAT </w:instrText>
      </w:r>
      <w:r w:rsidRPr="00370E70">
        <w:fldChar w:fldCharType="separate"/>
      </w:r>
      <w:r w:rsidR="005B5FD6" w:rsidRPr="005B5FD6">
        <w:rPr>
          <w:szCs w:val="22"/>
        </w:rPr>
        <w:t xml:space="preserve">Figure </w:t>
      </w:r>
      <w:r w:rsidR="005B5FD6" w:rsidRPr="005B5FD6">
        <w:rPr>
          <w:noProof/>
          <w:color w:val="000000"/>
          <w:szCs w:val="22"/>
        </w:rPr>
        <w:t>185</w:t>
      </w:r>
      <w:r w:rsidRPr="00370E70">
        <w:fldChar w:fldCharType="end"/>
      </w:r>
      <w:r w:rsidRPr="00370E70">
        <w:rPr>
          <w:rFonts w:cs="TimesNewRoman"/>
          <w:color w:val="000000"/>
          <w:szCs w:val="22"/>
        </w:rPr>
        <w:t xml:space="preserve">). </w:t>
      </w:r>
      <w:r w:rsidRPr="00370E70">
        <w:rPr>
          <w:color w:val="000000"/>
          <w:szCs w:val="22"/>
        </w:rPr>
        <w:t xml:space="preserve">The highest recorded daily maximum temperature in 2011/12 was 32.2°C. </w:t>
      </w:r>
    </w:p>
    <w:p w:rsidR="005132EF" w:rsidRPr="00370E70" w:rsidRDefault="005132EF" w:rsidP="007B0BF5">
      <w:pPr>
        <w:rPr>
          <w:color w:val="000000"/>
          <w:szCs w:val="22"/>
        </w:rPr>
      </w:pPr>
      <w:r w:rsidRPr="00370E70">
        <w:rPr>
          <w:color w:val="000000"/>
          <w:szCs w:val="22"/>
        </w:rPr>
        <w:t xml:space="preserve">2011/12 was a drier than average year and the first time in 5 years that the total rainfall at Bustard Head went below median rainfall. The total rainfall over the </w:t>
      </w:r>
      <w:r w:rsidR="002C6536" w:rsidRPr="00370E70">
        <w:rPr>
          <w:color w:val="000000"/>
          <w:szCs w:val="22"/>
        </w:rPr>
        <w:t>monitoring</w:t>
      </w:r>
      <w:r w:rsidRPr="00370E70">
        <w:rPr>
          <w:color w:val="000000"/>
          <w:szCs w:val="22"/>
        </w:rPr>
        <w:t xml:space="preserve"> period (821mm) was approximately half the volume in 10/11, 18% lower than decade average and 27% lower than the annual rainfall for the last 100 yrs. The amount of cloud in 2011/12 was on average </w:t>
      </w:r>
      <w:r w:rsidR="002C6536" w:rsidRPr="00370E70">
        <w:rPr>
          <w:color w:val="000000"/>
          <w:szCs w:val="22"/>
        </w:rPr>
        <w:t>similar</w:t>
      </w:r>
      <w:r w:rsidRPr="00370E70">
        <w:rPr>
          <w:color w:val="000000"/>
          <w:szCs w:val="22"/>
        </w:rPr>
        <w:t xml:space="preserve"> to the annual average for the decade, but 36% higher than long-term (24yrs) annual average. Mean wind speed in 2011/12 (24.5 km.hr</w:t>
      </w:r>
      <w:r w:rsidRPr="00370E70">
        <w:rPr>
          <w:rFonts w:cs="TimesNewRoman"/>
          <w:color w:val="000000"/>
          <w:szCs w:val="22"/>
          <w:vertAlign w:val="superscript"/>
        </w:rPr>
        <w:t>-1</w:t>
      </w:r>
      <w:r w:rsidRPr="00370E70">
        <w:rPr>
          <w:color w:val="000000"/>
          <w:szCs w:val="22"/>
        </w:rPr>
        <w:t xml:space="preserve">) was the highest in the last decade, and 17% higher than the long-term (24yrs) annual average </w:t>
      </w:r>
      <w:r w:rsidRPr="00370E70">
        <w:rPr>
          <w:rFonts w:cs="TimesNewRoman"/>
          <w:color w:val="000000"/>
          <w:szCs w:val="22"/>
        </w:rPr>
        <w:t>(</w:t>
      </w:r>
      <w:r w:rsidRPr="00370E70">
        <w:fldChar w:fldCharType="begin"/>
      </w:r>
      <w:r w:rsidRPr="00370E70">
        <w:instrText xml:space="preserve"> REF _Ref276110140 \h  \* MERGEFORMAT </w:instrText>
      </w:r>
      <w:r w:rsidRPr="00370E70">
        <w:fldChar w:fldCharType="separate"/>
      </w:r>
      <w:r w:rsidR="005B5FD6" w:rsidRPr="005B5FD6">
        <w:rPr>
          <w:szCs w:val="22"/>
        </w:rPr>
        <w:t xml:space="preserve">Figure </w:t>
      </w:r>
      <w:r w:rsidR="005B5FD6" w:rsidRPr="005B5FD6">
        <w:rPr>
          <w:noProof/>
          <w:color w:val="000000"/>
          <w:szCs w:val="22"/>
        </w:rPr>
        <w:t>185</w:t>
      </w:r>
      <w:r w:rsidRPr="00370E70">
        <w:fldChar w:fldCharType="end"/>
      </w:r>
      <w:r w:rsidRPr="00370E70">
        <w:rPr>
          <w:rFonts w:cs="TimesNewRoman"/>
          <w:color w:val="000000"/>
          <w:szCs w:val="22"/>
        </w:rPr>
        <w:t>).</w:t>
      </w:r>
    </w:p>
    <w:p w:rsidR="005132EF" w:rsidRPr="00370E70" w:rsidRDefault="007B15AB" w:rsidP="00034AD4">
      <w:pPr>
        <w:autoSpaceDE w:val="0"/>
        <w:autoSpaceDN w:val="0"/>
        <w:adjustRightInd w:val="0"/>
        <w:jc w:val="center"/>
        <w:rPr>
          <w:color w:val="000000"/>
        </w:rPr>
      </w:pPr>
      <w:r>
        <w:rPr>
          <w:noProof/>
          <w:color w:val="000000"/>
          <w:lang w:eastAsia="en-AU"/>
        </w:rPr>
        <w:lastRenderedPageBreak/>
        <w:drawing>
          <wp:inline distT="0" distB="0" distL="0" distR="0">
            <wp:extent cx="4276090" cy="3670300"/>
            <wp:effectExtent l="0" t="0" r="0" b="6350"/>
            <wp:docPr id="238" name="Picture 232" descr="Graph of the mean monthly daily maximum temperature, total monthly rainfall, mean monthly cloud cover, and mean monthly 3pm wind speed for Roods Bay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Graph of the mean monthly daily maximum temperature, total monthly rainfall, mean monthly cloud cover, and mean monthly 3pm wind speed for Roods Bay monitoring sites"/>
                    <pic:cNvPicPr>
                      <a:picLocks noChangeAspect="1" noChangeArrowheads="1"/>
                    </pic:cNvPicPr>
                  </pic:nvPicPr>
                  <pic:blipFill>
                    <a:blip r:embed="rId264" cstate="print">
                      <a:extLst>
                        <a:ext uri="{28A0092B-C50C-407E-A947-70E740481C1C}">
                          <a14:useLocalDpi xmlns:a14="http://schemas.microsoft.com/office/drawing/2010/main" val="0"/>
                        </a:ext>
                      </a:extLst>
                    </a:blip>
                    <a:srcRect t="7335" b="1868"/>
                    <a:stretch>
                      <a:fillRect/>
                    </a:stretch>
                  </pic:blipFill>
                  <pic:spPr bwMode="auto">
                    <a:xfrm>
                      <a:off x="0" y="0"/>
                      <a:ext cx="4276090" cy="3670300"/>
                    </a:xfrm>
                    <a:prstGeom prst="rect">
                      <a:avLst/>
                    </a:prstGeom>
                    <a:noFill/>
                    <a:ln>
                      <a:noFill/>
                    </a:ln>
                  </pic:spPr>
                </pic:pic>
              </a:graphicData>
            </a:graphic>
          </wp:inline>
        </w:drawing>
      </w:r>
    </w:p>
    <w:p w:rsidR="00A91077" w:rsidRPr="00370E70" w:rsidRDefault="005132EF" w:rsidP="00A91077">
      <w:pPr>
        <w:pStyle w:val="Caption"/>
        <w:rPr>
          <w:i/>
          <w:vanish/>
          <w:color w:val="000000"/>
          <w:szCs w:val="22"/>
          <w:lang w:val="en-AU"/>
          <w:specVanish/>
        </w:rPr>
      </w:pPr>
      <w:bookmarkStart w:id="830" w:name="_Ref276110140"/>
      <w:bookmarkStart w:id="831" w:name="_Toc384196532"/>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185</w:t>
      </w:r>
      <w:r w:rsidRPr="00370E70">
        <w:rPr>
          <w:lang w:val="en-AU"/>
        </w:rPr>
        <w:fldChar w:fldCharType="end"/>
      </w:r>
      <w:bookmarkEnd w:id="830"/>
      <w:r w:rsidRPr="00370E70">
        <w:rPr>
          <w:rStyle w:val="StyleCaptionCaptionCharCharLatinCalibri11ptBlackChar"/>
          <w:lang w:val="en-AU"/>
        </w:rPr>
        <w:t xml:space="preserve">. </w:t>
      </w:r>
      <w:r w:rsidRPr="00370E70">
        <w:rPr>
          <w:i/>
          <w:lang w:val="en-AU"/>
        </w:rPr>
        <w:t xml:space="preserve">Mean monthly daily maximum temperature (black line), </w:t>
      </w:r>
      <w:r w:rsidR="00A91077" w:rsidRPr="00370E70">
        <w:rPr>
          <w:i/>
          <w:lang w:val="en-AU"/>
        </w:rPr>
        <w:t xml:space="preserve">total monthly rainfall (grey bar), </w:t>
      </w:r>
      <w:r w:rsidRPr="00370E70">
        <w:rPr>
          <w:i/>
          <w:lang w:val="en-AU"/>
        </w:rPr>
        <w:t>mean monthly cloud cover (</w:t>
      </w:r>
      <w:r w:rsidR="00A91077" w:rsidRPr="00370E70">
        <w:rPr>
          <w:i/>
          <w:lang w:val="en-AU"/>
        </w:rPr>
        <w:t xml:space="preserve">heavy </w:t>
      </w:r>
      <w:r w:rsidRPr="00370E70">
        <w:rPr>
          <w:i/>
          <w:lang w:val="en-AU"/>
        </w:rPr>
        <w:t xml:space="preserve">black line), and mean monthly 3pm wind speed (grey line) </w:t>
      </w:r>
      <w:r w:rsidR="00DA7131" w:rsidRPr="00370E70">
        <w:rPr>
          <w:i/>
          <w:lang w:val="en-AU"/>
        </w:rPr>
        <w:t xml:space="preserve">for </w:t>
      </w:r>
      <w:smartTag w:uri="urn:schemas-microsoft-com:office:smarttags" w:element="place">
        <w:smartTag w:uri="urn:schemas-microsoft-com:office:smarttags" w:element="PlaceName">
          <w:r w:rsidR="00DA7131" w:rsidRPr="00370E70">
            <w:rPr>
              <w:i/>
              <w:lang w:val="en-AU"/>
            </w:rPr>
            <w:t>Roods</w:t>
          </w:r>
        </w:smartTag>
        <w:r w:rsidR="00DA7131" w:rsidRPr="00370E70">
          <w:rPr>
            <w:i/>
            <w:lang w:val="en-AU"/>
          </w:rPr>
          <w:t xml:space="preserve"> </w:t>
        </w:r>
        <w:smartTag w:uri="urn:schemas-microsoft-com:office:smarttags" w:element="PlaceType">
          <w:r w:rsidR="00DA7131" w:rsidRPr="00370E70">
            <w:rPr>
              <w:i/>
              <w:lang w:val="en-AU"/>
            </w:rPr>
            <w:t>Bay</w:t>
          </w:r>
        </w:smartTag>
      </w:smartTag>
      <w:r w:rsidR="00DA7131" w:rsidRPr="00370E70">
        <w:rPr>
          <w:i/>
          <w:lang w:val="en-AU"/>
        </w:rPr>
        <w:t xml:space="preserve"> monitoring sites.</w:t>
      </w:r>
      <w:bookmarkEnd w:id="831"/>
      <w:r w:rsidR="00DA7131" w:rsidRPr="00370E70">
        <w:rPr>
          <w:i/>
          <w:lang w:val="en-AU"/>
        </w:rPr>
        <w:t xml:space="preserve"> </w:t>
      </w:r>
    </w:p>
    <w:p w:rsidR="00A91077" w:rsidRPr="00370E70" w:rsidRDefault="00A91077" w:rsidP="00A91077">
      <w:pPr>
        <w:pStyle w:val="Caption"/>
        <w:rPr>
          <w:lang w:val="en-AU"/>
        </w:rPr>
      </w:pPr>
      <w:r w:rsidRPr="00370E70">
        <w:rPr>
          <w:i/>
          <w:lang w:val="en-AU"/>
        </w:rPr>
        <w:t xml:space="preserve">Temperature and cloud cover </w:t>
      </w:r>
      <w:r w:rsidR="005132EF" w:rsidRPr="00370E70">
        <w:rPr>
          <w:i/>
          <w:lang w:val="en-AU"/>
        </w:rPr>
        <w:t xml:space="preserve">recorded at Seventeen Seventy (BOM station 039314, source www.bom.gov.au), approximately 27km from </w:t>
      </w:r>
      <w:smartTag w:uri="urn:schemas-microsoft-com:office:smarttags" w:element="place">
        <w:smartTag w:uri="urn:schemas-microsoft-com:office:smarttags" w:element="PlaceName">
          <w:r w:rsidR="005132EF" w:rsidRPr="00370E70">
            <w:rPr>
              <w:i/>
              <w:lang w:val="en-AU"/>
            </w:rPr>
            <w:t>Rodds</w:t>
          </w:r>
        </w:smartTag>
        <w:r w:rsidR="005132EF" w:rsidRPr="00370E70">
          <w:rPr>
            <w:i/>
            <w:lang w:val="en-AU"/>
          </w:rPr>
          <w:t xml:space="preserve"> </w:t>
        </w:r>
        <w:smartTag w:uri="urn:schemas-microsoft-com:office:smarttags" w:element="PlaceType">
          <w:r w:rsidR="005132EF" w:rsidRPr="00370E70">
            <w:rPr>
              <w:i/>
              <w:lang w:val="en-AU"/>
            </w:rPr>
            <w:t>Bay</w:t>
          </w:r>
        </w:smartTag>
      </w:smartTag>
      <w:r w:rsidR="005132EF" w:rsidRPr="00370E70">
        <w:rPr>
          <w:i/>
          <w:lang w:val="en-AU"/>
        </w:rPr>
        <w:t xml:space="preserve"> monitoring sites. </w:t>
      </w:r>
      <w:r w:rsidRPr="00370E70">
        <w:rPr>
          <w:i/>
          <w:lang w:val="en-AU"/>
        </w:rPr>
        <w:t>R</w:t>
      </w:r>
      <w:r w:rsidR="005132EF" w:rsidRPr="00370E70">
        <w:rPr>
          <w:i/>
          <w:lang w:val="en-AU"/>
        </w:rPr>
        <w:t xml:space="preserve">ainfall (grey bar), recorded at Bustard Head Lighthouse (BOM station 039018, source www.bom.gov.au), approximately 12km from </w:t>
      </w:r>
      <w:smartTag w:uri="urn:schemas-microsoft-com:office:smarttags" w:element="place">
        <w:smartTag w:uri="urn:schemas-microsoft-com:office:smarttags" w:element="PlaceName">
          <w:r w:rsidR="005132EF" w:rsidRPr="00370E70">
            <w:rPr>
              <w:i/>
              <w:lang w:val="en-AU"/>
            </w:rPr>
            <w:t>Rodds</w:t>
          </w:r>
        </w:smartTag>
        <w:r w:rsidR="005132EF" w:rsidRPr="00370E70">
          <w:rPr>
            <w:i/>
            <w:lang w:val="en-AU"/>
          </w:rPr>
          <w:t xml:space="preserve"> </w:t>
        </w:r>
        <w:smartTag w:uri="urn:schemas-microsoft-com:office:smarttags" w:element="PlaceType">
          <w:r w:rsidR="005132EF" w:rsidRPr="00370E70">
            <w:rPr>
              <w:i/>
              <w:lang w:val="en-AU"/>
            </w:rPr>
            <w:t>Bay</w:t>
          </w:r>
        </w:smartTag>
      </w:smartTag>
      <w:r w:rsidR="005132EF" w:rsidRPr="00370E70">
        <w:rPr>
          <w:i/>
          <w:lang w:val="en-AU"/>
        </w:rPr>
        <w:t xml:space="preserve"> monitoring sites.</w:t>
      </w:r>
      <w:r w:rsidRPr="00370E70">
        <w:rPr>
          <w:lang w:val="en-AU"/>
        </w:rPr>
        <w:t xml:space="preserve"> </w:t>
      </w:r>
    </w:p>
    <w:p w:rsidR="005132EF" w:rsidRPr="00370E70" w:rsidRDefault="005132EF" w:rsidP="00034AD4">
      <w:pPr>
        <w:rPr>
          <w:color w:val="000000"/>
          <w:szCs w:val="22"/>
        </w:rPr>
      </w:pPr>
    </w:p>
    <w:p w:rsidR="005132EF" w:rsidRPr="00370E70" w:rsidRDefault="005132EF" w:rsidP="00034AD4">
      <w:pPr>
        <w:pStyle w:val="Heading4"/>
        <w:rPr>
          <w:b/>
          <w:iCs/>
          <w:color w:val="000000"/>
        </w:rPr>
      </w:pPr>
      <w:bookmarkStart w:id="832" w:name="_Toc184102050"/>
      <w:r w:rsidRPr="00370E70">
        <w:rPr>
          <w:b/>
          <w:iCs/>
          <w:color w:val="000000"/>
        </w:rPr>
        <w:t>River discharge</w:t>
      </w:r>
      <w:bookmarkEnd w:id="832"/>
    </w:p>
    <w:p w:rsidR="005132EF" w:rsidRPr="00370E70" w:rsidRDefault="005132EF" w:rsidP="00034AD4">
      <w:pPr>
        <w:autoSpaceDE w:val="0"/>
        <w:autoSpaceDN w:val="0"/>
        <w:adjustRightInd w:val="0"/>
        <w:rPr>
          <w:rFonts w:cs="TimesNewRoman"/>
          <w:color w:val="000000"/>
          <w:szCs w:val="22"/>
        </w:rPr>
      </w:pPr>
      <w:r w:rsidRPr="00370E70">
        <w:rPr>
          <w:rFonts w:cs="TimesNewRoman"/>
          <w:color w:val="000000"/>
          <w:szCs w:val="22"/>
        </w:rPr>
        <w:t xml:space="preserve">Several large rivers discharge into the coastal waters of the Burnet Mary region and during floods their plumes extend to locations where seagrass monitoring sites are located. In the north, no major rivers discharge directly into </w:t>
      </w:r>
      <w:smartTag w:uri="urn:schemas-microsoft-com:office:smarttags" w:element="PlaceName">
        <w:r w:rsidRPr="00370E70">
          <w:rPr>
            <w:rFonts w:cs="TimesNewRoman"/>
            <w:color w:val="000000"/>
            <w:szCs w:val="22"/>
          </w:rPr>
          <w:t>Rodds</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r w:rsidRPr="00370E70">
        <w:rPr>
          <w:rFonts w:cs="TimesNewRoman"/>
          <w:color w:val="000000"/>
          <w:szCs w:val="22"/>
        </w:rPr>
        <w:t xml:space="preserve"> where the estuarine seagrass monitoring sites are located, however it could be expected that flood waters from the Calliope and </w:t>
      </w:r>
      <w:smartTag w:uri="urn:schemas-microsoft-com:office:smarttags" w:element="PlaceName">
        <w:r w:rsidRPr="00370E70">
          <w:rPr>
            <w:rFonts w:cs="TimesNewRoman"/>
            <w:color w:val="000000"/>
            <w:szCs w:val="22"/>
          </w:rPr>
          <w:t>Boyne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Rivers</w:t>
        </w:r>
      </w:smartTag>
      <w:r w:rsidRPr="00370E70">
        <w:rPr>
          <w:rFonts w:cs="TimesNewRoman"/>
          <w:color w:val="000000"/>
          <w:szCs w:val="22"/>
        </w:rPr>
        <w:t xml:space="preserve"> would travel slightly southward exposing </w:t>
      </w:r>
      <w:smartTag w:uri="urn:schemas-microsoft-com:office:smarttags" w:element="place">
        <w:smartTag w:uri="urn:schemas-microsoft-com:office:smarttags" w:element="PlaceName">
          <w:r w:rsidRPr="00370E70">
            <w:rPr>
              <w:rFonts w:cs="TimesNewRoman"/>
              <w:color w:val="000000"/>
              <w:szCs w:val="22"/>
            </w:rPr>
            <w:t>Rodds</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Bay</w:t>
          </w:r>
        </w:smartTag>
      </w:smartTag>
      <w:r w:rsidRPr="00370E70">
        <w:rPr>
          <w:rFonts w:cs="TimesNewRoman"/>
          <w:color w:val="000000"/>
          <w:szCs w:val="22"/>
        </w:rPr>
        <w:t xml:space="preserve"> (41 km to the south) to </w:t>
      </w:r>
      <w:r w:rsidRPr="00370E70">
        <w:rPr>
          <w:color w:val="000000"/>
          <w:szCs w:val="22"/>
        </w:rPr>
        <w:t>plumes.</w:t>
      </w:r>
      <w:r w:rsidRPr="00370E70">
        <w:rPr>
          <w:rFonts w:cs="TimesNewRoman"/>
          <w:color w:val="000000"/>
          <w:szCs w:val="22"/>
        </w:rPr>
        <w:t xml:space="preserve"> 2011/12 was the 3rd consecutive period where the total discharge from the </w:t>
      </w:r>
      <w:smartTag w:uri="urn:schemas-microsoft-com:office:smarttags" w:element="place">
        <w:smartTag w:uri="urn:schemas-microsoft-com:office:smarttags" w:element="PlaceName">
          <w:r w:rsidRPr="00370E70">
            <w:rPr>
              <w:rFonts w:cs="TimesNewRoman"/>
              <w:color w:val="000000"/>
              <w:szCs w:val="22"/>
            </w:rPr>
            <w:t>Calliope</w:t>
          </w:r>
        </w:smartTag>
        <w:r w:rsidRPr="00370E70">
          <w:rPr>
            <w:rFonts w:cs="TimesNewRoman"/>
            <w:color w:val="000000"/>
            <w:szCs w:val="22"/>
          </w:rPr>
          <w:t xml:space="preserve"> </w:t>
        </w:r>
        <w:smartTag w:uri="urn:schemas-microsoft-com:office:smarttags" w:element="PlaceType">
          <w:r w:rsidRPr="00370E70">
            <w:rPr>
              <w:rFonts w:cs="TimesNewRoman"/>
              <w:color w:val="000000"/>
              <w:szCs w:val="22"/>
            </w:rPr>
            <w:t>River</w:t>
          </w:r>
        </w:smartTag>
      </w:smartTag>
      <w:r w:rsidRPr="00370E70">
        <w:rPr>
          <w:rFonts w:cs="TimesNewRoman"/>
          <w:color w:val="000000"/>
          <w:szCs w:val="22"/>
        </w:rPr>
        <w:t xml:space="preserve"> was above the long-term median (</w:t>
      </w:r>
      <w:r w:rsidRPr="00370E70">
        <w:fldChar w:fldCharType="begin"/>
      </w:r>
      <w:r w:rsidRPr="00370E70">
        <w:instrText xml:space="preserve"> REF _Ref305172656 \h  \* MERGEFORMAT </w:instrText>
      </w:r>
      <w:r w:rsidRPr="00370E70">
        <w:fldChar w:fldCharType="separate"/>
      </w:r>
      <w:r w:rsidR="005B5FD6" w:rsidRPr="005B5FD6">
        <w:rPr>
          <w:szCs w:val="22"/>
        </w:rPr>
        <w:t xml:space="preserve">Figure </w:t>
      </w:r>
      <w:r w:rsidR="005B5FD6" w:rsidRPr="005B5FD6">
        <w:rPr>
          <w:noProof/>
          <w:color w:val="000000"/>
          <w:szCs w:val="22"/>
        </w:rPr>
        <w:t>186</w:t>
      </w:r>
      <w:r w:rsidRPr="00370E70">
        <w:fldChar w:fldCharType="end"/>
      </w:r>
      <w:r w:rsidRPr="00370E70">
        <w:rPr>
          <w:rFonts w:cs="TimesNewRoman"/>
          <w:color w:val="000000"/>
          <w:szCs w:val="22"/>
        </w:rPr>
        <w:t xml:space="preserve">). </w:t>
      </w:r>
    </w:p>
    <w:p w:rsidR="005132EF" w:rsidRPr="00370E70" w:rsidRDefault="005132EF" w:rsidP="001E40C4">
      <w:pPr>
        <w:rPr>
          <w:color w:val="000000"/>
          <w:szCs w:val="22"/>
        </w:rPr>
      </w:pPr>
      <w:r w:rsidRPr="00370E70">
        <w:rPr>
          <w:rFonts w:cs="TimesNewRoman"/>
          <w:color w:val="000000"/>
          <w:szCs w:val="22"/>
        </w:rPr>
        <w:t xml:space="preserve">In the south of the region, the </w:t>
      </w:r>
      <w:smartTag w:uri="urn:schemas-microsoft-com:office:smarttags" w:element="place">
        <w:smartTag w:uri="urn:schemas-microsoft-com:office:smarttags" w:element="PlaceName">
          <w:r w:rsidRPr="00370E70">
            <w:rPr>
              <w:rFonts w:cs="TimesNewRoman"/>
              <w:color w:val="000000"/>
              <w:szCs w:val="22"/>
            </w:rPr>
            <w:t>Mary</w:t>
          </w:r>
        </w:smartTag>
        <w:r w:rsidRPr="00370E70">
          <w:rPr>
            <w:rFonts w:cs="TimesNewRoman"/>
            <w:color w:val="000000"/>
            <w:szCs w:val="22"/>
          </w:rPr>
          <w:t xml:space="preserve"> </w:t>
        </w:r>
        <w:smartTag w:uri="urn:schemas-microsoft-com:office:smarttags" w:element="PlaceName">
          <w:r w:rsidRPr="00370E70">
            <w:rPr>
              <w:rFonts w:cs="TimesNewRoman"/>
              <w:color w:val="000000"/>
              <w:szCs w:val="22"/>
            </w:rPr>
            <w:t>River</w:t>
          </w:r>
        </w:smartTag>
      </w:smartTag>
      <w:r w:rsidRPr="00370E70">
        <w:rPr>
          <w:rFonts w:cs="TimesNewRoman"/>
          <w:color w:val="000000"/>
          <w:szCs w:val="22"/>
        </w:rPr>
        <w:t xml:space="preserve"> is the most dominant river and as the Urangan seagrass monitoring sites are located within 14 km of the river mouth, they are frequently impacted (Campbell and McKenzie 2003). 2011/12 was the </w:t>
      </w:r>
      <w:r w:rsidRPr="00370E70">
        <w:rPr>
          <w:color w:val="000000"/>
          <w:szCs w:val="22"/>
        </w:rPr>
        <w:t xml:space="preserve">5th consecutive year with above median discharges from the </w:t>
      </w:r>
      <w:smartTag w:uri="urn:schemas-microsoft-com:office:smarttags" w:element="place">
        <w:smartTag w:uri="urn:schemas-microsoft-com:office:smarttags" w:element="PlaceName">
          <w:r w:rsidRPr="00370E70">
            <w:rPr>
              <w:color w:val="000000"/>
              <w:szCs w:val="22"/>
            </w:rPr>
            <w:t>Mary</w:t>
          </w:r>
        </w:smartTag>
        <w:r w:rsidRPr="00370E70">
          <w:rPr>
            <w:color w:val="000000"/>
            <w:szCs w:val="22"/>
          </w:rPr>
          <w:t xml:space="preserve"> </w:t>
        </w:r>
        <w:smartTag w:uri="urn:schemas-microsoft-com:office:smarttags" w:element="PlaceName">
          <w:r w:rsidRPr="00370E70">
            <w:rPr>
              <w:color w:val="000000"/>
              <w:szCs w:val="22"/>
            </w:rPr>
            <w:t>River</w:t>
          </w:r>
        </w:smartTag>
      </w:smartTag>
      <w:r w:rsidRPr="00370E70">
        <w:rPr>
          <w:color w:val="000000"/>
          <w:szCs w:val="22"/>
        </w:rPr>
        <w:t>. The volume discharged over the period (2,507,985 ML) was approximately 50% less than for the previous monitoring period (</w:t>
      </w:r>
      <w:r w:rsidRPr="00370E70">
        <w:rPr>
          <w:color w:val="000000"/>
          <w:szCs w:val="22"/>
        </w:rPr>
        <w:fldChar w:fldCharType="begin"/>
      </w:r>
      <w:r w:rsidRPr="00370E70">
        <w:rPr>
          <w:color w:val="000000"/>
          <w:szCs w:val="22"/>
        </w:rPr>
        <w:instrText xml:space="preserve"> REF _Ref305172934 \h </w:instrText>
      </w:r>
      <w:r w:rsidRPr="00370E70">
        <w:rPr>
          <w:color w:val="000000"/>
          <w:szCs w:val="22"/>
        </w:rPr>
      </w:r>
      <w:r w:rsidRPr="00370E70">
        <w:rPr>
          <w:color w:val="000000"/>
          <w:szCs w:val="22"/>
        </w:rPr>
        <w:fldChar w:fldCharType="separate"/>
      </w:r>
      <w:r w:rsidR="005B5FD6" w:rsidRPr="00370E70">
        <w:rPr>
          <w:color w:val="000000"/>
          <w:szCs w:val="22"/>
        </w:rPr>
        <w:t xml:space="preserve">Figure </w:t>
      </w:r>
      <w:r w:rsidR="005B5FD6">
        <w:rPr>
          <w:noProof/>
          <w:color w:val="000000"/>
          <w:szCs w:val="22"/>
        </w:rPr>
        <w:t>187</w:t>
      </w:r>
      <w:r w:rsidRPr="00370E70">
        <w:rPr>
          <w:color w:val="000000"/>
          <w:szCs w:val="22"/>
        </w:rPr>
        <w:fldChar w:fldCharType="end"/>
      </w:r>
      <w:r w:rsidRPr="00370E70">
        <w:rPr>
          <w:color w:val="000000"/>
          <w:szCs w:val="22"/>
        </w:rPr>
        <w:t>).</w:t>
      </w:r>
    </w:p>
    <w:p w:rsidR="005132EF" w:rsidRPr="00370E70" w:rsidRDefault="007B15AB" w:rsidP="00034AD4">
      <w:pPr>
        <w:keepNext/>
        <w:autoSpaceDE w:val="0"/>
        <w:autoSpaceDN w:val="0"/>
        <w:adjustRightInd w:val="0"/>
        <w:jc w:val="center"/>
        <w:rPr>
          <w:szCs w:val="22"/>
        </w:rPr>
      </w:pPr>
      <w:r>
        <w:rPr>
          <w:noProof/>
          <w:lang w:eastAsia="en-AU"/>
        </w:rPr>
        <w:lastRenderedPageBreak/>
        <w:drawing>
          <wp:inline distT="0" distB="0" distL="0" distR="0">
            <wp:extent cx="4314190" cy="1661160"/>
            <wp:effectExtent l="0" t="0" r="0" b="0"/>
            <wp:docPr id="239" name="Picture 233" descr="Graph of the long-term average daily flow (ML day-1) per month from the Calliope River which would impact estuarine seagrass monitoring sites in Rodds Bay, northern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Graph of the long-term average daily flow (ML day-1) per month from the Calliope River which would impact estuarine seagrass monitoring sites in Rodds Bay, northern Burnett Mary region"/>
                    <pic:cNvPicPr>
                      <a:picLocks noChangeAspect="1" noChangeArrowheads="1"/>
                    </pic:cNvPicPr>
                  </pic:nvPicPr>
                  <pic:blipFill>
                    <a:blip r:embed="rId265">
                      <a:extLst>
                        <a:ext uri="{28A0092B-C50C-407E-A947-70E740481C1C}">
                          <a14:useLocalDpi xmlns:a14="http://schemas.microsoft.com/office/drawing/2010/main" val="0"/>
                        </a:ext>
                      </a:extLst>
                    </a:blip>
                    <a:srcRect b="5356"/>
                    <a:stretch>
                      <a:fillRect/>
                    </a:stretch>
                  </pic:blipFill>
                  <pic:spPr bwMode="auto">
                    <a:xfrm>
                      <a:off x="0" y="0"/>
                      <a:ext cx="4314190" cy="1661160"/>
                    </a:xfrm>
                    <a:prstGeom prst="rect">
                      <a:avLst/>
                    </a:prstGeom>
                    <a:noFill/>
                    <a:ln>
                      <a:noFill/>
                    </a:ln>
                  </pic:spPr>
                </pic:pic>
              </a:graphicData>
            </a:graphic>
          </wp:inline>
        </w:drawing>
      </w:r>
    </w:p>
    <w:p w:rsidR="00A91077" w:rsidRPr="00370E70" w:rsidRDefault="005132EF" w:rsidP="00A91077">
      <w:pPr>
        <w:pStyle w:val="Caption"/>
        <w:rPr>
          <w:i/>
          <w:vanish/>
          <w:color w:val="000000"/>
          <w:szCs w:val="22"/>
          <w:lang w:val="en-AU"/>
          <w:specVanish/>
        </w:rPr>
      </w:pPr>
      <w:bookmarkStart w:id="833" w:name="_Ref305172656"/>
      <w:bookmarkStart w:id="834" w:name="_Toc384196533"/>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186</w:t>
      </w:r>
      <w:r w:rsidRPr="00370E70">
        <w:rPr>
          <w:lang w:val="en-AU"/>
        </w:rPr>
        <w:fldChar w:fldCharType="end"/>
      </w:r>
      <w:bookmarkEnd w:id="833"/>
      <w:r w:rsidRPr="00370E70">
        <w:rPr>
          <w:rStyle w:val="StyleCaptionCaptionCharCharLatinCalibri11ptBlackChar"/>
          <w:lang w:val="en-AU"/>
        </w:rPr>
        <w:t xml:space="preserve">. </w:t>
      </w:r>
      <w:r w:rsidRPr="00370E70">
        <w:rPr>
          <w:i/>
          <w:lang w:val="en-AU"/>
        </w:rPr>
        <w:t>Average daily flow (ML day</w:t>
      </w:r>
      <w:r w:rsidRPr="00370E70">
        <w:rPr>
          <w:i/>
          <w:vertAlign w:val="superscript"/>
          <w:lang w:val="en-AU"/>
        </w:rPr>
        <w:t>-1</w:t>
      </w:r>
      <w:r w:rsidRPr="00370E70">
        <w:rPr>
          <w:i/>
          <w:lang w:val="en-AU"/>
        </w:rPr>
        <w:t xml:space="preserve">) per month from the </w:t>
      </w:r>
      <w:r w:rsidR="00A91077" w:rsidRPr="00370E70">
        <w:rPr>
          <w:i/>
          <w:lang w:val="en-AU"/>
        </w:rPr>
        <w:t>Calliope River</w:t>
      </w:r>
      <w:r w:rsidRPr="00370E70">
        <w:rPr>
          <w:i/>
          <w:lang w:val="en-AU"/>
        </w:rPr>
        <w:t xml:space="preserve"> which would impact estuarine seagrass monitoring sites in Rodds Bay, northern Burnett Mary region</w:t>
      </w:r>
      <w:bookmarkEnd w:id="834"/>
      <w:r w:rsidRPr="00370E70">
        <w:rPr>
          <w:i/>
          <w:lang w:val="en-AU"/>
        </w:rPr>
        <w:t xml:space="preserve"> </w:t>
      </w:r>
    </w:p>
    <w:p w:rsidR="00A91077" w:rsidRPr="00370E70" w:rsidRDefault="00A91077" w:rsidP="00A91077">
      <w:pPr>
        <w:pStyle w:val="Caption"/>
        <w:rPr>
          <w:lang w:val="en-AU"/>
        </w:rPr>
      </w:pPr>
      <w:r w:rsidRPr="00370E70">
        <w:rPr>
          <w:i/>
          <w:lang w:val="en-AU"/>
        </w:rPr>
        <w:t xml:space="preserve"> </w:t>
      </w:r>
      <w:r w:rsidR="005132EF" w:rsidRPr="00370E70">
        <w:rPr>
          <w:i/>
          <w:lang w:val="en-AU"/>
        </w:rPr>
        <w:t xml:space="preserve">(DERM station 132001A - </w:t>
      </w:r>
      <w:smartTag w:uri="urn:schemas-microsoft-com:office:smarttags" w:element="place">
        <w:smartTag w:uri="urn:schemas-microsoft-com:office:smarttags" w:element="PlaceName">
          <w:r w:rsidR="005132EF" w:rsidRPr="00370E70">
            <w:rPr>
              <w:i/>
              <w:lang w:val="en-AU"/>
            </w:rPr>
            <w:t>Calliope</w:t>
          </w:r>
        </w:smartTag>
        <w:r w:rsidR="005132EF" w:rsidRPr="00370E70">
          <w:rPr>
            <w:i/>
            <w:lang w:val="en-AU"/>
          </w:rPr>
          <w:t xml:space="preserve"> </w:t>
        </w:r>
        <w:smartTag w:uri="urn:schemas-microsoft-com:office:smarttags" w:element="PlaceType">
          <w:r w:rsidR="005132EF" w:rsidRPr="00370E70">
            <w:rPr>
              <w:i/>
              <w:lang w:val="en-AU"/>
            </w:rPr>
            <w:t>River</w:t>
          </w:r>
        </w:smartTag>
      </w:smartTag>
      <w:r w:rsidR="005132EF" w:rsidRPr="00370E70">
        <w:rPr>
          <w:i/>
          <w:lang w:val="en-AU"/>
        </w:rPr>
        <w:t xml:space="preserve"> at Castlehope 23.98498333</w:t>
      </w:r>
      <w:r w:rsidR="005132EF" w:rsidRPr="00370E70">
        <w:rPr>
          <w:rFonts w:cs="TimesNewRoman"/>
          <w:i/>
          <w:lang w:val="en-AU"/>
        </w:rPr>
        <w:t>°S</w:t>
      </w:r>
      <w:r w:rsidR="005132EF" w:rsidRPr="00370E70">
        <w:rPr>
          <w:i/>
          <w:lang w:val="en-AU"/>
        </w:rPr>
        <w:t xml:space="preserve"> 151.09756389</w:t>
      </w:r>
      <w:r w:rsidR="005132EF" w:rsidRPr="00370E70">
        <w:rPr>
          <w:rFonts w:cs="TimesNewRoman"/>
          <w:i/>
          <w:lang w:val="en-AU"/>
        </w:rPr>
        <w:t>°E,</w:t>
      </w:r>
      <w:r w:rsidR="005132EF" w:rsidRPr="00370E70">
        <w:rPr>
          <w:i/>
          <w:lang w:val="en-AU"/>
        </w:rPr>
        <w:t xml:space="preserve"> Elev:21; 133005A)(source the State of </w:t>
      </w:r>
      <w:smartTag w:uri="urn:schemas-microsoft-com:office:smarttags" w:element="place">
        <w:smartTag w:uri="urn:schemas-microsoft-com:office:smarttags" w:element="State">
          <w:r w:rsidR="005132EF" w:rsidRPr="00370E70">
            <w:rPr>
              <w:i/>
              <w:lang w:val="en-AU"/>
            </w:rPr>
            <w:t>Queensland</w:t>
          </w:r>
        </w:smartTag>
      </w:smartTag>
      <w:r w:rsidR="005132EF" w:rsidRPr="00370E70">
        <w:rPr>
          <w:i/>
          <w:lang w:val="en-AU"/>
        </w:rPr>
        <w:t xml:space="preserve"> (Department of Environment and Resource Management) 2012, watermonitoring.derm.qld.gov.au).</w:t>
      </w:r>
      <w:r w:rsidRPr="00370E70">
        <w:rPr>
          <w:i/>
          <w:lang w:val="en-AU"/>
        </w:rPr>
        <w:t xml:space="preserve"> </w:t>
      </w:r>
    </w:p>
    <w:p w:rsidR="005132EF" w:rsidRPr="00370E70" w:rsidRDefault="007B15AB" w:rsidP="00A91077">
      <w:pPr>
        <w:jc w:val="center"/>
        <w:rPr>
          <w:szCs w:val="22"/>
        </w:rPr>
      </w:pPr>
      <w:r>
        <w:rPr>
          <w:noProof/>
          <w:lang w:eastAsia="en-AU"/>
        </w:rPr>
        <w:drawing>
          <wp:inline distT="0" distB="0" distL="0" distR="0">
            <wp:extent cx="4314190" cy="1751330"/>
            <wp:effectExtent l="0" t="0" r="0" b="1270"/>
            <wp:docPr id="240" name="Picture 234" descr="Graph of the long-term average daily flow (ML day-1) per month from the Mary River which would impact estuarine seagrass monitoring sites at Urangan, southern Burnett Mar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Graph of the long-term average daily flow (ML day-1) per month from the Mary River which would impact estuarine seagrass monitoring sites at Urangan, southern Burnett Mary region "/>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4314190" cy="1751330"/>
                    </a:xfrm>
                    <a:prstGeom prst="rect">
                      <a:avLst/>
                    </a:prstGeom>
                    <a:noFill/>
                    <a:ln>
                      <a:noFill/>
                    </a:ln>
                  </pic:spPr>
                </pic:pic>
              </a:graphicData>
            </a:graphic>
          </wp:inline>
        </w:drawing>
      </w:r>
    </w:p>
    <w:p w:rsidR="00A91077" w:rsidRPr="00370E70" w:rsidRDefault="005132EF" w:rsidP="00A91077">
      <w:pPr>
        <w:rPr>
          <w:i/>
          <w:vanish/>
          <w:color w:val="000000"/>
          <w:szCs w:val="22"/>
          <w:specVanish/>
        </w:rPr>
      </w:pPr>
      <w:bookmarkStart w:id="835" w:name="_Ref305172934"/>
      <w:bookmarkStart w:id="836" w:name="_Toc384196534"/>
      <w:r w:rsidRPr="00370E70">
        <w:rPr>
          <w:color w:val="000000"/>
          <w:szCs w:val="22"/>
        </w:rPr>
        <w:t xml:space="preserve">Figure </w:t>
      </w:r>
      <w:r w:rsidRPr="00370E70">
        <w:rPr>
          <w:color w:val="000000"/>
          <w:szCs w:val="22"/>
        </w:rPr>
        <w:fldChar w:fldCharType="begin"/>
      </w:r>
      <w:r w:rsidRPr="00370E70">
        <w:rPr>
          <w:color w:val="000000"/>
          <w:szCs w:val="22"/>
        </w:rPr>
        <w:instrText xml:space="preserve"> SEQ Figure \* ARABIC </w:instrText>
      </w:r>
      <w:r w:rsidRPr="00370E70">
        <w:rPr>
          <w:color w:val="000000"/>
          <w:szCs w:val="22"/>
        </w:rPr>
        <w:fldChar w:fldCharType="separate"/>
      </w:r>
      <w:r w:rsidR="005B5FD6">
        <w:rPr>
          <w:noProof/>
          <w:color w:val="000000"/>
          <w:szCs w:val="22"/>
        </w:rPr>
        <w:t>187</w:t>
      </w:r>
      <w:r w:rsidRPr="00370E70">
        <w:rPr>
          <w:color w:val="000000"/>
          <w:szCs w:val="22"/>
        </w:rPr>
        <w:fldChar w:fldCharType="end"/>
      </w:r>
      <w:bookmarkEnd w:id="835"/>
      <w:r w:rsidRPr="00370E70">
        <w:rPr>
          <w:color w:val="000000"/>
          <w:szCs w:val="22"/>
        </w:rPr>
        <w:t xml:space="preserve">. </w:t>
      </w:r>
      <w:r w:rsidRPr="00370E70">
        <w:rPr>
          <w:i/>
          <w:color w:val="000000"/>
          <w:szCs w:val="22"/>
        </w:rPr>
        <w:t>Average daily flow (ML day</w:t>
      </w:r>
      <w:r w:rsidRPr="00370E70">
        <w:rPr>
          <w:i/>
          <w:color w:val="000000"/>
          <w:szCs w:val="22"/>
          <w:vertAlign w:val="superscript"/>
        </w:rPr>
        <w:t>-1</w:t>
      </w:r>
      <w:r w:rsidRPr="00370E70">
        <w:rPr>
          <w:i/>
          <w:color w:val="000000"/>
          <w:szCs w:val="22"/>
        </w:rPr>
        <w:t xml:space="preserve">) per month from the </w:t>
      </w:r>
      <w:smartTag w:uri="urn:schemas-microsoft-com:office:smarttags" w:element="place">
        <w:smartTag w:uri="urn:schemas-microsoft-com:office:smarttags" w:element="PlaceName">
          <w:r w:rsidRPr="00370E70">
            <w:rPr>
              <w:i/>
              <w:color w:val="000000"/>
              <w:szCs w:val="22"/>
            </w:rPr>
            <w:t>Mary</w:t>
          </w:r>
        </w:smartTag>
        <w:r w:rsidRPr="00370E70">
          <w:rPr>
            <w:i/>
            <w:color w:val="000000"/>
            <w:szCs w:val="22"/>
          </w:rPr>
          <w:t xml:space="preserve"> </w:t>
        </w:r>
        <w:smartTag w:uri="urn:schemas-microsoft-com:office:smarttags" w:element="PlaceName">
          <w:r w:rsidRPr="00370E70">
            <w:rPr>
              <w:i/>
              <w:color w:val="000000"/>
              <w:szCs w:val="22"/>
            </w:rPr>
            <w:t>River</w:t>
          </w:r>
        </w:smartTag>
      </w:smartTag>
      <w:r w:rsidRPr="00370E70">
        <w:rPr>
          <w:i/>
          <w:color w:val="000000"/>
          <w:szCs w:val="22"/>
        </w:rPr>
        <w:t xml:space="preserve"> which would impact estuarine seagrass monitoring sites at Urangan, southern Burnett Mary region</w:t>
      </w:r>
      <w:bookmarkEnd w:id="836"/>
      <w:r w:rsidRPr="00370E70">
        <w:rPr>
          <w:i/>
          <w:color w:val="000000"/>
          <w:szCs w:val="22"/>
        </w:rPr>
        <w:t xml:space="preserve"> </w:t>
      </w:r>
    </w:p>
    <w:p w:rsidR="00A91077" w:rsidRPr="00370E70" w:rsidRDefault="00A91077" w:rsidP="00A91077">
      <w:pPr>
        <w:rPr>
          <w:color w:val="000000"/>
        </w:rPr>
      </w:pPr>
      <w:r w:rsidRPr="00370E70">
        <w:rPr>
          <w:i/>
          <w:color w:val="000000"/>
          <w:szCs w:val="22"/>
        </w:rPr>
        <w:t xml:space="preserve"> </w:t>
      </w:r>
      <w:r w:rsidR="005132EF" w:rsidRPr="00370E70">
        <w:rPr>
          <w:i/>
          <w:color w:val="000000"/>
          <w:szCs w:val="22"/>
        </w:rPr>
        <w:t xml:space="preserve">(DERM station 138001A - </w:t>
      </w:r>
      <w:smartTag w:uri="urn:schemas-microsoft-com:office:smarttags" w:element="place">
        <w:smartTag w:uri="urn:schemas-microsoft-com:office:smarttags" w:element="PlaceName">
          <w:r w:rsidR="005132EF" w:rsidRPr="00370E70">
            <w:rPr>
              <w:i/>
              <w:color w:val="000000"/>
              <w:szCs w:val="22"/>
            </w:rPr>
            <w:t>Mary</w:t>
          </w:r>
        </w:smartTag>
        <w:r w:rsidR="005132EF" w:rsidRPr="00370E70">
          <w:rPr>
            <w:i/>
            <w:color w:val="000000"/>
            <w:szCs w:val="22"/>
          </w:rPr>
          <w:t xml:space="preserve"> </w:t>
        </w:r>
        <w:smartTag w:uri="urn:schemas-microsoft-com:office:smarttags" w:element="PlaceName">
          <w:r w:rsidR="005132EF" w:rsidRPr="00370E70">
            <w:rPr>
              <w:i/>
              <w:color w:val="000000"/>
              <w:szCs w:val="22"/>
            </w:rPr>
            <w:t>River</w:t>
          </w:r>
        </w:smartTag>
      </w:smartTag>
      <w:r w:rsidR="005132EF" w:rsidRPr="00370E70">
        <w:rPr>
          <w:i/>
          <w:color w:val="000000"/>
          <w:szCs w:val="22"/>
        </w:rPr>
        <w:t xml:space="preserve"> at Miva Lat:25.95332924</w:t>
      </w:r>
      <w:r w:rsidR="005132EF" w:rsidRPr="00370E70">
        <w:rPr>
          <w:rFonts w:cs="TimesNewRoman"/>
          <w:i/>
          <w:color w:val="000000"/>
          <w:szCs w:val="22"/>
        </w:rPr>
        <w:t>°S</w:t>
      </w:r>
      <w:r w:rsidR="005132EF" w:rsidRPr="00370E70">
        <w:rPr>
          <w:i/>
          <w:color w:val="000000"/>
          <w:szCs w:val="22"/>
        </w:rPr>
        <w:t xml:space="preserve">:152.4956601 </w:t>
      </w:r>
      <w:r w:rsidR="005132EF" w:rsidRPr="00370E70">
        <w:rPr>
          <w:rFonts w:cs="TimesNewRoman"/>
          <w:i/>
          <w:color w:val="000000"/>
          <w:szCs w:val="22"/>
        </w:rPr>
        <w:t xml:space="preserve">°E, </w:t>
      </w:r>
      <w:r w:rsidR="005132EF" w:rsidRPr="00370E70">
        <w:rPr>
          <w:i/>
          <w:color w:val="000000"/>
          <w:szCs w:val="22"/>
        </w:rPr>
        <w:t xml:space="preserve">Elev 0m) (source the State of </w:t>
      </w:r>
      <w:smartTag w:uri="urn:schemas-microsoft-com:office:smarttags" w:element="place">
        <w:smartTag w:uri="urn:schemas-microsoft-com:office:smarttags" w:element="State">
          <w:r w:rsidR="005132EF" w:rsidRPr="00370E70">
            <w:rPr>
              <w:i/>
              <w:color w:val="000000"/>
              <w:szCs w:val="22"/>
            </w:rPr>
            <w:t>Queensland</w:t>
          </w:r>
        </w:smartTag>
      </w:smartTag>
      <w:r w:rsidR="005132EF" w:rsidRPr="00370E70">
        <w:rPr>
          <w:i/>
          <w:color w:val="000000"/>
          <w:szCs w:val="22"/>
        </w:rPr>
        <w:t xml:space="preserve"> (Department of Environment and Resource Management) 2012, watermonitoring.derm.qld.gov.au).</w:t>
      </w:r>
      <w:r w:rsidRPr="00370E70">
        <w:rPr>
          <w:color w:val="000000"/>
        </w:rPr>
        <w:t xml:space="preserve"> </w:t>
      </w:r>
    </w:p>
    <w:p w:rsidR="005132EF" w:rsidRPr="00370E70" w:rsidRDefault="005132EF" w:rsidP="00034AD4">
      <w:pPr>
        <w:pStyle w:val="Heading1"/>
        <w:pageBreakBefore w:val="0"/>
        <w:rPr>
          <w:rFonts w:ascii="Century Gothic" w:hAnsi="Century Gothic"/>
          <w:color w:val="000000"/>
        </w:rPr>
      </w:pPr>
      <w:r w:rsidRPr="00370E70">
        <w:rPr>
          <w:color w:val="000080"/>
        </w:rPr>
        <w:br w:type="page"/>
      </w:r>
      <w:bookmarkStart w:id="837" w:name="_Toc170191665"/>
      <w:bookmarkStart w:id="838" w:name="_Toc175991098"/>
      <w:bookmarkStart w:id="839" w:name="_Toc176079591"/>
      <w:bookmarkStart w:id="840" w:name="_Toc232845946"/>
      <w:bookmarkStart w:id="841" w:name="_Toc184102051"/>
      <w:bookmarkStart w:id="842" w:name="_Toc384196156"/>
      <w:r w:rsidRPr="00370E70">
        <w:rPr>
          <w:rFonts w:ascii="Century Gothic" w:hAnsi="Century Gothic"/>
          <w:color w:val="000000"/>
        </w:rPr>
        <w:lastRenderedPageBreak/>
        <w:t xml:space="preserve">4. </w:t>
      </w:r>
      <w:bookmarkEnd w:id="837"/>
      <w:bookmarkEnd w:id="838"/>
      <w:bookmarkEnd w:id="839"/>
      <w:bookmarkEnd w:id="840"/>
      <w:bookmarkEnd w:id="841"/>
      <w:r w:rsidR="00C27FA2" w:rsidRPr="00370E70">
        <w:rPr>
          <w:rFonts w:ascii="Century Gothic" w:hAnsi="Century Gothic"/>
          <w:color w:val="000000"/>
        </w:rPr>
        <w:t>Conclusions</w:t>
      </w:r>
      <w:bookmarkEnd w:id="842"/>
    </w:p>
    <w:p w:rsidR="0041715F" w:rsidRPr="00370E70" w:rsidRDefault="002A062E" w:rsidP="00713D6C">
      <w:pPr>
        <w:autoSpaceDE w:val="0"/>
        <w:autoSpaceDN w:val="0"/>
        <w:adjustRightInd w:val="0"/>
        <w:rPr>
          <w:rFonts w:cs="TimesNewRoman"/>
          <w:color w:val="000000"/>
          <w:szCs w:val="22"/>
        </w:rPr>
      </w:pPr>
      <w:bookmarkStart w:id="843" w:name="_Toc170191672"/>
      <w:bookmarkStart w:id="844" w:name="_Toc175991100"/>
      <w:bookmarkStart w:id="845" w:name="_Toc176079593"/>
      <w:bookmarkStart w:id="846" w:name="_Toc232845951"/>
      <w:r w:rsidRPr="00370E70">
        <w:rPr>
          <w:rFonts w:cs="TimesNewRoman"/>
          <w:color w:val="000000"/>
          <w:szCs w:val="22"/>
        </w:rPr>
        <w:t xml:space="preserve">The report card of </w:t>
      </w:r>
      <w:r w:rsidR="000F5621" w:rsidRPr="00370E70">
        <w:rPr>
          <w:rFonts w:cs="TimesNewRoman"/>
          <w:color w:val="000000"/>
          <w:szCs w:val="22"/>
        </w:rPr>
        <w:t xml:space="preserve">inshore seagrass state (from Cooktown south) for </w:t>
      </w:r>
      <w:r w:rsidRPr="00370E70">
        <w:rPr>
          <w:rFonts w:cs="TimesNewRoman"/>
          <w:color w:val="000000"/>
          <w:szCs w:val="22"/>
        </w:rPr>
        <w:t xml:space="preserve">the Great Barrier </w:t>
      </w:r>
      <w:proofErr w:type="gramStart"/>
      <w:r w:rsidRPr="00370E70">
        <w:rPr>
          <w:rFonts w:cs="TimesNewRoman"/>
          <w:color w:val="000000"/>
          <w:szCs w:val="22"/>
        </w:rPr>
        <w:t>Reef,</w:t>
      </w:r>
      <w:proofErr w:type="gramEnd"/>
      <w:r w:rsidRPr="00370E70">
        <w:rPr>
          <w:rFonts w:cs="TimesNewRoman"/>
          <w:color w:val="000000"/>
          <w:szCs w:val="22"/>
        </w:rPr>
        <w:t xml:space="preserve"> has shown </w:t>
      </w:r>
      <w:r w:rsidR="000F5621" w:rsidRPr="00370E70">
        <w:rPr>
          <w:rFonts w:cs="TimesNewRoman"/>
          <w:color w:val="000000"/>
          <w:szCs w:val="22"/>
        </w:rPr>
        <w:t>a sequential</w:t>
      </w:r>
      <w:r w:rsidRPr="00370E70">
        <w:rPr>
          <w:rFonts w:cs="TimesNewRoman"/>
          <w:color w:val="000000"/>
          <w:szCs w:val="22"/>
        </w:rPr>
        <w:t xml:space="preserve"> declin</w:t>
      </w:r>
      <w:r w:rsidR="00C27FA2" w:rsidRPr="00370E70">
        <w:rPr>
          <w:rFonts w:cs="TimesNewRoman"/>
          <w:color w:val="000000"/>
          <w:szCs w:val="22"/>
        </w:rPr>
        <w:t>e</w:t>
      </w:r>
      <w:r w:rsidRPr="00370E70">
        <w:rPr>
          <w:rFonts w:cs="TimesNewRoman"/>
          <w:color w:val="000000"/>
          <w:szCs w:val="22"/>
        </w:rPr>
        <w:t xml:space="preserve"> since 200</w:t>
      </w:r>
      <w:r w:rsidR="000860F7" w:rsidRPr="00370E70">
        <w:rPr>
          <w:rFonts w:cs="TimesNewRoman"/>
          <w:color w:val="000000"/>
          <w:szCs w:val="22"/>
        </w:rPr>
        <w:t>6</w:t>
      </w:r>
      <w:r w:rsidR="00713D6C" w:rsidRPr="00370E70">
        <w:rPr>
          <w:rFonts w:cs="TimesNewRoman"/>
          <w:color w:val="000000"/>
          <w:szCs w:val="22"/>
        </w:rPr>
        <w:t xml:space="preserve"> (</w:t>
      </w:r>
      <w:r w:rsidR="00713D6C" w:rsidRPr="00370E70">
        <w:rPr>
          <w:rFonts w:cs="TimesNewRoman"/>
          <w:color w:val="000000"/>
          <w:szCs w:val="22"/>
        </w:rPr>
        <w:fldChar w:fldCharType="begin"/>
      </w:r>
      <w:r w:rsidR="00713D6C" w:rsidRPr="00370E70">
        <w:rPr>
          <w:rFonts w:cs="TimesNewRoman"/>
          <w:color w:val="000000"/>
          <w:szCs w:val="22"/>
        </w:rPr>
        <w:instrText xml:space="preserve"> REF _Ref354905017 \h </w:instrText>
      </w:r>
      <w:r w:rsidR="00713D6C" w:rsidRPr="00370E70">
        <w:rPr>
          <w:rFonts w:cs="TimesNewRoman"/>
          <w:color w:val="000000"/>
          <w:szCs w:val="22"/>
        </w:rPr>
      </w:r>
      <w:r w:rsidR="00713D6C" w:rsidRPr="00370E70">
        <w:rPr>
          <w:rFonts w:cs="TimesNewRoman"/>
          <w:color w:val="000000"/>
          <w:szCs w:val="22"/>
        </w:rPr>
        <w:fldChar w:fldCharType="separate"/>
      </w:r>
      <w:r w:rsidR="005B5FD6" w:rsidRPr="00370E70">
        <w:rPr>
          <w:rStyle w:val="StyleCaptionCaptionCharCharLatinCalibri11ptBlackChar"/>
          <w:lang w:val="en-AU"/>
        </w:rPr>
        <w:t xml:space="preserve">Figure </w:t>
      </w:r>
      <w:r w:rsidR="005B5FD6">
        <w:rPr>
          <w:noProof/>
          <w:color w:val="000000"/>
          <w:szCs w:val="22"/>
        </w:rPr>
        <w:t>188</w:t>
      </w:r>
      <w:r w:rsidR="00713D6C" w:rsidRPr="00370E70">
        <w:rPr>
          <w:rFonts w:cs="TimesNewRoman"/>
          <w:color w:val="000000"/>
          <w:szCs w:val="22"/>
        </w:rPr>
        <w:fldChar w:fldCharType="end"/>
      </w:r>
      <w:r w:rsidR="00713D6C" w:rsidRPr="00370E70">
        <w:rPr>
          <w:rFonts w:cs="TimesNewRoman"/>
          <w:color w:val="000000"/>
          <w:szCs w:val="22"/>
        </w:rPr>
        <w:t>)</w:t>
      </w:r>
      <w:r w:rsidRPr="00370E70">
        <w:rPr>
          <w:rFonts w:cs="TimesNewRoman"/>
          <w:color w:val="000000"/>
          <w:szCs w:val="22"/>
        </w:rPr>
        <w:t xml:space="preserve">. </w:t>
      </w:r>
      <w:r w:rsidR="005F12FF" w:rsidRPr="00370E70">
        <w:rPr>
          <w:rFonts w:cs="TimesNewRoman"/>
          <w:color w:val="000000"/>
          <w:szCs w:val="22"/>
        </w:rPr>
        <w:t>Although some locations in t</w:t>
      </w:r>
      <w:r w:rsidR="00A55887" w:rsidRPr="00370E70">
        <w:rPr>
          <w:rFonts w:cs="TimesNewRoman"/>
          <w:color w:val="000000"/>
          <w:szCs w:val="22"/>
        </w:rPr>
        <w:t>h</w:t>
      </w:r>
      <w:r w:rsidR="005F12FF" w:rsidRPr="00370E70">
        <w:rPr>
          <w:rFonts w:cs="TimesNewRoman"/>
          <w:color w:val="000000"/>
          <w:szCs w:val="22"/>
        </w:rPr>
        <w:t>e</w:t>
      </w:r>
      <w:r w:rsidR="00A55887" w:rsidRPr="00370E70">
        <w:rPr>
          <w:rFonts w:cs="TimesNewRoman"/>
          <w:color w:val="000000"/>
          <w:szCs w:val="22"/>
        </w:rPr>
        <w:t xml:space="preserve"> Wet Tropics and Burdekin regions experienced declines in early 2006 as a consequence of </w:t>
      </w:r>
      <w:r w:rsidR="005F12FF" w:rsidRPr="00370E70">
        <w:rPr>
          <w:rFonts w:cs="TimesNewRoman"/>
          <w:color w:val="000000"/>
          <w:szCs w:val="22"/>
        </w:rPr>
        <w:t>T</w:t>
      </w:r>
      <w:r w:rsidR="00A55887" w:rsidRPr="00370E70">
        <w:rPr>
          <w:rFonts w:cs="TimesNewRoman"/>
          <w:color w:val="000000"/>
          <w:szCs w:val="22"/>
        </w:rPr>
        <w:t xml:space="preserve">ropical </w:t>
      </w:r>
      <w:r w:rsidR="005F12FF" w:rsidRPr="00370E70">
        <w:rPr>
          <w:rFonts w:cs="TimesNewRoman"/>
          <w:color w:val="000000"/>
          <w:szCs w:val="22"/>
        </w:rPr>
        <w:t>C</w:t>
      </w:r>
      <w:r w:rsidR="00A55887" w:rsidRPr="00370E70">
        <w:rPr>
          <w:rFonts w:cs="TimesNewRoman"/>
          <w:color w:val="000000"/>
          <w:szCs w:val="22"/>
        </w:rPr>
        <w:t>yclone Larry, most recovered within 1-2 years, with the exception of the coastal sites in southern Wet Tropics where recovery was protracted.</w:t>
      </w:r>
      <w:r w:rsidR="00E15D28" w:rsidRPr="00370E70">
        <w:rPr>
          <w:rFonts w:cs="TimesNewRoman"/>
          <w:color w:val="000000"/>
          <w:szCs w:val="22"/>
        </w:rPr>
        <w:t xml:space="preserve"> In late 2008, locations in the northern Wet Tropics and Burdekin regions were in a </w:t>
      </w:r>
      <w:r w:rsidR="005F12FF" w:rsidRPr="00370E70">
        <w:rPr>
          <w:rFonts w:cs="TimesNewRoman"/>
          <w:color w:val="000000"/>
          <w:szCs w:val="22"/>
        </w:rPr>
        <w:t>moderate</w:t>
      </w:r>
      <w:r w:rsidR="00E15D28" w:rsidRPr="00370E70">
        <w:rPr>
          <w:rFonts w:cs="TimesNewRoman"/>
          <w:color w:val="000000"/>
          <w:szCs w:val="22"/>
        </w:rPr>
        <w:t xml:space="preserve"> </w:t>
      </w:r>
      <w:r w:rsidR="00556AD8" w:rsidRPr="00370E70">
        <w:rPr>
          <w:rFonts w:cs="TimesNewRoman"/>
          <w:color w:val="000000"/>
          <w:szCs w:val="22"/>
        </w:rPr>
        <w:t xml:space="preserve">state of </w:t>
      </w:r>
      <w:r w:rsidR="00E15D28" w:rsidRPr="00370E70">
        <w:rPr>
          <w:rFonts w:cs="TimesNewRoman"/>
          <w:color w:val="000000"/>
          <w:szCs w:val="22"/>
        </w:rPr>
        <w:t>health with abundant cover and seed banks. In contrast, locations in the southern GBR in Mackay Whitsunday and Burnett Mary regions were in a poor state</w:t>
      </w:r>
      <w:r w:rsidR="005F12FF" w:rsidRPr="00370E70">
        <w:rPr>
          <w:rFonts w:cs="TimesNewRoman"/>
          <w:color w:val="000000"/>
          <w:szCs w:val="22"/>
        </w:rPr>
        <w:t>, with low abundance</w:t>
      </w:r>
      <w:r w:rsidR="00556AD8" w:rsidRPr="00370E70">
        <w:rPr>
          <w:rFonts w:cs="TimesNewRoman"/>
          <w:color w:val="000000"/>
          <w:szCs w:val="22"/>
        </w:rPr>
        <w:t>, reduced reproductive effort and small or absent seed banks</w:t>
      </w:r>
      <w:r w:rsidR="005F12FF" w:rsidRPr="00370E70">
        <w:rPr>
          <w:rFonts w:cs="TimesNewRoman"/>
          <w:color w:val="000000"/>
          <w:szCs w:val="22"/>
        </w:rPr>
        <w:t xml:space="preserve">. In 2009 with the onset of the </w:t>
      </w:r>
      <w:r w:rsidR="000860F7" w:rsidRPr="00370E70">
        <w:rPr>
          <w:rFonts w:cs="TimesNewRoman"/>
          <w:color w:val="000000"/>
          <w:szCs w:val="22"/>
        </w:rPr>
        <w:t>La Niña</w:t>
      </w:r>
      <w:r w:rsidR="005F12FF" w:rsidRPr="00370E70">
        <w:rPr>
          <w:rFonts w:cs="TimesNewRoman"/>
          <w:color w:val="000000"/>
          <w:szCs w:val="22"/>
        </w:rPr>
        <w:t xml:space="preserve">, </w:t>
      </w:r>
      <w:r w:rsidR="00556AD8" w:rsidRPr="00370E70">
        <w:rPr>
          <w:rFonts w:cs="TimesNewRoman"/>
          <w:color w:val="000000"/>
          <w:szCs w:val="22"/>
        </w:rPr>
        <w:t xml:space="preserve">the decline in </w:t>
      </w:r>
      <w:r w:rsidR="005F12FF" w:rsidRPr="00370E70">
        <w:rPr>
          <w:rFonts w:cs="TimesNewRoman"/>
          <w:color w:val="000000"/>
          <w:szCs w:val="22"/>
        </w:rPr>
        <w:t xml:space="preserve">seagrass state steadily </w:t>
      </w:r>
      <w:r w:rsidR="00556AD8" w:rsidRPr="00370E70">
        <w:rPr>
          <w:rFonts w:cs="TimesNewRoman"/>
          <w:color w:val="000000"/>
          <w:szCs w:val="22"/>
        </w:rPr>
        <w:t>spread</w:t>
      </w:r>
      <w:r w:rsidR="005F12FF" w:rsidRPr="00370E70">
        <w:rPr>
          <w:rFonts w:cs="TimesNewRoman"/>
          <w:color w:val="000000"/>
          <w:szCs w:val="22"/>
        </w:rPr>
        <w:t xml:space="preserve"> across the Burdekin region and </w:t>
      </w:r>
      <w:r w:rsidR="00713D6C" w:rsidRPr="00370E70">
        <w:rPr>
          <w:rFonts w:cs="TimesNewRoman"/>
          <w:color w:val="000000"/>
          <w:szCs w:val="22"/>
        </w:rPr>
        <w:t>to</w:t>
      </w:r>
      <w:r w:rsidR="005F12FF" w:rsidRPr="00370E70">
        <w:rPr>
          <w:rFonts w:cs="TimesNewRoman"/>
          <w:color w:val="000000"/>
          <w:szCs w:val="22"/>
        </w:rPr>
        <w:t xml:space="preserve"> locations within the Fitzroy and Wet Tropics</w:t>
      </w:r>
      <w:r w:rsidR="00556AD8" w:rsidRPr="00370E70">
        <w:rPr>
          <w:rFonts w:cs="TimesNewRoman"/>
          <w:color w:val="000000"/>
          <w:szCs w:val="22"/>
        </w:rPr>
        <w:t xml:space="preserve"> where discharges from large rivers and associated </w:t>
      </w:r>
      <w:r w:rsidR="002C6536" w:rsidRPr="00370E70">
        <w:rPr>
          <w:rFonts w:cs="TimesNewRoman"/>
          <w:color w:val="000000"/>
          <w:szCs w:val="22"/>
        </w:rPr>
        <w:t>catchments</w:t>
      </w:r>
      <w:r w:rsidR="00556AD8" w:rsidRPr="00370E70">
        <w:rPr>
          <w:rFonts w:cs="TimesNewRoman"/>
          <w:color w:val="000000"/>
          <w:szCs w:val="22"/>
        </w:rPr>
        <w:t xml:space="preserve"> occurred</w:t>
      </w:r>
      <w:r w:rsidR="005F12FF" w:rsidRPr="00370E70">
        <w:rPr>
          <w:rFonts w:cs="TimesNewRoman"/>
          <w:color w:val="000000"/>
          <w:szCs w:val="22"/>
        </w:rPr>
        <w:t xml:space="preserve">. The only locations </w:t>
      </w:r>
      <w:r w:rsidR="00556AD8" w:rsidRPr="00370E70">
        <w:rPr>
          <w:rFonts w:cs="TimesNewRoman"/>
          <w:color w:val="000000"/>
          <w:szCs w:val="22"/>
        </w:rPr>
        <w:t xml:space="preserve">where seagrass state was </w:t>
      </w:r>
      <w:r w:rsidR="00713D6C" w:rsidRPr="00370E70">
        <w:rPr>
          <w:rFonts w:cs="TimesNewRoman"/>
          <w:color w:val="000000"/>
          <w:szCs w:val="22"/>
        </w:rPr>
        <w:t>better</w:t>
      </w:r>
      <w:r w:rsidR="00556AD8" w:rsidRPr="00370E70">
        <w:rPr>
          <w:rFonts w:cs="TimesNewRoman"/>
          <w:color w:val="000000"/>
          <w:szCs w:val="22"/>
        </w:rPr>
        <w:t xml:space="preserve"> was at locations with relatively little catchment input, such as </w:t>
      </w:r>
      <w:smartTag w:uri="urn:schemas-microsoft-com:office:smarttags" w:element="PlaceName">
        <w:r w:rsidR="00556AD8" w:rsidRPr="00370E70">
          <w:rPr>
            <w:rFonts w:cs="TimesNewRoman"/>
            <w:color w:val="000000"/>
            <w:szCs w:val="22"/>
          </w:rPr>
          <w:t>Gladstone</w:t>
        </w:r>
      </w:smartTag>
      <w:r w:rsidR="00556AD8" w:rsidRPr="00370E70">
        <w:rPr>
          <w:rFonts w:cs="TimesNewRoman"/>
          <w:color w:val="000000"/>
          <w:szCs w:val="22"/>
        </w:rPr>
        <w:t xml:space="preserve"> </w:t>
      </w:r>
      <w:smartTag w:uri="urn:schemas-microsoft-com:office:smarttags" w:element="PlaceType">
        <w:r w:rsidR="00556AD8" w:rsidRPr="00370E70">
          <w:rPr>
            <w:rFonts w:cs="TimesNewRoman"/>
            <w:color w:val="000000"/>
            <w:szCs w:val="22"/>
          </w:rPr>
          <w:t>Harbour</w:t>
        </w:r>
      </w:smartTag>
      <w:r w:rsidR="00556AD8" w:rsidRPr="00370E70">
        <w:rPr>
          <w:rFonts w:cs="TimesNewRoman"/>
          <w:color w:val="000000"/>
          <w:szCs w:val="22"/>
        </w:rPr>
        <w:t xml:space="preserve"> and </w:t>
      </w:r>
      <w:smartTag w:uri="urn:schemas-microsoft-com:office:smarttags" w:element="PlaceName">
        <w:r w:rsidR="00556AD8" w:rsidRPr="00370E70">
          <w:rPr>
            <w:rFonts w:cs="TimesNewRoman"/>
            <w:color w:val="000000"/>
            <w:szCs w:val="22"/>
          </w:rPr>
          <w:t>Shoalwater</w:t>
        </w:r>
      </w:smartTag>
      <w:r w:rsidR="00556AD8" w:rsidRPr="00370E70">
        <w:rPr>
          <w:rFonts w:cs="TimesNewRoman"/>
          <w:color w:val="000000"/>
          <w:szCs w:val="22"/>
        </w:rPr>
        <w:t xml:space="preserve"> </w:t>
      </w:r>
      <w:smartTag w:uri="urn:schemas-microsoft-com:office:smarttags" w:element="PlaceType">
        <w:r w:rsidR="00556AD8" w:rsidRPr="00370E70">
          <w:rPr>
            <w:rFonts w:cs="TimesNewRoman"/>
            <w:color w:val="000000"/>
            <w:szCs w:val="22"/>
          </w:rPr>
          <w:t>Bay</w:t>
        </w:r>
      </w:smartTag>
      <w:r w:rsidR="00556AD8" w:rsidRPr="00370E70">
        <w:rPr>
          <w:rFonts w:cs="TimesNewRoman"/>
          <w:color w:val="000000"/>
          <w:szCs w:val="22"/>
        </w:rPr>
        <w:t xml:space="preserve"> (Fitzroy region)</w:t>
      </w:r>
      <w:r w:rsidR="004D0FF8" w:rsidRPr="00370E70">
        <w:rPr>
          <w:rFonts w:cs="TimesNewRoman"/>
          <w:color w:val="000000"/>
          <w:szCs w:val="22"/>
        </w:rPr>
        <w:t xml:space="preserve">, </w:t>
      </w:r>
      <w:smartTag w:uri="urn:schemas-microsoft-com:office:smarttags" w:element="PlaceName">
        <w:r w:rsidR="004D0FF8" w:rsidRPr="00370E70">
          <w:rPr>
            <w:rFonts w:cs="TimesNewRoman"/>
            <w:color w:val="000000"/>
            <w:szCs w:val="22"/>
          </w:rPr>
          <w:t>Green</w:t>
        </w:r>
      </w:smartTag>
      <w:r w:rsidR="004D0FF8" w:rsidRPr="00370E70">
        <w:rPr>
          <w:rFonts w:cs="TimesNewRoman"/>
          <w:color w:val="000000"/>
          <w:szCs w:val="22"/>
        </w:rPr>
        <w:t xml:space="preserve"> </w:t>
      </w:r>
      <w:smartTag w:uri="urn:schemas-microsoft-com:office:smarttags" w:element="PlaceType">
        <w:r w:rsidR="004D0FF8" w:rsidRPr="00370E70">
          <w:rPr>
            <w:rFonts w:cs="TimesNewRoman"/>
            <w:color w:val="000000"/>
            <w:szCs w:val="22"/>
          </w:rPr>
          <w:t>Island</w:t>
        </w:r>
      </w:smartTag>
      <w:r w:rsidR="004D0FF8" w:rsidRPr="00370E70">
        <w:rPr>
          <w:rFonts w:cs="TimesNewRoman"/>
          <w:color w:val="000000"/>
          <w:szCs w:val="22"/>
        </w:rPr>
        <w:t xml:space="preserve"> (Wet Tropics),</w:t>
      </w:r>
      <w:r w:rsidR="00556AD8" w:rsidRPr="00370E70">
        <w:rPr>
          <w:rFonts w:cs="TimesNewRoman"/>
          <w:color w:val="000000"/>
          <w:szCs w:val="22"/>
        </w:rPr>
        <w:t xml:space="preserve"> and </w:t>
      </w:r>
      <w:smartTag w:uri="urn:schemas-microsoft-com:office:smarttags" w:element="PlaceName">
        <w:r w:rsidR="00556AD8" w:rsidRPr="00370E70">
          <w:rPr>
            <w:rFonts w:cs="TimesNewRoman"/>
            <w:color w:val="000000"/>
            <w:szCs w:val="22"/>
          </w:rPr>
          <w:t>Archer</w:t>
        </w:r>
      </w:smartTag>
      <w:r w:rsidR="00556AD8" w:rsidRPr="00370E70">
        <w:rPr>
          <w:rFonts w:cs="TimesNewRoman"/>
          <w:color w:val="000000"/>
          <w:szCs w:val="22"/>
        </w:rPr>
        <w:t xml:space="preserve"> </w:t>
      </w:r>
      <w:smartTag w:uri="urn:schemas-microsoft-com:office:smarttags" w:element="PlaceName">
        <w:r w:rsidR="00556AD8" w:rsidRPr="00370E70">
          <w:rPr>
            <w:rFonts w:cs="TimesNewRoman"/>
            <w:color w:val="000000"/>
            <w:szCs w:val="22"/>
          </w:rPr>
          <w:t>Point</w:t>
        </w:r>
      </w:smartTag>
      <w:r w:rsidR="00556AD8" w:rsidRPr="00370E70">
        <w:rPr>
          <w:rFonts w:cs="TimesNewRoman"/>
          <w:color w:val="000000"/>
          <w:szCs w:val="22"/>
        </w:rPr>
        <w:t xml:space="preserve"> (</w:t>
      </w:r>
      <w:smartTag w:uri="urn:schemas-microsoft-com:office:smarttags" w:element="place">
        <w:r w:rsidR="00556AD8" w:rsidRPr="00370E70">
          <w:rPr>
            <w:rFonts w:cs="TimesNewRoman"/>
            <w:color w:val="000000"/>
            <w:szCs w:val="22"/>
          </w:rPr>
          <w:t>Cape York</w:t>
        </w:r>
      </w:smartTag>
      <w:r w:rsidR="00556AD8" w:rsidRPr="00370E70">
        <w:rPr>
          <w:rFonts w:cs="TimesNewRoman"/>
          <w:color w:val="000000"/>
          <w:szCs w:val="22"/>
        </w:rPr>
        <w:t>).</w:t>
      </w:r>
      <w:r w:rsidR="004D0FF8" w:rsidRPr="00370E70">
        <w:rPr>
          <w:rFonts w:cs="TimesNewRoman"/>
          <w:color w:val="000000"/>
          <w:szCs w:val="22"/>
        </w:rPr>
        <w:t xml:space="preserve"> </w:t>
      </w:r>
      <w:r w:rsidR="00166850" w:rsidRPr="00370E70">
        <w:rPr>
          <w:rFonts w:cs="TimesNewRoman"/>
          <w:color w:val="000000"/>
          <w:szCs w:val="22"/>
        </w:rPr>
        <w:t xml:space="preserve">By 2010, seagrasses of the GBR were in a </w:t>
      </w:r>
      <w:r w:rsidR="00713D6C" w:rsidRPr="00370E70">
        <w:rPr>
          <w:rFonts w:cs="TimesNewRoman"/>
          <w:color w:val="000000"/>
          <w:szCs w:val="22"/>
        </w:rPr>
        <w:t xml:space="preserve">poor </w:t>
      </w:r>
      <w:r w:rsidR="00166850" w:rsidRPr="00370E70">
        <w:rPr>
          <w:rFonts w:cs="TimesNewRoman"/>
          <w:color w:val="000000"/>
          <w:szCs w:val="22"/>
        </w:rPr>
        <w:t>state</w:t>
      </w:r>
      <w:r w:rsidR="00713D6C" w:rsidRPr="00370E70">
        <w:rPr>
          <w:rFonts w:cs="TimesNewRoman"/>
          <w:color w:val="000000"/>
          <w:szCs w:val="22"/>
        </w:rPr>
        <w:t xml:space="preserve"> with declining trajectories in seagrass abundance, reduced meadow extent, limited or absent seed production and increased epiphyte loads at most locations. These symptoms would have made the seagrass populations particularly vulnerable to large episodic disturbances, as demonstrated by the widespread and substantial losses documented after the floods and cyclones of early 2011. </w:t>
      </w:r>
    </w:p>
    <w:p w:rsidR="0041715F" w:rsidRPr="00370E70" w:rsidRDefault="007B15AB" w:rsidP="0041715F">
      <w:pPr>
        <w:autoSpaceDE w:val="0"/>
        <w:autoSpaceDN w:val="0"/>
        <w:adjustRightInd w:val="0"/>
        <w:spacing w:before="0" w:after="0"/>
        <w:jc w:val="center"/>
        <w:rPr>
          <w:color w:val="000000"/>
          <w:szCs w:val="22"/>
        </w:rPr>
      </w:pPr>
      <w:r>
        <w:rPr>
          <w:noProof/>
          <w:color w:val="000000"/>
          <w:szCs w:val="22"/>
          <w:lang w:eastAsia="en-AU"/>
        </w:rPr>
        <w:drawing>
          <wp:inline distT="0" distB="0" distL="0" distR="0">
            <wp:extent cx="5408930" cy="4816475"/>
            <wp:effectExtent l="0" t="0" r="1270" b="3175"/>
            <wp:docPr id="241" name="Picture 241" descr="Conceptual diagram summarising the GBR MMP inshore seagrass state, illustrating the abundance of foundation / colonising species, and seed banks from 2005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onceptual diagram summarising the GBR MMP inshore seagrass state, illustrating the abundance of foundation / colonising species, and seed banks from 2005 to 2012."/>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5408930" cy="4816475"/>
                    </a:xfrm>
                    <a:prstGeom prst="rect">
                      <a:avLst/>
                    </a:prstGeom>
                    <a:noFill/>
                    <a:ln>
                      <a:noFill/>
                    </a:ln>
                  </pic:spPr>
                </pic:pic>
              </a:graphicData>
            </a:graphic>
          </wp:inline>
        </w:drawing>
      </w:r>
    </w:p>
    <w:p w:rsidR="0041715F" w:rsidRPr="00370E70" w:rsidRDefault="0041715F" w:rsidP="0041715F">
      <w:pPr>
        <w:pStyle w:val="Caption"/>
        <w:rPr>
          <w:i/>
          <w:color w:val="000000"/>
          <w:szCs w:val="22"/>
          <w:lang w:val="en-AU"/>
        </w:rPr>
      </w:pPr>
      <w:bookmarkStart w:id="847" w:name="_Ref354905017"/>
      <w:bookmarkStart w:id="848" w:name="_Toc384196535"/>
      <w:r w:rsidRPr="00370E70">
        <w:rPr>
          <w:rStyle w:val="StyleCaptionCaptionCharCharLatinCalibri11ptBlackChar"/>
          <w:lang w:val="en-AU"/>
        </w:rPr>
        <w:t xml:space="preserve">Figure </w:t>
      </w:r>
      <w:r w:rsidRPr="00370E70">
        <w:rPr>
          <w:color w:val="000000"/>
          <w:szCs w:val="22"/>
          <w:lang w:val="en-AU"/>
        </w:rPr>
        <w:fldChar w:fldCharType="begin"/>
      </w:r>
      <w:r w:rsidRPr="00370E70">
        <w:rPr>
          <w:color w:val="000000"/>
          <w:szCs w:val="22"/>
          <w:lang w:val="en-AU"/>
        </w:rPr>
        <w:instrText xml:space="preserve"> SEQ Figure \* ARABIC </w:instrText>
      </w:r>
      <w:r w:rsidRPr="00370E70">
        <w:rPr>
          <w:color w:val="000000"/>
          <w:szCs w:val="22"/>
          <w:lang w:val="en-AU"/>
        </w:rPr>
        <w:fldChar w:fldCharType="separate"/>
      </w:r>
      <w:r w:rsidR="005B5FD6">
        <w:rPr>
          <w:noProof/>
          <w:color w:val="000000"/>
          <w:szCs w:val="22"/>
          <w:lang w:val="en-AU"/>
        </w:rPr>
        <w:t>188</w:t>
      </w:r>
      <w:r w:rsidRPr="00370E70">
        <w:rPr>
          <w:color w:val="000000"/>
          <w:szCs w:val="22"/>
          <w:lang w:val="en-AU"/>
        </w:rPr>
        <w:fldChar w:fldCharType="end"/>
      </w:r>
      <w:bookmarkEnd w:id="847"/>
      <w:r w:rsidRPr="00370E70">
        <w:rPr>
          <w:rStyle w:val="StyleCaptionCaptionCharCharLatinCalibri11ptBlackChar"/>
          <w:lang w:val="en-AU"/>
        </w:rPr>
        <w:t xml:space="preserve">. </w:t>
      </w:r>
      <w:r w:rsidRPr="00370E70">
        <w:rPr>
          <w:i/>
          <w:color w:val="000000"/>
          <w:szCs w:val="22"/>
          <w:lang w:val="en-AU"/>
        </w:rPr>
        <w:t>Summary of GBR MMP inshore seagrass state illustrating abundance of foundation / colonising species, and seed banks from 2005 to 2012.</w:t>
      </w:r>
      <w:bookmarkEnd w:id="848"/>
      <w:r w:rsidRPr="00370E70">
        <w:rPr>
          <w:i/>
          <w:color w:val="000000"/>
          <w:szCs w:val="22"/>
          <w:lang w:val="en-AU"/>
        </w:rPr>
        <w:t xml:space="preserve"> </w:t>
      </w:r>
    </w:p>
    <w:p w:rsidR="002A062E" w:rsidRPr="00370E70" w:rsidRDefault="00713D6C" w:rsidP="00713D6C">
      <w:pPr>
        <w:autoSpaceDE w:val="0"/>
        <w:autoSpaceDN w:val="0"/>
        <w:adjustRightInd w:val="0"/>
        <w:rPr>
          <w:rFonts w:cs="TimesNewRoman"/>
          <w:color w:val="000000"/>
          <w:szCs w:val="22"/>
        </w:rPr>
      </w:pPr>
      <w:r w:rsidRPr="00370E70">
        <w:rPr>
          <w:rFonts w:cs="TimesNewRoman"/>
          <w:color w:val="000000"/>
          <w:szCs w:val="22"/>
        </w:rPr>
        <w:lastRenderedPageBreak/>
        <w:t xml:space="preserve">Following the </w:t>
      </w:r>
      <w:r w:rsidR="004D0FF8" w:rsidRPr="00370E70">
        <w:rPr>
          <w:rFonts w:cs="TimesNewRoman"/>
          <w:color w:val="000000"/>
          <w:szCs w:val="22"/>
        </w:rPr>
        <w:t xml:space="preserve">extreme weather events of early 2011, seagrass habitats across the GBR </w:t>
      </w:r>
      <w:r w:rsidRPr="00370E70">
        <w:rPr>
          <w:rFonts w:cs="TimesNewRoman"/>
          <w:color w:val="000000"/>
          <w:szCs w:val="22"/>
        </w:rPr>
        <w:t xml:space="preserve">further </w:t>
      </w:r>
      <w:r w:rsidR="004D0FF8" w:rsidRPr="00370E70">
        <w:rPr>
          <w:rFonts w:cs="TimesNewRoman"/>
          <w:color w:val="000000"/>
          <w:szCs w:val="22"/>
        </w:rPr>
        <w:t xml:space="preserve">declined, with severe losses reported from the Wet Tropics, Burdekin, Mackay Whitsunday and Burnett Mary regions. By late 2011, the onset of seagrass recovery was observed across </w:t>
      </w:r>
      <w:r w:rsidRPr="00370E70">
        <w:rPr>
          <w:rFonts w:cs="TimesNewRoman"/>
          <w:color w:val="000000"/>
          <w:szCs w:val="22"/>
        </w:rPr>
        <w:t>some</w:t>
      </w:r>
      <w:r w:rsidR="004D0FF8" w:rsidRPr="00370E70">
        <w:rPr>
          <w:rFonts w:cs="TimesNewRoman"/>
          <w:color w:val="000000"/>
          <w:szCs w:val="22"/>
        </w:rPr>
        <w:t xml:space="preserve"> regions, however a state change had occurred and colonising species dominated many habitats.  By 2012, recovery was protracted</w:t>
      </w:r>
      <w:r w:rsidR="002A062E" w:rsidRPr="00370E70">
        <w:rPr>
          <w:rFonts w:cs="TimesNewRoman"/>
          <w:color w:val="000000"/>
          <w:szCs w:val="22"/>
        </w:rPr>
        <w:t xml:space="preserve"> and </w:t>
      </w:r>
      <w:r w:rsidR="004D0FF8" w:rsidRPr="00370E70">
        <w:rPr>
          <w:rFonts w:cs="TimesNewRoman"/>
          <w:color w:val="000000"/>
          <w:szCs w:val="22"/>
        </w:rPr>
        <w:t xml:space="preserve">a few locations </w:t>
      </w:r>
      <w:r w:rsidR="002A062E" w:rsidRPr="00370E70">
        <w:rPr>
          <w:rFonts w:cs="TimesNewRoman"/>
          <w:color w:val="000000"/>
          <w:szCs w:val="22"/>
        </w:rPr>
        <w:t>showed</w:t>
      </w:r>
      <w:r w:rsidR="004D0FF8" w:rsidRPr="00370E70">
        <w:rPr>
          <w:rFonts w:cs="TimesNewRoman"/>
          <w:color w:val="000000"/>
          <w:szCs w:val="22"/>
        </w:rPr>
        <w:t xml:space="preserve"> little if any signs of recovery</w:t>
      </w:r>
      <w:r w:rsidR="002A062E" w:rsidRPr="00370E70">
        <w:rPr>
          <w:rFonts w:cs="TimesNewRoman"/>
          <w:color w:val="000000"/>
          <w:szCs w:val="22"/>
        </w:rPr>
        <w:t>; particularly those severely impacted by TC Yasi. The report card (index</w:t>
      </w:r>
      <w:r w:rsidR="00E53BA1" w:rsidRPr="00370E70">
        <w:rPr>
          <w:rFonts w:cs="TimesNewRoman"/>
          <w:color w:val="000000"/>
          <w:szCs w:val="22"/>
        </w:rPr>
        <w:t xml:space="preserve"> score</w:t>
      </w:r>
      <w:r w:rsidR="002A062E" w:rsidRPr="00370E70">
        <w:rPr>
          <w:rFonts w:cs="TimesNewRoman"/>
          <w:color w:val="000000"/>
          <w:szCs w:val="22"/>
        </w:rPr>
        <w:t xml:space="preserve">) for GBR inshore seagrass </w:t>
      </w:r>
      <w:r w:rsidR="00E53BA1" w:rsidRPr="00370E70">
        <w:rPr>
          <w:rFonts w:cs="TimesNewRoman"/>
          <w:color w:val="000000"/>
          <w:szCs w:val="22"/>
        </w:rPr>
        <w:t xml:space="preserve">in </w:t>
      </w:r>
      <w:r w:rsidR="002A062E" w:rsidRPr="00370E70">
        <w:rPr>
          <w:rFonts w:cs="TimesNewRoman"/>
          <w:color w:val="000000"/>
          <w:szCs w:val="22"/>
        </w:rPr>
        <w:t xml:space="preserve">2011/12 was very poor, </w:t>
      </w:r>
      <w:r w:rsidR="00E53BA1" w:rsidRPr="00370E70">
        <w:rPr>
          <w:rFonts w:cs="TimesNewRoman"/>
          <w:color w:val="000000"/>
          <w:szCs w:val="22"/>
        </w:rPr>
        <w:t xml:space="preserve">the </w:t>
      </w:r>
      <w:r w:rsidR="002A062E" w:rsidRPr="00370E70">
        <w:rPr>
          <w:rFonts w:cs="TimesNewRoman"/>
          <w:color w:val="000000"/>
          <w:szCs w:val="22"/>
        </w:rPr>
        <w:t xml:space="preserve">lowest since </w:t>
      </w:r>
      <w:r w:rsidR="00E53BA1" w:rsidRPr="00370E70">
        <w:rPr>
          <w:rFonts w:cs="TimesNewRoman"/>
          <w:color w:val="000000"/>
          <w:szCs w:val="22"/>
        </w:rPr>
        <w:t xml:space="preserve">the </w:t>
      </w:r>
      <w:r w:rsidR="002A062E" w:rsidRPr="00370E70">
        <w:rPr>
          <w:rFonts w:cs="TimesNewRoman"/>
          <w:color w:val="000000"/>
          <w:szCs w:val="22"/>
        </w:rPr>
        <w:t xml:space="preserve">MMP </w:t>
      </w:r>
      <w:r w:rsidR="00E53BA1" w:rsidRPr="00370E70">
        <w:rPr>
          <w:rFonts w:cs="TimesNewRoman"/>
          <w:color w:val="000000"/>
          <w:szCs w:val="22"/>
        </w:rPr>
        <w:t xml:space="preserve">was </w:t>
      </w:r>
      <w:r w:rsidR="002A062E" w:rsidRPr="00370E70">
        <w:rPr>
          <w:rFonts w:cs="TimesNewRoman"/>
          <w:color w:val="000000"/>
          <w:szCs w:val="22"/>
        </w:rPr>
        <w:t>established</w:t>
      </w:r>
      <w:r w:rsidR="00E53BA1" w:rsidRPr="00370E70">
        <w:rPr>
          <w:rFonts w:cs="TimesNewRoman"/>
          <w:color w:val="000000"/>
          <w:szCs w:val="22"/>
        </w:rPr>
        <w:t>.</w:t>
      </w:r>
    </w:p>
    <w:p w:rsidR="0041715F" w:rsidRPr="00370E70" w:rsidRDefault="0041715F" w:rsidP="003940EB">
      <w:pPr>
        <w:autoSpaceDE w:val="0"/>
        <w:autoSpaceDN w:val="0"/>
        <w:adjustRightInd w:val="0"/>
        <w:rPr>
          <w:szCs w:val="22"/>
          <w:lang w:eastAsia="en-AU"/>
        </w:rPr>
      </w:pPr>
      <w:r w:rsidRPr="00370E70">
        <w:rPr>
          <w:szCs w:val="22"/>
        </w:rPr>
        <w:t xml:space="preserve">There </w:t>
      </w:r>
      <w:r w:rsidR="00AE4EFA" w:rsidRPr="00370E70">
        <w:rPr>
          <w:szCs w:val="22"/>
        </w:rPr>
        <w:t>wa</w:t>
      </w:r>
      <w:r w:rsidRPr="00370E70">
        <w:rPr>
          <w:szCs w:val="22"/>
        </w:rPr>
        <w:t xml:space="preserve">s increasing evidence </w:t>
      </w:r>
      <w:r w:rsidR="000C6754" w:rsidRPr="00370E70">
        <w:rPr>
          <w:szCs w:val="22"/>
        </w:rPr>
        <w:t xml:space="preserve">that </w:t>
      </w:r>
      <w:r w:rsidRPr="00370E70">
        <w:rPr>
          <w:szCs w:val="22"/>
        </w:rPr>
        <w:t xml:space="preserve">water quality degradation within the seagrass meadows of the </w:t>
      </w:r>
      <w:r w:rsidR="003940EB" w:rsidRPr="00370E70">
        <w:rPr>
          <w:szCs w:val="22"/>
        </w:rPr>
        <w:t xml:space="preserve">inshore </w:t>
      </w:r>
      <w:r w:rsidRPr="00370E70">
        <w:rPr>
          <w:szCs w:val="22"/>
        </w:rPr>
        <w:t xml:space="preserve">GBR </w:t>
      </w:r>
      <w:r w:rsidR="000C6754" w:rsidRPr="00370E70">
        <w:rPr>
          <w:szCs w:val="22"/>
        </w:rPr>
        <w:t>prior to the episodic disturbances of 2011 may have reduced their resilience. Light availability is one of the primary forcing factors in seagrass growth and persistence. From 2009, reduced canopy light to low and limiting light levels was reported in seagrass meadows across the GBR</w:t>
      </w:r>
      <w:r w:rsidRPr="00370E70">
        <w:rPr>
          <w:szCs w:val="22"/>
        </w:rPr>
        <w:t xml:space="preserve">, and, coincident with this, nutrients (N </w:t>
      </w:r>
      <w:r w:rsidR="003940EB" w:rsidRPr="00370E70">
        <w:rPr>
          <w:szCs w:val="22"/>
        </w:rPr>
        <w:t xml:space="preserve">and </w:t>
      </w:r>
      <w:r w:rsidRPr="00370E70">
        <w:rPr>
          <w:szCs w:val="22"/>
        </w:rPr>
        <w:t xml:space="preserve">P) increasing relative to plant requirements.  The strong correlation between seagrass </w:t>
      </w:r>
      <w:r w:rsidR="003940EB" w:rsidRPr="00370E70">
        <w:rPr>
          <w:szCs w:val="22"/>
        </w:rPr>
        <w:t>abundance</w:t>
      </w:r>
      <w:r w:rsidRPr="00370E70">
        <w:rPr>
          <w:szCs w:val="22"/>
        </w:rPr>
        <w:t xml:space="preserve"> and light availability has been demonstrated for subtidal meadows </w:t>
      </w:r>
      <w:hyperlink w:anchor="_ENREF_45" w:tooltip="Collier, 2012 #9288" w:history="1">
        <w:r w:rsidR="00964A70" w:rsidRPr="00370E70">
          <w:rPr>
            <w:szCs w:val="22"/>
          </w:rPr>
          <w:fldChar w:fldCharType="begin"/>
        </w:r>
        <w:r w:rsidR="00964A70" w:rsidRPr="00370E70">
          <w:rPr>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964A70" w:rsidRPr="00370E70">
          <w:rPr>
            <w:szCs w:val="22"/>
          </w:rPr>
          <w:fldChar w:fldCharType="separate"/>
        </w:r>
        <w:r w:rsidR="00964A70" w:rsidRPr="00370E70">
          <w:rPr>
            <w:noProof/>
            <w:szCs w:val="22"/>
          </w:rPr>
          <w:t>Collier</w:t>
        </w:r>
        <w:r w:rsidR="00964A70" w:rsidRPr="00370E70">
          <w:rPr>
            <w:i/>
            <w:noProof/>
            <w:szCs w:val="22"/>
          </w:rPr>
          <w:t>, et al.</w:t>
        </w:r>
        <w:r w:rsidR="00964A70" w:rsidRPr="00370E70">
          <w:rPr>
            <w:noProof/>
            <w:szCs w:val="22"/>
          </w:rPr>
          <w:t xml:space="preserve"> 2012b</w:t>
        </w:r>
        <w:r w:rsidR="00964A70" w:rsidRPr="00370E70">
          <w:rPr>
            <w:szCs w:val="22"/>
          </w:rPr>
          <w:fldChar w:fldCharType="end"/>
        </w:r>
      </w:hyperlink>
      <w:r w:rsidRPr="00370E70">
        <w:rPr>
          <w:szCs w:val="22"/>
        </w:rPr>
        <w:t xml:space="preserve">. In previous years (2009-2011), these reduced water quality conditions have led to unprecedented seagrass loss. </w:t>
      </w:r>
      <w:r w:rsidRPr="00370E70">
        <w:rPr>
          <w:szCs w:val="22"/>
          <w:lang w:eastAsia="en-AU"/>
        </w:rPr>
        <w:t xml:space="preserve">At intertidal sites, daily light measurements of light can be “swamped” by light during low tide. This gives the appearance that light levels are in excess of light requirements (above MLR and thresholds), and yet seagrass declines have occurred throughout the GBR at intertidal and subtidal monitoring sites. There are a number of possible explanations for this: 1. High light during low tide “light window” does not directly translate into increased photosynthetic C incorporation due to reduced photosynthetic efficiency at very high light and C-limitation. There is a strong need to quantify the usable light range and the effect of widely fluctuating light levels of photosynthetic efficiency; 2. Synergistic environmental impacts of the low tide environment increase their vulnerability to more moderate levels of light stress. </w:t>
      </w:r>
    </w:p>
    <w:p w:rsidR="0041715F" w:rsidRPr="00370E70" w:rsidRDefault="0041715F" w:rsidP="003940EB">
      <w:pPr>
        <w:autoSpaceDE w:val="0"/>
        <w:autoSpaceDN w:val="0"/>
        <w:adjustRightInd w:val="0"/>
        <w:rPr>
          <w:szCs w:val="22"/>
        </w:rPr>
      </w:pPr>
      <w:r w:rsidRPr="00370E70">
        <w:rPr>
          <w:szCs w:val="22"/>
        </w:rPr>
        <w:t xml:space="preserve">Water quality variables (e.g. turbidity, chlorophyll a and CDOM) are the primary light attenuating factors and knowing the cause of low light conditions enables targeted management to reduce impacts on seagrass meadows. However, seagrasses can survive in high turbidity sites, by being restricted to shallow areas where light reaches the canopy during low tide. Therefore, direct water quality measures and light are complimentary indicators, each with their own benefits to the interpretation of monitoring data, and management of water quality impacts. Direct measurement of water quality variables is not currently and routinely incorporated into the program for seagrass sites. </w:t>
      </w:r>
    </w:p>
    <w:p w:rsidR="0041715F" w:rsidRPr="00370E70" w:rsidRDefault="0041715F" w:rsidP="003940EB">
      <w:pPr>
        <w:autoSpaceDE w:val="0"/>
        <w:autoSpaceDN w:val="0"/>
        <w:adjustRightInd w:val="0"/>
        <w:rPr>
          <w:szCs w:val="22"/>
        </w:rPr>
      </w:pPr>
      <w:r w:rsidRPr="00370E70">
        <w:rPr>
          <w:szCs w:val="22"/>
        </w:rPr>
        <w:t xml:space="preserve">In the current reporting year, light availability has improved relative to previous years at a number of sites. Turbidity was also reduced at the two seagrass sites where turbidity was measured. Runoff has also reduced over this period, and this has likely reduced sediment loads and suspended sediment concentrations. However turbidity can be influenced by a number of factors, including wind and tide-driven resuspension of sediments </w:t>
      </w:r>
      <w:hyperlink w:anchor="_ENREF_75" w:tooltip="Fabricius, 2012 #1027" w:history="1">
        <w:r w:rsidR="00964A70" w:rsidRPr="00370E70">
          <w:rPr>
            <w:szCs w:val="22"/>
          </w:rPr>
          <w:fldChar w:fldCharType="begin"/>
        </w:r>
        <w:r w:rsidR="00964A70" w:rsidRPr="00370E70">
          <w:rPr>
            <w:szCs w:val="22"/>
          </w:rPr>
          <w:instrText xml:space="preserve"> ADDIN EN.CITE &lt;EndNote&gt;&lt;Cite&gt;&lt;Author&gt;Fabricius&lt;/Author&gt;&lt;Year&gt;2012&lt;/Year&gt;&lt;RecNum&gt;1027&lt;/RecNum&gt;&lt;DisplayText&gt;Fabricius&lt;style face="italic"&gt;, et al.&lt;/style&gt; 2012b&lt;/DisplayText&gt;&lt;record&gt;&lt;rec-number&gt;1027&lt;/rec-number&gt;&lt;foreign-keys&gt;&lt;key app="EN" db-id="xp95r2wt4pwtpyeavf5vadf4pa05f0ae5f0d"&gt;1027&lt;/key&gt;&lt;/foreign-keys&gt;&lt;ref-type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Science&lt;/full-title&gt;&lt;/periodical&gt;&lt;pages&gt;458-470&lt;/pages&gt;&lt;volume&gt;3&lt;/volume&gt;&lt;number&gt;1&lt;/number&gt;&lt;dates&gt;&lt;year&gt;2012&lt;/year&gt;&lt;/dates&gt;&lt;urls&gt;&lt;/urls&gt;&lt;/record&gt;&lt;/Cite&gt;&lt;/EndNote&gt;</w:instrText>
        </w:r>
        <w:r w:rsidR="00964A70" w:rsidRPr="00370E70">
          <w:rPr>
            <w:szCs w:val="22"/>
          </w:rPr>
          <w:fldChar w:fldCharType="separate"/>
        </w:r>
        <w:r w:rsidR="00964A70" w:rsidRPr="00370E70">
          <w:rPr>
            <w:noProof/>
            <w:szCs w:val="22"/>
          </w:rPr>
          <w:t>Fabricius</w:t>
        </w:r>
        <w:r w:rsidR="00964A70" w:rsidRPr="00370E70">
          <w:rPr>
            <w:i/>
            <w:noProof/>
            <w:szCs w:val="22"/>
          </w:rPr>
          <w:t>, et al.</w:t>
        </w:r>
        <w:r w:rsidR="00964A70" w:rsidRPr="00370E70">
          <w:rPr>
            <w:noProof/>
            <w:szCs w:val="22"/>
          </w:rPr>
          <w:t xml:space="preserve"> 2012b</w:t>
        </w:r>
        <w:r w:rsidR="00964A70" w:rsidRPr="00370E70">
          <w:rPr>
            <w:szCs w:val="22"/>
          </w:rPr>
          <w:fldChar w:fldCharType="end"/>
        </w:r>
      </w:hyperlink>
      <w:r w:rsidRPr="00370E70">
        <w:rPr>
          <w:szCs w:val="22"/>
        </w:rPr>
        <w:t xml:space="preserve">.  </w:t>
      </w:r>
    </w:p>
    <w:p w:rsidR="0041715F" w:rsidRPr="00370E70" w:rsidRDefault="0041715F" w:rsidP="003940EB">
      <w:pPr>
        <w:autoSpaceDE w:val="0"/>
        <w:autoSpaceDN w:val="0"/>
        <w:adjustRightInd w:val="0"/>
        <w:rPr>
          <w:szCs w:val="22"/>
        </w:rPr>
      </w:pPr>
      <w:r w:rsidRPr="00370E70">
        <w:rPr>
          <w:szCs w:val="22"/>
        </w:rPr>
        <w:t xml:space="preserve">Coincident with improved light availability at most sites, has been some seagrass recovery. However, recovery did not occur at all sites. Even though light is higher, it is possible that light levels have not improved sufficiently to allow for increases in seagrass abundance (i.e. recovery thresholds higher than impact thresholds). There may also be other associated impacts, such as elevated nutrient concentrations, for which there is evidence at many sites. </w:t>
      </w:r>
    </w:p>
    <w:p w:rsidR="0041715F" w:rsidRPr="00370E70" w:rsidRDefault="0041715F" w:rsidP="003940EB">
      <w:pPr>
        <w:autoSpaceDE w:val="0"/>
        <w:autoSpaceDN w:val="0"/>
        <w:adjustRightInd w:val="0"/>
        <w:rPr>
          <w:szCs w:val="22"/>
        </w:rPr>
      </w:pPr>
      <w:r w:rsidRPr="00370E70">
        <w:rPr>
          <w:szCs w:val="22"/>
        </w:rPr>
        <w:t>This monitoring program includes indicators that represent various stages of impact</w:t>
      </w:r>
      <w:r w:rsidR="003940EB" w:rsidRPr="00370E70">
        <w:rPr>
          <w:szCs w:val="22"/>
        </w:rPr>
        <w:t>/stress</w:t>
      </w:r>
      <w:r w:rsidRPr="00370E70">
        <w:rPr>
          <w:szCs w:val="22"/>
        </w:rPr>
        <w:t>, including early warning indicators (tissue nutrients) through to advanced levels of impact (changes in meadow area, or localised loss)</w:t>
      </w:r>
      <w:r w:rsidR="003940EB" w:rsidRPr="00370E70">
        <w:rPr>
          <w:szCs w:val="22"/>
        </w:rPr>
        <w:t xml:space="preserve"> (</w:t>
      </w:r>
      <w:r w:rsidR="003940EB" w:rsidRPr="00370E70">
        <w:rPr>
          <w:szCs w:val="22"/>
        </w:rPr>
        <w:fldChar w:fldCharType="begin"/>
      </w:r>
      <w:r w:rsidR="003940EB" w:rsidRPr="00370E70">
        <w:rPr>
          <w:szCs w:val="22"/>
        </w:rPr>
        <w:instrText xml:space="preserve"> REF _Ref354906016 \h  \* MERGEFORMAT </w:instrText>
      </w:r>
      <w:r w:rsidR="003940EB" w:rsidRPr="00370E70">
        <w:rPr>
          <w:szCs w:val="22"/>
        </w:rPr>
      </w:r>
      <w:r w:rsidR="003940EB" w:rsidRPr="00370E70">
        <w:rPr>
          <w:szCs w:val="22"/>
        </w:rPr>
        <w:fldChar w:fldCharType="separate"/>
      </w:r>
      <w:r w:rsidR="005B5FD6" w:rsidRPr="005B5FD6">
        <w:rPr>
          <w:szCs w:val="22"/>
        </w:rPr>
        <w:t xml:space="preserve">Figure </w:t>
      </w:r>
      <w:r w:rsidR="005B5FD6" w:rsidRPr="005B5FD6">
        <w:rPr>
          <w:noProof/>
          <w:szCs w:val="22"/>
        </w:rPr>
        <w:t>189</w:t>
      </w:r>
      <w:r w:rsidR="003940EB" w:rsidRPr="00370E70">
        <w:rPr>
          <w:szCs w:val="22"/>
        </w:rPr>
        <w:fldChar w:fldCharType="end"/>
      </w:r>
      <w:r w:rsidR="003940EB" w:rsidRPr="00370E70">
        <w:rPr>
          <w:szCs w:val="22"/>
        </w:rPr>
        <w:t>)</w:t>
      </w:r>
      <w:r w:rsidRPr="00370E70">
        <w:rPr>
          <w:szCs w:val="22"/>
        </w:rPr>
        <w:t xml:space="preserve">. </w:t>
      </w:r>
    </w:p>
    <w:p w:rsidR="00161A0F" w:rsidRPr="00370E70" w:rsidRDefault="007B15AB" w:rsidP="00561115">
      <w:pPr>
        <w:autoSpaceDE w:val="0"/>
        <w:autoSpaceDN w:val="0"/>
        <w:adjustRightInd w:val="0"/>
        <w:spacing w:before="0" w:after="0"/>
        <w:jc w:val="center"/>
        <w:rPr>
          <w:color w:val="000000"/>
          <w:szCs w:val="22"/>
        </w:rPr>
      </w:pPr>
      <w:r>
        <w:rPr>
          <w:noProof/>
          <w:color w:val="000000"/>
          <w:szCs w:val="22"/>
          <w:lang w:eastAsia="en-AU"/>
        </w:rPr>
        <w:lastRenderedPageBreak/>
        <w:drawing>
          <wp:inline distT="0" distB="0" distL="0" distR="0">
            <wp:extent cx="4314190" cy="3284220"/>
            <wp:effectExtent l="0" t="0" r="0" b="0"/>
            <wp:docPr id="242" name="Picture 242" descr="Illustraion showing seagrass stress response model outlining the sequence of changes that occur in response to increasing st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Illustraion showing seagrass stress response model outlining the sequence of changes that occur in response to increasing stress."/>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4314190" cy="3284220"/>
                    </a:xfrm>
                    <a:prstGeom prst="rect">
                      <a:avLst/>
                    </a:prstGeom>
                    <a:noFill/>
                    <a:ln>
                      <a:noFill/>
                    </a:ln>
                  </pic:spPr>
                </pic:pic>
              </a:graphicData>
            </a:graphic>
          </wp:inline>
        </w:drawing>
      </w:r>
    </w:p>
    <w:p w:rsidR="00A91077" w:rsidRPr="00370E70" w:rsidRDefault="003940EB" w:rsidP="00A91077">
      <w:pPr>
        <w:pStyle w:val="Caption"/>
        <w:rPr>
          <w:i/>
          <w:vanish/>
          <w:color w:val="000000"/>
          <w:szCs w:val="22"/>
          <w:lang w:val="en-AU"/>
          <w:specVanish/>
        </w:rPr>
      </w:pPr>
      <w:bookmarkStart w:id="849" w:name="_Ref354906016"/>
      <w:bookmarkStart w:id="850" w:name="_Toc384196536"/>
      <w:r w:rsidRPr="00370E70">
        <w:rPr>
          <w:rStyle w:val="StyleCaptionCaptionCharCharLatinCalibri11ptBlackChar"/>
          <w:lang w:val="en-AU"/>
        </w:rPr>
        <w:t xml:space="preserve">Figure </w:t>
      </w:r>
      <w:r w:rsidRPr="00370E70">
        <w:rPr>
          <w:lang w:val="en-AU"/>
        </w:rPr>
        <w:fldChar w:fldCharType="begin"/>
      </w:r>
      <w:r w:rsidRPr="00370E70">
        <w:rPr>
          <w:lang w:val="en-AU"/>
        </w:rPr>
        <w:instrText xml:space="preserve"> SEQ Figure \* ARABIC </w:instrText>
      </w:r>
      <w:r w:rsidRPr="00370E70">
        <w:rPr>
          <w:lang w:val="en-AU"/>
        </w:rPr>
        <w:fldChar w:fldCharType="separate"/>
      </w:r>
      <w:r w:rsidR="005B5FD6">
        <w:rPr>
          <w:noProof/>
          <w:lang w:val="en-AU"/>
        </w:rPr>
        <w:t>189</w:t>
      </w:r>
      <w:r w:rsidRPr="00370E70">
        <w:rPr>
          <w:lang w:val="en-AU"/>
        </w:rPr>
        <w:fldChar w:fldCharType="end"/>
      </w:r>
      <w:bookmarkEnd w:id="849"/>
      <w:r w:rsidRPr="00370E70">
        <w:rPr>
          <w:rStyle w:val="StyleCaptionCaptionCharCharLatinCalibri11ptBlackChar"/>
          <w:lang w:val="en-AU"/>
        </w:rPr>
        <w:t xml:space="preserve">. </w:t>
      </w:r>
      <w:r w:rsidR="003C205B" w:rsidRPr="00370E70">
        <w:rPr>
          <w:i/>
          <w:lang w:val="en-AU"/>
        </w:rPr>
        <w:t>Seagrass stress response model outlining the sequence of changes that occur in response to increasing stress.</w:t>
      </w:r>
      <w:bookmarkEnd w:id="850"/>
      <w:r w:rsidR="003C205B" w:rsidRPr="00370E70">
        <w:rPr>
          <w:i/>
          <w:lang w:val="en-AU"/>
        </w:rPr>
        <w:t xml:space="preserve"> </w:t>
      </w:r>
    </w:p>
    <w:p w:rsidR="00A91077" w:rsidRPr="00370E70" w:rsidRDefault="003C205B" w:rsidP="00A91077">
      <w:pPr>
        <w:pStyle w:val="Caption"/>
        <w:rPr>
          <w:lang w:val="en-AU"/>
        </w:rPr>
      </w:pPr>
      <w:r w:rsidRPr="00370E70">
        <w:rPr>
          <w:i/>
          <w:lang w:val="en-AU"/>
        </w:rPr>
        <w:t>Adapted from Waycott and McKenzie (2010)</w:t>
      </w:r>
      <w:r w:rsidR="00A91077" w:rsidRPr="00370E70">
        <w:rPr>
          <w:i/>
          <w:lang w:val="en-AU"/>
        </w:rPr>
        <w:t>.</w:t>
      </w:r>
      <w:r w:rsidR="00A91077" w:rsidRPr="00370E70">
        <w:rPr>
          <w:lang w:val="en-AU"/>
        </w:rPr>
        <w:t xml:space="preserve"> </w:t>
      </w:r>
    </w:p>
    <w:p w:rsidR="003C205B" w:rsidRPr="00370E70" w:rsidRDefault="003C205B" w:rsidP="003C205B">
      <w:pPr>
        <w:autoSpaceDE w:val="0"/>
        <w:autoSpaceDN w:val="0"/>
        <w:adjustRightInd w:val="0"/>
        <w:rPr>
          <w:color w:val="000000"/>
          <w:szCs w:val="22"/>
        </w:rPr>
      </w:pPr>
      <w:r w:rsidRPr="00370E70">
        <w:rPr>
          <w:szCs w:val="22"/>
        </w:rPr>
        <w:t>Results to date from the MMP have demonstrated a cascade of seagrass population responses to stressors analogous to the stress response model</w:t>
      </w:r>
      <w:bookmarkStart w:id="851" w:name="_Ref271623063"/>
      <w:r w:rsidRPr="00370E70">
        <w:rPr>
          <w:szCs w:val="22"/>
        </w:rPr>
        <w:t xml:space="preserve">, including: leaf tissue N and P increasing above global average in all habitats since 2006 and 2010 respectively, and in surplus to C, have indicated N enrichment;  variable but declining reproductive effort and seed banks </w:t>
      </w:r>
      <w:r w:rsidRPr="00370E70">
        <w:rPr>
          <w:color w:val="000000"/>
          <w:szCs w:val="22"/>
        </w:rPr>
        <w:t>indicating low capacity to recover from loss</w:t>
      </w:r>
      <w:r w:rsidR="003B7ECD" w:rsidRPr="00370E70">
        <w:rPr>
          <w:color w:val="000000"/>
          <w:szCs w:val="22"/>
        </w:rPr>
        <w:t xml:space="preserve">; </w:t>
      </w:r>
      <w:r w:rsidRPr="00370E70">
        <w:rPr>
          <w:color w:val="000000"/>
          <w:szCs w:val="22"/>
        </w:rPr>
        <w:t xml:space="preserve">decreasing abundance </w:t>
      </w:r>
      <w:r w:rsidR="003B7ECD" w:rsidRPr="00370E70">
        <w:rPr>
          <w:color w:val="000000"/>
          <w:szCs w:val="22"/>
        </w:rPr>
        <w:t>and extent since 2009, reaching minimum in early 2011; change population state with foundation species replaced by colonising.</w:t>
      </w:r>
    </w:p>
    <w:p w:rsidR="00DF4B77" w:rsidRPr="00370E70" w:rsidRDefault="00DF4B77" w:rsidP="00DF4B77">
      <w:pPr>
        <w:autoSpaceDE w:val="0"/>
        <w:autoSpaceDN w:val="0"/>
        <w:adjustRightInd w:val="0"/>
        <w:rPr>
          <w:szCs w:val="22"/>
        </w:rPr>
      </w:pPr>
      <w:r w:rsidRPr="00370E70">
        <w:rPr>
          <w:szCs w:val="22"/>
        </w:rPr>
        <w:t>The substantial loss of inshore seagrass of the GBR from reduced water quality, as a result of floods and cyclones, has had significant flow-on effects to the dugong and green turtle populations which are highly dependent on the local seagrass meadows which provide their primary food supply (Preen et al. 1995; Preen and Marsh 1995). Malnutrition is known to make the animals prone to disease and other mortality factors. As a consequence of the widespread loss of seagrass along the east coast of Queensland in early 2011, stranding rates of turtles and dugong increased during that year across the GBR (581 and 101 individuals respectively; data courtesy StrandNet, accessed 17 January 2013). These were the highest mortality rates since records commenced in 1998. Unfortunately, the trend of increased turtle and dugong mortality rates is likely to continue until the coastal seagrass meadows have recovered</w:t>
      </w:r>
      <w:r w:rsidR="004D68DB" w:rsidRPr="00370E70">
        <w:rPr>
          <w:szCs w:val="22"/>
        </w:rPr>
        <w:t xml:space="preserve"> (or turtle and dugong populations decline to a sustainable level)</w:t>
      </w:r>
      <w:r w:rsidRPr="00370E70">
        <w:rPr>
          <w:szCs w:val="22"/>
        </w:rPr>
        <w:t xml:space="preserve">. The flow-on effects of seagrass loss to other associated fauna or fisheries is less obvious in subtropical and tropical systems, as it may not immediately manifest or cause community shifts rather than losses. For example, declines in one species of penaeid prawn from seagrass loss were balanced by an increase in another species of penaeid prawn or finfish (Connolly et al. 1999). The consequences of seagrass loss are not only limited to associated fauna, but as environmental engineers, declines in seagrass can have broader consequences related to coastal processes, such as carbon capture and nutrient dynamics, sediment stabilisation, and habitat connectivity (Waycott et al. 2007). </w:t>
      </w:r>
    </w:p>
    <w:p w:rsidR="00DF4B77" w:rsidRPr="00370E70" w:rsidRDefault="00DF4B77" w:rsidP="00DF4B77">
      <w:pPr>
        <w:rPr>
          <w:color w:val="000000"/>
          <w:szCs w:val="22"/>
        </w:rPr>
      </w:pPr>
      <w:r w:rsidRPr="00370E70">
        <w:rPr>
          <w:color w:val="000000"/>
          <w:szCs w:val="22"/>
        </w:rPr>
        <w:t>Recovery of seagrass populations from such declines may take many years and there are a number of factors that will facilitate recovery, including seed banks, connectivity and improvement in environmental conditions such as light available for photosynthesis. It was estimated that recovery of meadows may be slow(&gt;5 years) in the southern Wet Tropics, moderate (2-5 years) in the Burdekin and fair (1-3 years) in the Fitzroy regions (McKenzie et al 2012).</w:t>
      </w:r>
    </w:p>
    <w:p w:rsidR="000C6754" w:rsidRPr="00370E70" w:rsidRDefault="00166850" w:rsidP="00DF4B77">
      <w:pPr>
        <w:autoSpaceDE w:val="0"/>
        <w:autoSpaceDN w:val="0"/>
        <w:adjustRightInd w:val="0"/>
        <w:rPr>
          <w:szCs w:val="22"/>
        </w:rPr>
      </w:pPr>
      <w:r w:rsidRPr="00370E70">
        <w:rPr>
          <w:szCs w:val="22"/>
        </w:rPr>
        <w:lastRenderedPageBreak/>
        <w:t>The capacity of seagrass meadows to naturally recover community structure following disturbance will involve the interaction between light availability, nutrient loads and the availability of seeds to form the foundation of new populations. At present, the improving light availability across GBR habitats and region would be advantageous to the recovery potential of GBR seagrass meadows</w:t>
      </w:r>
      <w:r w:rsidR="00023A10" w:rsidRPr="00370E70">
        <w:rPr>
          <w:szCs w:val="22"/>
        </w:rPr>
        <w:t>. H</w:t>
      </w:r>
      <w:r w:rsidRPr="00370E70">
        <w:rPr>
          <w:szCs w:val="22"/>
        </w:rPr>
        <w:t>owever</w:t>
      </w:r>
      <w:r w:rsidR="00023A10" w:rsidRPr="00370E70">
        <w:rPr>
          <w:szCs w:val="22"/>
        </w:rPr>
        <w:t>,</w:t>
      </w:r>
      <w:r w:rsidRPr="00370E70">
        <w:rPr>
          <w:szCs w:val="22"/>
        </w:rPr>
        <w:t xml:space="preserve"> </w:t>
      </w:r>
      <w:r w:rsidR="00023A10" w:rsidRPr="00370E70">
        <w:rPr>
          <w:szCs w:val="22"/>
        </w:rPr>
        <w:t>elevated N may increase epiphyte and macroalgae abundance</w:t>
      </w:r>
      <w:r w:rsidR="004D68DB" w:rsidRPr="00370E70">
        <w:rPr>
          <w:szCs w:val="22"/>
        </w:rPr>
        <w:t xml:space="preserve"> in the near future</w:t>
      </w:r>
      <w:r w:rsidR="00023A10" w:rsidRPr="00370E70">
        <w:rPr>
          <w:szCs w:val="22"/>
        </w:rPr>
        <w:t>, which could compromise the light available for photosynthesis and in turn reduce plant survival and capacity to produce a viable seed bank (van Katwijk et al. 2010). This may in turn leave the meadows vulnerable to further environmental perturbations from which some may then fail to recover after loss.</w:t>
      </w:r>
    </w:p>
    <w:bookmarkEnd w:id="843"/>
    <w:bookmarkEnd w:id="844"/>
    <w:bookmarkEnd w:id="845"/>
    <w:bookmarkEnd w:id="846"/>
    <w:bookmarkEnd w:id="851"/>
    <w:p w:rsidR="005132EF" w:rsidRPr="00370E70" w:rsidRDefault="005132EF" w:rsidP="00034AD4">
      <w:pPr>
        <w:pStyle w:val="Heading1"/>
        <w:pageBreakBefore w:val="0"/>
        <w:rPr>
          <w:rFonts w:ascii="Century Gothic" w:hAnsi="Century Gothic"/>
          <w:color w:val="000000"/>
        </w:rPr>
      </w:pPr>
      <w:r w:rsidRPr="00370E70">
        <w:rPr>
          <w:color w:val="000080"/>
        </w:rPr>
        <w:br w:type="page"/>
      </w:r>
      <w:bookmarkStart w:id="852" w:name="_Toc232845952"/>
      <w:bookmarkStart w:id="853" w:name="_Toc184102053"/>
      <w:bookmarkStart w:id="854" w:name="_Toc384196157"/>
      <w:bookmarkStart w:id="855" w:name="_Toc170191673"/>
      <w:bookmarkStart w:id="856" w:name="_Toc175991101"/>
      <w:r w:rsidRPr="00370E70">
        <w:rPr>
          <w:rFonts w:ascii="Century Gothic" w:hAnsi="Century Gothic"/>
          <w:color w:val="000000"/>
        </w:rPr>
        <w:lastRenderedPageBreak/>
        <w:t>6. References</w:t>
      </w:r>
      <w:bookmarkEnd w:id="852"/>
      <w:bookmarkEnd w:id="853"/>
      <w:bookmarkEnd w:id="854"/>
    </w:p>
    <w:bookmarkEnd w:id="855"/>
    <w:bookmarkEnd w:id="856"/>
    <w:p w:rsidR="00964A70" w:rsidRPr="003C440C" w:rsidRDefault="004B2E2C" w:rsidP="00964A70">
      <w:pPr>
        <w:pStyle w:val="References"/>
        <w:spacing w:after="0"/>
        <w:ind w:left="720" w:hanging="720"/>
        <w:rPr>
          <w:noProof/>
          <w:color w:val="000000"/>
        </w:rPr>
      </w:pPr>
      <w:r w:rsidRPr="00244339">
        <w:rPr>
          <w:rFonts w:cs="TimesNewRoman"/>
          <w:color w:val="000000"/>
        </w:rPr>
        <w:fldChar w:fldCharType="begin"/>
      </w:r>
      <w:r w:rsidRPr="00244339">
        <w:rPr>
          <w:rFonts w:cs="TimesNewRoman"/>
          <w:color w:val="000000"/>
        </w:rPr>
        <w:instrText xml:space="preserve"> ADDIN EN.REFLIST </w:instrText>
      </w:r>
      <w:r w:rsidRPr="00244339">
        <w:rPr>
          <w:rFonts w:cs="TimesNewRoman"/>
          <w:color w:val="000000"/>
        </w:rPr>
        <w:fldChar w:fldCharType="separate"/>
      </w:r>
      <w:bookmarkStart w:id="857" w:name="_ENREF_1"/>
      <w:r w:rsidR="00964A70" w:rsidRPr="003C440C">
        <w:rPr>
          <w:noProof/>
          <w:color w:val="000000"/>
        </w:rPr>
        <w:t xml:space="preserve">Abal, E.G., and Dennison, W.C. 1996, Seagrass depth range and water quality in southern Moreton Bay, Queensland, Australia. </w:t>
      </w:r>
      <w:r w:rsidR="00964A70" w:rsidRPr="003C440C">
        <w:rPr>
          <w:i/>
          <w:noProof/>
          <w:color w:val="000000"/>
        </w:rPr>
        <w:t>Marine and Freshwater Research, 47</w:t>
      </w:r>
      <w:r w:rsidR="00964A70" w:rsidRPr="003C440C">
        <w:rPr>
          <w:noProof/>
          <w:color w:val="000000"/>
        </w:rPr>
        <w:t xml:space="preserve">(6), 763-771. </w:t>
      </w:r>
      <w:bookmarkEnd w:id="857"/>
    </w:p>
    <w:p w:rsidR="00964A70" w:rsidRPr="003C440C" w:rsidRDefault="00964A70" w:rsidP="00964A70">
      <w:pPr>
        <w:pStyle w:val="References"/>
        <w:spacing w:after="0"/>
        <w:ind w:left="720" w:hanging="720"/>
        <w:rPr>
          <w:noProof/>
          <w:color w:val="000000"/>
        </w:rPr>
      </w:pPr>
      <w:bookmarkStart w:id="858" w:name="_ENREF_2"/>
      <w:r w:rsidRPr="003C440C">
        <w:rPr>
          <w:noProof/>
          <w:color w:val="000000"/>
        </w:rPr>
        <w:t xml:space="preserve">Abal, E.G., Dennison, W.C., and Greenfield, P.F. 2001, Managing the Brisbane River and Moreton Bay: An integrated research/management program to reduce impacts on an Australian estuary. </w:t>
      </w:r>
      <w:r w:rsidRPr="003C440C">
        <w:rPr>
          <w:i/>
          <w:noProof/>
          <w:color w:val="000000"/>
        </w:rPr>
        <w:t>Water Science and Technology, 43</w:t>
      </w:r>
      <w:r w:rsidRPr="003C440C">
        <w:rPr>
          <w:noProof/>
          <w:color w:val="000000"/>
        </w:rPr>
        <w:t xml:space="preserve">, 57-70. </w:t>
      </w:r>
      <w:bookmarkEnd w:id="858"/>
    </w:p>
    <w:p w:rsidR="00964A70" w:rsidRPr="003C440C" w:rsidRDefault="00964A70" w:rsidP="00964A70">
      <w:pPr>
        <w:pStyle w:val="References"/>
        <w:spacing w:after="0"/>
        <w:ind w:left="720" w:hanging="720"/>
        <w:rPr>
          <w:noProof/>
          <w:color w:val="000000"/>
        </w:rPr>
      </w:pPr>
      <w:bookmarkStart w:id="859" w:name="_ENREF_3"/>
      <w:r w:rsidRPr="003C440C">
        <w:rPr>
          <w:noProof/>
          <w:color w:val="000000"/>
        </w:rPr>
        <w:t xml:space="preserve">Abal, E.G., Loneragan, N.R., Bowen, P., Perry, C.J., Udy, J.W., and Dennison, W.C. 1994, Physiological and morphological responses of the seagrass </w:t>
      </w:r>
      <w:r w:rsidRPr="003C440C">
        <w:rPr>
          <w:i/>
          <w:noProof/>
          <w:color w:val="000000"/>
        </w:rPr>
        <w:t>Zostera capricorni</w:t>
      </w:r>
      <w:r w:rsidRPr="003C440C">
        <w:rPr>
          <w:noProof/>
          <w:color w:val="000000"/>
        </w:rPr>
        <w:t xml:space="preserve"> Aschers. to light intensity. </w:t>
      </w:r>
      <w:r w:rsidRPr="003C440C">
        <w:rPr>
          <w:i/>
          <w:noProof/>
          <w:color w:val="000000"/>
        </w:rPr>
        <w:t>Journal of Experimental Marine Biology and Ecology, 178</w:t>
      </w:r>
      <w:r w:rsidRPr="003C440C">
        <w:rPr>
          <w:noProof/>
          <w:color w:val="000000"/>
        </w:rPr>
        <w:t xml:space="preserve">(1), 113-129. </w:t>
      </w:r>
      <w:bookmarkEnd w:id="859"/>
    </w:p>
    <w:p w:rsidR="00964A70" w:rsidRPr="003C440C" w:rsidRDefault="00964A70" w:rsidP="00964A70">
      <w:pPr>
        <w:pStyle w:val="References"/>
        <w:spacing w:after="0"/>
        <w:ind w:left="720" w:hanging="720"/>
        <w:rPr>
          <w:noProof/>
          <w:color w:val="000000"/>
        </w:rPr>
      </w:pPr>
      <w:bookmarkStart w:id="860" w:name="_ENREF_4"/>
      <w:r w:rsidRPr="003C440C">
        <w:rPr>
          <w:noProof/>
          <w:color w:val="000000"/>
        </w:rPr>
        <w:t xml:space="preserve">Angelini, C., Altieri, A.H., Silliman, B.R., and Bertness, M.D. 2011, Interactions among Foundation Species and their Consequences for Community Organization, Biodiversity, and Conservation. </w:t>
      </w:r>
      <w:r w:rsidRPr="003C440C">
        <w:rPr>
          <w:i/>
          <w:noProof/>
          <w:color w:val="000000"/>
        </w:rPr>
        <w:t>BioScience, 61</w:t>
      </w:r>
      <w:r w:rsidRPr="003C440C">
        <w:rPr>
          <w:noProof/>
          <w:color w:val="000000"/>
        </w:rPr>
        <w:t xml:space="preserve">(10), 782-789. </w:t>
      </w:r>
      <w:bookmarkEnd w:id="860"/>
    </w:p>
    <w:p w:rsidR="00964A70" w:rsidRPr="003C440C" w:rsidRDefault="00964A70" w:rsidP="00964A70">
      <w:pPr>
        <w:pStyle w:val="References"/>
        <w:spacing w:after="0"/>
        <w:ind w:left="720" w:hanging="720"/>
        <w:rPr>
          <w:noProof/>
          <w:color w:val="000000"/>
        </w:rPr>
      </w:pPr>
      <w:bookmarkStart w:id="861" w:name="_ENREF_5"/>
      <w:r w:rsidRPr="003C440C">
        <w:rPr>
          <w:noProof/>
          <w:color w:val="000000"/>
        </w:rPr>
        <w:t xml:space="preserve">Anthony, K.R.N., Ridd, P.V., Orpin, A.R., Larcombe, P., and Lough, J. 2004, Temporal variation of light availability in coastal benthic habitats: effects of clouds, turbidity, and tides. </w:t>
      </w:r>
      <w:r w:rsidRPr="003C440C">
        <w:rPr>
          <w:i/>
          <w:noProof/>
          <w:color w:val="000000"/>
        </w:rPr>
        <w:t>Limnology and Oceanography, 49</w:t>
      </w:r>
      <w:r w:rsidRPr="003C440C">
        <w:rPr>
          <w:noProof/>
          <w:color w:val="000000"/>
        </w:rPr>
        <w:t xml:space="preserve">(6), 2201-2211. </w:t>
      </w:r>
      <w:bookmarkEnd w:id="861"/>
    </w:p>
    <w:p w:rsidR="00964A70" w:rsidRPr="003C440C" w:rsidRDefault="00964A70" w:rsidP="00964A70">
      <w:pPr>
        <w:pStyle w:val="References"/>
        <w:spacing w:after="0"/>
        <w:ind w:left="720" w:hanging="720"/>
        <w:rPr>
          <w:noProof/>
          <w:color w:val="000000"/>
        </w:rPr>
      </w:pPr>
      <w:bookmarkStart w:id="862" w:name="_ENREF_6"/>
      <w:r w:rsidRPr="003C440C">
        <w:rPr>
          <w:noProof/>
          <w:color w:val="000000"/>
        </w:rPr>
        <w:t xml:space="preserve">ANZECC. 2000, Australian and New Zealand guidelines for fresh and marine water quality. </w:t>
      </w:r>
      <w:bookmarkEnd w:id="862"/>
    </w:p>
    <w:p w:rsidR="00964A70" w:rsidRPr="003C440C" w:rsidRDefault="00964A70" w:rsidP="00964A70">
      <w:pPr>
        <w:pStyle w:val="References"/>
        <w:spacing w:after="0"/>
        <w:ind w:left="720" w:hanging="720"/>
        <w:rPr>
          <w:noProof/>
          <w:color w:val="000000"/>
        </w:rPr>
      </w:pPr>
      <w:bookmarkStart w:id="863" w:name="_ENREF_7"/>
      <w:r w:rsidRPr="003C440C">
        <w:rPr>
          <w:noProof/>
          <w:color w:val="000000"/>
        </w:rPr>
        <w:t xml:space="preserve">Aragones, L.V., and Marsh, H. 2000, Impact of dugong grazing and turtle cropping on tropical seagrass communities. </w:t>
      </w:r>
      <w:r w:rsidRPr="003C440C">
        <w:rPr>
          <w:i/>
          <w:noProof/>
          <w:color w:val="000000"/>
        </w:rPr>
        <w:t>Pacific Conservation Biology, 5</w:t>
      </w:r>
      <w:r w:rsidRPr="003C440C">
        <w:rPr>
          <w:noProof/>
          <w:color w:val="000000"/>
        </w:rPr>
        <w:t xml:space="preserve">, 277-288. </w:t>
      </w:r>
      <w:bookmarkEnd w:id="863"/>
    </w:p>
    <w:p w:rsidR="00964A70" w:rsidRPr="003C440C" w:rsidRDefault="00964A70" w:rsidP="00964A70">
      <w:pPr>
        <w:pStyle w:val="References"/>
        <w:spacing w:after="0"/>
        <w:ind w:left="720" w:hanging="720"/>
        <w:rPr>
          <w:noProof/>
          <w:color w:val="000000"/>
        </w:rPr>
      </w:pPr>
      <w:bookmarkStart w:id="864" w:name="_ENREF_8"/>
      <w:r w:rsidRPr="003C440C">
        <w:rPr>
          <w:noProof/>
          <w:color w:val="000000"/>
        </w:rPr>
        <w:t xml:space="preserve">Armitage, A.R., and Fourqurean, J.W. 2006, The short-term influence of herbivory near patch reefs varies between seagrass species. </w:t>
      </w:r>
      <w:r w:rsidRPr="003C440C">
        <w:rPr>
          <w:i/>
          <w:noProof/>
          <w:color w:val="000000"/>
        </w:rPr>
        <w:t>Journal of Experimental Marine Biology and Ecology, 339</w:t>
      </w:r>
      <w:r w:rsidRPr="003C440C">
        <w:rPr>
          <w:noProof/>
          <w:color w:val="000000"/>
        </w:rPr>
        <w:t xml:space="preserve">, 65-74. </w:t>
      </w:r>
      <w:bookmarkEnd w:id="864"/>
    </w:p>
    <w:p w:rsidR="00964A70" w:rsidRPr="003C440C" w:rsidRDefault="00964A70" w:rsidP="00964A70">
      <w:pPr>
        <w:pStyle w:val="References"/>
        <w:spacing w:after="0"/>
        <w:ind w:left="720" w:hanging="720"/>
        <w:rPr>
          <w:noProof/>
          <w:color w:val="000000"/>
        </w:rPr>
      </w:pPr>
      <w:bookmarkStart w:id="865" w:name="_ENREF_9"/>
      <w:r w:rsidRPr="003C440C">
        <w:rPr>
          <w:noProof/>
          <w:color w:val="000000"/>
        </w:rPr>
        <w:t xml:space="preserve">Atkinson, M.J., and Smith, S.V. 1983, C:N:P ratios of benthic marine plants. </w:t>
      </w:r>
      <w:r w:rsidRPr="003C440C">
        <w:rPr>
          <w:i/>
          <w:noProof/>
          <w:color w:val="000000"/>
        </w:rPr>
        <w:t>Limnology and Oceanography, 28</w:t>
      </w:r>
      <w:r w:rsidRPr="003C440C">
        <w:rPr>
          <w:noProof/>
          <w:color w:val="000000"/>
        </w:rPr>
        <w:t xml:space="preserve">(3), 568-574. </w:t>
      </w:r>
      <w:bookmarkEnd w:id="865"/>
    </w:p>
    <w:p w:rsidR="00964A70" w:rsidRPr="003C440C" w:rsidRDefault="00964A70" w:rsidP="00964A70">
      <w:pPr>
        <w:pStyle w:val="References"/>
        <w:spacing w:after="0"/>
        <w:ind w:left="720" w:hanging="720"/>
        <w:rPr>
          <w:noProof/>
          <w:color w:val="000000"/>
        </w:rPr>
      </w:pPr>
      <w:bookmarkStart w:id="866" w:name="_ENREF_10"/>
      <w:r w:rsidRPr="003C440C">
        <w:rPr>
          <w:noProof/>
          <w:color w:val="000000"/>
        </w:rPr>
        <w:t xml:space="preserve">Baca, B.J., Snedaker, S.C., Dodge, R.E., Knap, A.H., and Sleeter, T.D. 1996, The effects of crude oil and dispersed crude oil on tropical ecosystems: Long-term seagrass, mangrove, and coral studies. </w:t>
      </w:r>
      <w:r w:rsidRPr="003C440C">
        <w:rPr>
          <w:i/>
          <w:noProof/>
          <w:color w:val="000000"/>
        </w:rPr>
        <w:t>Oceans Conference Record (IEEE), 1</w:t>
      </w:r>
      <w:r w:rsidRPr="003C440C">
        <w:rPr>
          <w:noProof/>
          <w:color w:val="000000"/>
        </w:rPr>
        <w:t xml:space="preserve">, 469-486. </w:t>
      </w:r>
      <w:bookmarkEnd w:id="866"/>
    </w:p>
    <w:p w:rsidR="00964A70" w:rsidRPr="003C440C" w:rsidRDefault="00964A70" w:rsidP="00964A70">
      <w:pPr>
        <w:pStyle w:val="References"/>
        <w:spacing w:after="0"/>
        <w:ind w:left="720" w:hanging="720"/>
        <w:rPr>
          <w:noProof/>
          <w:color w:val="000000"/>
        </w:rPr>
      </w:pPr>
      <w:bookmarkStart w:id="867" w:name="_ENREF_11"/>
      <w:r w:rsidRPr="003C440C">
        <w:rPr>
          <w:noProof/>
          <w:color w:val="000000"/>
        </w:rPr>
        <w:t xml:space="preserve">Badalamenti, F., Di Carlo, G., D’Anna, G., Gristina, M., and Toccaceli, M. 2006, Effects of dredging on population dynamics of </w:t>
      </w:r>
      <w:r w:rsidRPr="003C440C">
        <w:rPr>
          <w:i/>
          <w:noProof/>
          <w:color w:val="000000"/>
        </w:rPr>
        <w:t>Posidonia oceanica</w:t>
      </w:r>
      <w:r w:rsidRPr="003C440C">
        <w:rPr>
          <w:noProof/>
          <w:color w:val="000000"/>
        </w:rPr>
        <w:t xml:space="preserve"> (L.) Delile in the Mediterranean Sea: The case study of Capo Feto (SW Sicily, Italy). </w:t>
      </w:r>
      <w:r w:rsidRPr="003C440C">
        <w:rPr>
          <w:i/>
          <w:noProof/>
          <w:color w:val="000000"/>
        </w:rPr>
        <w:t>Hydrobiologia, 555</w:t>
      </w:r>
      <w:r w:rsidRPr="003C440C">
        <w:rPr>
          <w:noProof/>
          <w:color w:val="000000"/>
        </w:rPr>
        <w:t xml:space="preserve">, 253–261. </w:t>
      </w:r>
      <w:bookmarkEnd w:id="867"/>
    </w:p>
    <w:p w:rsidR="00964A70" w:rsidRPr="003C440C" w:rsidRDefault="00964A70" w:rsidP="00964A70">
      <w:pPr>
        <w:pStyle w:val="References"/>
        <w:spacing w:after="0"/>
        <w:ind w:left="720" w:hanging="720"/>
        <w:rPr>
          <w:noProof/>
          <w:color w:val="000000"/>
        </w:rPr>
      </w:pPr>
      <w:bookmarkStart w:id="868" w:name="_ENREF_12"/>
      <w:r w:rsidRPr="003C440C">
        <w:rPr>
          <w:noProof/>
          <w:color w:val="000000"/>
        </w:rPr>
        <w:t xml:space="preserve">Bainbridge, Z., Wolanski, E., Lewis, S., and Brodie, J. 2012, Fine sediment and nutrient dynamics related to particle size and floc formation in a Burdekin River flood plume, Australia. </w:t>
      </w:r>
      <w:r w:rsidRPr="003C440C">
        <w:rPr>
          <w:i/>
          <w:noProof/>
          <w:color w:val="000000"/>
        </w:rPr>
        <w:t>Marine Pollution Bulletin, 65</w:t>
      </w:r>
      <w:r w:rsidRPr="003C440C">
        <w:rPr>
          <w:noProof/>
          <w:color w:val="000000"/>
        </w:rPr>
        <w:t xml:space="preserve">, 236-248. </w:t>
      </w:r>
      <w:bookmarkEnd w:id="868"/>
    </w:p>
    <w:p w:rsidR="00964A70" w:rsidRPr="003C440C" w:rsidRDefault="00964A70" w:rsidP="00964A70">
      <w:pPr>
        <w:pStyle w:val="References"/>
        <w:spacing w:after="0"/>
        <w:ind w:left="720" w:hanging="720"/>
        <w:rPr>
          <w:noProof/>
          <w:color w:val="000000"/>
        </w:rPr>
      </w:pPr>
      <w:bookmarkStart w:id="869" w:name="_ENREF_13"/>
      <w:r w:rsidRPr="003C440C">
        <w:rPr>
          <w:noProof/>
          <w:color w:val="000000"/>
        </w:rPr>
        <w:t xml:space="preserve">Balata, D., Bertocci, I., Piazzi, L., and Nesti, U. 2008, Comparison between epiphyte assemblages of leaves and rhizomes of the seagrass Posidonia oceanica subjected to different levels of anthropogenic eutrophication. </w:t>
      </w:r>
      <w:r w:rsidRPr="003C440C">
        <w:rPr>
          <w:i/>
          <w:noProof/>
          <w:color w:val="000000"/>
        </w:rPr>
        <w:t>Estuarine, Coastal and Shelf Science, 79</w:t>
      </w:r>
      <w:r w:rsidRPr="003C440C">
        <w:rPr>
          <w:noProof/>
          <w:color w:val="000000"/>
        </w:rPr>
        <w:t>(3), 533-540. doi: http://dx.doi.org/10.1016/j.ecss.2008.05.009</w:t>
      </w:r>
      <w:bookmarkEnd w:id="869"/>
    </w:p>
    <w:p w:rsidR="00964A70" w:rsidRPr="003C440C" w:rsidRDefault="00964A70" w:rsidP="00964A70">
      <w:pPr>
        <w:pStyle w:val="References"/>
        <w:spacing w:after="0"/>
        <w:ind w:left="720" w:hanging="720"/>
        <w:rPr>
          <w:noProof/>
          <w:color w:val="000000"/>
        </w:rPr>
      </w:pPr>
      <w:bookmarkStart w:id="870" w:name="_ENREF_14"/>
      <w:r w:rsidRPr="003C440C">
        <w:rPr>
          <w:noProof/>
          <w:color w:val="000000"/>
        </w:rPr>
        <w:t xml:space="preserve">Balestri, E., Benedetti-Cecchi, L., and Lardicci, C. 2004, Variability in patterns of growth and morphology of </w:t>
      </w:r>
      <w:r w:rsidRPr="003C440C">
        <w:rPr>
          <w:i/>
          <w:noProof/>
          <w:color w:val="000000"/>
        </w:rPr>
        <w:t xml:space="preserve">Posidonia oceanica </w:t>
      </w:r>
      <w:r w:rsidRPr="003C440C">
        <w:rPr>
          <w:noProof/>
          <w:color w:val="000000"/>
        </w:rPr>
        <w:t xml:space="preserve">exposed to urban and industrial wastes: Contrasts with two reference location. </w:t>
      </w:r>
      <w:r w:rsidRPr="003C440C">
        <w:rPr>
          <w:i/>
          <w:noProof/>
          <w:color w:val="000000"/>
        </w:rPr>
        <w:t>Journal of  Experimental Marine Biology and Ecology, 308</w:t>
      </w:r>
      <w:r w:rsidRPr="003C440C">
        <w:rPr>
          <w:noProof/>
          <w:color w:val="000000"/>
        </w:rPr>
        <w:t xml:space="preserve">, 1–21. </w:t>
      </w:r>
      <w:bookmarkEnd w:id="870"/>
    </w:p>
    <w:p w:rsidR="00964A70" w:rsidRPr="003C440C" w:rsidRDefault="00964A70" w:rsidP="00964A70">
      <w:pPr>
        <w:pStyle w:val="References"/>
        <w:spacing w:after="0"/>
        <w:ind w:left="720" w:hanging="720"/>
        <w:rPr>
          <w:noProof/>
          <w:color w:val="000000"/>
        </w:rPr>
      </w:pPr>
      <w:bookmarkStart w:id="871" w:name="_ENREF_15"/>
      <w:r w:rsidRPr="003C440C">
        <w:rPr>
          <w:noProof/>
          <w:color w:val="000000"/>
        </w:rPr>
        <w:t>Beal, J.L., and Schmit, B.S. (2000). The effects of dock height on light irradiance (PAR) and seagrass (</w:t>
      </w:r>
      <w:r w:rsidRPr="003C440C">
        <w:rPr>
          <w:i/>
          <w:noProof/>
          <w:color w:val="000000"/>
        </w:rPr>
        <w:t xml:space="preserve">Halodule wrightii </w:t>
      </w:r>
      <w:r w:rsidRPr="003C440C">
        <w:rPr>
          <w:noProof/>
          <w:color w:val="000000"/>
        </w:rPr>
        <w:t xml:space="preserve">and </w:t>
      </w:r>
      <w:r w:rsidRPr="003C440C">
        <w:rPr>
          <w:i/>
          <w:noProof/>
          <w:color w:val="000000"/>
        </w:rPr>
        <w:t>Syringodium filiforme</w:t>
      </w:r>
      <w:r w:rsidRPr="003C440C">
        <w:rPr>
          <w:noProof/>
          <w:color w:val="000000"/>
        </w:rPr>
        <w:t xml:space="preserve">) cover. In SA Bortone (Ed.), </w:t>
      </w:r>
      <w:r w:rsidRPr="003C440C">
        <w:rPr>
          <w:i/>
          <w:noProof/>
          <w:color w:val="000000"/>
        </w:rPr>
        <w:t>Seagrasses: Monitoring, Ecology, Physiology and Management</w:t>
      </w:r>
      <w:r w:rsidRPr="003C440C">
        <w:rPr>
          <w:noProof/>
          <w:color w:val="000000"/>
        </w:rPr>
        <w:t xml:space="preserve"> (pp. 49–63). Boca Raton, Florida: CRC.</w:t>
      </w:r>
      <w:bookmarkEnd w:id="871"/>
    </w:p>
    <w:p w:rsidR="00964A70" w:rsidRPr="003C440C" w:rsidRDefault="00964A70" w:rsidP="00964A70">
      <w:pPr>
        <w:pStyle w:val="References"/>
        <w:spacing w:after="0"/>
        <w:ind w:left="720" w:hanging="720"/>
        <w:rPr>
          <w:noProof/>
          <w:color w:val="000000"/>
        </w:rPr>
      </w:pPr>
      <w:bookmarkStart w:id="872" w:name="_ENREF_16"/>
      <w:r w:rsidRPr="003C440C">
        <w:rPr>
          <w:noProof/>
          <w:color w:val="000000"/>
        </w:rPr>
        <w:t xml:space="preserve">Birch, W., and Birch, M. 1984, Succession and pattern of tropical intertidal seagrasses in Cockle Bay, Queensland, Australia: a decade of observations. </w:t>
      </w:r>
      <w:r w:rsidRPr="003C440C">
        <w:rPr>
          <w:i/>
          <w:noProof/>
          <w:color w:val="000000"/>
        </w:rPr>
        <w:t>Aquatic Botany, 19</w:t>
      </w:r>
      <w:r w:rsidRPr="003C440C">
        <w:rPr>
          <w:noProof/>
          <w:color w:val="000000"/>
        </w:rPr>
        <w:t xml:space="preserve">, 343-367. </w:t>
      </w:r>
      <w:bookmarkEnd w:id="872"/>
    </w:p>
    <w:p w:rsidR="00964A70" w:rsidRPr="003C440C" w:rsidRDefault="00964A70" w:rsidP="00964A70">
      <w:pPr>
        <w:pStyle w:val="References"/>
        <w:spacing w:after="0"/>
        <w:ind w:left="720" w:hanging="720"/>
        <w:rPr>
          <w:noProof/>
          <w:color w:val="000000"/>
        </w:rPr>
      </w:pPr>
      <w:bookmarkStart w:id="873" w:name="_ENREF_17"/>
      <w:r w:rsidRPr="003C440C">
        <w:rPr>
          <w:noProof/>
          <w:color w:val="000000"/>
        </w:rPr>
        <w:lastRenderedPageBreak/>
        <w:t xml:space="preserve">Bishop, M.J. 2008, Displacement of epifauna from seagrass blades by boat wake. </w:t>
      </w:r>
      <w:r w:rsidRPr="003C440C">
        <w:rPr>
          <w:i/>
          <w:noProof/>
          <w:color w:val="000000"/>
        </w:rPr>
        <w:t>Journal of Experimental Marine Biology and Ecology, 354</w:t>
      </w:r>
      <w:r w:rsidRPr="003C440C">
        <w:rPr>
          <w:noProof/>
          <w:color w:val="000000"/>
        </w:rPr>
        <w:t xml:space="preserve">, 111–118. </w:t>
      </w:r>
      <w:bookmarkEnd w:id="873"/>
    </w:p>
    <w:p w:rsidR="00964A70" w:rsidRPr="003C440C" w:rsidRDefault="00964A70" w:rsidP="00964A70">
      <w:pPr>
        <w:pStyle w:val="References"/>
        <w:spacing w:after="0"/>
        <w:ind w:left="720" w:hanging="720"/>
        <w:rPr>
          <w:noProof/>
          <w:color w:val="000000"/>
        </w:rPr>
      </w:pPr>
      <w:bookmarkStart w:id="874" w:name="_ENREF_18"/>
      <w:r w:rsidRPr="003C440C">
        <w:rPr>
          <w:noProof/>
          <w:color w:val="000000"/>
        </w:rPr>
        <w:t xml:space="preserve">Borowitzka, M.A., Lavery, P.S., and van Keulen, M. (2006). Epiphytes of seagrasses. In WD Larkum, RJ Orth &amp; CM Duarte (Eds.), </w:t>
      </w:r>
      <w:r w:rsidRPr="003C440C">
        <w:rPr>
          <w:i/>
          <w:noProof/>
          <w:color w:val="000000"/>
        </w:rPr>
        <w:t>Seagrasses: Biology, Ecology and Conservation</w:t>
      </w:r>
      <w:r w:rsidRPr="003C440C">
        <w:rPr>
          <w:noProof/>
          <w:color w:val="000000"/>
        </w:rPr>
        <w:t>. Dordrecht: Springer.</w:t>
      </w:r>
      <w:bookmarkEnd w:id="874"/>
    </w:p>
    <w:p w:rsidR="00964A70" w:rsidRPr="003C440C" w:rsidRDefault="00964A70" w:rsidP="00964A70">
      <w:pPr>
        <w:pStyle w:val="References"/>
        <w:spacing w:after="0"/>
        <w:ind w:left="720" w:hanging="720"/>
        <w:rPr>
          <w:noProof/>
          <w:color w:val="000000"/>
        </w:rPr>
      </w:pPr>
      <w:bookmarkStart w:id="875" w:name="_ENREF_19"/>
      <w:r w:rsidRPr="003C440C">
        <w:rPr>
          <w:noProof/>
          <w:color w:val="000000"/>
        </w:rPr>
        <w:t>Borum, J. 1985, Development of epiphytic communities on eelgrass (</w:t>
      </w:r>
      <w:r w:rsidRPr="003C440C">
        <w:rPr>
          <w:i/>
          <w:noProof/>
          <w:color w:val="000000"/>
        </w:rPr>
        <w:t>Zostra marina</w:t>
      </w:r>
      <w:r w:rsidRPr="003C440C">
        <w:rPr>
          <w:noProof/>
          <w:color w:val="000000"/>
        </w:rPr>
        <w:t xml:space="preserve">) along a nutrient gradient in a Danish estuary. </w:t>
      </w:r>
      <w:r w:rsidRPr="003C440C">
        <w:rPr>
          <w:i/>
          <w:noProof/>
          <w:color w:val="000000"/>
        </w:rPr>
        <w:t>Marine Biology, 87</w:t>
      </w:r>
      <w:r w:rsidRPr="003C440C">
        <w:rPr>
          <w:noProof/>
          <w:color w:val="000000"/>
        </w:rPr>
        <w:t xml:space="preserve">, 211–218. </w:t>
      </w:r>
      <w:bookmarkEnd w:id="875"/>
    </w:p>
    <w:p w:rsidR="00964A70" w:rsidRPr="003C440C" w:rsidRDefault="00964A70" w:rsidP="00964A70">
      <w:pPr>
        <w:pStyle w:val="References"/>
        <w:spacing w:after="0"/>
        <w:ind w:left="720" w:hanging="720"/>
        <w:rPr>
          <w:noProof/>
          <w:color w:val="000000"/>
        </w:rPr>
      </w:pPr>
      <w:bookmarkStart w:id="876" w:name="_ENREF_20"/>
      <w:r w:rsidRPr="003C440C">
        <w:rPr>
          <w:noProof/>
          <w:color w:val="000000"/>
        </w:rPr>
        <w:t xml:space="preserve">Borum, J., Duarte, C.M., Krause-Jensen, D., and Greve, T.M. (2004). </w:t>
      </w:r>
      <w:r w:rsidRPr="003C440C">
        <w:rPr>
          <w:i/>
          <w:noProof/>
          <w:color w:val="000000"/>
        </w:rPr>
        <w:t>European seagrasses: an introduction to monitoring and management</w:t>
      </w:r>
      <w:r w:rsidRPr="003C440C">
        <w:rPr>
          <w:noProof/>
          <w:color w:val="000000"/>
        </w:rPr>
        <w:t>. Copenhagen: The M&amp;MS project.</w:t>
      </w:r>
      <w:bookmarkEnd w:id="876"/>
    </w:p>
    <w:p w:rsidR="00964A70" w:rsidRPr="003C440C" w:rsidRDefault="00964A70" w:rsidP="00964A70">
      <w:pPr>
        <w:pStyle w:val="References"/>
        <w:spacing w:after="0"/>
        <w:ind w:left="720" w:hanging="720"/>
        <w:rPr>
          <w:noProof/>
          <w:color w:val="000000"/>
        </w:rPr>
      </w:pPr>
      <w:bookmarkStart w:id="877" w:name="_ENREF_21"/>
      <w:r w:rsidRPr="003C440C">
        <w:rPr>
          <w:noProof/>
          <w:color w:val="000000"/>
        </w:rPr>
        <w:t xml:space="preserve">Brodie, J. (2004). </w:t>
      </w:r>
      <w:r w:rsidRPr="003C440C">
        <w:rPr>
          <w:i/>
          <w:noProof/>
          <w:color w:val="000000"/>
        </w:rPr>
        <w:t>Mackay Whitsunday Region: State of the Waterways Report 2004 ACTFR Report No. 02/03 for the Mackay Whitsunday Natural Resource Management Group</w:t>
      </w:r>
      <w:r w:rsidRPr="003C440C">
        <w:rPr>
          <w:noProof/>
          <w:color w:val="000000"/>
        </w:rPr>
        <w:t>. Yownsville: ACTFR, James Cook University.</w:t>
      </w:r>
      <w:bookmarkEnd w:id="877"/>
    </w:p>
    <w:p w:rsidR="00964A70" w:rsidRPr="003C440C" w:rsidRDefault="00964A70" w:rsidP="00964A70">
      <w:pPr>
        <w:pStyle w:val="References"/>
        <w:spacing w:after="0"/>
        <w:ind w:left="720" w:hanging="720"/>
        <w:rPr>
          <w:noProof/>
          <w:color w:val="000000"/>
        </w:rPr>
      </w:pPr>
      <w:bookmarkStart w:id="878" w:name="_ENREF_22"/>
      <w:r w:rsidRPr="003C440C">
        <w:rPr>
          <w:noProof/>
          <w:color w:val="000000"/>
        </w:rPr>
        <w:t xml:space="preserve">Brodie, J., Waterhouse, J., Lewis, S.E., Bainbridge, Z.T., and Johnson, J. (2009). </w:t>
      </w:r>
      <w:r w:rsidRPr="003C440C">
        <w:rPr>
          <w:i/>
          <w:noProof/>
          <w:color w:val="000000"/>
        </w:rPr>
        <w:t>Current loads of priority pollutants discharged from Great Barrier Reef Catchments to the Great Barrier Reef. ACTFR Report Number 09/02</w:t>
      </w:r>
      <w:r w:rsidRPr="003C440C">
        <w:rPr>
          <w:noProof/>
          <w:color w:val="000000"/>
        </w:rPr>
        <w:t>. Townsville: Australian Centre for Tropical Freshwater Research.</w:t>
      </w:r>
      <w:bookmarkEnd w:id="878"/>
    </w:p>
    <w:p w:rsidR="00964A70" w:rsidRPr="003C440C" w:rsidRDefault="00964A70" w:rsidP="00964A70">
      <w:pPr>
        <w:pStyle w:val="References"/>
        <w:spacing w:after="0"/>
        <w:ind w:left="720" w:hanging="720"/>
        <w:rPr>
          <w:noProof/>
          <w:color w:val="000000"/>
        </w:rPr>
      </w:pPr>
      <w:bookmarkStart w:id="879" w:name="_ENREF_23"/>
      <w:r w:rsidRPr="003C440C">
        <w:rPr>
          <w:noProof/>
          <w:color w:val="000000"/>
        </w:rPr>
        <w:t xml:space="preserve">Brodie, J.E., Kroon, F.J., Schaffelke, B., Wolanski, E.C., Lewis, S.E., Devlin, M.J., Bohnet, I.C., Bainbridge, Z.T., Waterhouse, J., and Davis, A.M. 2012, Terrestrial pollutant runoff to the Great Barrier Reef: An update of issues, priorities and management responses. </w:t>
      </w:r>
      <w:r w:rsidRPr="003C440C">
        <w:rPr>
          <w:i/>
          <w:noProof/>
          <w:color w:val="000000"/>
        </w:rPr>
        <w:t>Marine Pollution Bulletin, 65</w:t>
      </w:r>
      <w:r w:rsidRPr="003C440C">
        <w:rPr>
          <w:noProof/>
          <w:color w:val="000000"/>
        </w:rPr>
        <w:t>(4–9), 81-100. doi: 10.1016/j.marpolbul.2011.12.012</w:t>
      </w:r>
      <w:bookmarkEnd w:id="879"/>
    </w:p>
    <w:p w:rsidR="00964A70" w:rsidRPr="003C440C" w:rsidRDefault="00964A70" w:rsidP="00964A70">
      <w:pPr>
        <w:pStyle w:val="References"/>
        <w:spacing w:after="0"/>
        <w:ind w:left="720" w:hanging="720"/>
        <w:rPr>
          <w:noProof/>
          <w:color w:val="000000"/>
        </w:rPr>
      </w:pPr>
      <w:bookmarkStart w:id="880" w:name="_ENREF_24"/>
      <w:r w:rsidRPr="003C440C">
        <w:rPr>
          <w:noProof/>
          <w:color w:val="000000"/>
        </w:rPr>
        <w:t xml:space="preserve">Bros, W.E., and Cowell, B.C. 1987, A technique for optimising sample size (replication). </w:t>
      </w:r>
      <w:r w:rsidRPr="003C440C">
        <w:rPr>
          <w:i/>
          <w:noProof/>
          <w:color w:val="000000"/>
        </w:rPr>
        <w:t>Journal of  Experimental Marine Biology and Ecology, 114</w:t>
      </w:r>
      <w:r w:rsidRPr="003C440C">
        <w:rPr>
          <w:noProof/>
          <w:color w:val="000000"/>
        </w:rPr>
        <w:t xml:space="preserve">, 63-71. </w:t>
      </w:r>
      <w:bookmarkEnd w:id="880"/>
    </w:p>
    <w:p w:rsidR="00964A70" w:rsidRPr="003C440C" w:rsidRDefault="00964A70" w:rsidP="00964A70">
      <w:pPr>
        <w:pStyle w:val="References"/>
        <w:spacing w:after="0"/>
        <w:ind w:left="720" w:hanging="720"/>
        <w:rPr>
          <w:noProof/>
          <w:color w:val="000000"/>
        </w:rPr>
      </w:pPr>
      <w:bookmarkStart w:id="881" w:name="_ENREF_25"/>
      <w:r w:rsidRPr="003C440C">
        <w:rPr>
          <w:noProof/>
          <w:color w:val="000000"/>
        </w:rPr>
        <w:t xml:space="preserve">Cabaço, S., and Santos, R. 2007, Effects of burial and erosion on the seagrass Zostera noltii. </w:t>
      </w:r>
      <w:r w:rsidRPr="003C440C">
        <w:rPr>
          <w:i/>
          <w:noProof/>
          <w:color w:val="000000"/>
        </w:rPr>
        <w:t>Journal of Experimental Marine Biology and Ecology, 340</w:t>
      </w:r>
      <w:r w:rsidRPr="003C440C">
        <w:rPr>
          <w:noProof/>
          <w:color w:val="000000"/>
        </w:rPr>
        <w:t xml:space="preserve">, 204-212. </w:t>
      </w:r>
      <w:bookmarkEnd w:id="881"/>
    </w:p>
    <w:p w:rsidR="00964A70" w:rsidRPr="003C440C" w:rsidRDefault="00964A70" w:rsidP="00964A70">
      <w:pPr>
        <w:pStyle w:val="References"/>
        <w:spacing w:after="0"/>
        <w:ind w:left="720" w:hanging="720"/>
        <w:rPr>
          <w:noProof/>
          <w:color w:val="000000"/>
        </w:rPr>
      </w:pPr>
      <w:bookmarkStart w:id="882" w:name="_ENREF_26"/>
      <w:r w:rsidRPr="003C440C">
        <w:rPr>
          <w:noProof/>
          <w:color w:val="000000"/>
        </w:rPr>
        <w:t xml:space="preserve">Cambridge, M.L., Chiffings, A.W., Brittan, C., Moore, L., and McComb, A.J. 1986, The loss of seagrass in Cockburn Sound, Western Australia. II. Possible causes of seagrass decline. </w:t>
      </w:r>
      <w:r w:rsidRPr="003C440C">
        <w:rPr>
          <w:i/>
          <w:noProof/>
          <w:color w:val="000000"/>
        </w:rPr>
        <w:t>Aquatic Botany, 24</w:t>
      </w:r>
      <w:r w:rsidRPr="003C440C">
        <w:rPr>
          <w:noProof/>
          <w:color w:val="000000"/>
        </w:rPr>
        <w:t xml:space="preserve">, 269-285. </w:t>
      </w:r>
      <w:bookmarkEnd w:id="882"/>
    </w:p>
    <w:p w:rsidR="00964A70" w:rsidRPr="003C440C" w:rsidRDefault="00964A70" w:rsidP="00964A70">
      <w:pPr>
        <w:pStyle w:val="References"/>
        <w:spacing w:after="0"/>
        <w:ind w:left="720" w:hanging="720"/>
        <w:rPr>
          <w:noProof/>
          <w:color w:val="000000"/>
        </w:rPr>
      </w:pPr>
      <w:bookmarkStart w:id="883" w:name="_ENREF_27"/>
      <w:r w:rsidRPr="003C440C">
        <w:rPr>
          <w:noProof/>
          <w:color w:val="000000"/>
        </w:rPr>
        <w:t xml:space="preserve">Campbell, S.J., and McKenzie, L.J. 2001, Seagrass and algal abundance in the Whitsundays region. Status Report. </w:t>
      </w:r>
      <w:bookmarkEnd w:id="883"/>
    </w:p>
    <w:p w:rsidR="00964A70" w:rsidRPr="003C440C" w:rsidRDefault="00964A70" w:rsidP="00964A70">
      <w:pPr>
        <w:pStyle w:val="References"/>
        <w:spacing w:after="0"/>
        <w:ind w:left="720" w:hanging="720"/>
        <w:rPr>
          <w:noProof/>
          <w:color w:val="000000"/>
        </w:rPr>
      </w:pPr>
      <w:bookmarkStart w:id="884" w:name="_ENREF_28"/>
      <w:r w:rsidRPr="003C440C">
        <w:rPr>
          <w:noProof/>
          <w:color w:val="000000"/>
        </w:rPr>
        <w:t xml:space="preserve">Campbell, S.J., and McKenzie, L.J. 2004, Flood related loss and recovery of intertidal seagrass meadows in southern Queensland, Australia. </w:t>
      </w:r>
      <w:r w:rsidRPr="003C440C">
        <w:rPr>
          <w:i/>
          <w:noProof/>
          <w:color w:val="000000"/>
        </w:rPr>
        <w:t>Estuarine, Coastal and Shelf Science, 60</w:t>
      </w:r>
      <w:r w:rsidRPr="003C440C">
        <w:rPr>
          <w:noProof/>
          <w:color w:val="000000"/>
        </w:rPr>
        <w:t xml:space="preserve">(3), 477-490. </w:t>
      </w:r>
      <w:bookmarkEnd w:id="884"/>
    </w:p>
    <w:p w:rsidR="00964A70" w:rsidRPr="003C440C" w:rsidRDefault="00964A70" w:rsidP="00964A70">
      <w:pPr>
        <w:pStyle w:val="References"/>
        <w:spacing w:after="0"/>
        <w:ind w:left="720" w:hanging="720"/>
        <w:rPr>
          <w:noProof/>
          <w:color w:val="000000"/>
        </w:rPr>
      </w:pPr>
      <w:bookmarkStart w:id="885" w:name="_ENREF_29"/>
      <w:r w:rsidRPr="003C440C">
        <w:rPr>
          <w:noProof/>
          <w:color w:val="000000"/>
        </w:rPr>
        <w:t xml:space="preserve">Campbell, S.J., McKenzie, L.J., and Kerville, S.P. 2006, Photosynthetic responses of seven tropical seagrasses to elevated seawater temperature. </w:t>
      </w:r>
      <w:r w:rsidRPr="003C440C">
        <w:rPr>
          <w:i/>
          <w:noProof/>
          <w:color w:val="000000"/>
        </w:rPr>
        <w:t>Journal of Experimental Marine Biology and Ecology, 330</w:t>
      </w:r>
      <w:r w:rsidRPr="003C440C">
        <w:rPr>
          <w:noProof/>
          <w:color w:val="000000"/>
        </w:rPr>
        <w:t xml:space="preserve">, 455-468. </w:t>
      </w:r>
      <w:bookmarkEnd w:id="885"/>
    </w:p>
    <w:p w:rsidR="00964A70" w:rsidRPr="003C440C" w:rsidRDefault="00964A70" w:rsidP="00964A70">
      <w:pPr>
        <w:pStyle w:val="References"/>
        <w:spacing w:after="0"/>
        <w:ind w:left="720" w:hanging="720"/>
        <w:rPr>
          <w:noProof/>
          <w:color w:val="000000"/>
        </w:rPr>
      </w:pPr>
      <w:bookmarkStart w:id="886" w:name="_ENREF_30"/>
      <w:r w:rsidRPr="003C440C">
        <w:rPr>
          <w:noProof/>
          <w:color w:val="000000"/>
        </w:rPr>
        <w:t xml:space="preserve">Campbell, S.J., Roder, C.A., McKenzie, L.J., and Lee Long, W.J. 2002, Seagrass resources in the Whitsunday region 1999 and 2000. </w:t>
      </w:r>
      <w:r w:rsidRPr="003C440C">
        <w:rPr>
          <w:i/>
          <w:noProof/>
          <w:color w:val="000000"/>
        </w:rPr>
        <w:t>DPI Information Series QI02043</w:t>
      </w:r>
      <w:r w:rsidRPr="003C440C">
        <w:rPr>
          <w:noProof/>
          <w:color w:val="000000"/>
        </w:rPr>
        <w:t xml:space="preserve">, 50. </w:t>
      </w:r>
      <w:bookmarkEnd w:id="886"/>
    </w:p>
    <w:p w:rsidR="00964A70" w:rsidRPr="003C440C" w:rsidRDefault="00964A70" w:rsidP="00964A70">
      <w:pPr>
        <w:pStyle w:val="References"/>
        <w:spacing w:after="0"/>
        <w:ind w:left="720" w:hanging="720"/>
        <w:rPr>
          <w:noProof/>
          <w:color w:val="000000"/>
        </w:rPr>
      </w:pPr>
      <w:bookmarkStart w:id="887" w:name="_ENREF_31"/>
      <w:r w:rsidRPr="003C440C">
        <w:rPr>
          <w:noProof/>
          <w:color w:val="000000"/>
        </w:rPr>
        <w:t xml:space="preserve">Carruthers, T.J.B., Dennison, W.C., Longstaff, B.J., Waycott, M., Abal, E.G., McKenzie, L.J., and Lee Long, W.J. 2002, Seagrass habitats of north east Australia: models of key processes and controls. </w:t>
      </w:r>
      <w:r w:rsidRPr="003C440C">
        <w:rPr>
          <w:i/>
          <w:noProof/>
          <w:color w:val="000000"/>
        </w:rPr>
        <w:t>Bulletin of Marine Science, 71</w:t>
      </w:r>
      <w:r w:rsidRPr="003C440C">
        <w:rPr>
          <w:noProof/>
          <w:color w:val="000000"/>
        </w:rPr>
        <w:t xml:space="preserve">(3), 1153-1169. </w:t>
      </w:r>
      <w:bookmarkEnd w:id="887"/>
    </w:p>
    <w:p w:rsidR="00964A70" w:rsidRPr="003C440C" w:rsidRDefault="00964A70" w:rsidP="00964A70">
      <w:pPr>
        <w:pStyle w:val="References"/>
        <w:spacing w:after="0"/>
        <w:ind w:left="720" w:hanging="720"/>
        <w:rPr>
          <w:noProof/>
          <w:color w:val="000000"/>
        </w:rPr>
      </w:pPr>
      <w:bookmarkStart w:id="888" w:name="_ENREF_32"/>
      <w:r w:rsidRPr="003C440C">
        <w:rPr>
          <w:noProof/>
          <w:color w:val="000000"/>
        </w:rPr>
        <w:t xml:space="preserve">Carruthers, T.J.B., van Tussenbroek, B.I., and Dennison, W.C. 2005, Influence of submarine springs and wastewater on nutrient dynamics of Caribbean seagrass meadows. </w:t>
      </w:r>
      <w:r w:rsidRPr="003C440C">
        <w:rPr>
          <w:i/>
          <w:noProof/>
          <w:color w:val="000000"/>
        </w:rPr>
        <w:t>Estuarine , Coastal and Shelf Science, 64</w:t>
      </w:r>
      <w:r w:rsidRPr="003C440C">
        <w:rPr>
          <w:noProof/>
          <w:color w:val="000000"/>
        </w:rPr>
        <w:t xml:space="preserve">, 191-199. </w:t>
      </w:r>
      <w:bookmarkEnd w:id="888"/>
    </w:p>
    <w:p w:rsidR="00964A70" w:rsidRPr="003C440C" w:rsidRDefault="00964A70" w:rsidP="00964A70">
      <w:pPr>
        <w:pStyle w:val="References"/>
        <w:spacing w:after="0"/>
        <w:ind w:left="720" w:hanging="720"/>
        <w:rPr>
          <w:noProof/>
          <w:color w:val="000000"/>
        </w:rPr>
      </w:pPr>
      <w:bookmarkStart w:id="889" w:name="_ENREF_33"/>
      <w:r w:rsidRPr="003C440C">
        <w:rPr>
          <w:noProof/>
          <w:color w:val="000000"/>
        </w:rPr>
        <w:t xml:space="preserve">Chartrand, K.M., Ralph, P.J., Petrou, K., and Rasheed, M.A. 2012, Development of a light-based seagrass management approach for the Gladstone Western basin dredging program. 126. </w:t>
      </w:r>
      <w:bookmarkEnd w:id="889"/>
    </w:p>
    <w:p w:rsidR="00964A70" w:rsidRPr="003C440C" w:rsidRDefault="00964A70" w:rsidP="00964A70">
      <w:pPr>
        <w:pStyle w:val="References"/>
        <w:spacing w:after="0"/>
        <w:ind w:left="720" w:hanging="720"/>
        <w:rPr>
          <w:noProof/>
          <w:color w:val="000000"/>
        </w:rPr>
      </w:pPr>
      <w:bookmarkStart w:id="890" w:name="_ENREF_34"/>
      <w:r w:rsidRPr="003C440C">
        <w:rPr>
          <w:noProof/>
          <w:color w:val="000000"/>
        </w:rPr>
        <w:lastRenderedPageBreak/>
        <w:t xml:space="preserve">Chesworth, J.C., Donkin, M., and Brown, M.T. 2004, The interactive effects of the antifouling herbicides Irgarol 1051 and Diuron on the seagrass </w:t>
      </w:r>
      <w:r w:rsidRPr="003C440C">
        <w:rPr>
          <w:i/>
          <w:noProof/>
          <w:color w:val="000000"/>
        </w:rPr>
        <w:t xml:space="preserve">Zostera marina </w:t>
      </w:r>
      <w:r w:rsidRPr="003C440C">
        <w:rPr>
          <w:noProof/>
          <w:color w:val="000000"/>
        </w:rPr>
        <w:t xml:space="preserve">(L.). </w:t>
      </w:r>
      <w:r w:rsidRPr="003C440C">
        <w:rPr>
          <w:i/>
          <w:noProof/>
          <w:color w:val="000000"/>
        </w:rPr>
        <w:t>Aquatic Toxicology, 66</w:t>
      </w:r>
      <w:r w:rsidRPr="003C440C">
        <w:rPr>
          <w:noProof/>
          <w:color w:val="000000"/>
        </w:rPr>
        <w:t xml:space="preserve">, 293-305. </w:t>
      </w:r>
      <w:bookmarkEnd w:id="890"/>
    </w:p>
    <w:p w:rsidR="00964A70" w:rsidRPr="003C440C" w:rsidRDefault="00964A70" w:rsidP="00964A70">
      <w:pPr>
        <w:pStyle w:val="References"/>
        <w:spacing w:after="0"/>
        <w:ind w:left="720" w:hanging="720"/>
        <w:rPr>
          <w:noProof/>
          <w:color w:val="000000"/>
        </w:rPr>
      </w:pPr>
      <w:bookmarkStart w:id="891" w:name="_ENREF_35"/>
      <w:r w:rsidRPr="003C440C">
        <w:rPr>
          <w:noProof/>
          <w:color w:val="000000"/>
        </w:rPr>
        <w:t xml:space="preserve">Christensen, S., Rodgers, C., and Fitzroy Basin Association, I. (2006). </w:t>
      </w:r>
      <w:r w:rsidRPr="003C440C">
        <w:rPr>
          <w:i/>
          <w:noProof/>
          <w:color w:val="000000"/>
        </w:rPr>
        <w:t xml:space="preserve">Central Queensland strategy for sustainability : 2004 and beyond. </w:t>
      </w:r>
      <w:r w:rsidRPr="003C440C">
        <w:rPr>
          <w:noProof/>
          <w:color w:val="000000"/>
        </w:rPr>
        <w:t>. Rockhampton, Qld: Fitzroy Basin Association.</w:t>
      </w:r>
      <w:bookmarkEnd w:id="891"/>
    </w:p>
    <w:p w:rsidR="00964A70" w:rsidRPr="003C440C" w:rsidRDefault="00964A70" w:rsidP="00964A70">
      <w:pPr>
        <w:pStyle w:val="References"/>
        <w:spacing w:after="0"/>
        <w:ind w:left="720" w:hanging="720"/>
        <w:rPr>
          <w:noProof/>
          <w:color w:val="000000"/>
        </w:rPr>
      </w:pPr>
      <w:bookmarkStart w:id="892" w:name="_ENREF_36"/>
      <w:r w:rsidRPr="003C440C">
        <w:rPr>
          <w:noProof/>
          <w:color w:val="000000"/>
        </w:rPr>
        <w:t xml:space="preserve">Coles, R., McKenzie, L., De’ath, G., Roelofs, A., and Long, W.L. 2009a, Spatial distribution of deepwater seagrass in the inter-reef lagoon of the Great Barrier Reef World Heritage Area. </w:t>
      </w:r>
      <w:r w:rsidRPr="003C440C">
        <w:rPr>
          <w:i/>
          <w:noProof/>
          <w:color w:val="000000"/>
        </w:rPr>
        <w:t>Mar Ecol Prog Ser, 392</w:t>
      </w:r>
      <w:r w:rsidRPr="003C440C">
        <w:rPr>
          <w:noProof/>
          <w:color w:val="000000"/>
        </w:rPr>
        <w:t xml:space="preserve">, 57-68. </w:t>
      </w:r>
      <w:bookmarkEnd w:id="892"/>
    </w:p>
    <w:p w:rsidR="00964A70" w:rsidRPr="003C440C" w:rsidRDefault="00964A70" w:rsidP="00964A70">
      <w:pPr>
        <w:pStyle w:val="References"/>
        <w:spacing w:after="0"/>
        <w:ind w:left="720" w:hanging="720"/>
        <w:rPr>
          <w:noProof/>
          <w:color w:val="000000"/>
        </w:rPr>
      </w:pPr>
      <w:bookmarkStart w:id="893" w:name="_ENREF_37"/>
      <w:r w:rsidRPr="003C440C">
        <w:rPr>
          <w:noProof/>
          <w:color w:val="000000"/>
        </w:rPr>
        <w:t xml:space="preserve">Coles, R., McKenzie, L.J., De'ath, G., Roelofs, A., and Lee Long, W.J. 2009b, Spatial distribution of deepwater seagrass in the inter-reef lagoon of the Great Barrier Reef World Heritage Area. </w:t>
      </w:r>
      <w:r w:rsidRPr="003C440C">
        <w:rPr>
          <w:i/>
          <w:noProof/>
          <w:color w:val="000000"/>
        </w:rPr>
        <w:t>Marine Ecology Progress Series, 392</w:t>
      </w:r>
      <w:r w:rsidRPr="003C440C">
        <w:rPr>
          <w:noProof/>
          <w:color w:val="000000"/>
        </w:rPr>
        <w:t>, 57-68. doi: 10.3354/meps08197</w:t>
      </w:r>
      <w:bookmarkEnd w:id="893"/>
    </w:p>
    <w:p w:rsidR="00964A70" w:rsidRPr="003C440C" w:rsidRDefault="00964A70" w:rsidP="00964A70">
      <w:pPr>
        <w:pStyle w:val="References"/>
        <w:spacing w:after="0"/>
        <w:ind w:left="720" w:hanging="720"/>
        <w:rPr>
          <w:noProof/>
          <w:color w:val="000000"/>
        </w:rPr>
      </w:pPr>
      <w:bookmarkStart w:id="894" w:name="_ENREF_38"/>
      <w:r w:rsidRPr="003C440C">
        <w:rPr>
          <w:noProof/>
          <w:color w:val="000000"/>
        </w:rPr>
        <w:t xml:space="preserve">Coles, R.G., McKenzie, L.J., Mellors, J.E., and Yoshida, R.L. 2001a, Validation and GIS of seagrass surveys between Cairns and Bowen – October/November 1987. CD Rom. </w:t>
      </w:r>
      <w:bookmarkEnd w:id="894"/>
    </w:p>
    <w:p w:rsidR="00964A70" w:rsidRPr="003C440C" w:rsidRDefault="00964A70" w:rsidP="00964A70">
      <w:pPr>
        <w:pStyle w:val="References"/>
        <w:spacing w:after="0"/>
        <w:ind w:left="720" w:hanging="720"/>
        <w:rPr>
          <w:noProof/>
          <w:color w:val="000000"/>
        </w:rPr>
      </w:pPr>
      <w:bookmarkStart w:id="895" w:name="_ENREF_39"/>
      <w:r w:rsidRPr="003C440C">
        <w:rPr>
          <w:noProof/>
          <w:color w:val="000000"/>
        </w:rPr>
        <w:t xml:space="preserve">Coles, R.G., McKenzie, L.J., and Yoshida, R.L. 2001b, Validation and GIS of seagrass surveys between Bowen and Water Park Point– March/April 1987. CD Rom. </w:t>
      </w:r>
      <w:bookmarkEnd w:id="895"/>
    </w:p>
    <w:p w:rsidR="00964A70" w:rsidRPr="003C440C" w:rsidRDefault="00964A70" w:rsidP="00964A70">
      <w:pPr>
        <w:pStyle w:val="References"/>
        <w:spacing w:after="0"/>
        <w:ind w:left="720" w:hanging="720"/>
        <w:rPr>
          <w:noProof/>
          <w:color w:val="000000"/>
        </w:rPr>
      </w:pPr>
      <w:bookmarkStart w:id="896" w:name="_ENREF_40"/>
      <w:r w:rsidRPr="003C440C">
        <w:rPr>
          <w:noProof/>
          <w:color w:val="000000"/>
        </w:rPr>
        <w:t xml:space="preserve">Coles, R.G., McKenzie, L.J., and Yoshida, R.L. 2001c, Validation and GIS of seagrass surveys between Cape York and Cairns - November 1984. CD Rom. </w:t>
      </w:r>
      <w:bookmarkEnd w:id="896"/>
    </w:p>
    <w:p w:rsidR="00964A70" w:rsidRPr="003C440C" w:rsidRDefault="00964A70" w:rsidP="00964A70">
      <w:pPr>
        <w:pStyle w:val="References"/>
        <w:spacing w:after="0"/>
        <w:ind w:left="720" w:hanging="720"/>
        <w:rPr>
          <w:noProof/>
          <w:color w:val="000000"/>
        </w:rPr>
      </w:pPr>
      <w:bookmarkStart w:id="897" w:name="_ENREF_41"/>
      <w:r w:rsidRPr="003C440C">
        <w:rPr>
          <w:noProof/>
          <w:color w:val="000000"/>
        </w:rPr>
        <w:t xml:space="preserve">Coles, R.G., McKenzie, L.J., and Yoshida, R.L. 2001d, Validation and GIS of seagrass surveys between Water Park Point and Hervey Bay – October/November 1988. CD Rom. </w:t>
      </w:r>
      <w:bookmarkEnd w:id="897"/>
    </w:p>
    <w:p w:rsidR="00964A70" w:rsidRPr="003C440C" w:rsidRDefault="00964A70" w:rsidP="00964A70">
      <w:pPr>
        <w:pStyle w:val="References"/>
        <w:spacing w:after="0"/>
        <w:ind w:left="720" w:hanging="720"/>
        <w:rPr>
          <w:noProof/>
          <w:color w:val="000000"/>
        </w:rPr>
      </w:pPr>
      <w:bookmarkStart w:id="898" w:name="_ENREF_42"/>
      <w:r w:rsidRPr="003C440C">
        <w:rPr>
          <w:noProof/>
          <w:color w:val="000000"/>
        </w:rPr>
        <w:t xml:space="preserve">Collier, C., and Waycott, M. 2009, Drivers of change to seagrass distributions and communities on the Great Barrier Reef: Literature review and gaps analysis. </w:t>
      </w:r>
      <w:r w:rsidRPr="003C440C">
        <w:rPr>
          <w:i/>
          <w:noProof/>
          <w:color w:val="000000"/>
        </w:rPr>
        <w:t>Report to the Marine and Tropical Sciences Research Facility</w:t>
      </w:r>
      <w:r w:rsidRPr="003C440C">
        <w:rPr>
          <w:noProof/>
          <w:color w:val="000000"/>
        </w:rPr>
        <w:t xml:space="preserve">. </w:t>
      </w:r>
      <w:bookmarkEnd w:id="898"/>
    </w:p>
    <w:p w:rsidR="00964A70" w:rsidRPr="003C440C" w:rsidRDefault="00964A70" w:rsidP="00964A70">
      <w:pPr>
        <w:pStyle w:val="References"/>
        <w:spacing w:after="0"/>
        <w:ind w:left="720" w:hanging="720"/>
        <w:rPr>
          <w:noProof/>
          <w:color w:val="000000"/>
        </w:rPr>
      </w:pPr>
      <w:bookmarkStart w:id="899" w:name="_ENREF_43"/>
      <w:r w:rsidRPr="003C440C">
        <w:rPr>
          <w:noProof/>
          <w:color w:val="000000"/>
        </w:rPr>
        <w:t xml:space="preserve">Collier, C.J., Lavery, P.S., Ralph, P.J., and Masini, R.J. 2009, Shade-induced response and recovery of the seagrass Posidonia sinuosa. </w:t>
      </w:r>
      <w:r w:rsidRPr="003C440C">
        <w:rPr>
          <w:i/>
          <w:noProof/>
          <w:color w:val="000000"/>
        </w:rPr>
        <w:t>Journal of Experimental Marine Biology and Ecology, 370</w:t>
      </w:r>
      <w:r w:rsidRPr="003C440C">
        <w:rPr>
          <w:noProof/>
          <w:color w:val="000000"/>
        </w:rPr>
        <w:t>(1–2), 89-103. doi: http://dx.doi.org/10.1016/j.jembe.2008.12.003</w:t>
      </w:r>
      <w:bookmarkEnd w:id="899"/>
    </w:p>
    <w:p w:rsidR="00964A70" w:rsidRPr="003C440C" w:rsidRDefault="00964A70" w:rsidP="00964A70">
      <w:pPr>
        <w:pStyle w:val="References"/>
        <w:spacing w:after="0"/>
        <w:ind w:left="720" w:hanging="720"/>
        <w:rPr>
          <w:noProof/>
          <w:color w:val="000000"/>
        </w:rPr>
      </w:pPr>
      <w:bookmarkStart w:id="900" w:name="_ENREF_44"/>
      <w:r w:rsidRPr="003C440C">
        <w:rPr>
          <w:noProof/>
          <w:color w:val="000000"/>
        </w:rPr>
        <w:t xml:space="preserve">Collier, C.J., Waycott, M., and Giraldo-Ospina, A. 2012a, Responses of four Indo-West Pacific seagrass species to shading. </w:t>
      </w:r>
      <w:r w:rsidRPr="003C440C">
        <w:rPr>
          <w:i/>
          <w:noProof/>
          <w:color w:val="000000"/>
        </w:rPr>
        <w:t>Marine Pollution Bulletin, 65</w:t>
      </w:r>
      <w:r w:rsidRPr="003C440C">
        <w:rPr>
          <w:noProof/>
          <w:color w:val="000000"/>
        </w:rPr>
        <w:t xml:space="preserve">(4-9), 342-354. </w:t>
      </w:r>
      <w:bookmarkEnd w:id="900"/>
    </w:p>
    <w:p w:rsidR="00964A70" w:rsidRPr="003C440C" w:rsidRDefault="00964A70" w:rsidP="00964A70">
      <w:pPr>
        <w:pStyle w:val="References"/>
        <w:spacing w:after="0"/>
        <w:ind w:left="720" w:hanging="720"/>
        <w:rPr>
          <w:noProof/>
          <w:color w:val="000000"/>
        </w:rPr>
      </w:pPr>
      <w:bookmarkStart w:id="901" w:name="_ENREF_45"/>
      <w:r w:rsidRPr="003C440C">
        <w:rPr>
          <w:noProof/>
          <w:color w:val="000000"/>
        </w:rPr>
        <w:t xml:space="preserve">Collier, C.J., Waycott, M., and McKenzie, L.J. 2012b, Light thresholds derived from seagrass loss in the coastal zone of the northern Great Barrier Reef, Australia. </w:t>
      </w:r>
      <w:r w:rsidRPr="003C440C">
        <w:rPr>
          <w:i/>
          <w:noProof/>
          <w:color w:val="000000"/>
        </w:rPr>
        <w:t>Ecological Indicators, 23</w:t>
      </w:r>
      <w:r w:rsidRPr="003C440C">
        <w:rPr>
          <w:noProof/>
          <w:color w:val="000000"/>
        </w:rPr>
        <w:t>(0), 211-219. doi: 10.1016/j.ecolind.2012.04.005</w:t>
      </w:r>
      <w:bookmarkEnd w:id="901"/>
    </w:p>
    <w:p w:rsidR="00964A70" w:rsidRPr="003C440C" w:rsidRDefault="00964A70" w:rsidP="00964A70">
      <w:pPr>
        <w:pStyle w:val="References"/>
        <w:spacing w:after="0"/>
        <w:ind w:left="720" w:hanging="720"/>
        <w:rPr>
          <w:noProof/>
          <w:color w:val="000000"/>
        </w:rPr>
      </w:pPr>
      <w:bookmarkStart w:id="902" w:name="_ENREF_46"/>
      <w:r w:rsidRPr="003C440C">
        <w:rPr>
          <w:noProof/>
          <w:color w:val="000000"/>
        </w:rPr>
        <w:t>Commonwealth of Australia. (2013a). Burdekin Natural Resource Management region, http://www.nrm.gov.au/about/nrm/regions/qld-burd.html  Retrieved 18 February 2014, from http://www.nrm.gov.au/about/nrm/regions/qld-burd.html</w:t>
      </w:r>
      <w:bookmarkEnd w:id="902"/>
    </w:p>
    <w:p w:rsidR="00964A70" w:rsidRPr="003C440C" w:rsidRDefault="00964A70" w:rsidP="00964A70">
      <w:pPr>
        <w:pStyle w:val="References"/>
        <w:spacing w:after="0"/>
        <w:ind w:left="720" w:hanging="720"/>
        <w:rPr>
          <w:noProof/>
          <w:color w:val="000000"/>
        </w:rPr>
      </w:pPr>
      <w:bookmarkStart w:id="903" w:name="_ENREF_47"/>
      <w:r w:rsidRPr="003C440C">
        <w:rPr>
          <w:noProof/>
          <w:color w:val="000000"/>
        </w:rPr>
        <w:t>Commonwealth of Australia. (2013b). Burnett Mary Natural Resource Management region, http://www.nrm.gov.au/about/nrm/regions/qld-bmar.html  Retrieved 18 February 2014, from http://www.nrm.gov.au/about/nrm/regions/qld-fitz.html</w:t>
      </w:r>
      <w:bookmarkEnd w:id="903"/>
    </w:p>
    <w:p w:rsidR="00964A70" w:rsidRPr="003C440C" w:rsidRDefault="00964A70" w:rsidP="00964A70">
      <w:pPr>
        <w:pStyle w:val="References"/>
        <w:spacing w:after="0"/>
        <w:ind w:left="720" w:hanging="720"/>
        <w:rPr>
          <w:noProof/>
          <w:color w:val="000000"/>
        </w:rPr>
      </w:pPr>
      <w:bookmarkStart w:id="904" w:name="_ENREF_48"/>
      <w:r w:rsidRPr="003C440C">
        <w:rPr>
          <w:noProof/>
          <w:color w:val="000000"/>
        </w:rPr>
        <w:t>Commonwealth of Australia. (2013c). Fitzroy Natural Resource Management region, http://www.nrm.gov.au/about/nrm/regions/qld-fitz.html  Retrieved 18 February 2014, from http://www.nrm.gov.au/about/nrm/regions/qld-fitz.html</w:t>
      </w:r>
      <w:bookmarkEnd w:id="904"/>
    </w:p>
    <w:p w:rsidR="00964A70" w:rsidRPr="003C440C" w:rsidRDefault="00964A70" w:rsidP="00964A70">
      <w:pPr>
        <w:pStyle w:val="References"/>
        <w:spacing w:after="0"/>
        <w:ind w:left="720" w:hanging="720"/>
        <w:rPr>
          <w:noProof/>
          <w:color w:val="000000"/>
        </w:rPr>
      </w:pPr>
      <w:bookmarkStart w:id="905" w:name="_ENREF_49"/>
      <w:r w:rsidRPr="003C440C">
        <w:rPr>
          <w:noProof/>
          <w:color w:val="000000"/>
        </w:rPr>
        <w:t>Commonwealth of Australia. (2013d). Mackay Whitsunday Natural Resource Management region, http://www.nrm.gov.au/about/nrm/regions/qld-mwhs.html  Retrieved 18 February 2014, from http://www.nrm.gov.au/about/nrm/regions/qld-mwhs.html</w:t>
      </w:r>
      <w:bookmarkEnd w:id="905"/>
    </w:p>
    <w:p w:rsidR="00964A70" w:rsidRPr="003C440C" w:rsidRDefault="00964A70" w:rsidP="00964A70">
      <w:pPr>
        <w:pStyle w:val="References"/>
        <w:spacing w:after="0"/>
        <w:ind w:left="720" w:hanging="720"/>
        <w:rPr>
          <w:noProof/>
          <w:color w:val="000000"/>
        </w:rPr>
      </w:pPr>
      <w:bookmarkStart w:id="906" w:name="_ENREF_50"/>
      <w:r w:rsidRPr="003C440C">
        <w:rPr>
          <w:noProof/>
          <w:color w:val="000000"/>
        </w:rPr>
        <w:lastRenderedPageBreak/>
        <w:t>Commonwealth of Australia. (2013e). Wet Tropics Natural Resource Management region, http://www.nrm.gov.au/about/nrm/regions/qld-wetr.html  Retrieved 18 February 2014, from http://www.nrm.gov.au/about/nrm/regions/qld-wetr.html</w:t>
      </w:r>
      <w:bookmarkEnd w:id="906"/>
    </w:p>
    <w:p w:rsidR="00964A70" w:rsidRPr="003C440C" w:rsidRDefault="00964A70" w:rsidP="00964A70">
      <w:pPr>
        <w:pStyle w:val="References"/>
        <w:spacing w:after="0"/>
        <w:ind w:left="720" w:hanging="720"/>
        <w:rPr>
          <w:noProof/>
          <w:color w:val="000000"/>
        </w:rPr>
      </w:pPr>
      <w:bookmarkStart w:id="907" w:name="_ENREF_51"/>
      <w:r w:rsidRPr="003C440C">
        <w:rPr>
          <w:noProof/>
          <w:color w:val="000000"/>
        </w:rPr>
        <w:t xml:space="preserve">Connolly, R., Jenkins, G., and Loneragan, N. (1999). Seagrass Dynamics and fisheries sustainability. In A Butler &amp; P Jernacoff (Eds.), </w:t>
      </w:r>
      <w:r w:rsidRPr="003C440C">
        <w:rPr>
          <w:i/>
          <w:noProof/>
          <w:color w:val="000000"/>
        </w:rPr>
        <w:t>Seagrasses in Australia</w:t>
      </w:r>
      <w:r w:rsidRPr="003C440C">
        <w:rPr>
          <w:noProof/>
          <w:color w:val="000000"/>
        </w:rPr>
        <w:t xml:space="preserve"> (pp. 25-64). Melbourne: CSIRO.</w:t>
      </w:r>
      <w:bookmarkEnd w:id="907"/>
    </w:p>
    <w:p w:rsidR="00964A70" w:rsidRPr="003C440C" w:rsidRDefault="00964A70" w:rsidP="00964A70">
      <w:pPr>
        <w:pStyle w:val="References"/>
        <w:spacing w:after="0"/>
        <w:ind w:left="720" w:hanging="720"/>
        <w:rPr>
          <w:noProof/>
          <w:color w:val="000000"/>
        </w:rPr>
      </w:pPr>
      <w:bookmarkStart w:id="908" w:name="_ENREF_52"/>
      <w:r w:rsidRPr="003C440C">
        <w:rPr>
          <w:noProof/>
          <w:color w:val="000000"/>
        </w:rPr>
        <w:t xml:space="preserve">Costanzo, S.D. (2001). </w:t>
      </w:r>
      <w:r w:rsidRPr="003C440C">
        <w:rPr>
          <w:i/>
          <w:noProof/>
          <w:color w:val="000000"/>
        </w:rPr>
        <w:t>Development of indicators for assessing and monitoring nutrient influences in coastal waters.</w:t>
      </w:r>
      <w:r w:rsidRPr="003C440C">
        <w:rPr>
          <w:noProof/>
          <w:color w:val="000000"/>
        </w:rPr>
        <w:t xml:space="preserve"> PhD University of Queensland, Brisbane, Australia.   </w:t>
      </w:r>
      <w:bookmarkEnd w:id="908"/>
    </w:p>
    <w:p w:rsidR="00964A70" w:rsidRPr="003C440C" w:rsidRDefault="00964A70" w:rsidP="00964A70">
      <w:pPr>
        <w:pStyle w:val="References"/>
        <w:spacing w:after="0"/>
        <w:ind w:left="720" w:hanging="720"/>
        <w:rPr>
          <w:noProof/>
          <w:color w:val="000000"/>
        </w:rPr>
      </w:pPr>
      <w:bookmarkStart w:id="909" w:name="_ENREF_53"/>
      <w:r w:rsidRPr="003C440C">
        <w:rPr>
          <w:noProof/>
          <w:color w:val="000000"/>
        </w:rPr>
        <w:t xml:space="preserve">Costanzo, S.D., O'Donnohue, M.K., and Dennison, W.C. 2003, Assessing the seasonal influence of sewage and agricultural nutrient inputs in a subtropical river estuary. </w:t>
      </w:r>
      <w:r w:rsidRPr="003C440C">
        <w:rPr>
          <w:i/>
          <w:noProof/>
          <w:color w:val="000000"/>
        </w:rPr>
        <w:t>Estuaries And Coasts, 26</w:t>
      </w:r>
      <w:r w:rsidRPr="003C440C">
        <w:rPr>
          <w:noProof/>
          <w:color w:val="000000"/>
        </w:rPr>
        <w:t xml:space="preserve">(4A), 857–865. </w:t>
      </w:r>
      <w:bookmarkEnd w:id="909"/>
    </w:p>
    <w:p w:rsidR="00964A70" w:rsidRPr="003C440C" w:rsidRDefault="00964A70" w:rsidP="00964A70">
      <w:pPr>
        <w:pStyle w:val="References"/>
        <w:spacing w:after="0"/>
        <w:ind w:left="720" w:hanging="720"/>
        <w:rPr>
          <w:noProof/>
          <w:color w:val="000000"/>
        </w:rPr>
      </w:pPr>
      <w:bookmarkStart w:id="910" w:name="_ENREF_54"/>
      <w:r w:rsidRPr="003C440C">
        <w:rPr>
          <w:noProof/>
          <w:color w:val="000000"/>
        </w:rPr>
        <w:t xml:space="preserve">Costanzo, S.D., O'Donohue, M.J., Dennison, W.C., Loneragan, N.R., and Thomas, M. 2001, A new approach for detecting and mapping sewage impacts. </w:t>
      </w:r>
      <w:r w:rsidRPr="003C440C">
        <w:rPr>
          <w:i/>
          <w:noProof/>
          <w:color w:val="000000"/>
        </w:rPr>
        <w:t>Marine Pollution Bulletin, 42</w:t>
      </w:r>
      <w:r w:rsidRPr="003C440C">
        <w:rPr>
          <w:noProof/>
          <w:color w:val="000000"/>
        </w:rPr>
        <w:t xml:space="preserve">(2), 149-156. </w:t>
      </w:r>
      <w:bookmarkEnd w:id="910"/>
    </w:p>
    <w:p w:rsidR="00964A70" w:rsidRPr="003C440C" w:rsidRDefault="00964A70" w:rsidP="00964A70">
      <w:pPr>
        <w:pStyle w:val="References"/>
        <w:spacing w:after="0"/>
        <w:ind w:left="720" w:hanging="720"/>
        <w:rPr>
          <w:noProof/>
          <w:color w:val="000000"/>
        </w:rPr>
      </w:pPr>
      <w:bookmarkStart w:id="911" w:name="_ENREF_55"/>
      <w:r w:rsidRPr="003C440C">
        <w:rPr>
          <w:noProof/>
          <w:color w:val="000000"/>
        </w:rPr>
        <w:t>Costanzo, S.D., Udy, J., Longstaff, B., and Jones, A. 2005, Using nitrogen stable isotope ratios (δ</w:t>
      </w:r>
      <w:r w:rsidRPr="003C440C">
        <w:rPr>
          <w:noProof/>
          <w:color w:val="000000"/>
          <w:vertAlign w:val="superscript"/>
        </w:rPr>
        <w:t>15</w:t>
      </w:r>
      <w:r w:rsidRPr="003C440C">
        <w:rPr>
          <w:noProof/>
          <w:color w:val="000000"/>
        </w:rPr>
        <w:t xml:space="preserve">N) of macroalgae to determine the effectiveness of sewage upgrades: changes in the extent of sewage plumes over four years in Moreton Bay, Australia. </w:t>
      </w:r>
      <w:r w:rsidRPr="003C440C">
        <w:rPr>
          <w:i/>
          <w:noProof/>
          <w:color w:val="000000"/>
        </w:rPr>
        <w:t>Marine Pollution Bulletin, 51</w:t>
      </w:r>
      <w:r w:rsidRPr="003C440C">
        <w:rPr>
          <w:noProof/>
          <w:color w:val="000000"/>
        </w:rPr>
        <w:t xml:space="preserve">, 212–217. </w:t>
      </w:r>
      <w:bookmarkEnd w:id="911"/>
    </w:p>
    <w:p w:rsidR="00964A70" w:rsidRPr="003C440C" w:rsidRDefault="00964A70" w:rsidP="00964A70">
      <w:pPr>
        <w:pStyle w:val="References"/>
        <w:spacing w:after="0"/>
        <w:ind w:left="720" w:hanging="720"/>
        <w:rPr>
          <w:noProof/>
          <w:color w:val="000000"/>
        </w:rPr>
      </w:pPr>
      <w:bookmarkStart w:id="912" w:name="_ENREF_56"/>
      <w:r w:rsidRPr="003C440C">
        <w:rPr>
          <w:noProof/>
          <w:color w:val="000000"/>
        </w:rPr>
        <w:t xml:space="preserve">De’ath, G. (2005). </w:t>
      </w:r>
      <w:r w:rsidRPr="003C440C">
        <w:rPr>
          <w:i/>
          <w:noProof/>
          <w:color w:val="000000"/>
        </w:rPr>
        <w:t>Water Quality Monitoring: From River to Reef</w:t>
      </w:r>
      <w:r w:rsidRPr="003C440C">
        <w:rPr>
          <w:noProof/>
          <w:color w:val="000000"/>
        </w:rPr>
        <w:t>. Townsville: AIMS.</w:t>
      </w:r>
      <w:bookmarkEnd w:id="912"/>
    </w:p>
    <w:p w:rsidR="00964A70" w:rsidRPr="003C440C" w:rsidRDefault="00964A70" w:rsidP="00964A70">
      <w:pPr>
        <w:pStyle w:val="References"/>
        <w:spacing w:after="0"/>
        <w:ind w:left="720" w:hanging="720"/>
        <w:rPr>
          <w:noProof/>
          <w:color w:val="000000"/>
        </w:rPr>
      </w:pPr>
      <w:bookmarkStart w:id="913" w:name="_ENREF_57"/>
      <w:r w:rsidRPr="003C440C">
        <w:rPr>
          <w:noProof/>
          <w:color w:val="000000"/>
        </w:rPr>
        <w:t xml:space="preserve">Deis, D.R. (2000). Monitoring the effects of construction and operation of a marina on the seagrass </w:t>
      </w:r>
      <w:r w:rsidRPr="003C440C">
        <w:rPr>
          <w:i/>
          <w:noProof/>
          <w:color w:val="000000"/>
        </w:rPr>
        <w:t>Halophila decipiens</w:t>
      </w:r>
      <w:r w:rsidRPr="003C440C">
        <w:rPr>
          <w:noProof/>
          <w:color w:val="000000"/>
        </w:rPr>
        <w:t xml:space="preserve"> in Ft. Lauderdale, Florida. In SA Bortone (Ed.), </w:t>
      </w:r>
      <w:r w:rsidRPr="003C440C">
        <w:rPr>
          <w:i/>
          <w:noProof/>
          <w:color w:val="000000"/>
        </w:rPr>
        <w:t>Seagrasses: Monitoring, Ecology, Physiology and Management</w:t>
      </w:r>
      <w:r w:rsidRPr="003C440C">
        <w:rPr>
          <w:noProof/>
          <w:color w:val="000000"/>
        </w:rPr>
        <w:t xml:space="preserve"> (pp. 147–155). Boca Raton, FL, USA: CRC.</w:t>
      </w:r>
      <w:bookmarkEnd w:id="913"/>
    </w:p>
    <w:p w:rsidR="00964A70" w:rsidRPr="003C440C" w:rsidRDefault="00964A70" w:rsidP="00964A70">
      <w:pPr>
        <w:pStyle w:val="References"/>
        <w:spacing w:after="0"/>
        <w:ind w:left="720" w:hanging="720"/>
        <w:rPr>
          <w:noProof/>
          <w:color w:val="000000"/>
        </w:rPr>
      </w:pPr>
      <w:bookmarkStart w:id="914" w:name="_ENREF_58"/>
      <w:r w:rsidRPr="003C440C">
        <w:rPr>
          <w:noProof/>
          <w:color w:val="000000"/>
        </w:rPr>
        <w:t xml:space="preserve">Dennison, W.C. 1987, Effects of light on seagrass photosynthesis, growth and depth distribution. </w:t>
      </w:r>
      <w:r w:rsidRPr="003C440C">
        <w:rPr>
          <w:i/>
          <w:noProof/>
          <w:color w:val="000000"/>
        </w:rPr>
        <w:t>Aquatic Botany, 27</w:t>
      </w:r>
      <w:r w:rsidRPr="003C440C">
        <w:rPr>
          <w:noProof/>
          <w:color w:val="000000"/>
        </w:rPr>
        <w:t xml:space="preserve">, 15-26. </w:t>
      </w:r>
      <w:bookmarkEnd w:id="914"/>
    </w:p>
    <w:p w:rsidR="00964A70" w:rsidRPr="003C440C" w:rsidRDefault="00964A70" w:rsidP="00964A70">
      <w:pPr>
        <w:pStyle w:val="References"/>
        <w:spacing w:after="0"/>
        <w:ind w:left="720" w:hanging="720"/>
        <w:rPr>
          <w:noProof/>
          <w:color w:val="000000"/>
        </w:rPr>
      </w:pPr>
      <w:bookmarkStart w:id="915" w:name="_ENREF_59"/>
      <w:r w:rsidRPr="003C440C">
        <w:rPr>
          <w:noProof/>
          <w:color w:val="000000"/>
        </w:rPr>
        <w:t xml:space="preserve">Dennison, W.C., and Abal, E.G. (1999). </w:t>
      </w:r>
      <w:r w:rsidRPr="003C440C">
        <w:rPr>
          <w:i/>
          <w:noProof/>
          <w:color w:val="000000"/>
        </w:rPr>
        <w:t>Moreton Bay Study: a scientific basis for the healthy waterways campaign</w:t>
      </w:r>
      <w:r w:rsidRPr="003C440C">
        <w:rPr>
          <w:noProof/>
          <w:color w:val="000000"/>
        </w:rPr>
        <w:t>. Brisbane: South East Queensland Regional Water Quality Management Team.</w:t>
      </w:r>
      <w:bookmarkEnd w:id="915"/>
    </w:p>
    <w:p w:rsidR="00964A70" w:rsidRPr="003C440C" w:rsidRDefault="00964A70" w:rsidP="00964A70">
      <w:pPr>
        <w:pStyle w:val="References"/>
        <w:spacing w:after="0"/>
        <w:ind w:left="720" w:hanging="720"/>
        <w:rPr>
          <w:noProof/>
          <w:color w:val="000000"/>
        </w:rPr>
      </w:pPr>
      <w:bookmarkStart w:id="916" w:name="_ENREF_60"/>
      <w:r w:rsidRPr="003C440C">
        <w:rPr>
          <w:noProof/>
          <w:color w:val="000000"/>
        </w:rPr>
        <w:t xml:space="preserve">Dennison, W.C., Longstaff, B.J., and O'Donohue, M.J. (1997). Seagrasses as Bio-indicators. In S Hillman &amp; S Raaymakers (Eds.), </w:t>
      </w:r>
      <w:r w:rsidRPr="003C440C">
        <w:rPr>
          <w:i/>
          <w:noProof/>
          <w:color w:val="000000"/>
        </w:rPr>
        <w:t>Karumba dredging 1996 - Environmental Monitoring Report. EcoPorts Monograph Series No.6</w:t>
      </w:r>
      <w:r w:rsidRPr="003C440C">
        <w:rPr>
          <w:noProof/>
          <w:color w:val="000000"/>
        </w:rPr>
        <w:t xml:space="preserve"> (pp. 255). Brisbane: Ports Corporation of Queensland.</w:t>
      </w:r>
      <w:bookmarkEnd w:id="916"/>
    </w:p>
    <w:p w:rsidR="00964A70" w:rsidRPr="003C440C" w:rsidRDefault="00964A70" w:rsidP="00964A70">
      <w:pPr>
        <w:pStyle w:val="References"/>
        <w:spacing w:after="0"/>
        <w:ind w:left="720" w:hanging="720"/>
        <w:rPr>
          <w:noProof/>
          <w:color w:val="000000"/>
        </w:rPr>
      </w:pPr>
      <w:bookmarkStart w:id="917" w:name="_ENREF_61"/>
      <w:r w:rsidRPr="003C440C">
        <w:rPr>
          <w:noProof/>
          <w:color w:val="000000"/>
        </w:rPr>
        <w:t xml:space="preserve">Dennison, W.C., O'Donnohue, M.K., and Abal, E.G. (1995). </w:t>
      </w:r>
      <w:r w:rsidRPr="003C440C">
        <w:rPr>
          <w:i/>
          <w:noProof/>
          <w:color w:val="000000"/>
        </w:rPr>
        <w:t>An assessment of nutrient bioindicators using marine plants in the region of Pioneer Bay, Airlie Beach, Queensland. Dry season sampling, September 1995</w:t>
      </w:r>
      <w:r w:rsidRPr="003C440C">
        <w:rPr>
          <w:noProof/>
          <w:color w:val="000000"/>
        </w:rPr>
        <w:t>. Brisbane: Marine Botany Section, Department of Botany, University of Queensland.</w:t>
      </w:r>
      <w:bookmarkEnd w:id="917"/>
    </w:p>
    <w:p w:rsidR="00964A70" w:rsidRPr="003C440C" w:rsidRDefault="00964A70" w:rsidP="00964A70">
      <w:pPr>
        <w:pStyle w:val="References"/>
        <w:spacing w:after="0"/>
        <w:ind w:left="720" w:hanging="720"/>
        <w:rPr>
          <w:noProof/>
          <w:color w:val="000000"/>
        </w:rPr>
      </w:pPr>
      <w:bookmarkStart w:id="918" w:name="_ENREF_62"/>
      <w:r w:rsidRPr="003C440C">
        <w:rPr>
          <w:noProof/>
          <w:color w:val="000000"/>
        </w:rPr>
        <w:t xml:space="preserve">Department of Environment and Resource Management. (2009). </w:t>
      </w:r>
      <w:r w:rsidRPr="003C440C">
        <w:rPr>
          <w:i/>
          <w:noProof/>
          <w:color w:val="000000"/>
        </w:rPr>
        <w:t>Queensland Water Quality Guidelines, Version 3. ISBN 978-0-9806986-0-2</w:t>
      </w:r>
      <w:r w:rsidRPr="003C440C">
        <w:rPr>
          <w:noProof/>
          <w:color w:val="000000"/>
        </w:rPr>
        <w:t>.</w:t>
      </w:r>
      <w:bookmarkEnd w:id="918"/>
    </w:p>
    <w:p w:rsidR="00964A70" w:rsidRPr="003C440C" w:rsidRDefault="00964A70" w:rsidP="00964A70">
      <w:pPr>
        <w:pStyle w:val="References"/>
        <w:spacing w:after="0"/>
        <w:ind w:left="720" w:hanging="720"/>
        <w:rPr>
          <w:noProof/>
          <w:color w:val="000000"/>
        </w:rPr>
      </w:pPr>
      <w:bookmarkStart w:id="919" w:name="_ENREF_63"/>
      <w:r w:rsidRPr="003C440C">
        <w:rPr>
          <w:noProof/>
          <w:color w:val="000000"/>
        </w:rPr>
        <w:t xml:space="preserve">Devlin, M., Collier, C., McKenzie, L., Petus, C., and Waycott, M. (2013). </w:t>
      </w:r>
      <w:r w:rsidRPr="003C440C">
        <w:rPr>
          <w:i/>
          <w:noProof/>
          <w:color w:val="000000"/>
        </w:rPr>
        <w:t>Large scale water quality impacts on seagrass communities in the Great Barrier Reef.</w:t>
      </w:r>
      <w:r w:rsidRPr="003C440C">
        <w:rPr>
          <w:noProof/>
          <w:color w:val="000000"/>
        </w:rPr>
        <w:t xml:space="preserve"> Paper presented at the CERF 2013, 22nd Biennial Conference of the Coast al and Estuarine Research Federation Abstracts. 3-7 November 2013, , San Diego, California, USA. Session SCI-042A.</w:t>
      </w:r>
      <w:bookmarkEnd w:id="919"/>
    </w:p>
    <w:p w:rsidR="00964A70" w:rsidRPr="003C440C" w:rsidRDefault="00964A70" w:rsidP="00964A70">
      <w:pPr>
        <w:pStyle w:val="References"/>
        <w:spacing w:after="0"/>
        <w:ind w:left="720" w:hanging="720"/>
        <w:rPr>
          <w:noProof/>
          <w:color w:val="000000"/>
        </w:rPr>
      </w:pPr>
      <w:bookmarkStart w:id="920" w:name="_ENREF_64"/>
      <w:r w:rsidRPr="003C440C">
        <w:rPr>
          <w:noProof/>
          <w:color w:val="000000"/>
        </w:rPr>
        <w:t xml:space="preserve">Devlin, M., and Schaffelke, B. 2009, Spatial extent of riverine flood plumes and exposure of marine ecosystems in the Tully coastal region, Great Barrier Reef. </w:t>
      </w:r>
      <w:r w:rsidRPr="003C440C">
        <w:rPr>
          <w:i/>
          <w:noProof/>
          <w:color w:val="000000"/>
        </w:rPr>
        <w:t>Marine and Freshwater Research, 60</w:t>
      </w:r>
      <w:r w:rsidRPr="003C440C">
        <w:rPr>
          <w:noProof/>
          <w:color w:val="000000"/>
        </w:rPr>
        <w:t xml:space="preserve">, 1109–1122. </w:t>
      </w:r>
      <w:bookmarkEnd w:id="920"/>
    </w:p>
    <w:p w:rsidR="00964A70" w:rsidRPr="003C440C" w:rsidRDefault="00964A70" w:rsidP="00964A70">
      <w:pPr>
        <w:pStyle w:val="References"/>
        <w:spacing w:after="0"/>
        <w:ind w:left="720" w:hanging="720"/>
        <w:rPr>
          <w:noProof/>
          <w:color w:val="000000"/>
        </w:rPr>
      </w:pPr>
      <w:bookmarkStart w:id="921" w:name="_ENREF_65"/>
      <w:r w:rsidRPr="003C440C">
        <w:rPr>
          <w:noProof/>
          <w:color w:val="000000"/>
        </w:rPr>
        <w:t xml:space="preserve">Devlin, M., Waterhouse, J., Taylor, J., and Brodie, J. 2001, Flood plumes in the Great Barrier Reef: Spatial and temporal patterns in composition and distribution. </w:t>
      </w:r>
      <w:bookmarkEnd w:id="921"/>
    </w:p>
    <w:p w:rsidR="00964A70" w:rsidRPr="003C440C" w:rsidRDefault="00964A70" w:rsidP="00964A70">
      <w:pPr>
        <w:pStyle w:val="References"/>
        <w:spacing w:after="0"/>
        <w:ind w:left="720" w:hanging="720"/>
        <w:rPr>
          <w:noProof/>
          <w:color w:val="000000"/>
        </w:rPr>
      </w:pPr>
      <w:bookmarkStart w:id="922" w:name="_ENREF_66"/>
      <w:r w:rsidRPr="003C440C">
        <w:rPr>
          <w:noProof/>
          <w:color w:val="000000"/>
        </w:rPr>
        <w:lastRenderedPageBreak/>
        <w:t xml:space="preserve">Duarte, C.M. 1990, Seagrass nutrient content. </w:t>
      </w:r>
      <w:r w:rsidRPr="003C440C">
        <w:rPr>
          <w:i/>
          <w:noProof/>
          <w:color w:val="000000"/>
        </w:rPr>
        <w:t>Marine Ecology Progress Series, 67</w:t>
      </w:r>
      <w:r w:rsidRPr="003C440C">
        <w:rPr>
          <w:noProof/>
          <w:color w:val="000000"/>
        </w:rPr>
        <w:t xml:space="preserve">(1), 201-207. </w:t>
      </w:r>
      <w:bookmarkEnd w:id="922"/>
    </w:p>
    <w:p w:rsidR="00964A70" w:rsidRPr="003C440C" w:rsidRDefault="00964A70" w:rsidP="00964A70">
      <w:pPr>
        <w:pStyle w:val="References"/>
        <w:spacing w:after="0"/>
        <w:ind w:left="720" w:hanging="720"/>
        <w:rPr>
          <w:noProof/>
          <w:color w:val="000000"/>
        </w:rPr>
      </w:pPr>
      <w:bookmarkStart w:id="923" w:name="_ENREF_67"/>
      <w:r w:rsidRPr="003C440C">
        <w:rPr>
          <w:noProof/>
          <w:color w:val="000000"/>
        </w:rPr>
        <w:t xml:space="preserve">Duarte, C.M., Middelburg, J., and Caraco, N. 2005, Major role of marine vegetation on the oceanic carbon cycle. </w:t>
      </w:r>
      <w:r w:rsidRPr="003C440C">
        <w:rPr>
          <w:i/>
          <w:noProof/>
          <w:color w:val="000000"/>
        </w:rPr>
        <w:t>Biogeosciences, 2</w:t>
      </w:r>
      <w:r w:rsidRPr="003C440C">
        <w:rPr>
          <w:noProof/>
          <w:color w:val="000000"/>
        </w:rPr>
        <w:t xml:space="preserve">(1-8). </w:t>
      </w:r>
      <w:bookmarkEnd w:id="923"/>
    </w:p>
    <w:p w:rsidR="00964A70" w:rsidRPr="003C440C" w:rsidRDefault="00964A70" w:rsidP="00964A70">
      <w:pPr>
        <w:pStyle w:val="References"/>
        <w:spacing w:after="0"/>
        <w:ind w:left="720" w:hanging="720"/>
        <w:rPr>
          <w:noProof/>
          <w:color w:val="000000"/>
        </w:rPr>
      </w:pPr>
      <w:bookmarkStart w:id="924" w:name="_ENREF_68"/>
      <w:r w:rsidRPr="003C440C">
        <w:rPr>
          <w:noProof/>
          <w:color w:val="000000"/>
        </w:rPr>
        <w:t xml:space="preserve">Earth Tech. (2005). </w:t>
      </w:r>
      <w:r w:rsidRPr="003C440C">
        <w:rPr>
          <w:i/>
          <w:noProof/>
          <w:color w:val="000000"/>
        </w:rPr>
        <w:t>Cape York Peninsula Natural Resource Management Plan</w:t>
      </w:r>
      <w:r w:rsidRPr="003C440C">
        <w:rPr>
          <w:noProof/>
          <w:color w:val="000000"/>
        </w:rPr>
        <w:t>: Cape York Interim Advisory Group (February 2005).</w:t>
      </w:r>
      <w:bookmarkEnd w:id="924"/>
    </w:p>
    <w:p w:rsidR="00964A70" w:rsidRPr="003C440C" w:rsidRDefault="00964A70" w:rsidP="00964A70">
      <w:pPr>
        <w:pStyle w:val="References"/>
        <w:spacing w:after="0"/>
        <w:ind w:left="720" w:hanging="720"/>
        <w:rPr>
          <w:noProof/>
          <w:color w:val="000000"/>
        </w:rPr>
      </w:pPr>
      <w:bookmarkStart w:id="925" w:name="_ENREF_69"/>
      <w:r w:rsidRPr="003C440C">
        <w:rPr>
          <w:noProof/>
          <w:color w:val="000000"/>
        </w:rPr>
        <w:t xml:space="preserve">EHMP. (2008). </w:t>
      </w:r>
      <w:r w:rsidRPr="003C440C">
        <w:rPr>
          <w:i/>
          <w:noProof/>
          <w:color w:val="000000"/>
        </w:rPr>
        <w:t>Ecosystem Health Monitoring Program 2006-07: Annual Technical Report</w:t>
      </w:r>
      <w:r w:rsidRPr="003C440C">
        <w:rPr>
          <w:noProof/>
          <w:color w:val="000000"/>
        </w:rPr>
        <w:t>. Brisbane: South East Queensland Healthy Waterways Partnership.</w:t>
      </w:r>
      <w:bookmarkEnd w:id="925"/>
    </w:p>
    <w:p w:rsidR="00964A70" w:rsidRPr="003C440C" w:rsidRDefault="00964A70" w:rsidP="00964A70">
      <w:pPr>
        <w:pStyle w:val="References"/>
        <w:spacing w:after="0"/>
        <w:ind w:left="720" w:hanging="720"/>
        <w:rPr>
          <w:noProof/>
          <w:color w:val="000000"/>
        </w:rPr>
      </w:pPr>
      <w:bookmarkStart w:id="926" w:name="_ENREF_70"/>
      <w:r w:rsidRPr="003C440C">
        <w:rPr>
          <w:noProof/>
          <w:color w:val="000000"/>
        </w:rPr>
        <w:t xml:space="preserve">Eklof, J.S., de la Torre-Castro, M., Gullstrom, M., Uku, J., Muthiga, N., Lyimo, T., and Bandeira, S.O. 2008, Sea urchin overgrazing of seagrasses: A review of current knowledge on causes, consequences, and management. </w:t>
      </w:r>
      <w:r w:rsidRPr="003C440C">
        <w:rPr>
          <w:i/>
          <w:noProof/>
          <w:color w:val="000000"/>
        </w:rPr>
        <w:t>Estuarine Coastal And Shelf Science, 79</w:t>
      </w:r>
      <w:r w:rsidRPr="003C440C">
        <w:rPr>
          <w:noProof/>
          <w:color w:val="000000"/>
        </w:rPr>
        <w:t>(4), 569-580. doi: 10.1016/j.ecss.2008.05.005</w:t>
      </w:r>
      <w:bookmarkEnd w:id="926"/>
    </w:p>
    <w:p w:rsidR="00964A70" w:rsidRPr="003C440C" w:rsidRDefault="00964A70" w:rsidP="00964A70">
      <w:pPr>
        <w:pStyle w:val="References"/>
        <w:spacing w:after="0"/>
        <w:ind w:left="720" w:hanging="720"/>
        <w:rPr>
          <w:noProof/>
          <w:color w:val="000000"/>
        </w:rPr>
      </w:pPr>
      <w:bookmarkStart w:id="927" w:name="_ENREF_71"/>
      <w:r w:rsidRPr="003C440C">
        <w:rPr>
          <w:noProof/>
          <w:color w:val="000000"/>
        </w:rPr>
        <w:t xml:space="preserve">Engeman, R., Duquesnel, J.A., Cowan, E.M., Smith, H.T., Shwiff, S.A., and Karlin, M. 2008, Assessing boat damage to seagrass bed habitat in a Florida Park from a bioeconomics perspective. </w:t>
      </w:r>
      <w:r w:rsidRPr="003C440C">
        <w:rPr>
          <w:i/>
          <w:noProof/>
          <w:color w:val="000000"/>
        </w:rPr>
        <w:t>Journal of Coastal Research, 24</w:t>
      </w:r>
      <w:r w:rsidRPr="003C440C">
        <w:rPr>
          <w:noProof/>
          <w:color w:val="000000"/>
        </w:rPr>
        <w:t xml:space="preserve">(2), 527-532. </w:t>
      </w:r>
      <w:bookmarkEnd w:id="927"/>
    </w:p>
    <w:p w:rsidR="00964A70" w:rsidRPr="003C440C" w:rsidRDefault="00964A70" w:rsidP="00964A70">
      <w:pPr>
        <w:pStyle w:val="References"/>
        <w:spacing w:after="0"/>
        <w:ind w:left="720" w:hanging="720"/>
        <w:rPr>
          <w:noProof/>
          <w:color w:val="000000"/>
        </w:rPr>
      </w:pPr>
      <w:bookmarkStart w:id="928" w:name="_ENREF_72"/>
      <w:r w:rsidRPr="003C440C">
        <w:rPr>
          <w:noProof/>
          <w:color w:val="000000"/>
        </w:rPr>
        <w:t xml:space="preserve">Erftemeijer, P.L.A., and Lewis, R.R.R. 2006, Environmental impacts of dredging on seagrasses: A review. </w:t>
      </w:r>
      <w:r w:rsidRPr="003C440C">
        <w:rPr>
          <w:i/>
          <w:noProof/>
          <w:color w:val="000000"/>
        </w:rPr>
        <w:t>Marine Pollution Bulletin, 52</w:t>
      </w:r>
      <w:r w:rsidRPr="003C440C">
        <w:rPr>
          <w:noProof/>
          <w:color w:val="000000"/>
        </w:rPr>
        <w:t>(12), 1553-1572. doi: 10.1016/j.marpolbul.2006.09.006</w:t>
      </w:r>
      <w:bookmarkEnd w:id="928"/>
    </w:p>
    <w:p w:rsidR="00964A70" w:rsidRPr="003C440C" w:rsidRDefault="00964A70" w:rsidP="00964A70">
      <w:pPr>
        <w:pStyle w:val="References"/>
        <w:spacing w:after="0"/>
        <w:ind w:left="720" w:hanging="720"/>
        <w:rPr>
          <w:noProof/>
          <w:color w:val="000000"/>
        </w:rPr>
      </w:pPr>
      <w:bookmarkStart w:id="929" w:name="_ENREF_73"/>
      <w:r w:rsidRPr="003C440C">
        <w:rPr>
          <w:noProof/>
          <w:color w:val="000000"/>
        </w:rPr>
        <w:t xml:space="preserve">Erftemeijer, P.L.A., and Middelburg, J.J. 1993, Sediment-nutrient interactions in tropical seagrass beds - a comparison between a terrigenous and a carbonate sedimentary environment in South Sulawesi (Indonesia). </w:t>
      </w:r>
      <w:r w:rsidRPr="003C440C">
        <w:rPr>
          <w:i/>
          <w:noProof/>
          <w:color w:val="000000"/>
        </w:rPr>
        <w:t>Marine Ecology Progress Series, 102</w:t>
      </w:r>
      <w:r w:rsidRPr="003C440C">
        <w:rPr>
          <w:noProof/>
          <w:color w:val="000000"/>
        </w:rPr>
        <w:t xml:space="preserve">(1-2), 187-198. </w:t>
      </w:r>
      <w:bookmarkEnd w:id="929"/>
    </w:p>
    <w:p w:rsidR="00964A70" w:rsidRPr="003C440C" w:rsidRDefault="00964A70" w:rsidP="00964A70">
      <w:pPr>
        <w:pStyle w:val="References"/>
        <w:spacing w:after="0"/>
        <w:ind w:left="720" w:hanging="720"/>
        <w:rPr>
          <w:noProof/>
          <w:color w:val="000000"/>
        </w:rPr>
      </w:pPr>
      <w:bookmarkStart w:id="930" w:name="_ENREF_74"/>
      <w:r w:rsidRPr="003C440C">
        <w:rPr>
          <w:noProof/>
          <w:color w:val="000000"/>
        </w:rPr>
        <w:t xml:space="preserve">Fabricius, K., De'Ath, G., Humphrey, C., Zagorskis, I., and Schaffelke, B. 2012a, Intr-annual variation in turbidity in response to terrestrial runoff on near-shore coral reefs of the Great Barrier Reef. </w:t>
      </w:r>
      <w:r w:rsidRPr="003C440C">
        <w:rPr>
          <w:i/>
          <w:noProof/>
          <w:color w:val="000000"/>
        </w:rPr>
        <w:t>Estuarine, Coastal and Shelf Science, 3</w:t>
      </w:r>
      <w:r w:rsidRPr="003C440C">
        <w:rPr>
          <w:noProof/>
          <w:color w:val="000000"/>
        </w:rPr>
        <w:t xml:space="preserve">, 458-470. </w:t>
      </w:r>
      <w:bookmarkEnd w:id="930"/>
    </w:p>
    <w:p w:rsidR="00964A70" w:rsidRPr="003C440C" w:rsidRDefault="00964A70" w:rsidP="00964A70">
      <w:pPr>
        <w:pStyle w:val="References"/>
        <w:spacing w:after="0"/>
        <w:ind w:left="720" w:hanging="720"/>
        <w:rPr>
          <w:noProof/>
          <w:color w:val="000000"/>
        </w:rPr>
      </w:pPr>
      <w:bookmarkStart w:id="931" w:name="_ENREF_75"/>
      <w:r w:rsidRPr="003C440C">
        <w:rPr>
          <w:noProof/>
          <w:color w:val="000000"/>
        </w:rPr>
        <w:t xml:space="preserve">Fabricius, K., De'Ath, G., Humphrey, C., Zagorskis, I., and Schaffelke, B. 2012b, Intra-annual variation in turbidity in response to terrestrial runoff on near-shore coral reefs of the Great Barrier Reef. </w:t>
      </w:r>
      <w:r w:rsidRPr="003C440C">
        <w:rPr>
          <w:i/>
          <w:noProof/>
          <w:color w:val="000000"/>
        </w:rPr>
        <w:t>Estuarine, Coastal and Shelf Science, 3</w:t>
      </w:r>
      <w:r w:rsidRPr="003C440C">
        <w:rPr>
          <w:noProof/>
          <w:color w:val="000000"/>
        </w:rPr>
        <w:t xml:space="preserve">(1), 458-470. </w:t>
      </w:r>
      <w:bookmarkEnd w:id="931"/>
    </w:p>
    <w:p w:rsidR="00964A70" w:rsidRPr="003C440C" w:rsidRDefault="00964A70" w:rsidP="00964A70">
      <w:pPr>
        <w:pStyle w:val="References"/>
        <w:spacing w:after="0"/>
        <w:ind w:left="720" w:hanging="720"/>
        <w:rPr>
          <w:noProof/>
          <w:color w:val="000000"/>
        </w:rPr>
      </w:pPr>
      <w:bookmarkStart w:id="932" w:name="_ENREF_76"/>
      <w:r w:rsidRPr="003C440C">
        <w:rPr>
          <w:noProof/>
          <w:color w:val="000000"/>
        </w:rPr>
        <w:t xml:space="preserve">Fourqurean, J.W., and Cai, Y. 2001, Arsenic and phosphorus in seagrass leaves from the Gulf of Mexico. </w:t>
      </w:r>
      <w:r w:rsidRPr="003C440C">
        <w:rPr>
          <w:i/>
          <w:noProof/>
          <w:color w:val="000000"/>
        </w:rPr>
        <w:t>Aquatic Botany, 71</w:t>
      </w:r>
      <w:r w:rsidRPr="003C440C">
        <w:rPr>
          <w:noProof/>
          <w:color w:val="000000"/>
        </w:rPr>
        <w:t>(4), 247-258. doi: http://dx.doi.org/10.1016/S0304-3770(01)00193-0</w:t>
      </w:r>
      <w:bookmarkEnd w:id="932"/>
    </w:p>
    <w:p w:rsidR="00964A70" w:rsidRPr="003C440C" w:rsidRDefault="00964A70" w:rsidP="00964A70">
      <w:pPr>
        <w:pStyle w:val="References"/>
        <w:spacing w:after="0"/>
        <w:ind w:left="720" w:hanging="720"/>
        <w:rPr>
          <w:noProof/>
          <w:color w:val="000000"/>
        </w:rPr>
      </w:pPr>
      <w:bookmarkStart w:id="933" w:name="_ENREF_77"/>
      <w:r w:rsidRPr="003C440C">
        <w:rPr>
          <w:noProof/>
          <w:color w:val="000000"/>
        </w:rPr>
        <w:t xml:space="preserve">Fourqurean, J.W., Escorcia, S.P., Anderson, W.T., and Zieman, J.C. 2005, Spatial and seasonal variability in elemental content, delta C-13, and delta N-15 of Thalassia testudinum from South Florida and its implications for ecosystem studies. </w:t>
      </w:r>
      <w:r w:rsidRPr="003C440C">
        <w:rPr>
          <w:i/>
          <w:noProof/>
          <w:color w:val="000000"/>
        </w:rPr>
        <w:t>Estuaries, 28</w:t>
      </w:r>
      <w:r w:rsidRPr="003C440C">
        <w:rPr>
          <w:noProof/>
          <w:color w:val="000000"/>
        </w:rPr>
        <w:t xml:space="preserve">(3), 447-461. </w:t>
      </w:r>
      <w:bookmarkEnd w:id="933"/>
    </w:p>
    <w:p w:rsidR="00964A70" w:rsidRPr="003C440C" w:rsidRDefault="00964A70" w:rsidP="00964A70">
      <w:pPr>
        <w:pStyle w:val="References"/>
        <w:spacing w:after="0"/>
        <w:ind w:left="720" w:hanging="720"/>
        <w:rPr>
          <w:noProof/>
          <w:color w:val="000000"/>
        </w:rPr>
      </w:pPr>
      <w:bookmarkStart w:id="934" w:name="_ENREF_78"/>
      <w:r w:rsidRPr="003C440C">
        <w:rPr>
          <w:noProof/>
          <w:color w:val="000000"/>
        </w:rPr>
        <w:t xml:space="preserve">Fourqurean, J.W., Moore, T.O., Fry, B., and Hollibaugh, J.T. 1997, Spatial and temporal variation in C:N:P ratios, Î´15N, and Î´13C of eelgrass Zostera marina as indicators of ecosystem processes, Tomales Bay, California, USA. </w:t>
      </w:r>
      <w:r w:rsidRPr="003C440C">
        <w:rPr>
          <w:i/>
          <w:noProof/>
          <w:color w:val="000000"/>
        </w:rPr>
        <w:t>Marine Ecology Progress Series, 157</w:t>
      </w:r>
      <w:r w:rsidRPr="003C440C">
        <w:rPr>
          <w:noProof/>
          <w:color w:val="000000"/>
        </w:rPr>
        <w:t>, 147-157. doi: 10.3354/meps157147</w:t>
      </w:r>
      <w:bookmarkEnd w:id="934"/>
    </w:p>
    <w:p w:rsidR="00964A70" w:rsidRPr="003C440C" w:rsidRDefault="00964A70" w:rsidP="00964A70">
      <w:pPr>
        <w:pStyle w:val="References"/>
        <w:spacing w:after="0"/>
        <w:ind w:left="720" w:hanging="720"/>
        <w:rPr>
          <w:noProof/>
          <w:color w:val="000000"/>
        </w:rPr>
      </w:pPr>
      <w:bookmarkStart w:id="935" w:name="_ENREF_79"/>
      <w:r w:rsidRPr="003C440C">
        <w:rPr>
          <w:noProof/>
          <w:color w:val="000000"/>
        </w:rPr>
        <w:t xml:space="preserve">Fourqurean, J.W., Zieman, J.C., and Powell, G.V.N. 1992a, Phosphorus limitation of primary production in Florida Bay: Evidence from C:N:P ratios of the dominant seagrass </w:t>
      </w:r>
      <w:r w:rsidRPr="003C440C">
        <w:rPr>
          <w:i/>
          <w:noProof/>
          <w:color w:val="000000"/>
        </w:rPr>
        <w:t>Thalassia testudinum</w:t>
      </w:r>
      <w:r w:rsidRPr="003C440C">
        <w:rPr>
          <w:noProof/>
          <w:color w:val="000000"/>
        </w:rPr>
        <w:t xml:space="preserve">. </w:t>
      </w:r>
      <w:r w:rsidRPr="003C440C">
        <w:rPr>
          <w:i/>
          <w:noProof/>
          <w:color w:val="000000"/>
        </w:rPr>
        <w:t>Limnology &amp; Oceanography, 37</w:t>
      </w:r>
      <w:r w:rsidRPr="003C440C">
        <w:rPr>
          <w:noProof/>
          <w:color w:val="000000"/>
        </w:rPr>
        <w:t xml:space="preserve">(1), 162-171. </w:t>
      </w:r>
      <w:bookmarkEnd w:id="935"/>
    </w:p>
    <w:p w:rsidR="00964A70" w:rsidRPr="003C440C" w:rsidRDefault="00964A70" w:rsidP="00964A70">
      <w:pPr>
        <w:pStyle w:val="References"/>
        <w:spacing w:after="0"/>
        <w:ind w:left="720" w:hanging="720"/>
        <w:rPr>
          <w:noProof/>
          <w:color w:val="000000"/>
        </w:rPr>
      </w:pPr>
      <w:bookmarkStart w:id="936" w:name="_ENREF_80"/>
      <w:r w:rsidRPr="003C440C">
        <w:rPr>
          <w:noProof/>
          <w:color w:val="000000"/>
        </w:rPr>
        <w:t xml:space="preserve">Fourqurean, J.W., Zieman, J.C., and Powell, G.V.N. 1992b, Relationships between porewater nutrients and seagrasses in a subtropical carbonate environment. </w:t>
      </w:r>
      <w:r w:rsidRPr="003C440C">
        <w:rPr>
          <w:i/>
          <w:noProof/>
          <w:color w:val="000000"/>
        </w:rPr>
        <w:t>Marine Biology, 114</w:t>
      </w:r>
      <w:r w:rsidRPr="003C440C">
        <w:rPr>
          <w:noProof/>
          <w:color w:val="000000"/>
        </w:rPr>
        <w:t>(1), 57-65. doi: 10.1007/bf00350856</w:t>
      </w:r>
      <w:bookmarkEnd w:id="936"/>
    </w:p>
    <w:p w:rsidR="00964A70" w:rsidRPr="003C440C" w:rsidRDefault="00964A70" w:rsidP="00964A70">
      <w:pPr>
        <w:pStyle w:val="References"/>
        <w:spacing w:after="0"/>
        <w:ind w:left="720" w:hanging="720"/>
        <w:rPr>
          <w:noProof/>
          <w:color w:val="000000"/>
        </w:rPr>
      </w:pPr>
      <w:bookmarkStart w:id="937" w:name="_ENREF_81"/>
      <w:r w:rsidRPr="003C440C">
        <w:rPr>
          <w:noProof/>
          <w:color w:val="000000"/>
        </w:rPr>
        <w:t xml:space="preserve">Frankovich, T.A., and Fourqurean, J.W. 1997, Seagrass epiphyte loads along a nutrient availability gradient, Florida Bay, USA. </w:t>
      </w:r>
      <w:r w:rsidRPr="003C440C">
        <w:rPr>
          <w:i/>
          <w:noProof/>
          <w:color w:val="000000"/>
        </w:rPr>
        <w:t>Marine Ecology Progress Series, 159</w:t>
      </w:r>
      <w:r w:rsidRPr="003C440C">
        <w:rPr>
          <w:noProof/>
          <w:color w:val="000000"/>
        </w:rPr>
        <w:t xml:space="preserve">, 37-50. </w:t>
      </w:r>
      <w:bookmarkEnd w:id="937"/>
    </w:p>
    <w:p w:rsidR="00964A70" w:rsidRPr="003C440C" w:rsidRDefault="00964A70" w:rsidP="00964A70">
      <w:pPr>
        <w:pStyle w:val="References"/>
        <w:spacing w:after="0"/>
        <w:ind w:left="720" w:hanging="720"/>
        <w:rPr>
          <w:noProof/>
          <w:color w:val="000000"/>
        </w:rPr>
      </w:pPr>
      <w:bookmarkStart w:id="938" w:name="_ENREF_82"/>
      <w:r w:rsidRPr="003C440C">
        <w:rPr>
          <w:noProof/>
          <w:color w:val="000000"/>
        </w:rPr>
        <w:lastRenderedPageBreak/>
        <w:t xml:space="preserve">Freeman, A.S., Short, F.T., Isnain, I., Rasak, F.A., and Coles, R.G. 2008, Seagrass on the edge: Land-use practices threaten coastal seagrass communities in Sabah, Malaysia. </w:t>
      </w:r>
      <w:r w:rsidRPr="003C440C">
        <w:rPr>
          <w:i/>
          <w:noProof/>
          <w:color w:val="000000"/>
        </w:rPr>
        <w:t>Biological Conservation, 141</w:t>
      </w:r>
      <w:r w:rsidRPr="003C440C">
        <w:rPr>
          <w:noProof/>
          <w:color w:val="000000"/>
        </w:rPr>
        <w:t xml:space="preserve">, 2993-3005. </w:t>
      </w:r>
      <w:bookmarkEnd w:id="938"/>
    </w:p>
    <w:p w:rsidR="00964A70" w:rsidRPr="003C440C" w:rsidRDefault="00964A70" w:rsidP="00964A70">
      <w:pPr>
        <w:pStyle w:val="References"/>
        <w:spacing w:after="0"/>
        <w:ind w:left="720" w:hanging="720"/>
        <w:rPr>
          <w:noProof/>
          <w:color w:val="000000"/>
        </w:rPr>
      </w:pPr>
      <w:bookmarkStart w:id="939" w:name="_ENREF_83"/>
      <w:r w:rsidRPr="003C440C">
        <w:rPr>
          <w:noProof/>
          <w:color w:val="000000"/>
        </w:rPr>
        <w:t xml:space="preserve">Furnas, M. (2003). </w:t>
      </w:r>
      <w:r w:rsidRPr="003C440C">
        <w:rPr>
          <w:i/>
          <w:noProof/>
          <w:color w:val="000000"/>
        </w:rPr>
        <w:t>Catchment and corals: terrestrial runoff to the Great Barrier Reef</w:t>
      </w:r>
      <w:r w:rsidRPr="003C440C">
        <w:rPr>
          <w:noProof/>
          <w:color w:val="000000"/>
        </w:rPr>
        <w:t>. Townville Queensland: Australian Institute of Marine Science.</w:t>
      </w:r>
      <w:bookmarkEnd w:id="939"/>
    </w:p>
    <w:p w:rsidR="00964A70" w:rsidRPr="003C440C" w:rsidRDefault="00964A70" w:rsidP="00964A70">
      <w:pPr>
        <w:pStyle w:val="References"/>
        <w:spacing w:after="0"/>
        <w:ind w:left="720" w:hanging="720"/>
        <w:rPr>
          <w:noProof/>
          <w:color w:val="000000"/>
        </w:rPr>
      </w:pPr>
      <w:bookmarkStart w:id="940" w:name="_ENREF_84"/>
      <w:r w:rsidRPr="003C440C">
        <w:rPr>
          <w:noProof/>
          <w:color w:val="000000"/>
        </w:rPr>
        <w:t xml:space="preserve">Gagan, M.K., Ayliffe, L.K., Opdyke, B.N., Hopley, D., Scott-Gagan, H., and Cowley, J. 2002, Coral oxygen isotope evidence for recent groundwater fluxes to the Australian Great Barrier Reef. </w:t>
      </w:r>
      <w:r w:rsidRPr="003C440C">
        <w:rPr>
          <w:i/>
          <w:noProof/>
          <w:color w:val="000000"/>
        </w:rPr>
        <w:t>Geophysical Research Letters, 29</w:t>
      </w:r>
      <w:r w:rsidRPr="003C440C">
        <w:rPr>
          <w:noProof/>
          <w:color w:val="000000"/>
        </w:rPr>
        <w:t xml:space="preserve">(20), 1982. </w:t>
      </w:r>
      <w:bookmarkEnd w:id="940"/>
    </w:p>
    <w:p w:rsidR="00964A70" w:rsidRPr="003C440C" w:rsidRDefault="00964A70" w:rsidP="00964A70">
      <w:pPr>
        <w:pStyle w:val="References"/>
        <w:spacing w:after="0"/>
        <w:ind w:left="720" w:hanging="720"/>
        <w:rPr>
          <w:noProof/>
          <w:color w:val="000000"/>
        </w:rPr>
      </w:pPr>
      <w:bookmarkStart w:id="941" w:name="_ENREF_85"/>
      <w:r w:rsidRPr="003C440C">
        <w:rPr>
          <w:noProof/>
          <w:color w:val="000000"/>
        </w:rPr>
        <w:t xml:space="preserve">Garel, E., López Fernández, L., and Collins, M. 2008, Sediment resuspension events induced by the wake wash of deep-draft vessels. </w:t>
      </w:r>
      <w:r w:rsidRPr="003C440C">
        <w:rPr>
          <w:i/>
          <w:noProof/>
          <w:color w:val="000000"/>
        </w:rPr>
        <w:t>Geo-Marine Letters, 28</w:t>
      </w:r>
      <w:r w:rsidRPr="003C440C">
        <w:rPr>
          <w:noProof/>
          <w:color w:val="000000"/>
        </w:rPr>
        <w:t xml:space="preserve">(4), 205-211. </w:t>
      </w:r>
      <w:bookmarkEnd w:id="941"/>
    </w:p>
    <w:p w:rsidR="00964A70" w:rsidRPr="003C440C" w:rsidRDefault="00964A70" w:rsidP="00964A70">
      <w:pPr>
        <w:pStyle w:val="References"/>
        <w:spacing w:after="0"/>
        <w:ind w:left="720" w:hanging="720"/>
        <w:rPr>
          <w:noProof/>
          <w:color w:val="000000"/>
        </w:rPr>
      </w:pPr>
      <w:bookmarkStart w:id="942" w:name="_ENREF_86"/>
      <w:r w:rsidRPr="003C440C">
        <w:rPr>
          <w:noProof/>
          <w:color w:val="000000"/>
        </w:rPr>
        <w:t xml:space="preserve">Goldsworthy, P.M. (1994). Seagrasses. In L Benson, P Goldsworthy, R Butler &amp; J Oliver (Eds.), </w:t>
      </w:r>
      <w:r w:rsidRPr="003C440C">
        <w:rPr>
          <w:i/>
          <w:noProof/>
          <w:color w:val="000000"/>
        </w:rPr>
        <w:t>Townsville Port Authority Capital Dredging Works 1993: Environmental Monitoring Program</w:t>
      </w:r>
      <w:r w:rsidRPr="003C440C">
        <w:rPr>
          <w:noProof/>
          <w:color w:val="000000"/>
        </w:rPr>
        <w:t xml:space="preserve"> (pp. 89-115). Townsville: Townsville Port Authority.</w:t>
      </w:r>
      <w:bookmarkEnd w:id="942"/>
    </w:p>
    <w:p w:rsidR="00964A70" w:rsidRPr="003C440C" w:rsidRDefault="00964A70" w:rsidP="00964A70">
      <w:pPr>
        <w:pStyle w:val="References"/>
        <w:spacing w:after="0"/>
        <w:ind w:left="720" w:hanging="720"/>
        <w:rPr>
          <w:noProof/>
          <w:color w:val="000000"/>
        </w:rPr>
      </w:pPr>
      <w:bookmarkStart w:id="943" w:name="_ENREF_87"/>
      <w:r w:rsidRPr="003C440C">
        <w:rPr>
          <w:noProof/>
          <w:color w:val="000000"/>
        </w:rPr>
        <w:t xml:space="preserve">González-Correa, J.M., Fernández-Torquemada, Y., and Sánchez-Lizaso, J.L. 2009, Short-term effect of beach replenishment on a shallow </w:t>
      </w:r>
      <w:r w:rsidRPr="003C440C">
        <w:rPr>
          <w:i/>
          <w:noProof/>
          <w:color w:val="000000"/>
        </w:rPr>
        <w:t>Posidonia oceanica</w:t>
      </w:r>
      <w:r w:rsidRPr="003C440C">
        <w:rPr>
          <w:noProof/>
          <w:color w:val="000000"/>
        </w:rPr>
        <w:t xml:space="preserve"> meadow. </w:t>
      </w:r>
      <w:r w:rsidRPr="003C440C">
        <w:rPr>
          <w:i/>
          <w:noProof/>
          <w:color w:val="000000"/>
        </w:rPr>
        <w:t>Marine Environmental Research, 68</w:t>
      </w:r>
      <w:r w:rsidRPr="003C440C">
        <w:rPr>
          <w:noProof/>
          <w:color w:val="000000"/>
        </w:rPr>
        <w:t xml:space="preserve">, 143–150. </w:t>
      </w:r>
      <w:bookmarkEnd w:id="943"/>
    </w:p>
    <w:p w:rsidR="00964A70" w:rsidRPr="003C440C" w:rsidRDefault="00964A70" w:rsidP="00964A70">
      <w:pPr>
        <w:pStyle w:val="References"/>
        <w:spacing w:after="0"/>
        <w:ind w:left="720" w:hanging="720"/>
        <w:rPr>
          <w:noProof/>
          <w:color w:val="000000"/>
        </w:rPr>
      </w:pPr>
      <w:bookmarkStart w:id="944" w:name="_ENREF_88"/>
      <w:r w:rsidRPr="003C440C">
        <w:rPr>
          <w:noProof/>
          <w:color w:val="000000"/>
        </w:rPr>
        <w:t xml:space="preserve">Great Barrier Reef Marine Park Authority. (2001). </w:t>
      </w:r>
      <w:r w:rsidRPr="003C440C">
        <w:rPr>
          <w:i/>
          <w:noProof/>
          <w:color w:val="000000"/>
        </w:rPr>
        <w:t>Great Barrier Reef catchment water quality action plan, a report to ministerial council on targets for pollutant loads</w:t>
      </w:r>
      <w:r w:rsidRPr="003C440C">
        <w:rPr>
          <w:noProof/>
          <w:color w:val="000000"/>
        </w:rPr>
        <w:t>. Townsville: Great Barrier Reef Marine Park Authority.</w:t>
      </w:r>
      <w:bookmarkEnd w:id="944"/>
    </w:p>
    <w:p w:rsidR="00964A70" w:rsidRPr="003C440C" w:rsidRDefault="00964A70" w:rsidP="00964A70">
      <w:pPr>
        <w:pStyle w:val="References"/>
        <w:spacing w:after="0"/>
        <w:ind w:left="720" w:hanging="720"/>
        <w:rPr>
          <w:noProof/>
          <w:color w:val="000000"/>
        </w:rPr>
      </w:pPr>
      <w:bookmarkStart w:id="945" w:name="_ENREF_89"/>
      <w:r w:rsidRPr="003C440C">
        <w:rPr>
          <w:noProof/>
          <w:color w:val="000000"/>
        </w:rPr>
        <w:t xml:space="preserve">Great Barrier Reef Marine Park Authority. (2009). </w:t>
      </w:r>
      <w:r w:rsidRPr="003C440C">
        <w:rPr>
          <w:i/>
          <w:noProof/>
          <w:color w:val="000000"/>
        </w:rPr>
        <w:t>Water quality guidelines for the Great Barrier Reef Marine Park. Revised edition 2010</w:t>
      </w:r>
      <w:r w:rsidRPr="003C440C">
        <w:rPr>
          <w:noProof/>
          <w:color w:val="000000"/>
        </w:rPr>
        <w:t>. Townsville Great Barrier Reef Marine Park Authority.</w:t>
      </w:r>
      <w:bookmarkEnd w:id="945"/>
    </w:p>
    <w:p w:rsidR="00964A70" w:rsidRPr="003C440C" w:rsidRDefault="00964A70" w:rsidP="00964A70">
      <w:pPr>
        <w:pStyle w:val="References"/>
        <w:spacing w:after="0"/>
        <w:ind w:left="720" w:hanging="720"/>
        <w:rPr>
          <w:noProof/>
          <w:color w:val="000000"/>
        </w:rPr>
      </w:pPr>
      <w:bookmarkStart w:id="946" w:name="_ENREF_90"/>
      <w:r w:rsidRPr="003C440C">
        <w:rPr>
          <w:noProof/>
          <w:color w:val="000000"/>
        </w:rPr>
        <w:t xml:space="preserve">Grech, A., Coles, R., Waycott, M., Rasheed, M., and McKenzie, L. 2010, Risk Assessment for Coastal Seagrass Habitats of the Great Barrier Reef World Heritage Area: Outputs from the Risk Assessment Working Group. </w:t>
      </w:r>
      <w:bookmarkEnd w:id="946"/>
    </w:p>
    <w:p w:rsidR="00964A70" w:rsidRPr="003C440C" w:rsidRDefault="00964A70" w:rsidP="00964A70">
      <w:pPr>
        <w:pStyle w:val="References"/>
        <w:spacing w:after="0"/>
        <w:ind w:left="720" w:hanging="720"/>
        <w:rPr>
          <w:noProof/>
          <w:color w:val="000000"/>
        </w:rPr>
      </w:pPr>
      <w:bookmarkStart w:id="947" w:name="_ENREF_91"/>
      <w:r w:rsidRPr="003C440C">
        <w:rPr>
          <w:noProof/>
          <w:color w:val="000000"/>
        </w:rPr>
        <w:t xml:space="preserve">Grech, A., Coles, R.G., and March, H. 2011, A broad-scale assessment of the risk to coastal seagrasses from cumulative threats. </w:t>
      </w:r>
      <w:r w:rsidRPr="003C440C">
        <w:rPr>
          <w:i/>
          <w:noProof/>
          <w:color w:val="000000"/>
        </w:rPr>
        <w:t>Marine Policy, 35</w:t>
      </w:r>
      <w:r w:rsidRPr="003C440C">
        <w:rPr>
          <w:noProof/>
          <w:color w:val="000000"/>
        </w:rPr>
        <w:t xml:space="preserve">, 560-567. </w:t>
      </w:r>
      <w:bookmarkEnd w:id="947"/>
    </w:p>
    <w:p w:rsidR="00964A70" w:rsidRPr="003C440C" w:rsidRDefault="00964A70" w:rsidP="00964A70">
      <w:pPr>
        <w:pStyle w:val="References"/>
        <w:spacing w:after="0"/>
        <w:ind w:left="720" w:hanging="720"/>
        <w:rPr>
          <w:noProof/>
          <w:color w:val="000000"/>
        </w:rPr>
      </w:pPr>
      <w:bookmarkStart w:id="948" w:name="_ENREF_92"/>
      <w:r w:rsidRPr="003C440C">
        <w:rPr>
          <w:noProof/>
          <w:color w:val="000000"/>
        </w:rPr>
        <w:t xml:space="preserve">Green, E.P., and Short, F.T. (Eds.). (2003). </w:t>
      </w:r>
      <w:r w:rsidRPr="003C440C">
        <w:rPr>
          <w:i/>
          <w:noProof/>
          <w:color w:val="000000"/>
        </w:rPr>
        <w:t>World Atlas of Seagrasses</w:t>
      </w:r>
      <w:r w:rsidRPr="003C440C">
        <w:rPr>
          <w:noProof/>
          <w:color w:val="000000"/>
        </w:rPr>
        <w:t>. Berkeley. USA: University of California Press,.</w:t>
      </w:r>
      <w:bookmarkEnd w:id="948"/>
    </w:p>
    <w:p w:rsidR="00964A70" w:rsidRPr="003C440C" w:rsidRDefault="00964A70" w:rsidP="00964A70">
      <w:pPr>
        <w:pStyle w:val="References"/>
        <w:spacing w:after="0"/>
        <w:ind w:left="720" w:hanging="720"/>
        <w:rPr>
          <w:noProof/>
          <w:color w:val="000000"/>
        </w:rPr>
      </w:pPr>
      <w:bookmarkStart w:id="949" w:name="_ENREF_93"/>
      <w:r w:rsidRPr="003C440C">
        <w:rPr>
          <w:noProof/>
          <w:color w:val="000000"/>
        </w:rPr>
        <w:t xml:space="preserve">Grice, A.M., Loneragan, N.R., and Dennison, W.C. 1996, Light intensity and the interactions between physiology, morphology and stable isotope ratios in five species of seagrass. </w:t>
      </w:r>
      <w:r w:rsidRPr="003C440C">
        <w:rPr>
          <w:i/>
          <w:noProof/>
          <w:color w:val="000000"/>
        </w:rPr>
        <w:t>Journal of Experimental Marine Biology and Ecology, 195</w:t>
      </w:r>
      <w:r w:rsidRPr="003C440C">
        <w:rPr>
          <w:noProof/>
          <w:color w:val="000000"/>
        </w:rPr>
        <w:t xml:space="preserve">, 91-110. </w:t>
      </w:r>
      <w:bookmarkEnd w:id="949"/>
    </w:p>
    <w:p w:rsidR="00964A70" w:rsidRPr="003C440C" w:rsidRDefault="00964A70" w:rsidP="00964A70">
      <w:pPr>
        <w:pStyle w:val="References"/>
        <w:spacing w:after="0"/>
        <w:ind w:left="720" w:hanging="720"/>
        <w:rPr>
          <w:noProof/>
          <w:color w:val="000000"/>
        </w:rPr>
      </w:pPr>
      <w:bookmarkStart w:id="950" w:name="_ENREF_94"/>
      <w:r w:rsidRPr="003C440C">
        <w:rPr>
          <w:noProof/>
          <w:color w:val="000000"/>
        </w:rPr>
        <w:t xml:space="preserve">Hamilton, L.J. 1994, Turbidity in the northern Great Barrier Reef lagoon in the wet season, March 1989. </w:t>
      </w:r>
      <w:r w:rsidRPr="003C440C">
        <w:rPr>
          <w:i/>
          <w:noProof/>
          <w:color w:val="000000"/>
        </w:rPr>
        <w:t>Australian Journal of Marine and Freshwater Research, 45</w:t>
      </w:r>
      <w:r w:rsidRPr="003C440C">
        <w:rPr>
          <w:noProof/>
          <w:color w:val="000000"/>
        </w:rPr>
        <w:t xml:space="preserve">, 585-615. </w:t>
      </w:r>
      <w:bookmarkEnd w:id="950"/>
    </w:p>
    <w:p w:rsidR="00964A70" w:rsidRPr="003C440C" w:rsidRDefault="00964A70" w:rsidP="00964A70">
      <w:pPr>
        <w:pStyle w:val="References"/>
        <w:spacing w:after="0"/>
        <w:ind w:left="720" w:hanging="720"/>
        <w:rPr>
          <w:noProof/>
          <w:color w:val="000000"/>
        </w:rPr>
      </w:pPr>
      <w:bookmarkStart w:id="951" w:name="_ENREF_95"/>
      <w:r w:rsidRPr="003C440C">
        <w:rPr>
          <w:noProof/>
          <w:color w:val="000000"/>
        </w:rPr>
        <w:t xml:space="preserve">Hastings, K., Hesp, P., and Kendrick, G.A. 1995, Seagrass loss associated with boat moorings at Rottnest Island, Western Australia. </w:t>
      </w:r>
      <w:r w:rsidRPr="003C440C">
        <w:rPr>
          <w:i/>
          <w:noProof/>
          <w:color w:val="000000"/>
        </w:rPr>
        <w:t>Ocean and Coastal Management, 26</w:t>
      </w:r>
      <w:r w:rsidRPr="003C440C">
        <w:rPr>
          <w:noProof/>
          <w:color w:val="000000"/>
        </w:rPr>
        <w:t xml:space="preserve">(3), 225-246. </w:t>
      </w:r>
      <w:bookmarkEnd w:id="951"/>
    </w:p>
    <w:p w:rsidR="00964A70" w:rsidRPr="003C440C" w:rsidRDefault="00964A70" w:rsidP="00964A70">
      <w:pPr>
        <w:pStyle w:val="References"/>
        <w:spacing w:after="0"/>
        <w:ind w:left="720" w:hanging="720"/>
        <w:rPr>
          <w:noProof/>
          <w:color w:val="000000"/>
        </w:rPr>
      </w:pPr>
      <w:bookmarkStart w:id="952" w:name="_ENREF_96"/>
      <w:r w:rsidRPr="003C440C">
        <w:rPr>
          <w:noProof/>
          <w:color w:val="000000"/>
        </w:rPr>
        <w:t xml:space="preserve">Haynes, D., Brodie, J., Christie, C., Devlin, M., Michalek-Wagner, K., Morris, S., Ramsay, M., Storrie, J., Waterhouse, J., and Yorkston, H. (2001). </w:t>
      </w:r>
      <w:r w:rsidRPr="003C440C">
        <w:rPr>
          <w:i/>
          <w:noProof/>
          <w:color w:val="000000"/>
        </w:rPr>
        <w:t xml:space="preserve">Great Barrier Reef Water Quality Current Issues. </w:t>
      </w:r>
      <w:r w:rsidRPr="003C440C">
        <w:rPr>
          <w:noProof/>
          <w:color w:val="000000"/>
        </w:rPr>
        <w:t>. Townsville: Great Barrier Reef Marine Park Authority.</w:t>
      </w:r>
      <w:bookmarkEnd w:id="952"/>
    </w:p>
    <w:p w:rsidR="00964A70" w:rsidRPr="003C440C" w:rsidRDefault="00964A70" w:rsidP="00964A70">
      <w:pPr>
        <w:pStyle w:val="References"/>
        <w:spacing w:after="0"/>
        <w:ind w:left="720" w:hanging="720"/>
        <w:rPr>
          <w:noProof/>
          <w:color w:val="000000"/>
        </w:rPr>
      </w:pPr>
      <w:bookmarkStart w:id="953" w:name="_ENREF_97"/>
      <w:r w:rsidRPr="003C440C">
        <w:rPr>
          <w:noProof/>
          <w:color w:val="000000"/>
        </w:rPr>
        <w:t xml:space="preserve">Haynes, D., Müller, J., and Carter, S. 2000a, Pesticide and Herbicide Residues in Sediments and Seagrasses from the Great Barrier Reef World Heritage Area and Queensland Coast. </w:t>
      </w:r>
      <w:r w:rsidRPr="003C440C">
        <w:rPr>
          <w:i/>
          <w:noProof/>
          <w:color w:val="000000"/>
        </w:rPr>
        <w:t>Marine Pollution Bulletin, 41</w:t>
      </w:r>
      <w:r w:rsidRPr="003C440C">
        <w:rPr>
          <w:noProof/>
          <w:color w:val="000000"/>
        </w:rPr>
        <w:t xml:space="preserve">(7-12), 279-287. </w:t>
      </w:r>
      <w:bookmarkEnd w:id="953"/>
    </w:p>
    <w:p w:rsidR="00964A70" w:rsidRPr="003C440C" w:rsidRDefault="00964A70" w:rsidP="00964A70">
      <w:pPr>
        <w:pStyle w:val="References"/>
        <w:spacing w:after="0"/>
        <w:ind w:left="720" w:hanging="720"/>
        <w:rPr>
          <w:noProof/>
          <w:color w:val="000000"/>
        </w:rPr>
      </w:pPr>
      <w:bookmarkStart w:id="954" w:name="_ENREF_98"/>
      <w:r w:rsidRPr="003C440C">
        <w:rPr>
          <w:noProof/>
          <w:color w:val="000000"/>
        </w:rPr>
        <w:t xml:space="preserve">Haynes, D., Ralph, P., Prange, J., and Dennison, B. 2000b, The impact of the herbicide diuron on photosynthesis in three species of tropical seagrass. </w:t>
      </w:r>
      <w:r w:rsidRPr="003C440C">
        <w:rPr>
          <w:i/>
          <w:noProof/>
          <w:color w:val="000000"/>
        </w:rPr>
        <w:t>Marine Pollution Bulletin, 41</w:t>
      </w:r>
      <w:r w:rsidRPr="003C440C">
        <w:rPr>
          <w:noProof/>
          <w:color w:val="000000"/>
        </w:rPr>
        <w:t xml:space="preserve">(7-12), 288-293. </w:t>
      </w:r>
      <w:bookmarkEnd w:id="954"/>
    </w:p>
    <w:p w:rsidR="00964A70" w:rsidRPr="003C440C" w:rsidRDefault="00964A70" w:rsidP="00964A70">
      <w:pPr>
        <w:pStyle w:val="References"/>
        <w:spacing w:after="0"/>
        <w:ind w:left="720" w:hanging="720"/>
        <w:rPr>
          <w:noProof/>
          <w:color w:val="000000"/>
        </w:rPr>
      </w:pPr>
      <w:bookmarkStart w:id="955" w:name="_ENREF_99"/>
      <w:r w:rsidRPr="003C440C">
        <w:rPr>
          <w:noProof/>
          <w:color w:val="000000"/>
        </w:rPr>
        <w:lastRenderedPageBreak/>
        <w:t xml:space="preserve">Heaton, T.H.E. 1986, Isotopic studies of nitrogen pollution in the hydrosphere and atmosphere: a review. </w:t>
      </w:r>
      <w:r w:rsidRPr="003C440C">
        <w:rPr>
          <w:i/>
          <w:noProof/>
          <w:color w:val="000000"/>
        </w:rPr>
        <w:t>Chemical Geology, 59</w:t>
      </w:r>
      <w:r w:rsidRPr="003C440C">
        <w:rPr>
          <w:noProof/>
          <w:color w:val="000000"/>
        </w:rPr>
        <w:t xml:space="preserve">, 87-102. </w:t>
      </w:r>
      <w:bookmarkEnd w:id="955"/>
    </w:p>
    <w:p w:rsidR="00964A70" w:rsidRPr="003C440C" w:rsidRDefault="00964A70" w:rsidP="00964A70">
      <w:pPr>
        <w:pStyle w:val="References"/>
        <w:spacing w:after="0"/>
        <w:ind w:left="720" w:hanging="720"/>
        <w:rPr>
          <w:noProof/>
          <w:color w:val="000000"/>
          <w:u w:val="single"/>
        </w:rPr>
      </w:pPr>
      <w:bookmarkStart w:id="956" w:name="_ENREF_100"/>
      <w:r w:rsidRPr="003C440C">
        <w:rPr>
          <w:noProof/>
          <w:color w:val="000000"/>
        </w:rPr>
        <w:t xml:space="preserve">Heck, K.L.J., Carruthers, T.J.B., Duarte, C.M., Hughes, A.R., Kendrick, G., Orth, R.J., and Williams, S.W. 2008, Trophic transfers from seagrass meadows subsidize diverse marine and terrestrial consumers. [review]. </w:t>
      </w:r>
      <w:r w:rsidRPr="003C440C">
        <w:rPr>
          <w:i/>
          <w:noProof/>
          <w:color w:val="000000"/>
        </w:rPr>
        <w:t>Ecosystems, 11</w:t>
      </w:r>
      <w:r w:rsidRPr="003C440C">
        <w:rPr>
          <w:noProof/>
          <w:color w:val="000000"/>
        </w:rPr>
        <w:t xml:space="preserve">(7), 1198-1210. doi: </w:t>
      </w:r>
      <w:r w:rsidRPr="003C440C">
        <w:rPr>
          <w:noProof/>
          <w:color w:val="000000"/>
          <w:u w:val="single"/>
        </w:rPr>
        <w:t>10.1007/s10021-008-9155-y</w:t>
      </w:r>
      <w:bookmarkEnd w:id="956"/>
    </w:p>
    <w:p w:rsidR="00964A70" w:rsidRPr="003C440C" w:rsidRDefault="00964A70" w:rsidP="00964A70">
      <w:pPr>
        <w:pStyle w:val="References"/>
        <w:spacing w:after="0"/>
        <w:ind w:left="720" w:hanging="720"/>
        <w:rPr>
          <w:noProof/>
          <w:color w:val="000000"/>
        </w:rPr>
      </w:pPr>
      <w:bookmarkStart w:id="957" w:name="_ENREF_101"/>
      <w:r w:rsidRPr="003C440C">
        <w:rPr>
          <w:noProof/>
          <w:color w:val="000000"/>
        </w:rPr>
        <w:t xml:space="preserve">Heidelbaugh, W.S., and Nelson, W.G. 1996, A power analysis of methods for assessment of change in seagrass cover. </w:t>
      </w:r>
      <w:r w:rsidRPr="003C440C">
        <w:rPr>
          <w:i/>
          <w:noProof/>
          <w:color w:val="000000"/>
        </w:rPr>
        <w:t>Aquatic Botany, 53</w:t>
      </w:r>
      <w:r w:rsidRPr="003C440C">
        <w:rPr>
          <w:noProof/>
          <w:color w:val="000000"/>
        </w:rPr>
        <w:t xml:space="preserve">(3-4), 227-243. </w:t>
      </w:r>
      <w:bookmarkEnd w:id="957"/>
    </w:p>
    <w:p w:rsidR="00964A70" w:rsidRPr="003C440C" w:rsidRDefault="00964A70" w:rsidP="00964A70">
      <w:pPr>
        <w:pStyle w:val="References"/>
        <w:spacing w:after="0"/>
        <w:ind w:left="720" w:hanging="720"/>
        <w:rPr>
          <w:noProof/>
          <w:color w:val="000000"/>
        </w:rPr>
      </w:pPr>
      <w:bookmarkStart w:id="958" w:name="_ENREF_102"/>
      <w:r w:rsidRPr="003C440C">
        <w:rPr>
          <w:noProof/>
          <w:color w:val="000000"/>
        </w:rPr>
        <w:t xml:space="preserve">Hortle, K., and Person, R. 1990, Fauna of the Annan River System, far North Queensland, with reference to the Impact of Tin Mining. I. Fishes. </w:t>
      </w:r>
      <w:r w:rsidRPr="003C440C">
        <w:rPr>
          <w:i/>
          <w:noProof/>
          <w:color w:val="000000"/>
        </w:rPr>
        <w:t>Marine and Freshwater Research, 41</w:t>
      </w:r>
      <w:r w:rsidRPr="003C440C">
        <w:rPr>
          <w:noProof/>
          <w:color w:val="000000"/>
        </w:rPr>
        <w:t>(6), 677-694. doi: http://dx.doi.org/10.1071/MF9900677</w:t>
      </w:r>
      <w:bookmarkEnd w:id="958"/>
    </w:p>
    <w:p w:rsidR="00964A70" w:rsidRPr="003C440C" w:rsidRDefault="00964A70" w:rsidP="00964A70">
      <w:pPr>
        <w:pStyle w:val="References"/>
        <w:spacing w:after="0"/>
        <w:ind w:left="720" w:hanging="720"/>
        <w:rPr>
          <w:noProof/>
          <w:color w:val="000000"/>
        </w:rPr>
      </w:pPr>
      <w:bookmarkStart w:id="959" w:name="_ENREF_103"/>
      <w:r w:rsidRPr="003C440C">
        <w:rPr>
          <w:noProof/>
          <w:color w:val="000000"/>
        </w:rPr>
        <w:t>Hoven, H.M. 1998, Eelgrass (</w:t>
      </w:r>
      <w:r w:rsidRPr="003C440C">
        <w:rPr>
          <w:i/>
          <w:noProof/>
          <w:color w:val="000000"/>
        </w:rPr>
        <w:t>Zostera marina</w:t>
      </w:r>
      <w:r w:rsidRPr="003C440C">
        <w:rPr>
          <w:noProof/>
          <w:color w:val="000000"/>
        </w:rPr>
        <w:t xml:space="preserve"> L.) as a sentinel accumulator of lead in Portsmouth Harbor, New Hampshire – Maine. </w:t>
      </w:r>
      <w:r w:rsidRPr="003C440C">
        <w:rPr>
          <w:i/>
          <w:noProof/>
          <w:color w:val="000000"/>
        </w:rPr>
        <w:t>Diss Abstr Int B Sci Eng, 59</w:t>
      </w:r>
      <w:r w:rsidRPr="003C440C">
        <w:rPr>
          <w:noProof/>
          <w:color w:val="000000"/>
        </w:rPr>
        <w:t xml:space="preserve">, 4600. </w:t>
      </w:r>
      <w:bookmarkEnd w:id="959"/>
    </w:p>
    <w:p w:rsidR="00964A70" w:rsidRPr="003C440C" w:rsidRDefault="00964A70" w:rsidP="00964A70">
      <w:pPr>
        <w:pStyle w:val="References"/>
        <w:spacing w:after="0"/>
        <w:ind w:left="720" w:hanging="720"/>
        <w:rPr>
          <w:noProof/>
          <w:color w:val="000000"/>
        </w:rPr>
      </w:pPr>
      <w:bookmarkStart w:id="960" w:name="_ENREF_104"/>
      <w:r w:rsidRPr="003C440C">
        <w:rPr>
          <w:noProof/>
          <w:color w:val="000000"/>
        </w:rPr>
        <w:t xml:space="preserve">Howard, R.K., and Short, F.T. 1986, Seagrass growth and survivorship under the influence of epiphytic grazers. </w:t>
      </w:r>
      <w:r w:rsidRPr="003C440C">
        <w:rPr>
          <w:i/>
          <w:noProof/>
          <w:color w:val="000000"/>
        </w:rPr>
        <w:t>Aquatic Botany, 24</w:t>
      </w:r>
      <w:r w:rsidRPr="003C440C">
        <w:rPr>
          <w:noProof/>
          <w:color w:val="000000"/>
        </w:rPr>
        <w:t xml:space="preserve">, 287-302. </w:t>
      </w:r>
      <w:bookmarkEnd w:id="960"/>
    </w:p>
    <w:p w:rsidR="00964A70" w:rsidRPr="003C440C" w:rsidRDefault="00964A70" w:rsidP="00964A70">
      <w:pPr>
        <w:pStyle w:val="References"/>
        <w:spacing w:after="0"/>
        <w:ind w:left="720" w:hanging="720"/>
        <w:rPr>
          <w:noProof/>
          <w:color w:val="000000"/>
        </w:rPr>
      </w:pPr>
      <w:bookmarkStart w:id="961" w:name="_ENREF_105"/>
      <w:r w:rsidRPr="003C440C">
        <w:rPr>
          <w:noProof/>
          <w:color w:val="000000"/>
        </w:rPr>
        <w:t xml:space="preserve">Inglis, G.J. 2000, Variation in the recruitment behaviour of seagrass seeds: implications for population dynamics and resource management. </w:t>
      </w:r>
      <w:r w:rsidRPr="003C440C">
        <w:rPr>
          <w:i/>
          <w:noProof/>
          <w:color w:val="000000"/>
        </w:rPr>
        <w:t>Pacific Conservation Biology, 5</w:t>
      </w:r>
      <w:r w:rsidRPr="003C440C">
        <w:rPr>
          <w:noProof/>
          <w:color w:val="000000"/>
        </w:rPr>
        <w:t xml:space="preserve">, 251-259. </w:t>
      </w:r>
      <w:bookmarkEnd w:id="961"/>
    </w:p>
    <w:p w:rsidR="00964A70" w:rsidRPr="003C440C" w:rsidRDefault="00964A70" w:rsidP="00964A70">
      <w:pPr>
        <w:pStyle w:val="References"/>
        <w:spacing w:after="0"/>
        <w:ind w:left="720" w:hanging="720"/>
        <w:rPr>
          <w:noProof/>
          <w:color w:val="000000"/>
        </w:rPr>
      </w:pPr>
      <w:bookmarkStart w:id="962" w:name="_ENREF_106"/>
      <w:r w:rsidRPr="003C440C">
        <w:rPr>
          <w:noProof/>
          <w:color w:val="000000"/>
        </w:rPr>
        <w:t xml:space="preserve">Jackson, J.B.C., Cubit, J.D., Keller, B.D., Batista, V., Burns, K., Caffey, H.M., Caldwell, R.L., Garrity, S.D., Getter, C.D., Gonzalez, C., Guzman, H.M., Kaufmann, K.W., Knap, A.H., Levings, S.C., Marshall, M.J., Steger, R., Thompson, R.C., and Weil, E. 1989, Ecological effects of a major oil spill on Panamanian coastal marine communities. </w:t>
      </w:r>
      <w:r w:rsidRPr="003C440C">
        <w:rPr>
          <w:i/>
          <w:noProof/>
          <w:color w:val="000000"/>
        </w:rPr>
        <w:t>Science, 243</w:t>
      </w:r>
      <w:r w:rsidRPr="003C440C">
        <w:rPr>
          <w:noProof/>
          <w:color w:val="000000"/>
        </w:rPr>
        <w:t xml:space="preserve">, 37-44. </w:t>
      </w:r>
      <w:bookmarkEnd w:id="962"/>
    </w:p>
    <w:p w:rsidR="00964A70" w:rsidRPr="003C440C" w:rsidRDefault="00964A70" w:rsidP="00964A70">
      <w:pPr>
        <w:pStyle w:val="References"/>
        <w:spacing w:after="0"/>
        <w:ind w:left="720" w:hanging="720"/>
        <w:rPr>
          <w:noProof/>
          <w:color w:val="000000"/>
        </w:rPr>
      </w:pPr>
      <w:bookmarkStart w:id="963" w:name="_ENREF_107"/>
      <w:r w:rsidRPr="003C440C">
        <w:rPr>
          <w:noProof/>
          <w:color w:val="000000"/>
        </w:rPr>
        <w:t xml:space="preserve">Jacobs, R.P.W.M. 1980, Effects of the `Amoco Cadiz' oil spill on the seagrass community at Roscoff with specil reference to the benthic infauna. </w:t>
      </w:r>
      <w:r w:rsidRPr="003C440C">
        <w:rPr>
          <w:i/>
          <w:noProof/>
          <w:color w:val="000000"/>
        </w:rPr>
        <w:t>Marine Ecology Progress Series, 2</w:t>
      </w:r>
      <w:r w:rsidRPr="003C440C">
        <w:rPr>
          <w:noProof/>
          <w:color w:val="000000"/>
        </w:rPr>
        <w:t xml:space="preserve">, 207-212. </w:t>
      </w:r>
      <w:bookmarkEnd w:id="963"/>
    </w:p>
    <w:p w:rsidR="00964A70" w:rsidRPr="003C440C" w:rsidRDefault="00964A70" w:rsidP="00964A70">
      <w:pPr>
        <w:pStyle w:val="References"/>
        <w:spacing w:after="0"/>
        <w:ind w:left="720" w:hanging="720"/>
        <w:rPr>
          <w:noProof/>
          <w:color w:val="000000"/>
        </w:rPr>
      </w:pPr>
      <w:bookmarkStart w:id="964" w:name="_ENREF_108"/>
      <w:r w:rsidRPr="003C440C">
        <w:rPr>
          <w:noProof/>
          <w:color w:val="000000"/>
        </w:rPr>
        <w:t xml:space="preserve">Jacobs, S.W.L., Les, D.H., and Moody, M.L. 2006, New combinations in Australasian Zostera (Zosteraceae). </w:t>
      </w:r>
      <w:r w:rsidRPr="003C440C">
        <w:rPr>
          <w:i/>
          <w:noProof/>
          <w:color w:val="000000"/>
        </w:rPr>
        <w:t>Telopea, 11</w:t>
      </w:r>
      <w:r w:rsidRPr="003C440C">
        <w:rPr>
          <w:noProof/>
          <w:color w:val="000000"/>
        </w:rPr>
        <w:t xml:space="preserve">(2), 127-128. </w:t>
      </w:r>
      <w:bookmarkEnd w:id="964"/>
    </w:p>
    <w:p w:rsidR="00964A70" w:rsidRPr="003C440C" w:rsidRDefault="00964A70" w:rsidP="00964A70">
      <w:pPr>
        <w:pStyle w:val="References"/>
        <w:spacing w:after="0"/>
        <w:ind w:left="720" w:hanging="720"/>
        <w:rPr>
          <w:noProof/>
          <w:color w:val="000000"/>
        </w:rPr>
      </w:pPr>
      <w:bookmarkStart w:id="965" w:name="_ENREF_109"/>
      <w:r w:rsidRPr="003C440C">
        <w:rPr>
          <w:noProof/>
          <w:color w:val="000000"/>
        </w:rPr>
        <w:t xml:space="preserve">Johnson, M.W., Heck, K.L., and Fourqurean, J.W. 2006, Nutrient content of seagrasses and epiphytes in the northern Gulf of Mexico: Evidence of phosphorus and nitrogen limitation. </w:t>
      </w:r>
      <w:r w:rsidRPr="003C440C">
        <w:rPr>
          <w:i/>
          <w:noProof/>
          <w:color w:val="000000"/>
        </w:rPr>
        <w:t>Aquatic Botany, 85</w:t>
      </w:r>
      <w:r w:rsidRPr="003C440C">
        <w:rPr>
          <w:noProof/>
          <w:color w:val="000000"/>
        </w:rPr>
        <w:t xml:space="preserve">(2), 103-111. </w:t>
      </w:r>
      <w:bookmarkEnd w:id="965"/>
    </w:p>
    <w:p w:rsidR="00964A70" w:rsidRPr="003C440C" w:rsidRDefault="00964A70" w:rsidP="00964A70">
      <w:pPr>
        <w:pStyle w:val="References"/>
        <w:spacing w:after="0"/>
        <w:ind w:left="720" w:hanging="720"/>
        <w:rPr>
          <w:noProof/>
          <w:color w:val="000000"/>
        </w:rPr>
      </w:pPr>
      <w:bookmarkStart w:id="966" w:name="_ENREF_110"/>
      <w:r w:rsidRPr="003C440C">
        <w:rPr>
          <w:noProof/>
          <w:color w:val="000000"/>
        </w:rPr>
        <w:t xml:space="preserve">Jones, A.B., O'Donohue, M.J., Udy, J., and Dennison, W.C. 2001, Assessing Ecological Impacts of Shrimp and Sewage Effluent: Biological Indicators with Standard Water Quality Analyses. </w:t>
      </w:r>
      <w:r w:rsidRPr="003C440C">
        <w:rPr>
          <w:i/>
          <w:noProof/>
          <w:color w:val="000000"/>
        </w:rPr>
        <w:t>Estuarine, Coastal and Shelf Science, 52</w:t>
      </w:r>
      <w:r w:rsidRPr="003C440C">
        <w:rPr>
          <w:noProof/>
          <w:color w:val="000000"/>
        </w:rPr>
        <w:t xml:space="preserve">(1), 91-109. </w:t>
      </w:r>
      <w:bookmarkEnd w:id="966"/>
    </w:p>
    <w:p w:rsidR="00964A70" w:rsidRPr="003C440C" w:rsidRDefault="00964A70" w:rsidP="00964A70">
      <w:pPr>
        <w:pStyle w:val="References"/>
        <w:spacing w:after="0"/>
        <w:ind w:left="720" w:hanging="720"/>
        <w:rPr>
          <w:noProof/>
          <w:color w:val="000000"/>
        </w:rPr>
      </w:pPr>
      <w:bookmarkStart w:id="967" w:name="_ENREF_111"/>
      <w:r w:rsidRPr="003C440C">
        <w:rPr>
          <w:noProof/>
          <w:color w:val="000000"/>
        </w:rPr>
        <w:t xml:space="preserve">Koch, E.W. (2001). What can sediments tell us about seagrass habitats? In LJ McKenzie, S Campbell, C Roder, J Bité &amp; R Coles (Eds.), </w:t>
      </w:r>
      <w:r w:rsidRPr="003C440C">
        <w:rPr>
          <w:i/>
          <w:noProof/>
          <w:color w:val="000000"/>
        </w:rPr>
        <w:t>Local Eyes: Global Wise, Proceedings of the 1st International Seagrass-Watch volunteers Forum, Hervey Bay 12th-15th October 2001</w:t>
      </w:r>
      <w:r w:rsidRPr="003C440C">
        <w:rPr>
          <w:noProof/>
          <w:color w:val="000000"/>
        </w:rPr>
        <w:t xml:space="preserve"> (Vol. 1, pp. 59-62). Cairns: Marine Plant Ecology Group, DPI.</w:t>
      </w:r>
      <w:bookmarkEnd w:id="967"/>
    </w:p>
    <w:p w:rsidR="00964A70" w:rsidRPr="003C440C" w:rsidRDefault="00964A70" w:rsidP="00964A70">
      <w:pPr>
        <w:pStyle w:val="References"/>
        <w:spacing w:after="0"/>
        <w:ind w:left="720" w:hanging="720"/>
        <w:rPr>
          <w:noProof/>
          <w:color w:val="000000"/>
        </w:rPr>
      </w:pPr>
      <w:bookmarkStart w:id="968" w:name="_ENREF_112"/>
      <w:r w:rsidRPr="003C440C">
        <w:rPr>
          <w:noProof/>
          <w:color w:val="000000"/>
        </w:rPr>
        <w:t xml:space="preserve">Lajtha, K., and Marshall, J. (1994). Sources of variation in the stable isotope composition of plants. In K Lajtha &amp; R Michener (Eds.), </w:t>
      </w:r>
      <w:r w:rsidRPr="003C440C">
        <w:rPr>
          <w:i/>
          <w:noProof/>
          <w:color w:val="000000"/>
        </w:rPr>
        <w:t>Stable Isotopes in Ecology and Environmental Sciences</w:t>
      </w:r>
      <w:r w:rsidRPr="003C440C">
        <w:rPr>
          <w:noProof/>
          <w:color w:val="000000"/>
        </w:rPr>
        <w:t xml:space="preserve"> (pp. 1–21). Oxford: Blackwell Scientific Publications.</w:t>
      </w:r>
      <w:bookmarkEnd w:id="968"/>
    </w:p>
    <w:p w:rsidR="00964A70" w:rsidRPr="003C440C" w:rsidRDefault="00964A70" w:rsidP="00964A70">
      <w:pPr>
        <w:pStyle w:val="References"/>
        <w:spacing w:after="0"/>
        <w:ind w:left="720" w:hanging="720"/>
        <w:rPr>
          <w:noProof/>
          <w:color w:val="000000"/>
        </w:rPr>
      </w:pPr>
      <w:bookmarkStart w:id="969" w:name="_ENREF_113"/>
      <w:r w:rsidRPr="003C440C">
        <w:rPr>
          <w:noProof/>
          <w:color w:val="000000"/>
        </w:rPr>
        <w:t xml:space="preserve">Lanyon, J., Limpus, C.J., and Marsh, H. (1989). Dugongs and turtles: grazers in the seagrass system. In AWD Larkum, AJ McComb &amp; SA Shepherd (Eds.), </w:t>
      </w:r>
      <w:r w:rsidRPr="003C440C">
        <w:rPr>
          <w:i/>
          <w:noProof/>
          <w:color w:val="000000"/>
        </w:rPr>
        <w:t>Biology of Seagrasses: A treatise on the biology of seagrasses with special reference to the Australian region</w:t>
      </w:r>
      <w:r w:rsidRPr="003C440C">
        <w:rPr>
          <w:noProof/>
          <w:color w:val="000000"/>
        </w:rPr>
        <w:t xml:space="preserve"> (pp. 610-634). New York: Elsevier.</w:t>
      </w:r>
      <w:bookmarkEnd w:id="969"/>
    </w:p>
    <w:p w:rsidR="00964A70" w:rsidRPr="003C440C" w:rsidRDefault="00964A70" w:rsidP="00964A70">
      <w:pPr>
        <w:pStyle w:val="References"/>
        <w:spacing w:after="0"/>
        <w:ind w:left="720" w:hanging="720"/>
        <w:rPr>
          <w:noProof/>
          <w:color w:val="000000"/>
        </w:rPr>
      </w:pPr>
      <w:bookmarkStart w:id="970" w:name="_ENREF_114"/>
      <w:r w:rsidRPr="003C440C">
        <w:rPr>
          <w:noProof/>
          <w:color w:val="000000"/>
        </w:rPr>
        <w:t xml:space="preserve">Lavery, P.S., Mateo, M.-Á., Serrano, O., and Rozaimi, M. 2013, Variability in the Carbon Storage of Seagrass Habitats and Its Implications for Global Estimates of Blue Carbon Ecosystem Service. </w:t>
      </w:r>
      <w:r w:rsidRPr="003C440C">
        <w:rPr>
          <w:i/>
          <w:noProof/>
          <w:color w:val="000000"/>
        </w:rPr>
        <w:t>Plos One, 8</w:t>
      </w:r>
      <w:r w:rsidRPr="003C440C">
        <w:rPr>
          <w:noProof/>
          <w:color w:val="000000"/>
        </w:rPr>
        <w:t>(9), e73748. doi: 10.1371/journal.pone.0073748</w:t>
      </w:r>
      <w:bookmarkEnd w:id="970"/>
    </w:p>
    <w:p w:rsidR="00964A70" w:rsidRPr="003C440C" w:rsidRDefault="00964A70" w:rsidP="00964A70">
      <w:pPr>
        <w:pStyle w:val="References"/>
        <w:spacing w:after="0"/>
        <w:ind w:left="720" w:hanging="720"/>
        <w:rPr>
          <w:noProof/>
          <w:color w:val="000000"/>
        </w:rPr>
      </w:pPr>
      <w:bookmarkStart w:id="971" w:name="_ENREF_115"/>
      <w:r w:rsidRPr="003C440C">
        <w:rPr>
          <w:noProof/>
          <w:color w:val="000000"/>
        </w:rPr>
        <w:lastRenderedPageBreak/>
        <w:t xml:space="preserve">Lee, K.-S., Park, S.R., and Kim, Y.K. 2007, Effects of irradiance, temperature, and nutrients on growth dynamics of seagrasses: A review. </w:t>
      </w:r>
      <w:r w:rsidRPr="003C440C">
        <w:rPr>
          <w:i/>
          <w:noProof/>
          <w:color w:val="000000"/>
        </w:rPr>
        <w:t>Journal of Experimental Marine Biology and Ecology, 350</w:t>
      </w:r>
      <w:r w:rsidRPr="003C440C">
        <w:rPr>
          <w:noProof/>
          <w:color w:val="000000"/>
        </w:rPr>
        <w:t xml:space="preserve">, 144-175. </w:t>
      </w:r>
      <w:bookmarkEnd w:id="971"/>
    </w:p>
    <w:p w:rsidR="00964A70" w:rsidRPr="003C440C" w:rsidRDefault="00964A70" w:rsidP="00964A70">
      <w:pPr>
        <w:pStyle w:val="References"/>
        <w:spacing w:after="0"/>
        <w:ind w:left="720" w:hanging="720"/>
        <w:rPr>
          <w:noProof/>
          <w:color w:val="000000"/>
        </w:rPr>
      </w:pPr>
      <w:bookmarkStart w:id="972" w:name="_ENREF_116"/>
      <w:r w:rsidRPr="003C440C">
        <w:rPr>
          <w:noProof/>
          <w:color w:val="000000"/>
        </w:rPr>
        <w:t xml:space="preserve">Lee Long, W.J., Coles, R.G., and McKenzie, L.J. 2000, Issues for Seagrass conservation management in Queensland. </w:t>
      </w:r>
      <w:r w:rsidRPr="003C440C">
        <w:rPr>
          <w:i/>
          <w:noProof/>
          <w:color w:val="000000"/>
        </w:rPr>
        <w:t>Pacific Conservation Biology, 5</w:t>
      </w:r>
      <w:r w:rsidRPr="003C440C">
        <w:rPr>
          <w:noProof/>
          <w:color w:val="000000"/>
        </w:rPr>
        <w:t xml:space="preserve">(4), 321-328. </w:t>
      </w:r>
      <w:bookmarkEnd w:id="972"/>
    </w:p>
    <w:p w:rsidR="00964A70" w:rsidRPr="003C440C" w:rsidRDefault="00964A70" w:rsidP="00964A70">
      <w:pPr>
        <w:pStyle w:val="References"/>
        <w:spacing w:after="0"/>
        <w:ind w:left="720" w:hanging="720"/>
        <w:rPr>
          <w:noProof/>
          <w:color w:val="000000"/>
        </w:rPr>
      </w:pPr>
      <w:bookmarkStart w:id="973" w:name="_ENREF_117"/>
      <w:r w:rsidRPr="003C440C">
        <w:rPr>
          <w:noProof/>
          <w:color w:val="000000"/>
        </w:rPr>
        <w:t xml:space="preserve">Lee Long, W.J., McKenzie, L.J., and Coles, R.G. 1997, Seagrass communities in the Shoalwater Bay Region, Queensland - Spring (September) 1995 and Autumn (April) 1996. 38. </w:t>
      </w:r>
      <w:bookmarkEnd w:id="973"/>
    </w:p>
    <w:p w:rsidR="00964A70" w:rsidRPr="003C440C" w:rsidRDefault="00964A70" w:rsidP="00964A70">
      <w:pPr>
        <w:pStyle w:val="References"/>
        <w:spacing w:after="0"/>
        <w:ind w:left="720" w:hanging="720"/>
        <w:rPr>
          <w:noProof/>
          <w:color w:val="000000"/>
        </w:rPr>
      </w:pPr>
      <w:bookmarkStart w:id="974" w:name="_ENREF_118"/>
      <w:r w:rsidRPr="003C440C">
        <w:rPr>
          <w:noProof/>
          <w:color w:val="000000"/>
        </w:rPr>
        <w:t xml:space="preserve">Lee Long, W.J., McKenzie, L.J., Roelofs, A.J., Makey, L.J., Coles, R.G., and C.A., R. 1998, Baseline Survey of Hinchinbrook Region Seagrasses - October (Spring) 1996. Research publication No. 51. 26. </w:t>
      </w:r>
      <w:bookmarkEnd w:id="974"/>
    </w:p>
    <w:p w:rsidR="00964A70" w:rsidRPr="003C440C" w:rsidRDefault="00964A70" w:rsidP="00964A70">
      <w:pPr>
        <w:pStyle w:val="References"/>
        <w:spacing w:after="0"/>
        <w:ind w:left="720" w:hanging="720"/>
        <w:rPr>
          <w:noProof/>
          <w:color w:val="000000"/>
        </w:rPr>
      </w:pPr>
      <w:bookmarkStart w:id="975" w:name="_ENREF_119"/>
      <w:r w:rsidRPr="003C440C">
        <w:rPr>
          <w:noProof/>
          <w:color w:val="000000"/>
        </w:rPr>
        <w:t xml:space="preserve">Lee Long, W.J., Mellors, J.E., and Coles, R.G. 1993, Seagrasses between Cape York and Hervey Bay, Queensland, Australia. </w:t>
      </w:r>
      <w:r w:rsidRPr="003C440C">
        <w:rPr>
          <w:i/>
          <w:noProof/>
          <w:color w:val="000000"/>
        </w:rPr>
        <w:t>Australian Journal of Marine and Freshwater Research, 44</w:t>
      </w:r>
      <w:r w:rsidRPr="003C440C">
        <w:rPr>
          <w:noProof/>
          <w:color w:val="000000"/>
        </w:rPr>
        <w:t xml:space="preserve">, 19-32. </w:t>
      </w:r>
      <w:bookmarkEnd w:id="975"/>
    </w:p>
    <w:p w:rsidR="00964A70" w:rsidRPr="003C440C" w:rsidRDefault="00964A70" w:rsidP="00964A70">
      <w:pPr>
        <w:pStyle w:val="References"/>
        <w:spacing w:after="0"/>
        <w:ind w:left="720" w:hanging="720"/>
        <w:rPr>
          <w:noProof/>
          <w:color w:val="000000"/>
        </w:rPr>
      </w:pPr>
      <w:bookmarkStart w:id="976" w:name="_ENREF_120"/>
      <w:r w:rsidRPr="003C440C">
        <w:rPr>
          <w:noProof/>
          <w:color w:val="000000"/>
        </w:rPr>
        <w:t xml:space="preserve">Lewis, M.A., and Devereux, R. 2009, Non-nutrient anthropogenic chemicals in seagrass ecosystems: fate and effects. </w:t>
      </w:r>
      <w:r w:rsidRPr="003C440C">
        <w:rPr>
          <w:i/>
          <w:noProof/>
          <w:color w:val="000000"/>
        </w:rPr>
        <w:t>Environmental Toxicology and Chemistry, 28</w:t>
      </w:r>
      <w:r w:rsidRPr="003C440C">
        <w:rPr>
          <w:noProof/>
          <w:color w:val="000000"/>
        </w:rPr>
        <w:t xml:space="preserve">(3), 644–661. </w:t>
      </w:r>
      <w:bookmarkEnd w:id="976"/>
    </w:p>
    <w:p w:rsidR="00964A70" w:rsidRPr="003C440C" w:rsidRDefault="00964A70" w:rsidP="00964A70">
      <w:pPr>
        <w:pStyle w:val="References"/>
        <w:spacing w:after="0"/>
        <w:ind w:left="720" w:hanging="720"/>
        <w:rPr>
          <w:noProof/>
          <w:color w:val="000000"/>
        </w:rPr>
      </w:pPr>
      <w:bookmarkStart w:id="977" w:name="_ENREF_121"/>
      <w:r w:rsidRPr="003C440C">
        <w:rPr>
          <w:noProof/>
          <w:color w:val="000000"/>
        </w:rPr>
        <w:t xml:space="preserve">Limpus, C.J., Limpus, D.J., Arthur, K.E., and Parmenter, C.J. (2005). </w:t>
      </w:r>
      <w:r w:rsidRPr="003C440C">
        <w:rPr>
          <w:i/>
          <w:noProof/>
          <w:color w:val="000000"/>
        </w:rPr>
        <w:t xml:space="preserve">Monitoring Green Turtle Population Dynamics in Shoalwater Bay:2000 - 2004. GBRMPA Research Publication No 83 </w:t>
      </w:r>
      <w:r w:rsidRPr="003C440C">
        <w:rPr>
          <w:noProof/>
          <w:color w:val="000000"/>
        </w:rPr>
        <w:t>Townsville: Great Barrier Reef Marine Park Authority.</w:t>
      </w:r>
      <w:bookmarkEnd w:id="977"/>
    </w:p>
    <w:p w:rsidR="00964A70" w:rsidRPr="003C440C" w:rsidRDefault="00964A70" w:rsidP="00964A70">
      <w:pPr>
        <w:pStyle w:val="References"/>
        <w:spacing w:after="0"/>
        <w:ind w:left="720" w:hanging="720"/>
        <w:rPr>
          <w:noProof/>
          <w:color w:val="000000"/>
        </w:rPr>
      </w:pPr>
      <w:bookmarkStart w:id="978" w:name="_ENREF_122"/>
      <w:r w:rsidRPr="003C440C">
        <w:rPr>
          <w:noProof/>
          <w:color w:val="000000"/>
        </w:rPr>
        <w:t xml:space="preserve">Lobb, K.F. (2006). </w:t>
      </w:r>
      <w:r w:rsidRPr="003C440C">
        <w:rPr>
          <w:i/>
          <w:noProof/>
          <w:color w:val="000000"/>
        </w:rPr>
        <w:t>Broad scale coastal nutrient assessment of the inshore Great Barrier Reef using carbon and nitrogen in marine plants and sediments.</w:t>
      </w:r>
      <w:r w:rsidRPr="003C440C">
        <w:rPr>
          <w:noProof/>
          <w:color w:val="000000"/>
        </w:rPr>
        <w:t xml:space="preserve"> Bachelor of Science with Honours, The University of Queensland, Brisbane.   </w:t>
      </w:r>
      <w:bookmarkEnd w:id="978"/>
    </w:p>
    <w:p w:rsidR="00964A70" w:rsidRPr="003C440C" w:rsidRDefault="00964A70" w:rsidP="00964A70">
      <w:pPr>
        <w:pStyle w:val="References"/>
        <w:spacing w:after="0"/>
        <w:ind w:left="720" w:hanging="720"/>
        <w:rPr>
          <w:noProof/>
          <w:color w:val="000000"/>
        </w:rPr>
      </w:pPr>
      <w:bookmarkStart w:id="979" w:name="_ENREF_123"/>
      <w:r w:rsidRPr="003C440C">
        <w:rPr>
          <w:noProof/>
          <w:color w:val="000000"/>
        </w:rPr>
        <w:t xml:space="preserve">Longstaff, B.J. (2002). </w:t>
      </w:r>
      <w:r w:rsidRPr="003C440C">
        <w:rPr>
          <w:i/>
          <w:noProof/>
          <w:color w:val="000000"/>
        </w:rPr>
        <w:t>Investigations into the light requiements of seagraes in Northeast Australia. PhD Thesis.</w:t>
      </w:r>
      <w:r w:rsidRPr="003C440C">
        <w:rPr>
          <w:noProof/>
          <w:color w:val="000000"/>
        </w:rPr>
        <w:t xml:space="preserve"> Department of Botany: University of Queensland Brisbane.</w:t>
      </w:r>
      <w:bookmarkEnd w:id="979"/>
    </w:p>
    <w:p w:rsidR="00964A70" w:rsidRPr="003C440C" w:rsidRDefault="00964A70" w:rsidP="00964A70">
      <w:pPr>
        <w:pStyle w:val="References"/>
        <w:spacing w:after="0"/>
        <w:ind w:left="720" w:hanging="720"/>
        <w:rPr>
          <w:noProof/>
          <w:color w:val="000000"/>
        </w:rPr>
      </w:pPr>
      <w:bookmarkStart w:id="980" w:name="_ENREF_124"/>
      <w:r w:rsidRPr="003C440C">
        <w:rPr>
          <w:noProof/>
          <w:color w:val="000000"/>
        </w:rPr>
        <w:t xml:space="preserve">Longstaff, B.J., Loneragan, N.R., O'Donohue, M.J., and Dennison, W.C. 1999, Effects of light deprivation on the survival and recovery of the seagrass </w:t>
      </w:r>
      <w:r w:rsidRPr="003C440C">
        <w:rPr>
          <w:i/>
          <w:noProof/>
          <w:color w:val="000000"/>
        </w:rPr>
        <w:t>Halophila ovalis</w:t>
      </w:r>
      <w:r w:rsidRPr="003C440C">
        <w:rPr>
          <w:noProof/>
          <w:color w:val="000000"/>
        </w:rPr>
        <w:t xml:space="preserve"> (R.Br.) Hook. </w:t>
      </w:r>
      <w:r w:rsidRPr="003C440C">
        <w:rPr>
          <w:i/>
          <w:noProof/>
          <w:color w:val="000000"/>
        </w:rPr>
        <w:t>Journal of Experimental Marine Biology and Ecology, 234</w:t>
      </w:r>
      <w:r w:rsidRPr="003C440C">
        <w:rPr>
          <w:noProof/>
          <w:color w:val="000000"/>
        </w:rPr>
        <w:t xml:space="preserve">, 1-27. </w:t>
      </w:r>
      <w:bookmarkEnd w:id="980"/>
    </w:p>
    <w:p w:rsidR="00964A70" w:rsidRPr="003C440C" w:rsidRDefault="00964A70" w:rsidP="00964A70">
      <w:pPr>
        <w:pStyle w:val="References"/>
        <w:spacing w:after="0"/>
        <w:ind w:left="720" w:hanging="720"/>
        <w:rPr>
          <w:noProof/>
          <w:color w:val="000000"/>
        </w:rPr>
      </w:pPr>
      <w:bookmarkStart w:id="981" w:name="_ENREF_125"/>
      <w:r w:rsidRPr="003C440C">
        <w:rPr>
          <w:noProof/>
          <w:color w:val="000000"/>
        </w:rPr>
        <w:t xml:space="preserve">Macinnis-Ng, C.M.O., and Ralph, P.J. 2004, In situ impact of multiple pulses of metal and herbicide on the seagrass, Zostera capricorni. </w:t>
      </w:r>
      <w:r w:rsidRPr="003C440C">
        <w:rPr>
          <w:i/>
          <w:noProof/>
          <w:color w:val="000000"/>
        </w:rPr>
        <w:t>Aquatic Toxicology, 67</w:t>
      </w:r>
      <w:r w:rsidRPr="003C440C">
        <w:rPr>
          <w:noProof/>
          <w:color w:val="000000"/>
        </w:rPr>
        <w:t xml:space="preserve">(3), 227-237. </w:t>
      </w:r>
      <w:bookmarkEnd w:id="981"/>
    </w:p>
    <w:p w:rsidR="00964A70" w:rsidRPr="003C440C" w:rsidRDefault="00964A70" w:rsidP="00964A70">
      <w:pPr>
        <w:pStyle w:val="References"/>
        <w:spacing w:after="0"/>
        <w:ind w:left="720" w:hanging="720"/>
        <w:rPr>
          <w:noProof/>
          <w:color w:val="000000"/>
        </w:rPr>
      </w:pPr>
      <w:bookmarkStart w:id="982" w:name="_ENREF_126"/>
      <w:r w:rsidRPr="003C440C">
        <w:rPr>
          <w:noProof/>
          <w:color w:val="000000"/>
        </w:rPr>
        <w:t>Mackay Whitsunday Natural Resource Management Group Inc. (2005). Mackay Whitsunday Natural Resource Management Plan. http://nrmonline.nrm.gov.au/catalog/mql:2229  Retrieved 18 February 2014</w:t>
      </w:r>
      <w:bookmarkEnd w:id="982"/>
    </w:p>
    <w:p w:rsidR="00964A70" w:rsidRPr="003C440C" w:rsidRDefault="00964A70" w:rsidP="00964A70">
      <w:pPr>
        <w:pStyle w:val="References"/>
        <w:spacing w:after="0"/>
        <w:ind w:left="720" w:hanging="720"/>
        <w:rPr>
          <w:noProof/>
          <w:color w:val="000000"/>
        </w:rPr>
      </w:pPr>
      <w:bookmarkStart w:id="983" w:name="_ENREF_127"/>
      <w:r w:rsidRPr="003C440C">
        <w:rPr>
          <w:noProof/>
          <w:color w:val="000000"/>
        </w:rPr>
        <w:t xml:space="preserve">Maughan, M., Brodie, J., and Waterhouse, J. (2008). </w:t>
      </w:r>
      <w:r w:rsidRPr="003C440C">
        <w:rPr>
          <w:i/>
          <w:noProof/>
          <w:color w:val="000000"/>
        </w:rPr>
        <w:t>What river impacts this reef? A simple exposure model.</w:t>
      </w:r>
      <w:r w:rsidRPr="003C440C">
        <w:rPr>
          <w:noProof/>
          <w:color w:val="000000"/>
        </w:rPr>
        <w:t xml:space="preserve"> Paper presented at the Proceedings of Water Down Under 2008, incorporating 31st Hydrology and Water Resources Symposium and 4th International Conference on Water Resources and Environment Research, 14-17 April 2008, Adelaide.</w:t>
      </w:r>
      <w:bookmarkEnd w:id="983"/>
    </w:p>
    <w:p w:rsidR="00964A70" w:rsidRPr="003C440C" w:rsidRDefault="00964A70" w:rsidP="00964A70">
      <w:pPr>
        <w:pStyle w:val="References"/>
        <w:spacing w:after="0"/>
        <w:ind w:left="720" w:hanging="720"/>
        <w:rPr>
          <w:noProof/>
          <w:color w:val="000000"/>
        </w:rPr>
      </w:pPr>
      <w:bookmarkStart w:id="984" w:name="_ENREF_128"/>
      <w:r w:rsidRPr="003C440C">
        <w:rPr>
          <w:noProof/>
          <w:color w:val="000000"/>
        </w:rPr>
        <w:t xml:space="preserve">McCulloch, M., Pailles, C., Moody, P., and Martin, C.E. 2003, Tracing the source of sediment and phosphorus into the Great Barrier Reef lagoon. </w:t>
      </w:r>
      <w:r w:rsidRPr="003C440C">
        <w:rPr>
          <w:i/>
          <w:noProof/>
          <w:color w:val="000000"/>
        </w:rPr>
        <w:t>Earth and Planetary Science Letters, 210</w:t>
      </w:r>
      <w:r w:rsidRPr="003C440C">
        <w:rPr>
          <w:noProof/>
          <w:color w:val="000000"/>
        </w:rPr>
        <w:t xml:space="preserve">, 249-258. </w:t>
      </w:r>
      <w:bookmarkEnd w:id="984"/>
    </w:p>
    <w:p w:rsidR="00964A70" w:rsidRPr="003C440C" w:rsidRDefault="00964A70" w:rsidP="00964A70">
      <w:pPr>
        <w:pStyle w:val="References"/>
        <w:spacing w:after="0"/>
        <w:ind w:left="720" w:hanging="720"/>
        <w:rPr>
          <w:noProof/>
          <w:color w:val="000000"/>
        </w:rPr>
      </w:pPr>
      <w:bookmarkStart w:id="985" w:name="_ENREF_129"/>
      <w:r w:rsidRPr="003C440C">
        <w:rPr>
          <w:noProof/>
          <w:color w:val="000000"/>
        </w:rPr>
        <w:t xml:space="preserve">McKenzie, L.J. 1994, Seasonal changes in biomass and shoot characteristics of a </w:t>
      </w:r>
      <w:r w:rsidRPr="003C440C">
        <w:rPr>
          <w:i/>
          <w:noProof/>
          <w:color w:val="000000"/>
        </w:rPr>
        <w:t>Zostera capricorn</w:t>
      </w:r>
      <w:r w:rsidRPr="003C440C">
        <w:rPr>
          <w:noProof/>
          <w:color w:val="000000"/>
        </w:rPr>
        <w:t xml:space="preserve"> Aschers. dominant meadow in Cairns Harbour, northern Queensland. </w:t>
      </w:r>
      <w:r w:rsidRPr="003C440C">
        <w:rPr>
          <w:i/>
          <w:noProof/>
          <w:color w:val="000000"/>
        </w:rPr>
        <w:t>Australian Journal of Marine and Freshwater Research, 45</w:t>
      </w:r>
      <w:r w:rsidRPr="003C440C">
        <w:rPr>
          <w:noProof/>
          <w:color w:val="000000"/>
        </w:rPr>
        <w:t xml:space="preserve">, 1337-1352. </w:t>
      </w:r>
      <w:bookmarkEnd w:id="985"/>
    </w:p>
    <w:p w:rsidR="00964A70" w:rsidRPr="003C440C" w:rsidRDefault="00964A70" w:rsidP="00964A70">
      <w:pPr>
        <w:pStyle w:val="References"/>
        <w:spacing w:after="0"/>
        <w:ind w:left="720" w:hanging="720"/>
        <w:rPr>
          <w:noProof/>
          <w:color w:val="000000"/>
        </w:rPr>
      </w:pPr>
      <w:bookmarkStart w:id="986" w:name="_ENREF_130"/>
      <w:r w:rsidRPr="003C440C">
        <w:rPr>
          <w:noProof/>
          <w:color w:val="000000"/>
        </w:rPr>
        <w:t xml:space="preserve">McKenzie, L.J. (2007). </w:t>
      </w:r>
      <w:r w:rsidRPr="003C440C">
        <w:rPr>
          <w:i/>
          <w:noProof/>
          <w:color w:val="000000"/>
        </w:rPr>
        <w:t xml:space="preserve">Relationships between seagrass communities and sediment properties along the Queensland coast. Progress report to the Marine and Tropical Sciences Research Facility. </w:t>
      </w:r>
      <w:r w:rsidRPr="003C440C">
        <w:rPr>
          <w:noProof/>
          <w:color w:val="000000"/>
        </w:rPr>
        <w:t>. Cairns Reef and Rainforest Research Centre Ltd.</w:t>
      </w:r>
      <w:bookmarkEnd w:id="986"/>
    </w:p>
    <w:p w:rsidR="00964A70" w:rsidRPr="003C440C" w:rsidRDefault="00964A70" w:rsidP="00964A70">
      <w:pPr>
        <w:pStyle w:val="References"/>
        <w:spacing w:after="0"/>
        <w:ind w:left="720" w:hanging="720"/>
        <w:rPr>
          <w:noProof/>
          <w:color w:val="000000"/>
        </w:rPr>
      </w:pPr>
      <w:bookmarkStart w:id="987" w:name="_ENREF_131"/>
      <w:r w:rsidRPr="003C440C">
        <w:rPr>
          <w:noProof/>
          <w:color w:val="000000"/>
        </w:rPr>
        <w:lastRenderedPageBreak/>
        <w:t xml:space="preserve">McKenzie, L.J. (2008). </w:t>
      </w:r>
      <w:r w:rsidRPr="003C440C">
        <w:rPr>
          <w:i/>
          <w:noProof/>
          <w:color w:val="000000"/>
        </w:rPr>
        <w:t>Relationships between seagrass communities and epiphyte assemblages along the Queensland coast. Marine and Tropical Sciences Research Facility Milestone Report, Project 3.7.1c Progress Report #3, 11th June 2008</w:t>
      </w:r>
      <w:r w:rsidRPr="003C440C">
        <w:rPr>
          <w:noProof/>
          <w:color w:val="000000"/>
        </w:rPr>
        <w:t>. Cairns: RRRC.</w:t>
      </w:r>
      <w:bookmarkEnd w:id="987"/>
    </w:p>
    <w:p w:rsidR="00964A70" w:rsidRPr="003C440C" w:rsidRDefault="00964A70" w:rsidP="00964A70">
      <w:pPr>
        <w:pStyle w:val="References"/>
        <w:spacing w:after="0"/>
        <w:ind w:left="720" w:hanging="720"/>
        <w:rPr>
          <w:noProof/>
          <w:color w:val="000000"/>
        </w:rPr>
      </w:pPr>
      <w:bookmarkStart w:id="988" w:name="_ENREF_132"/>
      <w:r w:rsidRPr="003C440C">
        <w:rPr>
          <w:noProof/>
          <w:color w:val="000000"/>
        </w:rPr>
        <w:t xml:space="preserve">McKenzie, L.J. (2009). Observing change in seagrass habitats of the GBR– Seagrass-Watch monitoring: Deriving seagrass abundance indicators for regional habitat guidelines,. In LJ McKenzie &amp; M Waycott (Eds.), </w:t>
      </w:r>
      <w:r w:rsidRPr="003C440C">
        <w:rPr>
          <w:i/>
          <w:noProof/>
          <w:color w:val="000000"/>
        </w:rPr>
        <w:t>Marine and Tropical Sciences Research Facility Milestone and Progress Report #3, 2008-2009 (ARP 3) Project 1.1.3 Report 3, 11th June 2000. http://www.rrrc.org.au/publications/downloads/113-QDPIF-McKenzie-L-2009-June-Milestone-Report.pdf  accessed 27 August 2010.</w:t>
      </w:r>
      <w:r w:rsidRPr="003C440C">
        <w:rPr>
          <w:noProof/>
          <w:color w:val="000000"/>
        </w:rPr>
        <w:t xml:space="preserve"> (pp. 7-1). Cairns: RRRC.</w:t>
      </w:r>
      <w:bookmarkEnd w:id="988"/>
    </w:p>
    <w:p w:rsidR="00964A70" w:rsidRPr="003C440C" w:rsidRDefault="00964A70" w:rsidP="00964A70">
      <w:pPr>
        <w:pStyle w:val="References"/>
        <w:spacing w:after="0"/>
        <w:ind w:left="720" w:hanging="720"/>
        <w:rPr>
          <w:noProof/>
          <w:color w:val="000000"/>
        </w:rPr>
      </w:pPr>
      <w:bookmarkStart w:id="989" w:name="_ENREF_133"/>
      <w:r w:rsidRPr="003C440C">
        <w:rPr>
          <w:noProof/>
          <w:color w:val="000000"/>
        </w:rPr>
        <w:t xml:space="preserve">McKenzie, L.J., and Campbell, S. 2003, Seagrass resources of the Booral Wetlands and the Great Sandy Straits. 28. </w:t>
      </w:r>
      <w:bookmarkEnd w:id="989"/>
    </w:p>
    <w:p w:rsidR="00964A70" w:rsidRPr="003C440C" w:rsidRDefault="00964A70" w:rsidP="00964A70">
      <w:pPr>
        <w:pStyle w:val="References"/>
        <w:spacing w:after="0"/>
        <w:ind w:left="720" w:hanging="720"/>
        <w:rPr>
          <w:noProof/>
          <w:color w:val="000000"/>
        </w:rPr>
      </w:pPr>
      <w:bookmarkStart w:id="990" w:name="_ENREF_134"/>
      <w:r w:rsidRPr="003C440C">
        <w:rPr>
          <w:noProof/>
          <w:color w:val="000000"/>
        </w:rPr>
        <w:t xml:space="preserve">McKenzie, L.J., Collier, C.J., and Waycott, M. 2012, Reef Rescue Marine Monitoring Program: Inshore seagrass, annual report for the sampling period 1st September 2010-31st May 2011. 230pp. </w:t>
      </w:r>
      <w:bookmarkEnd w:id="990"/>
    </w:p>
    <w:p w:rsidR="00964A70" w:rsidRPr="003C440C" w:rsidRDefault="00964A70" w:rsidP="00964A70">
      <w:pPr>
        <w:pStyle w:val="References"/>
        <w:spacing w:after="0"/>
        <w:ind w:left="720" w:hanging="720"/>
        <w:rPr>
          <w:noProof/>
          <w:color w:val="000000"/>
        </w:rPr>
      </w:pPr>
      <w:bookmarkStart w:id="991" w:name="_ENREF_135"/>
      <w:r w:rsidRPr="003C440C">
        <w:rPr>
          <w:noProof/>
          <w:color w:val="000000"/>
        </w:rPr>
        <w:t xml:space="preserve">McKenzie, L.J., Lee Long, W.J., Coles, R., and Roder, C.A. 2000, Seagrass watch: community based monitoring of seagrass resources. [Biol. Mar. Medit.]. </w:t>
      </w:r>
      <w:r w:rsidRPr="003C440C">
        <w:rPr>
          <w:i/>
          <w:noProof/>
          <w:color w:val="000000"/>
        </w:rPr>
        <w:t>Biologica Marina Mediterranea, 7</w:t>
      </w:r>
      <w:r w:rsidRPr="003C440C">
        <w:rPr>
          <w:noProof/>
          <w:color w:val="000000"/>
        </w:rPr>
        <w:t xml:space="preserve">(2), 393-396. </w:t>
      </w:r>
      <w:bookmarkEnd w:id="991"/>
    </w:p>
    <w:p w:rsidR="00964A70" w:rsidRPr="003C440C" w:rsidRDefault="00964A70" w:rsidP="00964A70">
      <w:pPr>
        <w:pStyle w:val="References"/>
        <w:spacing w:after="0"/>
        <w:ind w:left="720" w:hanging="720"/>
        <w:rPr>
          <w:noProof/>
          <w:color w:val="000000"/>
        </w:rPr>
      </w:pPr>
      <w:bookmarkStart w:id="992" w:name="_ENREF_136"/>
      <w:r w:rsidRPr="003C440C">
        <w:rPr>
          <w:noProof/>
          <w:color w:val="000000"/>
        </w:rPr>
        <w:t xml:space="preserve">McKenzie, L.J., Lee Long, W.J., Roelofs, A., Roder, C.A., and Coles, R. (1998). </w:t>
      </w:r>
      <w:r w:rsidRPr="003C440C">
        <w:rPr>
          <w:i/>
          <w:noProof/>
          <w:color w:val="000000"/>
        </w:rPr>
        <w:t>Port of Mourilyin seagrass monitoring - first four years. EcoPorts Monograph Serie No. 15.</w:t>
      </w:r>
      <w:r w:rsidRPr="003C440C">
        <w:rPr>
          <w:noProof/>
          <w:color w:val="000000"/>
        </w:rPr>
        <w:t xml:space="preserve"> Brisbane: Ports Corporation of Queensland.</w:t>
      </w:r>
      <w:bookmarkEnd w:id="992"/>
    </w:p>
    <w:p w:rsidR="00964A70" w:rsidRPr="003C440C" w:rsidRDefault="00964A70" w:rsidP="00964A70">
      <w:pPr>
        <w:pStyle w:val="References"/>
        <w:spacing w:after="0"/>
        <w:ind w:left="720" w:hanging="720"/>
        <w:rPr>
          <w:noProof/>
          <w:color w:val="000000"/>
        </w:rPr>
      </w:pPr>
      <w:bookmarkStart w:id="993" w:name="_ENREF_137"/>
      <w:r w:rsidRPr="003C440C">
        <w:rPr>
          <w:noProof/>
          <w:color w:val="000000"/>
        </w:rPr>
        <w:t xml:space="preserve">McKenzie, L.J., Mellors, J., Waycott, M., Unsworth, R., and Collier, C. (2010a). Intertidal seagrass monitoring. In RRRC Ltd. (Ed.), </w:t>
      </w:r>
      <w:r w:rsidRPr="003C440C">
        <w:rPr>
          <w:i/>
          <w:noProof/>
          <w:color w:val="000000"/>
        </w:rPr>
        <w:t>Reef Rescue Marine Monitoring Program: Quality Assurance/Quality Control Methods and Procedures Manual. Report prepared for the Great Barrier Reef Marine Park Authority.</w:t>
      </w:r>
      <w:r w:rsidRPr="003C440C">
        <w:rPr>
          <w:noProof/>
          <w:color w:val="000000"/>
        </w:rPr>
        <w:t xml:space="preserve"> (pp. 42-56). Cairns: Reef &amp; Rainforest Research Centre Ltd.</w:t>
      </w:r>
      <w:bookmarkEnd w:id="993"/>
    </w:p>
    <w:p w:rsidR="00964A70" w:rsidRPr="003C440C" w:rsidRDefault="00964A70" w:rsidP="00964A70">
      <w:pPr>
        <w:pStyle w:val="References"/>
        <w:spacing w:after="0"/>
        <w:ind w:left="720" w:hanging="720"/>
        <w:rPr>
          <w:noProof/>
          <w:color w:val="000000"/>
        </w:rPr>
      </w:pPr>
      <w:bookmarkStart w:id="994" w:name="_ENREF_138"/>
      <w:r w:rsidRPr="003C440C">
        <w:rPr>
          <w:noProof/>
          <w:color w:val="000000"/>
        </w:rPr>
        <w:t xml:space="preserve">McKenzie, L.J., Mellors, J.E., Waycott, M., Udy, J., and Coles, R.G. (2006). Intertidal Monitoring. In B Schaffelke &amp; J Waterhouse (Eds.), </w:t>
      </w:r>
      <w:r w:rsidRPr="003C440C">
        <w:rPr>
          <w:i/>
          <w:noProof/>
          <w:color w:val="000000"/>
        </w:rPr>
        <w:t>Water Quality and Ecosystem Monitoring Program - Reef Water Quality Protection Plan. Final Report August 2006 (revised November 2006).</w:t>
      </w:r>
      <w:r w:rsidRPr="003C440C">
        <w:rPr>
          <w:noProof/>
          <w:color w:val="000000"/>
        </w:rPr>
        <w:t xml:space="preserve"> (Vol. 2, pp. 230 -275). Townsville: CRC Reef Research.</w:t>
      </w:r>
      <w:bookmarkEnd w:id="994"/>
    </w:p>
    <w:p w:rsidR="00964A70" w:rsidRPr="003C440C" w:rsidRDefault="00964A70" w:rsidP="00964A70">
      <w:pPr>
        <w:pStyle w:val="References"/>
        <w:spacing w:after="0"/>
        <w:ind w:left="720" w:hanging="720"/>
        <w:rPr>
          <w:noProof/>
          <w:color w:val="000000"/>
        </w:rPr>
      </w:pPr>
      <w:bookmarkStart w:id="995" w:name="_ENREF_139"/>
      <w:r w:rsidRPr="003C440C">
        <w:rPr>
          <w:noProof/>
          <w:color w:val="000000"/>
        </w:rPr>
        <w:t>McKenzie, L.J., and Unsworth, R.K.F. (2009). [Reef Rescue Marine Monitoring Program: Intertidal Seagrass, Final Report 2008/2009].</w:t>
      </w:r>
      <w:bookmarkEnd w:id="995"/>
    </w:p>
    <w:p w:rsidR="00964A70" w:rsidRPr="003C440C" w:rsidRDefault="00964A70" w:rsidP="00964A70">
      <w:pPr>
        <w:pStyle w:val="References"/>
        <w:spacing w:after="0"/>
        <w:ind w:left="720" w:hanging="720"/>
        <w:rPr>
          <w:noProof/>
          <w:color w:val="000000"/>
        </w:rPr>
      </w:pPr>
      <w:bookmarkStart w:id="996" w:name="_ENREF_140"/>
      <w:r w:rsidRPr="003C440C">
        <w:rPr>
          <w:noProof/>
          <w:color w:val="000000"/>
        </w:rPr>
        <w:t xml:space="preserve">McKenzie, L.J., Unsworth, R.K.F., and Waycott, M. 2010b, Reef Rescue Marine Monitoring Program: Intertidal Seagrass, Annual Report for the sampling period 1st September 2009 – 31st May 2010. 136. </w:t>
      </w:r>
      <w:bookmarkEnd w:id="996"/>
    </w:p>
    <w:p w:rsidR="00964A70" w:rsidRPr="003C440C" w:rsidRDefault="00964A70" w:rsidP="00964A70">
      <w:pPr>
        <w:pStyle w:val="References"/>
        <w:spacing w:after="0"/>
        <w:ind w:left="720" w:hanging="720"/>
        <w:rPr>
          <w:noProof/>
          <w:color w:val="000000"/>
        </w:rPr>
      </w:pPr>
      <w:bookmarkStart w:id="997" w:name="_ENREF_141"/>
      <w:r w:rsidRPr="003C440C">
        <w:rPr>
          <w:noProof/>
          <w:color w:val="000000"/>
        </w:rPr>
        <w:t xml:space="preserve">McKenzie, L.J., Yoshida, R.L., Grech, A., and Coles, R. (2010c). </w:t>
      </w:r>
      <w:r w:rsidRPr="003C440C">
        <w:rPr>
          <w:i/>
          <w:noProof/>
          <w:color w:val="000000"/>
        </w:rPr>
        <w:t>Queensland seagrasses. Status 2010 - Torres Strait and East Coast</w:t>
      </w:r>
      <w:r w:rsidRPr="003C440C">
        <w:rPr>
          <w:noProof/>
          <w:color w:val="000000"/>
        </w:rPr>
        <w:t>. Cairns: Fisheries Queensland (DEEDI).</w:t>
      </w:r>
      <w:bookmarkEnd w:id="997"/>
    </w:p>
    <w:p w:rsidR="00964A70" w:rsidRPr="003C440C" w:rsidRDefault="00964A70" w:rsidP="00964A70">
      <w:pPr>
        <w:pStyle w:val="References"/>
        <w:spacing w:after="0"/>
        <w:ind w:left="720" w:hanging="720"/>
        <w:rPr>
          <w:noProof/>
          <w:color w:val="000000"/>
        </w:rPr>
      </w:pPr>
      <w:bookmarkStart w:id="998" w:name="_ENREF_142"/>
      <w:r w:rsidRPr="003C440C">
        <w:rPr>
          <w:noProof/>
          <w:color w:val="000000"/>
        </w:rPr>
        <w:t xml:space="preserve">McMahon, K.M., Bengston-Nash, S., Eaglesham, G.K., Mueller, J., Duke, N.C., and Winderlich, S. 2005, Herbicide contamination and the potential impact to seagrass meadows in Hervey Bay, Queensland, Australia. </w:t>
      </w:r>
      <w:r w:rsidRPr="003C440C">
        <w:rPr>
          <w:i/>
          <w:noProof/>
          <w:color w:val="000000"/>
        </w:rPr>
        <w:t>Marine Pollution Bulletin, 51</w:t>
      </w:r>
      <w:r w:rsidRPr="003C440C">
        <w:rPr>
          <w:noProof/>
          <w:color w:val="000000"/>
        </w:rPr>
        <w:t xml:space="preserve">, 325-334. </w:t>
      </w:r>
      <w:bookmarkEnd w:id="998"/>
    </w:p>
    <w:p w:rsidR="00964A70" w:rsidRPr="003C440C" w:rsidRDefault="00964A70" w:rsidP="00964A70">
      <w:pPr>
        <w:pStyle w:val="References"/>
        <w:spacing w:after="0"/>
        <w:ind w:left="720" w:hanging="720"/>
        <w:rPr>
          <w:noProof/>
          <w:color w:val="000000"/>
        </w:rPr>
      </w:pPr>
      <w:bookmarkStart w:id="999" w:name="_ENREF_143"/>
      <w:r w:rsidRPr="003C440C">
        <w:rPr>
          <w:noProof/>
          <w:color w:val="000000"/>
        </w:rPr>
        <w:t xml:space="preserve">Mellors, J., Waycott, M., and Marsh, H. 2005, Variation in biogeochemical parameters across intertidal seagrass meadows in the central Great Barrier Reef region. </w:t>
      </w:r>
      <w:r w:rsidRPr="003C440C">
        <w:rPr>
          <w:i/>
          <w:noProof/>
          <w:color w:val="000000"/>
        </w:rPr>
        <w:t>Marine Pollution Bulletin, 51</w:t>
      </w:r>
      <w:r w:rsidRPr="003C440C">
        <w:rPr>
          <w:noProof/>
          <w:color w:val="000000"/>
        </w:rPr>
        <w:t>(1-4), 335-342. doi: 10.1016/j.marpolbul.2004.10.046</w:t>
      </w:r>
      <w:bookmarkEnd w:id="999"/>
    </w:p>
    <w:p w:rsidR="00964A70" w:rsidRPr="003C440C" w:rsidRDefault="00964A70" w:rsidP="00964A70">
      <w:pPr>
        <w:pStyle w:val="References"/>
        <w:spacing w:after="0"/>
        <w:ind w:left="720" w:hanging="720"/>
        <w:rPr>
          <w:noProof/>
          <w:color w:val="000000"/>
        </w:rPr>
      </w:pPr>
      <w:bookmarkStart w:id="1000" w:name="_ENREF_144"/>
      <w:r w:rsidRPr="003C440C">
        <w:rPr>
          <w:noProof/>
          <w:color w:val="000000"/>
        </w:rPr>
        <w:t xml:space="preserve">Mellors, J.E. (2003). </w:t>
      </w:r>
      <w:r w:rsidRPr="003C440C">
        <w:rPr>
          <w:i/>
          <w:noProof/>
          <w:color w:val="000000"/>
        </w:rPr>
        <w:t>Sediment and nutrient dynamics in coastal intertidal seagrass of north eastern tropical Australia. PhD Thesis.</w:t>
      </w:r>
      <w:r w:rsidRPr="003C440C">
        <w:rPr>
          <w:noProof/>
          <w:color w:val="000000"/>
        </w:rPr>
        <w:t xml:space="preserve"> School of Tropical Environment Studies and Geography: James Cook University, Townsville.</w:t>
      </w:r>
      <w:bookmarkEnd w:id="1000"/>
    </w:p>
    <w:p w:rsidR="00964A70" w:rsidRPr="003C440C" w:rsidRDefault="00964A70" w:rsidP="00964A70">
      <w:pPr>
        <w:pStyle w:val="References"/>
        <w:spacing w:after="0"/>
        <w:ind w:left="720" w:hanging="720"/>
        <w:rPr>
          <w:noProof/>
          <w:color w:val="000000"/>
        </w:rPr>
      </w:pPr>
      <w:bookmarkStart w:id="1001" w:name="_ENREF_145"/>
      <w:r w:rsidRPr="003C440C">
        <w:rPr>
          <w:noProof/>
          <w:color w:val="000000"/>
        </w:rPr>
        <w:lastRenderedPageBreak/>
        <w:t xml:space="preserve">Mellors, J.E., Waycott, M., and Marsh, H. 2004, Variation in biogeochemical parameters across intertidal seagrass meadows in the central Great Barrier Reef region. </w:t>
      </w:r>
      <w:r w:rsidRPr="003C440C">
        <w:rPr>
          <w:i/>
          <w:noProof/>
          <w:color w:val="000000"/>
        </w:rPr>
        <w:t>Marine Pollution Bulletin, in press</w:t>
      </w:r>
      <w:r w:rsidRPr="003C440C">
        <w:rPr>
          <w:noProof/>
          <w:color w:val="000000"/>
        </w:rPr>
        <w:t xml:space="preserve">. </w:t>
      </w:r>
      <w:bookmarkEnd w:id="1001"/>
    </w:p>
    <w:p w:rsidR="00964A70" w:rsidRPr="003C440C" w:rsidRDefault="00964A70" w:rsidP="00964A70">
      <w:pPr>
        <w:pStyle w:val="References"/>
        <w:spacing w:after="0"/>
        <w:ind w:left="720" w:hanging="720"/>
        <w:rPr>
          <w:noProof/>
          <w:color w:val="000000"/>
        </w:rPr>
      </w:pPr>
      <w:bookmarkStart w:id="1002" w:name="_ENREF_146"/>
      <w:r w:rsidRPr="003C440C">
        <w:rPr>
          <w:noProof/>
          <w:color w:val="000000"/>
        </w:rPr>
        <w:t xml:space="preserve">Meysman, F.J.R., Middelburg, J.J., and Heip, C.H.R. 2006, Bioturbation: a fresh look at Darwin’s last idea. </w:t>
      </w:r>
      <w:r w:rsidRPr="003C440C">
        <w:rPr>
          <w:i/>
          <w:noProof/>
          <w:color w:val="000000"/>
        </w:rPr>
        <w:t>Trends in Ecology &amp; Evolution, 21</w:t>
      </w:r>
      <w:r w:rsidRPr="003C440C">
        <w:rPr>
          <w:noProof/>
          <w:color w:val="000000"/>
        </w:rPr>
        <w:t xml:space="preserve">(12), 688-695. </w:t>
      </w:r>
      <w:bookmarkEnd w:id="1002"/>
    </w:p>
    <w:p w:rsidR="00964A70" w:rsidRPr="003C440C" w:rsidRDefault="00964A70" w:rsidP="00964A70">
      <w:pPr>
        <w:pStyle w:val="References"/>
        <w:spacing w:after="0"/>
        <w:ind w:left="720" w:hanging="720"/>
        <w:rPr>
          <w:noProof/>
          <w:color w:val="000000"/>
        </w:rPr>
      </w:pPr>
      <w:bookmarkStart w:id="1003" w:name="_ENREF_147"/>
      <w:r w:rsidRPr="003C440C">
        <w:rPr>
          <w:noProof/>
          <w:color w:val="000000"/>
        </w:rPr>
        <w:t xml:space="preserve">Milazzo, M., Badalamenti, F., Ceccherelli, G., and Chemello, R. 2004, Boat anchoring on Posidonia oceanica beds in a marine protected area (Italy, western Mediterranean): effect of anchor types in different anchoring stages. </w:t>
      </w:r>
      <w:r w:rsidRPr="003C440C">
        <w:rPr>
          <w:i/>
          <w:noProof/>
          <w:color w:val="000000"/>
        </w:rPr>
        <w:t>Journal of Experimental Marine Biology and Ecology, 299</w:t>
      </w:r>
      <w:r w:rsidRPr="003C440C">
        <w:rPr>
          <w:noProof/>
          <w:color w:val="000000"/>
        </w:rPr>
        <w:t xml:space="preserve">(1), 51-62. </w:t>
      </w:r>
      <w:bookmarkEnd w:id="1003"/>
    </w:p>
    <w:p w:rsidR="00964A70" w:rsidRPr="003C440C" w:rsidRDefault="00964A70" w:rsidP="00964A70">
      <w:pPr>
        <w:pStyle w:val="References"/>
        <w:spacing w:after="0"/>
        <w:ind w:left="720" w:hanging="720"/>
        <w:rPr>
          <w:i/>
          <w:noProof/>
          <w:color w:val="000000"/>
        </w:rPr>
      </w:pPr>
      <w:bookmarkStart w:id="1004" w:name="_ENREF_148"/>
      <w:r w:rsidRPr="003C440C">
        <w:rPr>
          <w:noProof/>
          <w:color w:val="000000"/>
        </w:rPr>
        <w:t xml:space="preserve">Monitoring River Health Initiative. (1994). </w:t>
      </w:r>
      <w:r w:rsidRPr="003C440C">
        <w:rPr>
          <w:i/>
          <w:noProof/>
          <w:color w:val="000000"/>
        </w:rPr>
        <w:t>River Bioassessment Manual, National River Processes and Management Program, Tasmania. http://www.environment.gov.au/water/publications/environmental/rivers/nrhp/bioassess.html, accessed 10 February 2014.</w:t>
      </w:r>
      <w:bookmarkEnd w:id="1004"/>
    </w:p>
    <w:p w:rsidR="00964A70" w:rsidRPr="003C440C" w:rsidRDefault="00964A70" w:rsidP="00964A70">
      <w:pPr>
        <w:pStyle w:val="References"/>
        <w:spacing w:after="0"/>
        <w:ind w:left="720" w:hanging="720"/>
        <w:rPr>
          <w:noProof/>
          <w:color w:val="000000"/>
        </w:rPr>
      </w:pPr>
      <w:bookmarkStart w:id="1005" w:name="_ENREF_149"/>
      <w:r w:rsidRPr="003C440C">
        <w:rPr>
          <w:noProof/>
          <w:color w:val="000000"/>
        </w:rPr>
        <w:t xml:space="preserve">Mueller, B. 2004, Quality of Halodule wrightii growing near marinas. </w:t>
      </w:r>
      <w:r w:rsidRPr="003C440C">
        <w:rPr>
          <w:i/>
          <w:noProof/>
          <w:color w:val="000000"/>
        </w:rPr>
        <w:t>Bios, 75</w:t>
      </w:r>
      <w:r w:rsidRPr="003C440C">
        <w:rPr>
          <w:noProof/>
          <w:color w:val="000000"/>
        </w:rPr>
        <w:t xml:space="preserve">(2), 53-57. </w:t>
      </w:r>
      <w:bookmarkEnd w:id="1005"/>
    </w:p>
    <w:p w:rsidR="00964A70" w:rsidRPr="003C440C" w:rsidRDefault="00964A70" w:rsidP="00964A70">
      <w:pPr>
        <w:pStyle w:val="References"/>
        <w:spacing w:after="0"/>
        <w:ind w:left="720" w:hanging="720"/>
        <w:rPr>
          <w:noProof/>
          <w:color w:val="000000"/>
        </w:rPr>
      </w:pPr>
      <w:bookmarkStart w:id="1006" w:name="_ENREF_150"/>
      <w:r w:rsidRPr="003C440C">
        <w:rPr>
          <w:noProof/>
          <w:color w:val="000000"/>
        </w:rPr>
        <w:t xml:space="preserve">Neckles, H., Koepfler, E., Haas, L., Wetzel, R., and Orth, R. 1994, Dynamics of epiphytic photoautotrophs and heterotrophs in </w:t>
      </w:r>
      <w:r w:rsidRPr="003C440C">
        <w:rPr>
          <w:i/>
          <w:noProof/>
          <w:color w:val="000000"/>
        </w:rPr>
        <w:t>Zostera marina</w:t>
      </w:r>
      <w:r w:rsidRPr="003C440C">
        <w:rPr>
          <w:noProof/>
          <w:color w:val="000000"/>
        </w:rPr>
        <w:t xml:space="preserve"> (eelgrass) microcosms: Responses to nutrient enrichment and grazing. </w:t>
      </w:r>
      <w:r w:rsidRPr="003C440C">
        <w:rPr>
          <w:i/>
          <w:noProof/>
          <w:color w:val="000000"/>
        </w:rPr>
        <w:t>Estuaries, 17</w:t>
      </w:r>
      <w:r w:rsidRPr="003C440C">
        <w:rPr>
          <w:noProof/>
          <w:color w:val="000000"/>
        </w:rPr>
        <w:t xml:space="preserve">, 597–605. </w:t>
      </w:r>
      <w:bookmarkEnd w:id="1006"/>
    </w:p>
    <w:p w:rsidR="00964A70" w:rsidRPr="003C440C" w:rsidRDefault="00964A70" w:rsidP="00964A70">
      <w:pPr>
        <w:pStyle w:val="References"/>
        <w:spacing w:after="0"/>
        <w:ind w:left="720" w:hanging="720"/>
        <w:rPr>
          <w:noProof/>
          <w:color w:val="000000"/>
        </w:rPr>
      </w:pPr>
      <w:bookmarkStart w:id="1007" w:name="_ENREF_151"/>
      <w:r w:rsidRPr="003C440C">
        <w:rPr>
          <w:noProof/>
          <w:color w:val="000000"/>
        </w:rPr>
        <w:t xml:space="preserve">Ogden, J.C., and Ogden, N.B. 1982, A preliminary study of two representative seagrass communities in Palau, Western Caroline Islands (Micronesia). </w:t>
      </w:r>
      <w:r w:rsidRPr="003C440C">
        <w:rPr>
          <w:i/>
          <w:noProof/>
          <w:color w:val="000000"/>
        </w:rPr>
        <w:t>Aquatic Botany, 12</w:t>
      </w:r>
      <w:r w:rsidRPr="003C440C">
        <w:rPr>
          <w:noProof/>
          <w:color w:val="000000"/>
        </w:rPr>
        <w:t xml:space="preserve">, 229-244. </w:t>
      </w:r>
      <w:bookmarkEnd w:id="1007"/>
    </w:p>
    <w:p w:rsidR="00964A70" w:rsidRPr="003C440C" w:rsidRDefault="00964A70" w:rsidP="00964A70">
      <w:pPr>
        <w:pStyle w:val="References"/>
        <w:spacing w:after="0"/>
        <w:ind w:left="720" w:hanging="720"/>
        <w:rPr>
          <w:noProof/>
          <w:color w:val="000000"/>
        </w:rPr>
      </w:pPr>
      <w:bookmarkStart w:id="1008" w:name="_ENREF_152"/>
      <w:r w:rsidRPr="003C440C">
        <w:rPr>
          <w:noProof/>
          <w:color w:val="000000"/>
        </w:rPr>
        <w:t xml:space="preserve">Orth, R.J., Carruthers, T.J.B., Dennison, W.C., Duarte, C.M., Fourqurean, J.W., Heck, K.L., Randall Hughes, A., Kendrick, G.A., Judson Kenworthy, W., Olyarnik, S., Short, F.T., Michelle, W., and Williams, S.L. 2006a, A global crisis for seagrass ecosystems. </w:t>
      </w:r>
      <w:r w:rsidRPr="003C440C">
        <w:rPr>
          <w:i/>
          <w:noProof/>
          <w:color w:val="000000"/>
        </w:rPr>
        <w:t>BioScience, 56</w:t>
      </w:r>
      <w:r w:rsidRPr="003C440C">
        <w:rPr>
          <w:noProof/>
          <w:color w:val="000000"/>
        </w:rPr>
        <w:t xml:space="preserve">, 987-996. </w:t>
      </w:r>
      <w:bookmarkEnd w:id="1008"/>
    </w:p>
    <w:p w:rsidR="00964A70" w:rsidRPr="003C440C" w:rsidRDefault="00964A70" w:rsidP="00964A70">
      <w:pPr>
        <w:pStyle w:val="References"/>
        <w:spacing w:after="0"/>
        <w:ind w:left="720" w:hanging="720"/>
        <w:rPr>
          <w:noProof/>
          <w:color w:val="000000"/>
        </w:rPr>
      </w:pPr>
      <w:bookmarkStart w:id="1009" w:name="_ENREF_153"/>
      <w:r w:rsidRPr="003C440C">
        <w:rPr>
          <w:noProof/>
          <w:color w:val="000000"/>
        </w:rPr>
        <w:t xml:space="preserve">Orth, R.J., Harwell, M.C., and Inglis, G.J. (2006b). Ecology of seagrass seeds and dispersal strategies. In AWD Larkum, RJ Orth &amp; CM Duarte (Eds.), </w:t>
      </w:r>
      <w:r w:rsidRPr="003C440C">
        <w:rPr>
          <w:i/>
          <w:noProof/>
          <w:color w:val="000000"/>
        </w:rPr>
        <w:t>Seagrasses: Biology, Ecology and Conservation</w:t>
      </w:r>
      <w:r w:rsidRPr="003C440C">
        <w:rPr>
          <w:noProof/>
          <w:color w:val="000000"/>
        </w:rPr>
        <w:t xml:space="preserve"> (pp. 113-133). Dordrecht: Springer.</w:t>
      </w:r>
      <w:bookmarkEnd w:id="1009"/>
    </w:p>
    <w:p w:rsidR="00964A70" w:rsidRPr="003C440C" w:rsidRDefault="00964A70" w:rsidP="00964A70">
      <w:pPr>
        <w:pStyle w:val="References"/>
        <w:spacing w:after="0"/>
        <w:ind w:left="720" w:hanging="720"/>
        <w:rPr>
          <w:noProof/>
          <w:color w:val="000000"/>
        </w:rPr>
      </w:pPr>
      <w:bookmarkStart w:id="1010" w:name="_ENREF_154"/>
      <w:r w:rsidRPr="003C440C">
        <w:rPr>
          <w:noProof/>
          <w:color w:val="000000"/>
        </w:rPr>
        <w:t xml:space="preserve">Orth, R.J., and Moore, K.A. 1983, Chesapaeke Bay: An unprecedented decline in submerged aquatic vegetation. </w:t>
      </w:r>
      <w:r w:rsidRPr="003C440C">
        <w:rPr>
          <w:i/>
          <w:noProof/>
          <w:color w:val="000000"/>
        </w:rPr>
        <w:t>Science, 222</w:t>
      </w:r>
      <w:r w:rsidRPr="003C440C">
        <w:rPr>
          <w:noProof/>
          <w:color w:val="000000"/>
        </w:rPr>
        <w:t xml:space="preserve">, 51-53. </w:t>
      </w:r>
      <w:bookmarkEnd w:id="1010"/>
    </w:p>
    <w:p w:rsidR="00964A70" w:rsidRPr="003C440C" w:rsidRDefault="00964A70" w:rsidP="00964A70">
      <w:pPr>
        <w:pStyle w:val="References"/>
        <w:spacing w:after="0"/>
        <w:ind w:left="720" w:hanging="720"/>
        <w:rPr>
          <w:noProof/>
          <w:color w:val="000000"/>
        </w:rPr>
      </w:pPr>
      <w:bookmarkStart w:id="1011" w:name="_ENREF_155"/>
      <w:r w:rsidRPr="003C440C">
        <w:rPr>
          <w:noProof/>
          <w:color w:val="000000"/>
        </w:rPr>
        <w:t xml:space="preserve">Petrou, K., Jimenez-Denness, I., Chartrand, K., McCormack, C., Rasheed, M., and Ralph, P. 2013, Seasonal heterogeneity in the photophysiological response to air exposure in two tropical intertidal seagrass species. </w:t>
      </w:r>
      <w:r w:rsidRPr="003C440C">
        <w:rPr>
          <w:i/>
          <w:noProof/>
          <w:color w:val="000000"/>
        </w:rPr>
        <w:t>Marine Ecology Progress Series, 482</w:t>
      </w:r>
      <w:r w:rsidRPr="003C440C">
        <w:rPr>
          <w:noProof/>
          <w:color w:val="000000"/>
        </w:rPr>
        <w:t>, 93-106. doi: 10.3354/meps10229</w:t>
      </w:r>
      <w:bookmarkEnd w:id="1011"/>
    </w:p>
    <w:p w:rsidR="00964A70" w:rsidRPr="003C440C" w:rsidRDefault="00964A70" w:rsidP="00964A70">
      <w:pPr>
        <w:pStyle w:val="References"/>
        <w:spacing w:after="0"/>
        <w:ind w:left="720" w:hanging="720"/>
        <w:rPr>
          <w:noProof/>
          <w:color w:val="000000"/>
        </w:rPr>
      </w:pPr>
      <w:bookmarkStart w:id="1012" w:name="_ENREF_156"/>
      <w:r w:rsidRPr="003C440C">
        <w:rPr>
          <w:noProof/>
          <w:color w:val="000000"/>
        </w:rPr>
        <w:t xml:space="preserve">Preen, A.R. 1995, Impacts of dugong foraging on seagrass habitats: observational and experimental evidence for cultivation grazing. </w:t>
      </w:r>
      <w:r w:rsidRPr="003C440C">
        <w:rPr>
          <w:i/>
          <w:noProof/>
          <w:color w:val="000000"/>
        </w:rPr>
        <w:t>Marine Ecology Progress Series, 124</w:t>
      </w:r>
      <w:r w:rsidRPr="003C440C">
        <w:rPr>
          <w:noProof/>
          <w:color w:val="000000"/>
        </w:rPr>
        <w:t xml:space="preserve">, 201-213. </w:t>
      </w:r>
      <w:bookmarkEnd w:id="1012"/>
    </w:p>
    <w:p w:rsidR="00964A70" w:rsidRPr="003C440C" w:rsidRDefault="00964A70" w:rsidP="00964A70">
      <w:pPr>
        <w:pStyle w:val="References"/>
        <w:spacing w:after="0"/>
        <w:ind w:left="720" w:hanging="720"/>
        <w:rPr>
          <w:noProof/>
          <w:color w:val="000000"/>
        </w:rPr>
      </w:pPr>
      <w:bookmarkStart w:id="1013" w:name="_ENREF_157"/>
      <w:r w:rsidRPr="003C440C">
        <w:rPr>
          <w:noProof/>
          <w:color w:val="000000"/>
        </w:rPr>
        <w:t>Preen, A.R., Lee Long, W.J., and Coles, R.G. 1995, Flood and cyclone related loss, and partial recovery, of more than 1,000 km</w:t>
      </w:r>
      <w:r w:rsidRPr="003C440C">
        <w:rPr>
          <w:noProof/>
          <w:color w:val="000000"/>
          <w:vertAlign w:val="superscript"/>
        </w:rPr>
        <w:t>2</w:t>
      </w:r>
      <w:r w:rsidRPr="003C440C">
        <w:rPr>
          <w:noProof/>
          <w:color w:val="000000"/>
        </w:rPr>
        <w:t xml:space="preserve"> of seagrass in Hervey Bay, Queensland,Australia. </w:t>
      </w:r>
      <w:r w:rsidRPr="003C440C">
        <w:rPr>
          <w:i/>
          <w:noProof/>
          <w:color w:val="000000"/>
        </w:rPr>
        <w:t>Aquatic Botany, 52</w:t>
      </w:r>
      <w:r w:rsidRPr="003C440C">
        <w:rPr>
          <w:noProof/>
          <w:color w:val="000000"/>
        </w:rPr>
        <w:t xml:space="preserve">, 3-17. </w:t>
      </w:r>
      <w:bookmarkEnd w:id="1013"/>
    </w:p>
    <w:p w:rsidR="00964A70" w:rsidRPr="003C440C" w:rsidRDefault="00964A70" w:rsidP="00964A70">
      <w:pPr>
        <w:pStyle w:val="References"/>
        <w:spacing w:after="0"/>
        <w:ind w:left="720" w:hanging="720"/>
        <w:rPr>
          <w:noProof/>
          <w:color w:val="000000"/>
        </w:rPr>
      </w:pPr>
      <w:bookmarkStart w:id="1014" w:name="_ENREF_158"/>
      <w:r w:rsidRPr="003C440C">
        <w:rPr>
          <w:noProof/>
          <w:color w:val="000000"/>
        </w:rPr>
        <w:t xml:space="preserve">R, M.J., and T, P.M. 1979, Release of trace metals by sewage sludge and the subsequent uptake by members of a turtle grass mangrove ecosystem. </w:t>
      </w:r>
      <w:r w:rsidRPr="003C440C">
        <w:rPr>
          <w:i/>
          <w:noProof/>
          <w:color w:val="000000"/>
        </w:rPr>
        <w:t>Environ Sci Technol, 13</w:t>
      </w:r>
      <w:r w:rsidRPr="003C440C">
        <w:rPr>
          <w:noProof/>
          <w:color w:val="000000"/>
        </w:rPr>
        <w:t xml:space="preserve">, 546–549. </w:t>
      </w:r>
      <w:bookmarkEnd w:id="1014"/>
    </w:p>
    <w:p w:rsidR="00964A70" w:rsidRPr="003C440C" w:rsidRDefault="00964A70" w:rsidP="00964A70">
      <w:pPr>
        <w:pStyle w:val="References"/>
        <w:spacing w:after="0"/>
        <w:ind w:left="720" w:hanging="720"/>
        <w:rPr>
          <w:noProof/>
          <w:color w:val="000000"/>
        </w:rPr>
      </w:pPr>
      <w:bookmarkStart w:id="1015" w:name="_ENREF_159"/>
      <w:r w:rsidRPr="003C440C">
        <w:rPr>
          <w:noProof/>
          <w:color w:val="000000"/>
        </w:rPr>
        <w:t xml:space="preserve">Ralph, P.J., and Burchett, M.D. 1998, Impact of petrochemicals on the photosynthesis of Halophila ovalis using chlorophyll fluorescence. </w:t>
      </w:r>
      <w:r w:rsidRPr="003C440C">
        <w:rPr>
          <w:i/>
          <w:noProof/>
          <w:color w:val="000000"/>
        </w:rPr>
        <w:t>Marine Pollution Bulletin, 36</w:t>
      </w:r>
      <w:r w:rsidRPr="003C440C">
        <w:rPr>
          <w:noProof/>
          <w:color w:val="000000"/>
        </w:rPr>
        <w:t xml:space="preserve">(6), 429-436. </w:t>
      </w:r>
      <w:bookmarkEnd w:id="1015"/>
    </w:p>
    <w:p w:rsidR="00964A70" w:rsidRPr="003C440C" w:rsidRDefault="00964A70" w:rsidP="00964A70">
      <w:pPr>
        <w:pStyle w:val="References"/>
        <w:spacing w:after="0"/>
        <w:ind w:left="720" w:hanging="720"/>
        <w:rPr>
          <w:noProof/>
          <w:color w:val="000000"/>
        </w:rPr>
      </w:pPr>
      <w:bookmarkStart w:id="1016" w:name="_ENREF_160"/>
      <w:r w:rsidRPr="003C440C">
        <w:rPr>
          <w:noProof/>
          <w:color w:val="000000"/>
        </w:rPr>
        <w:t xml:space="preserve">Ralph, P.J., Durako, M.J., Enriquez, S., Collier, C.J., and Doblin, M.A. 2007, Impact of light limitation on seagrasses. </w:t>
      </w:r>
      <w:r w:rsidRPr="003C440C">
        <w:rPr>
          <w:i/>
          <w:noProof/>
          <w:color w:val="000000"/>
        </w:rPr>
        <w:t>Journal of Experimental Marine Biology and Ecology, 350</w:t>
      </w:r>
      <w:r w:rsidRPr="003C440C">
        <w:rPr>
          <w:noProof/>
          <w:color w:val="000000"/>
        </w:rPr>
        <w:t xml:space="preserve">(1-2), 176-193. </w:t>
      </w:r>
      <w:bookmarkEnd w:id="1016"/>
    </w:p>
    <w:p w:rsidR="00964A70" w:rsidRPr="003C440C" w:rsidRDefault="00964A70" w:rsidP="00964A70">
      <w:pPr>
        <w:pStyle w:val="References"/>
        <w:spacing w:after="0"/>
        <w:ind w:left="720" w:hanging="720"/>
        <w:rPr>
          <w:noProof/>
          <w:color w:val="000000"/>
        </w:rPr>
      </w:pPr>
      <w:bookmarkStart w:id="1017" w:name="_ENREF_161"/>
      <w:r w:rsidRPr="003C440C">
        <w:rPr>
          <w:noProof/>
          <w:color w:val="000000"/>
        </w:rPr>
        <w:t xml:space="preserve">Ralph, P.J., and Gademann, R. (1999). Photosynthesis of the seagrass </w:t>
      </w:r>
      <w:r w:rsidRPr="003C440C">
        <w:rPr>
          <w:i/>
          <w:noProof/>
          <w:color w:val="000000"/>
        </w:rPr>
        <w:t>Posidonia australis</w:t>
      </w:r>
      <w:r w:rsidRPr="003C440C">
        <w:rPr>
          <w:noProof/>
          <w:color w:val="000000"/>
        </w:rPr>
        <w:t xml:space="preserve"> Hook. f and associated epiphytes, measured by </w:t>
      </w:r>
      <w:r w:rsidRPr="003C440C">
        <w:rPr>
          <w:i/>
          <w:noProof/>
          <w:color w:val="000000"/>
        </w:rPr>
        <w:t>in situ</w:t>
      </w:r>
      <w:r w:rsidRPr="003C440C">
        <w:rPr>
          <w:noProof/>
          <w:color w:val="000000"/>
        </w:rPr>
        <w:t xml:space="preserve"> fluorescence analysis. In D Walker &amp; F Wells (Eds.), </w:t>
      </w:r>
      <w:r w:rsidRPr="003C440C">
        <w:rPr>
          <w:i/>
          <w:noProof/>
          <w:color w:val="000000"/>
        </w:rPr>
        <w:lastRenderedPageBreak/>
        <w:t>The seagrass flora and fauna of Rottnest Island, Western Australia</w:t>
      </w:r>
      <w:r w:rsidRPr="003C440C">
        <w:rPr>
          <w:noProof/>
          <w:color w:val="000000"/>
        </w:rPr>
        <w:t xml:space="preserve"> (pp. 63–71). Perth: West Australian Museum.</w:t>
      </w:r>
      <w:bookmarkEnd w:id="1017"/>
    </w:p>
    <w:p w:rsidR="00964A70" w:rsidRPr="003C440C" w:rsidRDefault="00964A70" w:rsidP="00964A70">
      <w:pPr>
        <w:pStyle w:val="References"/>
        <w:spacing w:after="0"/>
        <w:ind w:left="720" w:hanging="720"/>
        <w:rPr>
          <w:noProof/>
          <w:color w:val="000000"/>
          <w:lang w:val="fr-FR"/>
        </w:rPr>
      </w:pPr>
      <w:bookmarkStart w:id="1018" w:name="_ENREF_162"/>
      <w:r w:rsidRPr="003C440C">
        <w:rPr>
          <w:noProof/>
          <w:color w:val="000000"/>
        </w:rPr>
        <w:t xml:space="preserve">Rasheed, M.A., McKenna, S.A., Carter, A.B., and Coles, R.G. 2014, Contrasting recovery of shallow and deep water seagrass communities following climate associated losses in tropical north Queensland, Australia. </w:t>
      </w:r>
      <w:r w:rsidRPr="003C440C">
        <w:rPr>
          <w:i/>
          <w:noProof/>
          <w:color w:val="000000"/>
          <w:lang w:val="fr-FR"/>
        </w:rPr>
        <w:t>Marine Pollution Bulletin</w:t>
      </w:r>
      <w:r w:rsidRPr="003C440C">
        <w:rPr>
          <w:noProof/>
          <w:color w:val="000000"/>
          <w:lang w:val="fr-FR"/>
        </w:rPr>
        <w:t>(0). doi: http://dx.doi.org/10.1016/j.marpolbul.2014.02.013</w:t>
      </w:r>
      <w:bookmarkEnd w:id="1018"/>
    </w:p>
    <w:p w:rsidR="00964A70" w:rsidRPr="003C440C" w:rsidRDefault="00964A70" w:rsidP="00964A70">
      <w:pPr>
        <w:pStyle w:val="References"/>
        <w:spacing w:after="0"/>
        <w:ind w:left="720" w:hanging="720"/>
        <w:rPr>
          <w:noProof/>
          <w:color w:val="000000"/>
        </w:rPr>
      </w:pPr>
      <w:bookmarkStart w:id="1019" w:name="_ENREF_163"/>
      <w:r w:rsidRPr="003C440C">
        <w:rPr>
          <w:noProof/>
          <w:color w:val="000000"/>
          <w:lang w:val="fr-FR"/>
        </w:rPr>
        <w:t xml:space="preserve">Rasheed, M.A., Thomas, R., Roelofs, A.J., Neil, K.M., and Kerville, S.P. (2003). </w:t>
      </w:r>
      <w:r w:rsidRPr="003C440C">
        <w:rPr>
          <w:i/>
          <w:noProof/>
          <w:color w:val="000000"/>
        </w:rPr>
        <w:t>Port Curtis and Rodds Bay seagrass and benthic macro-invertebrate community baseline survey, November/December 2002. DPI Information Series QI03058</w:t>
      </w:r>
      <w:r w:rsidRPr="003C440C">
        <w:rPr>
          <w:noProof/>
          <w:color w:val="000000"/>
        </w:rPr>
        <w:t>. Cairns: DPI.</w:t>
      </w:r>
      <w:bookmarkEnd w:id="1019"/>
    </w:p>
    <w:p w:rsidR="00964A70" w:rsidRPr="003C440C" w:rsidRDefault="00964A70" w:rsidP="00964A70">
      <w:pPr>
        <w:pStyle w:val="References"/>
        <w:spacing w:after="0"/>
        <w:ind w:left="720" w:hanging="720"/>
        <w:rPr>
          <w:noProof/>
          <w:color w:val="000000"/>
        </w:rPr>
      </w:pPr>
      <w:bookmarkStart w:id="1020" w:name="_ENREF_164"/>
      <w:r w:rsidRPr="003C440C">
        <w:rPr>
          <w:noProof/>
          <w:color w:val="000000"/>
        </w:rPr>
        <w:t xml:space="preserve">Redfield, A.C., Ketchum, B.H., and Richards, F.A. (Eds.). (1963). </w:t>
      </w:r>
      <w:r w:rsidRPr="003C440C">
        <w:rPr>
          <w:i/>
          <w:noProof/>
          <w:color w:val="000000"/>
        </w:rPr>
        <w:t>The influence of organisms on the composition of seawater</w:t>
      </w:r>
      <w:r w:rsidRPr="003C440C">
        <w:rPr>
          <w:noProof/>
          <w:color w:val="000000"/>
        </w:rPr>
        <w:t>. New York: Wiley Interscience.</w:t>
      </w:r>
      <w:bookmarkEnd w:id="1020"/>
    </w:p>
    <w:p w:rsidR="00964A70" w:rsidRPr="003C440C" w:rsidRDefault="00964A70" w:rsidP="00964A70">
      <w:pPr>
        <w:pStyle w:val="References"/>
        <w:spacing w:after="0"/>
        <w:ind w:left="720" w:hanging="720"/>
        <w:rPr>
          <w:noProof/>
          <w:color w:val="000000"/>
        </w:rPr>
      </w:pPr>
      <w:bookmarkStart w:id="1021" w:name="_ENREF_165"/>
      <w:r w:rsidRPr="003C440C">
        <w:rPr>
          <w:noProof/>
          <w:color w:val="000000"/>
        </w:rPr>
        <w:t xml:space="preserve">Sabol, B., Shafer, D., and Lord, E. (2005). </w:t>
      </w:r>
      <w:r w:rsidRPr="003C440C">
        <w:rPr>
          <w:i/>
          <w:noProof/>
          <w:color w:val="000000"/>
        </w:rPr>
        <w:t>Dredging effects on eelgrass (Zostera marina) distribution in a New England small boat harbor, Technical Report ERDC/EL-TR-05-8.</w:t>
      </w:r>
      <w:r w:rsidRPr="003C440C">
        <w:rPr>
          <w:noProof/>
          <w:color w:val="000000"/>
        </w:rPr>
        <w:t xml:space="preserve"> Vicksburg, MS, USA.: Army Engineer Waterways Experimental Station.</w:t>
      </w:r>
      <w:bookmarkEnd w:id="1021"/>
    </w:p>
    <w:p w:rsidR="00964A70" w:rsidRPr="003C440C" w:rsidRDefault="00964A70" w:rsidP="00964A70">
      <w:pPr>
        <w:pStyle w:val="References"/>
        <w:spacing w:after="0"/>
        <w:ind w:left="720" w:hanging="720"/>
        <w:rPr>
          <w:noProof/>
          <w:color w:val="000000"/>
        </w:rPr>
      </w:pPr>
      <w:bookmarkStart w:id="1022" w:name="_ENREF_166"/>
      <w:r w:rsidRPr="003C440C">
        <w:rPr>
          <w:noProof/>
          <w:color w:val="000000"/>
        </w:rPr>
        <w:t xml:space="preserve">Sand-Jensen, K. 1977, Effects of epiphytes on eelgrass photsynthesis. </w:t>
      </w:r>
      <w:r w:rsidRPr="003C440C">
        <w:rPr>
          <w:i/>
          <w:noProof/>
          <w:color w:val="000000"/>
        </w:rPr>
        <w:t>Aquatic Botany, 3</w:t>
      </w:r>
      <w:r w:rsidRPr="003C440C">
        <w:rPr>
          <w:noProof/>
          <w:color w:val="000000"/>
        </w:rPr>
        <w:t xml:space="preserve">, 55-63. </w:t>
      </w:r>
      <w:bookmarkEnd w:id="1022"/>
    </w:p>
    <w:p w:rsidR="00964A70" w:rsidRPr="003C440C" w:rsidRDefault="00964A70" w:rsidP="00964A70">
      <w:pPr>
        <w:pStyle w:val="References"/>
        <w:spacing w:after="0"/>
        <w:ind w:left="720" w:hanging="720"/>
        <w:rPr>
          <w:noProof/>
          <w:color w:val="000000"/>
        </w:rPr>
      </w:pPr>
      <w:bookmarkStart w:id="1023" w:name="_ENREF_167"/>
      <w:r w:rsidRPr="003C440C">
        <w:rPr>
          <w:noProof/>
          <w:color w:val="000000"/>
        </w:rPr>
        <w:t xml:space="preserve">Sargent, F., Leary, T., Crewz, D., and Kruer, C. 1995, Scarring of Florida's Seagrasses: Assessment and Management options. </w:t>
      </w:r>
      <w:r w:rsidRPr="003C440C">
        <w:rPr>
          <w:i/>
          <w:noProof/>
          <w:color w:val="000000"/>
        </w:rPr>
        <w:t>Florida Marine Research Institute</w:t>
      </w:r>
      <w:r w:rsidRPr="003C440C">
        <w:rPr>
          <w:noProof/>
          <w:color w:val="000000"/>
        </w:rPr>
        <w:t xml:space="preserve">, 43pp. </w:t>
      </w:r>
      <w:bookmarkEnd w:id="1023"/>
    </w:p>
    <w:p w:rsidR="00964A70" w:rsidRPr="003C440C" w:rsidRDefault="00964A70" w:rsidP="00964A70">
      <w:pPr>
        <w:pStyle w:val="References"/>
        <w:spacing w:after="0"/>
        <w:ind w:left="720" w:hanging="720"/>
        <w:rPr>
          <w:noProof/>
          <w:color w:val="000000"/>
        </w:rPr>
      </w:pPr>
      <w:bookmarkStart w:id="1024" w:name="_ENREF_168"/>
      <w:r w:rsidRPr="003C440C">
        <w:rPr>
          <w:noProof/>
          <w:color w:val="000000"/>
        </w:rPr>
        <w:t xml:space="preserve">Schaffelke, B., Anthony, K., Blake, J., Brodie, J., Collier, C., Devlin, M., Fabricius, K., Martin, K., McKenzie, L.J., Negri, A., Ronan, M., Thompson, A., and Warne, M. (2013). Marine and coastal ecosystem impacts </w:t>
      </w:r>
      <w:r w:rsidRPr="003C440C">
        <w:rPr>
          <w:i/>
          <w:noProof/>
          <w:color w:val="000000"/>
        </w:rPr>
        <w:t>Synthesis of evidence to support the Reef Water Quality Scientific Consensus Statement 2013</w:t>
      </w:r>
      <w:r w:rsidRPr="003C440C">
        <w:rPr>
          <w:noProof/>
          <w:color w:val="000000"/>
        </w:rPr>
        <w:t xml:space="preserve"> (pp. 47). Brisbane: Department of the Premier and Cabinet, Queensland Government.</w:t>
      </w:r>
      <w:bookmarkEnd w:id="1024"/>
    </w:p>
    <w:p w:rsidR="00964A70" w:rsidRPr="003C440C" w:rsidRDefault="00964A70" w:rsidP="00964A70">
      <w:pPr>
        <w:pStyle w:val="References"/>
        <w:spacing w:after="0"/>
        <w:ind w:left="720" w:hanging="720"/>
        <w:rPr>
          <w:noProof/>
          <w:color w:val="000000"/>
        </w:rPr>
      </w:pPr>
      <w:bookmarkStart w:id="1025" w:name="_ENREF_169"/>
      <w:r w:rsidRPr="003C440C">
        <w:rPr>
          <w:noProof/>
          <w:color w:val="000000"/>
        </w:rPr>
        <w:t xml:space="preserve">Schaffelke, B., Mellors, J., and Duke, N.C. 2005, Water quality in the Great Barrier Reef region: responses of mangrove, seagrass and macroalgal communities. </w:t>
      </w:r>
      <w:r w:rsidRPr="003C440C">
        <w:rPr>
          <w:i/>
          <w:noProof/>
          <w:color w:val="000000"/>
        </w:rPr>
        <w:t>Marine Pollution Bulletin, 51</w:t>
      </w:r>
      <w:r w:rsidRPr="003C440C">
        <w:rPr>
          <w:noProof/>
          <w:color w:val="000000"/>
        </w:rPr>
        <w:t>(1-4), 279-296. doi: 10.1016/j.marpolbul.2004.10.025</w:t>
      </w:r>
      <w:bookmarkEnd w:id="1025"/>
    </w:p>
    <w:p w:rsidR="00964A70" w:rsidRPr="003C440C" w:rsidRDefault="00964A70" w:rsidP="00964A70">
      <w:pPr>
        <w:pStyle w:val="References"/>
        <w:spacing w:after="0"/>
        <w:ind w:left="720" w:hanging="720"/>
        <w:rPr>
          <w:noProof/>
          <w:color w:val="000000"/>
        </w:rPr>
      </w:pPr>
      <w:bookmarkStart w:id="1026" w:name="_ENREF_170"/>
      <w:r w:rsidRPr="003C440C">
        <w:rPr>
          <w:noProof/>
          <w:color w:val="000000"/>
        </w:rPr>
        <w:t xml:space="preserve">Schaffelke, B., Thompson, A., Carleton, J., Davidson, J., Doyle, J., Furnas, M., Gunn, K., Skuza, M., Wright, M., and Zagorskis, I. (2009). </w:t>
      </w:r>
      <w:r w:rsidRPr="003C440C">
        <w:rPr>
          <w:i/>
          <w:noProof/>
          <w:color w:val="000000"/>
        </w:rPr>
        <w:t xml:space="preserve">Reef Rescue Marine Monitoring Program. Final Report of AIMS Activities 2008/09. Report for Reef and Rainforest Research Centre. </w:t>
      </w:r>
      <w:r w:rsidRPr="003C440C">
        <w:rPr>
          <w:noProof/>
          <w:color w:val="000000"/>
        </w:rPr>
        <w:t>. Townsville: Australian Institute of Marine Science.</w:t>
      </w:r>
      <w:bookmarkEnd w:id="1026"/>
    </w:p>
    <w:p w:rsidR="00964A70" w:rsidRPr="003C440C" w:rsidRDefault="00964A70" w:rsidP="00964A70">
      <w:pPr>
        <w:pStyle w:val="References"/>
        <w:spacing w:after="0"/>
        <w:ind w:left="720" w:hanging="720"/>
        <w:rPr>
          <w:noProof/>
          <w:color w:val="000000"/>
        </w:rPr>
      </w:pPr>
      <w:bookmarkStart w:id="1027" w:name="_ENREF_171"/>
      <w:r w:rsidRPr="003C440C">
        <w:rPr>
          <w:noProof/>
          <w:color w:val="000000"/>
        </w:rPr>
        <w:t xml:space="preserve">Scheltinga, D.M., and Heydon, L. (Eds.). (2005). </w:t>
      </w:r>
      <w:r w:rsidRPr="003C440C">
        <w:rPr>
          <w:i/>
          <w:noProof/>
          <w:color w:val="000000"/>
        </w:rPr>
        <w:t xml:space="preserve">Report on the Condition of Estuarine, Coastal and Marine Resources of the Burdekin Dry Tropics Region, Commissioned by the Burdekin Dry Tropics Board. </w:t>
      </w:r>
      <w:r w:rsidRPr="003C440C">
        <w:rPr>
          <w:noProof/>
          <w:color w:val="000000"/>
        </w:rPr>
        <w:t>. Townsville: Cooperative Research Centre for Coastal Zone, Estuary and Waterway Management.</w:t>
      </w:r>
      <w:bookmarkEnd w:id="1027"/>
    </w:p>
    <w:p w:rsidR="00964A70" w:rsidRPr="003C440C" w:rsidRDefault="00964A70" w:rsidP="00964A70">
      <w:pPr>
        <w:pStyle w:val="References"/>
        <w:spacing w:after="0"/>
        <w:ind w:left="720" w:hanging="720"/>
        <w:rPr>
          <w:noProof/>
          <w:color w:val="000000"/>
        </w:rPr>
      </w:pPr>
      <w:bookmarkStart w:id="1028" w:name="_ENREF_172"/>
      <w:r w:rsidRPr="003C440C">
        <w:rPr>
          <w:noProof/>
          <w:color w:val="000000"/>
        </w:rPr>
        <w:t xml:space="preserve">Schoellhamer, D.H. 1996, Anthropogenic sediment resuspension mechanisms in a shallow microtidal estuary. </w:t>
      </w:r>
      <w:r w:rsidRPr="003C440C">
        <w:rPr>
          <w:i/>
          <w:noProof/>
          <w:color w:val="000000"/>
        </w:rPr>
        <w:t>Estuarine and Coastal Shelf Science, 43</w:t>
      </w:r>
      <w:r w:rsidRPr="003C440C">
        <w:rPr>
          <w:noProof/>
          <w:color w:val="000000"/>
        </w:rPr>
        <w:t xml:space="preserve">(5), 533-548. </w:t>
      </w:r>
      <w:bookmarkEnd w:id="1028"/>
    </w:p>
    <w:p w:rsidR="00964A70" w:rsidRPr="003C440C" w:rsidRDefault="00964A70" w:rsidP="00964A70">
      <w:pPr>
        <w:pStyle w:val="References"/>
        <w:spacing w:after="0"/>
        <w:ind w:left="720" w:hanging="720"/>
        <w:rPr>
          <w:noProof/>
          <w:color w:val="000000"/>
        </w:rPr>
      </w:pPr>
      <w:bookmarkStart w:id="1029" w:name="_ENREF_173"/>
      <w:r w:rsidRPr="003C440C">
        <w:rPr>
          <w:noProof/>
          <w:color w:val="000000"/>
        </w:rPr>
        <w:t xml:space="preserve">Shafer, D.J., Sherman, T.D., and Wyllie-Echeverria, S. 2007, Do desiccation tolerances control the vertical distribution of intertidal seagrasses? </w:t>
      </w:r>
      <w:r w:rsidRPr="003C440C">
        <w:rPr>
          <w:i/>
          <w:noProof/>
          <w:color w:val="000000"/>
        </w:rPr>
        <w:t>Aquatic Botany, 87</w:t>
      </w:r>
      <w:r w:rsidRPr="003C440C">
        <w:rPr>
          <w:noProof/>
          <w:color w:val="000000"/>
        </w:rPr>
        <w:t xml:space="preserve">, 161–166. </w:t>
      </w:r>
      <w:bookmarkEnd w:id="1029"/>
    </w:p>
    <w:p w:rsidR="00964A70" w:rsidRPr="003C440C" w:rsidRDefault="00964A70" w:rsidP="00964A70">
      <w:pPr>
        <w:pStyle w:val="References"/>
        <w:spacing w:after="0"/>
        <w:ind w:left="720" w:hanging="720"/>
        <w:rPr>
          <w:noProof/>
          <w:color w:val="000000"/>
        </w:rPr>
      </w:pPr>
      <w:bookmarkStart w:id="1030" w:name="_ENREF_174"/>
      <w:r w:rsidRPr="003C440C">
        <w:rPr>
          <w:noProof/>
          <w:color w:val="000000"/>
        </w:rPr>
        <w:t xml:space="preserve">Sheppard, J.K., Jones, R.E., Marsh, H., and Lawler, I.R. 2009, Effects of Tidal and Diel Cycles on Dugong Habitat Use. </w:t>
      </w:r>
      <w:r w:rsidRPr="003C440C">
        <w:rPr>
          <w:i/>
          <w:noProof/>
          <w:color w:val="000000"/>
        </w:rPr>
        <w:t>The Journal of Wildlife Management, 73</w:t>
      </w:r>
      <w:r w:rsidRPr="003C440C">
        <w:rPr>
          <w:noProof/>
          <w:color w:val="000000"/>
        </w:rPr>
        <w:t>(1), 45-59. doi: 10.2193/2007-468</w:t>
      </w:r>
      <w:bookmarkEnd w:id="1030"/>
    </w:p>
    <w:p w:rsidR="00964A70" w:rsidRPr="003C440C" w:rsidRDefault="00964A70" w:rsidP="00964A70">
      <w:pPr>
        <w:pStyle w:val="References"/>
        <w:spacing w:after="0"/>
        <w:ind w:left="720" w:hanging="720"/>
        <w:rPr>
          <w:noProof/>
          <w:color w:val="000000"/>
        </w:rPr>
      </w:pPr>
      <w:bookmarkStart w:id="1031" w:name="_ENREF_175"/>
      <w:r w:rsidRPr="003C440C">
        <w:rPr>
          <w:noProof/>
          <w:color w:val="000000"/>
        </w:rPr>
        <w:t xml:space="preserve">Short, F.T. 1987, Effects of sediment nutrients on seagrasses: Literature review and mesocosm experiment. </w:t>
      </w:r>
      <w:r w:rsidRPr="003C440C">
        <w:rPr>
          <w:i/>
          <w:noProof/>
          <w:color w:val="000000"/>
        </w:rPr>
        <w:t>Aquatic Botany, 27</w:t>
      </w:r>
      <w:r w:rsidRPr="003C440C">
        <w:rPr>
          <w:noProof/>
          <w:color w:val="000000"/>
        </w:rPr>
        <w:t xml:space="preserve">, 41-57. </w:t>
      </w:r>
      <w:bookmarkEnd w:id="1031"/>
    </w:p>
    <w:p w:rsidR="00964A70" w:rsidRPr="003C440C" w:rsidRDefault="00964A70" w:rsidP="00964A70">
      <w:pPr>
        <w:pStyle w:val="References"/>
        <w:spacing w:after="0"/>
        <w:ind w:left="720" w:hanging="720"/>
        <w:rPr>
          <w:noProof/>
          <w:color w:val="000000"/>
        </w:rPr>
      </w:pPr>
      <w:bookmarkStart w:id="1032" w:name="_ENREF_176"/>
      <w:r w:rsidRPr="003C440C">
        <w:rPr>
          <w:noProof/>
          <w:color w:val="000000"/>
        </w:rPr>
        <w:t xml:space="preserve">Short, F.T., Burdick, D.M., Granger, S., and Nixon, S.W. (1996). Long-term decline in eelgrass, </w:t>
      </w:r>
      <w:r w:rsidRPr="003C440C">
        <w:rPr>
          <w:i/>
          <w:noProof/>
          <w:color w:val="000000"/>
        </w:rPr>
        <w:t>Zostera marina</w:t>
      </w:r>
      <w:r w:rsidRPr="003C440C">
        <w:rPr>
          <w:noProof/>
          <w:color w:val="000000"/>
        </w:rPr>
        <w:t xml:space="preserve"> L., linked to increased housing development. In RCP J. Kuo, D.I. Walker and H. </w:t>
      </w:r>
      <w:r w:rsidRPr="003C440C">
        <w:rPr>
          <w:noProof/>
          <w:color w:val="000000"/>
        </w:rPr>
        <w:lastRenderedPageBreak/>
        <w:t xml:space="preserve">Kirkman (Ed.), </w:t>
      </w:r>
      <w:r w:rsidRPr="003C440C">
        <w:rPr>
          <w:i/>
          <w:noProof/>
          <w:color w:val="000000"/>
        </w:rPr>
        <w:t>Seagrass Biology Proceedings, International Workshop</w:t>
      </w:r>
      <w:r w:rsidRPr="003C440C">
        <w:rPr>
          <w:noProof/>
          <w:color w:val="000000"/>
        </w:rPr>
        <w:t xml:space="preserve"> (pp. 291 - 298). Nedlands, Western Australia: Sciences UWA.</w:t>
      </w:r>
      <w:bookmarkEnd w:id="1032"/>
    </w:p>
    <w:p w:rsidR="00964A70" w:rsidRPr="003C440C" w:rsidRDefault="00964A70" w:rsidP="00964A70">
      <w:pPr>
        <w:pStyle w:val="References"/>
        <w:spacing w:after="0"/>
        <w:ind w:left="720" w:hanging="720"/>
        <w:rPr>
          <w:noProof/>
          <w:color w:val="000000"/>
        </w:rPr>
      </w:pPr>
      <w:bookmarkStart w:id="1033" w:name="_ENREF_177"/>
      <w:r w:rsidRPr="003C440C">
        <w:rPr>
          <w:noProof/>
          <w:color w:val="000000"/>
        </w:rPr>
        <w:t xml:space="preserve">Short, F.T., Dennison, W.C., and Capone, D.G. 1990, Phosphorus-limited growth of the tropical seagrass Syringodium filiforme in carbonate sediments. </w:t>
      </w:r>
      <w:r w:rsidRPr="003C440C">
        <w:rPr>
          <w:i/>
          <w:noProof/>
          <w:color w:val="000000"/>
        </w:rPr>
        <w:t>Marine Ecology Progress Series, 62</w:t>
      </w:r>
      <w:r w:rsidRPr="003C440C">
        <w:rPr>
          <w:noProof/>
          <w:color w:val="000000"/>
        </w:rPr>
        <w:t xml:space="preserve">(1-2), 169-174. </w:t>
      </w:r>
      <w:bookmarkEnd w:id="1033"/>
    </w:p>
    <w:p w:rsidR="00964A70" w:rsidRPr="003C440C" w:rsidRDefault="00964A70" w:rsidP="00964A70">
      <w:pPr>
        <w:pStyle w:val="References"/>
        <w:spacing w:after="0"/>
        <w:ind w:left="720" w:hanging="720"/>
        <w:rPr>
          <w:noProof/>
          <w:color w:val="000000"/>
        </w:rPr>
      </w:pPr>
      <w:bookmarkStart w:id="1034" w:name="_ENREF_178"/>
      <w:r w:rsidRPr="003C440C">
        <w:rPr>
          <w:noProof/>
          <w:color w:val="000000"/>
        </w:rPr>
        <w:t xml:space="preserve">Silberstein, K., Chiffings, A.W., and McComb, A.J. 1986, The loss of seagrass in Cockburn Sound, Western Australia. III. The effect of epiphytes on productivity of {IPosidonia australis} Hook.F. </w:t>
      </w:r>
      <w:r w:rsidRPr="003C440C">
        <w:rPr>
          <w:i/>
          <w:noProof/>
          <w:color w:val="000000"/>
        </w:rPr>
        <w:t>Aquatic Botany, 24</w:t>
      </w:r>
      <w:r w:rsidRPr="003C440C">
        <w:rPr>
          <w:noProof/>
          <w:color w:val="000000"/>
        </w:rPr>
        <w:t xml:space="preserve">, 355-371. </w:t>
      </w:r>
      <w:bookmarkEnd w:id="1034"/>
    </w:p>
    <w:p w:rsidR="00964A70" w:rsidRPr="003C440C" w:rsidRDefault="00964A70" w:rsidP="00964A70">
      <w:pPr>
        <w:pStyle w:val="References"/>
        <w:spacing w:after="0"/>
        <w:ind w:left="720" w:hanging="720"/>
        <w:rPr>
          <w:noProof/>
          <w:color w:val="000000"/>
        </w:rPr>
      </w:pPr>
      <w:bookmarkStart w:id="1035" w:name="_ENREF_179"/>
      <w:r w:rsidRPr="003C440C">
        <w:rPr>
          <w:noProof/>
          <w:color w:val="000000"/>
        </w:rPr>
        <w:t xml:space="preserve">Stieglitz, T. 2005, Submarine groundwater discharge into the near-shore zone of the Great Barrier Reef, Australia. </w:t>
      </w:r>
      <w:r w:rsidRPr="003C440C">
        <w:rPr>
          <w:i/>
          <w:noProof/>
          <w:color w:val="000000"/>
        </w:rPr>
        <w:t>Marine Pollution Bulletin, 51</w:t>
      </w:r>
      <w:r w:rsidRPr="003C440C">
        <w:rPr>
          <w:noProof/>
          <w:color w:val="000000"/>
        </w:rPr>
        <w:t xml:space="preserve">(1-4), 51-59. </w:t>
      </w:r>
      <w:bookmarkEnd w:id="1035"/>
    </w:p>
    <w:p w:rsidR="00964A70" w:rsidRPr="003C440C" w:rsidRDefault="00964A70" w:rsidP="00964A70">
      <w:pPr>
        <w:pStyle w:val="References"/>
        <w:spacing w:after="0"/>
        <w:ind w:left="720" w:hanging="720"/>
        <w:rPr>
          <w:noProof/>
          <w:color w:val="000000"/>
        </w:rPr>
      </w:pPr>
      <w:bookmarkStart w:id="1036" w:name="_ENREF_180"/>
      <w:r w:rsidRPr="003C440C">
        <w:rPr>
          <w:noProof/>
          <w:color w:val="000000"/>
        </w:rPr>
        <w:t xml:space="preserve">Thorhaug, A., and Marcus, J. 1987, Oil Spill Clean-up:  The effect of three Dispersants on three Subtropical/Tropical Seagrasses. </w:t>
      </w:r>
      <w:r w:rsidRPr="003C440C">
        <w:rPr>
          <w:i/>
          <w:noProof/>
          <w:color w:val="000000"/>
        </w:rPr>
        <w:t>Marine Pollution Bulletin, 18</w:t>
      </w:r>
      <w:r w:rsidRPr="003C440C">
        <w:rPr>
          <w:noProof/>
          <w:color w:val="000000"/>
        </w:rPr>
        <w:t xml:space="preserve">(3), 124-126. </w:t>
      </w:r>
      <w:bookmarkEnd w:id="1036"/>
    </w:p>
    <w:p w:rsidR="00964A70" w:rsidRPr="003C440C" w:rsidRDefault="00964A70" w:rsidP="00964A70">
      <w:pPr>
        <w:pStyle w:val="References"/>
        <w:spacing w:after="0"/>
        <w:ind w:left="720" w:hanging="720"/>
        <w:rPr>
          <w:noProof/>
          <w:color w:val="000000"/>
        </w:rPr>
      </w:pPr>
      <w:bookmarkStart w:id="1037" w:name="_ENREF_181"/>
      <w:r w:rsidRPr="003C440C">
        <w:rPr>
          <w:noProof/>
          <w:color w:val="000000"/>
        </w:rPr>
        <w:t xml:space="preserve">Thorhaug, A., Richardson, A.D., and Berlyn, G.P. 2006, Spectral reflectance of </w:t>
      </w:r>
      <w:r w:rsidRPr="003C440C">
        <w:rPr>
          <w:i/>
          <w:noProof/>
          <w:color w:val="000000"/>
        </w:rPr>
        <w:t>Thalassia testudinum</w:t>
      </w:r>
      <w:r w:rsidRPr="003C440C">
        <w:rPr>
          <w:noProof/>
          <w:color w:val="000000"/>
        </w:rPr>
        <w:t xml:space="preserve"> (Hydrocharitaceae) seagrass: low salinity effects. </w:t>
      </w:r>
      <w:r w:rsidRPr="003C440C">
        <w:rPr>
          <w:i/>
          <w:noProof/>
          <w:color w:val="000000"/>
        </w:rPr>
        <w:t>American Journal of Botany, 93</w:t>
      </w:r>
      <w:r w:rsidRPr="003C440C">
        <w:rPr>
          <w:noProof/>
          <w:color w:val="000000"/>
        </w:rPr>
        <w:t xml:space="preserve">(1), 110-117. </w:t>
      </w:r>
      <w:bookmarkEnd w:id="1037"/>
    </w:p>
    <w:p w:rsidR="00964A70" w:rsidRPr="003C440C" w:rsidRDefault="00964A70" w:rsidP="00964A70">
      <w:pPr>
        <w:pStyle w:val="References"/>
        <w:spacing w:after="0"/>
        <w:ind w:left="720" w:hanging="720"/>
        <w:rPr>
          <w:noProof/>
          <w:color w:val="000000"/>
        </w:rPr>
      </w:pPr>
      <w:bookmarkStart w:id="1038" w:name="_ENREF_182"/>
      <w:r w:rsidRPr="003C440C">
        <w:rPr>
          <w:noProof/>
          <w:color w:val="000000"/>
        </w:rPr>
        <w:t xml:space="preserve">Thorogood, J., and Boggon, T. (1999). </w:t>
      </w:r>
      <w:r w:rsidRPr="003C440C">
        <w:rPr>
          <w:i/>
          <w:noProof/>
          <w:color w:val="000000"/>
        </w:rPr>
        <w:t>Pioneer Bay environmental monitoring program. Fourth monitoring event, November 1999.</w:t>
      </w:r>
      <w:r w:rsidRPr="003C440C">
        <w:rPr>
          <w:noProof/>
          <w:color w:val="000000"/>
        </w:rPr>
        <w:t xml:space="preserve"> Wellington Point, Brisbane: FRC Coastal Resource &amp; Environmental.</w:t>
      </w:r>
      <w:bookmarkEnd w:id="1038"/>
    </w:p>
    <w:p w:rsidR="00964A70" w:rsidRPr="003C440C" w:rsidRDefault="00964A70" w:rsidP="00964A70">
      <w:pPr>
        <w:pStyle w:val="References"/>
        <w:spacing w:after="0"/>
        <w:ind w:left="720" w:hanging="720"/>
        <w:rPr>
          <w:noProof/>
          <w:color w:val="000000"/>
        </w:rPr>
      </w:pPr>
      <w:bookmarkStart w:id="1039" w:name="_ENREF_183"/>
      <w:r w:rsidRPr="003C440C">
        <w:rPr>
          <w:noProof/>
          <w:color w:val="000000"/>
        </w:rPr>
        <w:t>Tomasko, D.A., Dawes, C.J., and Hall, M.O. 1996, The effects of anthropogenic nutrient enrichment on turtle grass (</w:t>
      </w:r>
      <w:r w:rsidRPr="003C440C">
        <w:rPr>
          <w:i/>
          <w:noProof/>
          <w:color w:val="000000"/>
        </w:rPr>
        <w:t>Thalassia testudinum</w:t>
      </w:r>
      <w:r w:rsidRPr="003C440C">
        <w:rPr>
          <w:noProof/>
          <w:color w:val="000000"/>
        </w:rPr>
        <w:t xml:space="preserve">) in Sarasota Bay, Florida. </w:t>
      </w:r>
      <w:r w:rsidRPr="003C440C">
        <w:rPr>
          <w:i/>
          <w:noProof/>
          <w:color w:val="000000"/>
        </w:rPr>
        <w:t>Estuaries And Coasts, 19</w:t>
      </w:r>
      <w:r w:rsidRPr="003C440C">
        <w:rPr>
          <w:noProof/>
          <w:color w:val="000000"/>
        </w:rPr>
        <w:t xml:space="preserve">, 448–456. </w:t>
      </w:r>
      <w:bookmarkEnd w:id="1039"/>
    </w:p>
    <w:p w:rsidR="00964A70" w:rsidRPr="003C440C" w:rsidRDefault="00964A70" w:rsidP="00964A70">
      <w:pPr>
        <w:pStyle w:val="References"/>
        <w:spacing w:after="0"/>
        <w:ind w:left="720" w:hanging="720"/>
        <w:rPr>
          <w:noProof/>
          <w:color w:val="000000"/>
        </w:rPr>
      </w:pPr>
      <w:bookmarkStart w:id="1040" w:name="_ENREF_184"/>
      <w:r w:rsidRPr="003C440C">
        <w:rPr>
          <w:noProof/>
          <w:color w:val="000000"/>
        </w:rPr>
        <w:t xml:space="preserve">Tomasko, D.A., and Lapointe, B.E. 1991, Productivity and biomass of Thalassia Testudinum as related to the water column nutrient availability and epiphyte levels: Field observations and experimental studies. </w:t>
      </w:r>
      <w:r w:rsidRPr="003C440C">
        <w:rPr>
          <w:i/>
          <w:noProof/>
          <w:color w:val="000000"/>
        </w:rPr>
        <w:t>Marine Ecology Progress Series, 75</w:t>
      </w:r>
      <w:r w:rsidRPr="003C440C">
        <w:rPr>
          <w:noProof/>
          <w:color w:val="000000"/>
        </w:rPr>
        <w:t xml:space="preserve">, 9-17. </w:t>
      </w:r>
      <w:bookmarkEnd w:id="1040"/>
    </w:p>
    <w:p w:rsidR="00964A70" w:rsidRPr="003C440C" w:rsidRDefault="00964A70" w:rsidP="00964A70">
      <w:pPr>
        <w:pStyle w:val="References"/>
        <w:spacing w:after="0"/>
        <w:ind w:left="720" w:hanging="720"/>
        <w:rPr>
          <w:noProof/>
          <w:color w:val="000000"/>
        </w:rPr>
      </w:pPr>
      <w:bookmarkStart w:id="1041" w:name="_ENREF_185"/>
      <w:r w:rsidRPr="003C440C">
        <w:rPr>
          <w:noProof/>
          <w:color w:val="000000"/>
        </w:rPr>
        <w:t xml:space="preserve">Touchette, B.W. 2000, Review of nitrogen and phosphorous metabolism in seagrasses. </w:t>
      </w:r>
      <w:r w:rsidRPr="003C440C">
        <w:rPr>
          <w:i/>
          <w:noProof/>
          <w:color w:val="000000"/>
        </w:rPr>
        <w:t>Journal of Experimental Marine Biology and Ecology, 250</w:t>
      </w:r>
      <w:r w:rsidRPr="003C440C">
        <w:rPr>
          <w:noProof/>
          <w:color w:val="000000"/>
        </w:rPr>
        <w:t xml:space="preserve">, 133-167. </w:t>
      </w:r>
      <w:bookmarkEnd w:id="1041"/>
    </w:p>
    <w:p w:rsidR="00964A70" w:rsidRPr="003C440C" w:rsidRDefault="00964A70" w:rsidP="00964A70">
      <w:pPr>
        <w:pStyle w:val="References"/>
        <w:spacing w:after="0"/>
        <w:ind w:left="720" w:hanging="720"/>
        <w:rPr>
          <w:noProof/>
          <w:color w:val="000000"/>
        </w:rPr>
      </w:pPr>
      <w:bookmarkStart w:id="1042" w:name="_ENREF_186"/>
      <w:r w:rsidRPr="003C440C">
        <w:rPr>
          <w:noProof/>
          <w:color w:val="000000"/>
        </w:rPr>
        <w:t xml:space="preserve">Tuya, F., Martín, J.A., and Luque, A. 2002, Impact of a marina construction on a seagrass bed at Lanzarote (Canary Islands). </w:t>
      </w:r>
      <w:r w:rsidRPr="003C440C">
        <w:rPr>
          <w:i/>
          <w:noProof/>
          <w:color w:val="000000"/>
        </w:rPr>
        <w:t>Journal of Coastal Conservation, 8</w:t>
      </w:r>
      <w:r w:rsidRPr="003C440C">
        <w:rPr>
          <w:noProof/>
          <w:color w:val="000000"/>
        </w:rPr>
        <w:t xml:space="preserve">, 157-162. </w:t>
      </w:r>
      <w:bookmarkEnd w:id="1042"/>
    </w:p>
    <w:p w:rsidR="00964A70" w:rsidRPr="003C440C" w:rsidRDefault="00964A70" w:rsidP="00964A70">
      <w:pPr>
        <w:pStyle w:val="References"/>
        <w:spacing w:after="0"/>
        <w:ind w:left="720" w:hanging="720"/>
        <w:rPr>
          <w:noProof/>
          <w:color w:val="000000"/>
        </w:rPr>
      </w:pPr>
      <w:bookmarkStart w:id="1043" w:name="_ENREF_187"/>
      <w:r w:rsidRPr="003C440C">
        <w:rPr>
          <w:noProof/>
          <w:color w:val="000000"/>
        </w:rPr>
        <w:t xml:space="preserve">Udy, J.W., and Dennison, W.C. 1997a, Growth and physiological responses of three Seagrass species to elevated sediment nutrients in Moreton Bay, Australia. </w:t>
      </w:r>
      <w:r w:rsidRPr="003C440C">
        <w:rPr>
          <w:i/>
          <w:noProof/>
          <w:color w:val="000000"/>
        </w:rPr>
        <w:t>Journal of Experimental Marine Biology and Ecology, 217</w:t>
      </w:r>
      <w:r w:rsidRPr="003C440C">
        <w:rPr>
          <w:noProof/>
          <w:color w:val="000000"/>
        </w:rPr>
        <w:t xml:space="preserve">(2), 253-277. </w:t>
      </w:r>
      <w:bookmarkEnd w:id="1043"/>
    </w:p>
    <w:p w:rsidR="00964A70" w:rsidRPr="003C440C" w:rsidRDefault="00964A70" w:rsidP="00964A70">
      <w:pPr>
        <w:pStyle w:val="References"/>
        <w:spacing w:after="0"/>
        <w:ind w:left="720" w:hanging="720"/>
        <w:rPr>
          <w:noProof/>
          <w:color w:val="000000"/>
        </w:rPr>
      </w:pPr>
      <w:bookmarkStart w:id="1044" w:name="_ENREF_188"/>
      <w:r w:rsidRPr="003C440C">
        <w:rPr>
          <w:noProof/>
          <w:color w:val="000000"/>
        </w:rPr>
        <w:t xml:space="preserve">Udy, J.W., and Dennison, W.C. 1997b, Physiological responses of seagrasses used to identify anthropogenic nutrient inputs. </w:t>
      </w:r>
      <w:r w:rsidRPr="003C440C">
        <w:rPr>
          <w:i/>
          <w:noProof/>
          <w:color w:val="000000"/>
        </w:rPr>
        <w:t>Marine and Freshwater Research, 48</w:t>
      </w:r>
      <w:r w:rsidRPr="003C440C">
        <w:rPr>
          <w:noProof/>
          <w:color w:val="000000"/>
        </w:rPr>
        <w:t>(7), 605-614. doi: http://dx.doi.org/10.1071/MF97001</w:t>
      </w:r>
      <w:bookmarkEnd w:id="1044"/>
    </w:p>
    <w:p w:rsidR="00964A70" w:rsidRPr="003C440C" w:rsidRDefault="00964A70" w:rsidP="00964A70">
      <w:pPr>
        <w:pStyle w:val="References"/>
        <w:spacing w:after="0"/>
        <w:ind w:left="720" w:hanging="720"/>
        <w:rPr>
          <w:noProof/>
          <w:color w:val="000000"/>
        </w:rPr>
      </w:pPr>
      <w:bookmarkStart w:id="1045" w:name="_ENREF_189"/>
      <w:r w:rsidRPr="003C440C">
        <w:rPr>
          <w:noProof/>
          <w:color w:val="000000"/>
        </w:rPr>
        <w:t xml:space="preserve">Udy, J.W., Dennison, W.C., Lee Long, W.J., and McKenzie, L.J. 1999, Responses of seagrass to nutrients in the Great Barrier Reef, Australia. </w:t>
      </w:r>
      <w:r w:rsidRPr="003C440C">
        <w:rPr>
          <w:i/>
          <w:noProof/>
          <w:color w:val="000000"/>
        </w:rPr>
        <w:t>Marine Ecology Progress Series, 185</w:t>
      </w:r>
      <w:r w:rsidRPr="003C440C">
        <w:rPr>
          <w:noProof/>
          <w:color w:val="000000"/>
        </w:rPr>
        <w:t xml:space="preserve">, 257-271. </w:t>
      </w:r>
      <w:bookmarkEnd w:id="1045"/>
    </w:p>
    <w:p w:rsidR="00964A70" w:rsidRPr="003C440C" w:rsidRDefault="00964A70" w:rsidP="00964A70">
      <w:pPr>
        <w:pStyle w:val="References"/>
        <w:spacing w:after="0"/>
        <w:ind w:left="720" w:hanging="720"/>
        <w:rPr>
          <w:noProof/>
          <w:color w:val="000000"/>
        </w:rPr>
      </w:pPr>
      <w:bookmarkStart w:id="1046" w:name="_ENREF_190"/>
      <w:r w:rsidRPr="003C440C">
        <w:rPr>
          <w:noProof/>
          <w:color w:val="000000"/>
        </w:rPr>
        <w:t xml:space="preserve">Unsworth, R.K.F., Taylor, J.D., Powell, A., Bell, J.J., and Smith, D.J. 2007, The contribution of parrotfish (scarid) herbivory to seagrass ecosystem dynamics in the Indo-Pacific. </w:t>
      </w:r>
      <w:r w:rsidRPr="003C440C">
        <w:rPr>
          <w:i/>
          <w:noProof/>
          <w:color w:val="000000"/>
        </w:rPr>
        <w:t>Estuarine, Coastal and Shelf Science, 74</w:t>
      </w:r>
      <w:r w:rsidRPr="003C440C">
        <w:rPr>
          <w:noProof/>
          <w:color w:val="000000"/>
        </w:rPr>
        <w:t xml:space="preserve">, 53-62 </w:t>
      </w:r>
      <w:bookmarkEnd w:id="1046"/>
    </w:p>
    <w:p w:rsidR="00964A70" w:rsidRPr="003C440C" w:rsidRDefault="00964A70" w:rsidP="00964A70">
      <w:pPr>
        <w:pStyle w:val="References"/>
        <w:spacing w:after="0"/>
        <w:ind w:left="720" w:hanging="720"/>
        <w:rPr>
          <w:noProof/>
          <w:color w:val="000000"/>
        </w:rPr>
      </w:pPr>
      <w:bookmarkStart w:id="1047" w:name="_ENREF_191"/>
      <w:r w:rsidRPr="003C440C">
        <w:rPr>
          <w:noProof/>
          <w:color w:val="000000"/>
        </w:rPr>
        <w:t xml:space="preserve">Walker, D.I., and McComb, A.J. 1992, Seagrass decradation in Australian coastal waters. </w:t>
      </w:r>
      <w:r w:rsidRPr="003C440C">
        <w:rPr>
          <w:i/>
          <w:noProof/>
          <w:color w:val="000000"/>
        </w:rPr>
        <w:t>Marine Pollution Bulletin, 25</w:t>
      </w:r>
      <w:r w:rsidRPr="003C440C">
        <w:rPr>
          <w:noProof/>
          <w:color w:val="000000"/>
        </w:rPr>
        <w:t xml:space="preserve">, 191-195. </w:t>
      </w:r>
      <w:bookmarkEnd w:id="1047"/>
    </w:p>
    <w:p w:rsidR="00964A70" w:rsidRPr="003C440C" w:rsidRDefault="00964A70" w:rsidP="00964A70">
      <w:pPr>
        <w:pStyle w:val="References"/>
        <w:spacing w:after="0"/>
        <w:ind w:left="720" w:hanging="720"/>
        <w:rPr>
          <w:noProof/>
          <w:color w:val="000000"/>
        </w:rPr>
      </w:pPr>
      <w:bookmarkStart w:id="1048" w:name="_ENREF_192"/>
      <w:r w:rsidRPr="003C440C">
        <w:rPr>
          <w:noProof/>
          <w:color w:val="000000"/>
        </w:rPr>
        <w:t xml:space="preserve">Waycott, M., Collier, C., McMahon, K., Ralph, P.J., McKenzie, L.J., Udy, J.W., and Grech, A. (2007). Vulnerability of seagrasses in the Great Barrier Reef to climate change - Chapter 8: . In JE Johnson &amp; PA Marshall (Eds.), </w:t>
      </w:r>
      <w:r w:rsidRPr="003C440C">
        <w:rPr>
          <w:i/>
          <w:noProof/>
          <w:color w:val="000000"/>
        </w:rPr>
        <w:t xml:space="preserve">Climate Change and the Great Barrier Reef: A Vulnerability </w:t>
      </w:r>
      <w:r w:rsidRPr="003C440C">
        <w:rPr>
          <w:i/>
          <w:noProof/>
          <w:color w:val="000000"/>
        </w:rPr>
        <w:lastRenderedPageBreak/>
        <w:t>Assessment, Part II: Species and species groups</w:t>
      </w:r>
      <w:r w:rsidRPr="003C440C">
        <w:rPr>
          <w:noProof/>
          <w:color w:val="000000"/>
        </w:rPr>
        <w:t xml:space="preserve"> (pp. 193-236). Townsville: Great Barrier Reef Marine Park Authority     </w:t>
      </w:r>
      <w:bookmarkEnd w:id="1048"/>
    </w:p>
    <w:p w:rsidR="00964A70" w:rsidRPr="003C440C" w:rsidRDefault="00964A70" w:rsidP="00964A70">
      <w:pPr>
        <w:pStyle w:val="References"/>
        <w:spacing w:after="0"/>
        <w:ind w:left="720" w:hanging="720"/>
        <w:rPr>
          <w:noProof/>
          <w:color w:val="000000"/>
          <w:u w:val="single"/>
        </w:rPr>
      </w:pPr>
      <w:bookmarkStart w:id="1049" w:name="_ENREF_193"/>
      <w:r w:rsidRPr="003C440C">
        <w:rPr>
          <w:noProof/>
          <w:color w:val="000000"/>
        </w:rPr>
        <w:t xml:space="preserve">Waycott, M., Duarte, C.M., Carruthers, T.J.B., Orth, R.J., Dennison, W.C., Olyarnik, S., Calladine, A., Fourqurean, J.W., Heck Jr., K.L., Hughes, A.R., Kendrick, G.A., Kenworthy, W.J., Short, F.T., and Williams, S.L. 2009, Accelerating loss of seagrasses across the globe threatens coastal ecosystems. </w:t>
      </w:r>
      <w:r w:rsidRPr="003C440C">
        <w:rPr>
          <w:i/>
          <w:noProof/>
          <w:color w:val="000000"/>
        </w:rPr>
        <w:t>Proceedings of the National Academy of Sciences USA, 106</w:t>
      </w:r>
      <w:r w:rsidRPr="003C440C">
        <w:rPr>
          <w:noProof/>
          <w:color w:val="000000"/>
        </w:rPr>
        <w:t xml:space="preserve">(30), 12377-12381. doi: </w:t>
      </w:r>
      <w:r w:rsidRPr="003C440C">
        <w:rPr>
          <w:noProof/>
          <w:color w:val="000000"/>
          <w:u w:val="single"/>
        </w:rPr>
        <w:t>doi:10.1073/pnas.0905620106</w:t>
      </w:r>
      <w:bookmarkEnd w:id="1049"/>
    </w:p>
    <w:p w:rsidR="00964A70" w:rsidRPr="003C440C" w:rsidRDefault="00964A70" w:rsidP="00964A70">
      <w:pPr>
        <w:pStyle w:val="References"/>
        <w:spacing w:after="0"/>
        <w:ind w:left="720" w:hanging="720"/>
        <w:rPr>
          <w:noProof/>
          <w:color w:val="000000"/>
        </w:rPr>
      </w:pPr>
      <w:bookmarkStart w:id="1050" w:name="_ENREF_194"/>
      <w:r w:rsidRPr="003C440C">
        <w:rPr>
          <w:noProof/>
          <w:color w:val="000000"/>
        </w:rPr>
        <w:t xml:space="preserve">Waycott, M., and McKenzie, L.J. (2010). </w:t>
      </w:r>
      <w:r w:rsidRPr="003C440C">
        <w:rPr>
          <w:i/>
          <w:noProof/>
          <w:color w:val="000000"/>
        </w:rPr>
        <w:t>Final report project 1.1.3 and 3.7.1 to the Marine and Tropical Sciences Research Facility: Indicators and thresholds of concern for seagrass ecosystem health for the Great Barrier Reef</w:t>
      </w:r>
      <w:r w:rsidRPr="003C440C">
        <w:rPr>
          <w:noProof/>
          <w:color w:val="000000"/>
        </w:rPr>
        <w:t>. Cairns, Australia: Reef and Rainforest Research Centre Limited.</w:t>
      </w:r>
      <w:bookmarkEnd w:id="1050"/>
    </w:p>
    <w:p w:rsidR="00964A70" w:rsidRPr="003C440C" w:rsidRDefault="00964A70" w:rsidP="00964A70">
      <w:pPr>
        <w:pStyle w:val="References"/>
        <w:spacing w:after="0"/>
        <w:ind w:left="720" w:hanging="720"/>
        <w:rPr>
          <w:noProof/>
          <w:color w:val="000000"/>
        </w:rPr>
      </w:pPr>
      <w:bookmarkStart w:id="1051" w:name="_ENREF_195"/>
      <w:r w:rsidRPr="003C440C">
        <w:rPr>
          <w:noProof/>
          <w:color w:val="000000"/>
        </w:rPr>
        <w:t xml:space="preserve">Waycott, M., McKenzie, L.J., Mellors, J.E., Ellison, J.C., Sheaves, M.T., Collier, C., Schwarz, A.-M., Webb, A., Johnson, J., and Payri, C.E. (2011a). Vulnerability of mangroves, seagrasses and intertidal flats in the tropical Pacific to climate change. In JD Bell, JE Johnson &amp; AJ Hobday (Eds.), </w:t>
      </w:r>
      <w:r w:rsidRPr="003C440C">
        <w:rPr>
          <w:i/>
          <w:noProof/>
          <w:color w:val="000000"/>
        </w:rPr>
        <w:t>Vulnerability of fisheries and aquaculture in the Pacific to climate change</w:t>
      </w:r>
      <w:r w:rsidRPr="003C440C">
        <w:rPr>
          <w:noProof/>
          <w:color w:val="000000"/>
        </w:rPr>
        <w:t xml:space="preserve"> (pp. 97-168). Noumea, New Caledonia: Secretariat of the Pacific Community.</w:t>
      </w:r>
      <w:bookmarkEnd w:id="1051"/>
    </w:p>
    <w:p w:rsidR="00964A70" w:rsidRPr="003C440C" w:rsidRDefault="00964A70" w:rsidP="00964A70">
      <w:pPr>
        <w:pStyle w:val="References"/>
        <w:spacing w:after="0"/>
        <w:ind w:left="720" w:hanging="720"/>
        <w:rPr>
          <w:noProof/>
          <w:color w:val="000000"/>
        </w:rPr>
      </w:pPr>
      <w:bookmarkStart w:id="1052" w:name="_ENREF_196"/>
      <w:r w:rsidRPr="003C440C">
        <w:rPr>
          <w:noProof/>
          <w:color w:val="000000"/>
        </w:rPr>
        <w:t xml:space="preserve">Waycott, M., McKenzie, L.J., Mellors, J.E., Ellison, J.C., Sheaves, M.T., Collier, C., Schwarz, A.-M., Webb, A., Johnson, J., and Payri, C.E. (2011b). Vulnerability of mangroves, seagrasses and intertidal flats in the tropical Pacific to climate change. In JD Bell, JE Johnson &amp; AJ Hobday (Eds.), </w:t>
      </w:r>
      <w:r w:rsidRPr="003C440C">
        <w:rPr>
          <w:i/>
          <w:noProof/>
          <w:color w:val="000000"/>
        </w:rPr>
        <w:t>Vulnerability of Tropical Pacific Fisheries and Aquaculture to Climate Change</w:t>
      </w:r>
      <w:r w:rsidRPr="003C440C">
        <w:rPr>
          <w:noProof/>
          <w:color w:val="000000"/>
        </w:rPr>
        <w:t>. Noumea, New Caledonia: Secretariat of the Pacific Community.</w:t>
      </w:r>
      <w:bookmarkEnd w:id="1052"/>
    </w:p>
    <w:p w:rsidR="00964A70" w:rsidRPr="003C440C" w:rsidRDefault="00964A70" w:rsidP="00964A70">
      <w:pPr>
        <w:pStyle w:val="References"/>
        <w:spacing w:after="0"/>
        <w:ind w:left="720" w:hanging="720"/>
        <w:rPr>
          <w:noProof/>
          <w:color w:val="000000"/>
        </w:rPr>
      </w:pPr>
      <w:bookmarkStart w:id="1053" w:name="_ENREF_197"/>
      <w:r w:rsidRPr="003C440C">
        <w:rPr>
          <w:noProof/>
          <w:color w:val="000000"/>
        </w:rPr>
        <w:t xml:space="preserve">Waycott, M., McMahon, K.M., Mellors, J.E., Calladine, A., and Kleine, D. (2004). </w:t>
      </w:r>
      <w:r w:rsidRPr="003C440C">
        <w:rPr>
          <w:i/>
          <w:noProof/>
          <w:color w:val="000000"/>
        </w:rPr>
        <w:t>A guide to tropical seagrasses of the Indo-West Pacific</w:t>
      </w:r>
      <w:r w:rsidRPr="003C440C">
        <w:rPr>
          <w:noProof/>
          <w:color w:val="000000"/>
        </w:rPr>
        <w:t>. Townsville: James Cook University.</w:t>
      </w:r>
      <w:bookmarkEnd w:id="1053"/>
    </w:p>
    <w:p w:rsidR="00964A70" w:rsidRPr="003C440C" w:rsidRDefault="00964A70" w:rsidP="00964A70">
      <w:pPr>
        <w:pStyle w:val="References"/>
        <w:spacing w:after="0"/>
        <w:ind w:left="720" w:hanging="720"/>
        <w:rPr>
          <w:noProof/>
          <w:color w:val="000000"/>
        </w:rPr>
      </w:pPr>
      <w:bookmarkStart w:id="1054" w:name="_ENREF_198"/>
      <w:r w:rsidRPr="003C440C">
        <w:rPr>
          <w:noProof/>
          <w:color w:val="000000"/>
        </w:rPr>
        <w:t xml:space="preserve">Webster, I., and Ford, P. 2010, Delivery, deposition and redistribution of fine sediments within macrotidal Fitzroy Estuary/Keppel Bay: southern Great Barrier Reef, Australia. </w:t>
      </w:r>
      <w:r w:rsidRPr="003C440C">
        <w:rPr>
          <w:i/>
          <w:noProof/>
          <w:color w:val="000000"/>
        </w:rPr>
        <w:t>Continental Shelf Research, 30</w:t>
      </w:r>
      <w:r w:rsidRPr="003C440C">
        <w:rPr>
          <w:noProof/>
          <w:color w:val="000000"/>
        </w:rPr>
        <w:t xml:space="preserve">, 793–805. </w:t>
      </w:r>
      <w:bookmarkEnd w:id="1054"/>
    </w:p>
    <w:p w:rsidR="00964A70" w:rsidRPr="003C440C" w:rsidRDefault="00964A70" w:rsidP="00964A70">
      <w:pPr>
        <w:pStyle w:val="References"/>
        <w:ind w:left="720" w:hanging="720"/>
        <w:rPr>
          <w:noProof/>
          <w:color w:val="000000"/>
        </w:rPr>
      </w:pPr>
      <w:bookmarkStart w:id="1055" w:name="_ENREF_199"/>
      <w:r w:rsidRPr="003C440C">
        <w:rPr>
          <w:noProof/>
          <w:color w:val="000000"/>
        </w:rPr>
        <w:t>Wolanski, E., and Jones, M. 1981, Physical properties of Great Barrier Reef lagoon waters near Townsville. I. Effects of Burdekin River floods</w:t>
      </w:r>
    </w:p>
    <w:p w:rsidR="00964A70" w:rsidRPr="003C440C" w:rsidRDefault="00964A70" w:rsidP="00964A70">
      <w:pPr>
        <w:pStyle w:val="References"/>
        <w:spacing w:after="0"/>
        <w:ind w:left="720" w:hanging="720"/>
        <w:rPr>
          <w:noProof/>
          <w:color w:val="000000"/>
        </w:rPr>
      </w:pPr>
      <w:r w:rsidRPr="003C440C">
        <w:rPr>
          <w:i/>
          <w:noProof/>
          <w:color w:val="000000"/>
        </w:rPr>
        <w:t>Australian Journal of Marine and Freshwater Research, 32</w:t>
      </w:r>
      <w:r w:rsidRPr="003C440C">
        <w:rPr>
          <w:noProof/>
          <w:color w:val="000000"/>
        </w:rPr>
        <w:t xml:space="preserve">(3), 305-319. </w:t>
      </w:r>
      <w:bookmarkEnd w:id="1055"/>
    </w:p>
    <w:p w:rsidR="00964A70" w:rsidRPr="003C440C" w:rsidRDefault="00964A70" w:rsidP="00964A70">
      <w:pPr>
        <w:pStyle w:val="References"/>
        <w:ind w:left="720" w:hanging="720"/>
        <w:rPr>
          <w:noProof/>
          <w:color w:val="000000"/>
        </w:rPr>
      </w:pPr>
      <w:bookmarkStart w:id="1056" w:name="_ENREF_200"/>
      <w:r w:rsidRPr="003C440C">
        <w:rPr>
          <w:noProof/>
          <w:color w:val="000000"/>
        </w:rPr>
        <w:t xml:space="preserve">Zieman, J.C., Orth, R., Phillips, R.C., Thayer, G., and Thoraug, A. (1984). The effect of oil on seagrass ecosystems. In J Cairns Jr &amp; AL Buikema Jr (Eds.), </w:t>
      </w:r>
      <w:r w:rsidRPr="003C440C">
        <w:rPr>
          <w:i/>
          <w:noProof/>
          <w:color w:val="000000"/>
        </w:rPr>
        <w:t>Restoration of habitats impacted by oil spills</w:t>
      </w:r>
      <w:r w:rsidRPr="003C440C">
        <w:rPr>
          <w:noProof/>
          <w:color w:val="000000"/>
        </w:rPr>
        <w:t xml:space="preserve"> (pp. 37-64): Butterworth Publishers.</w:t>
      </w:r>
      <w:bookmarkEnd w:id="1056"/>
    </w:p>
    <w:p w:rsidR="00964A70" w:rsidRDefault="00964A70" w:rsidP="00964A70">
      <w:pPr>
        <w:pStyle w:val="References"/>
        <w:rPr>
          <w:rFonts w:ascii="Times New Roman" w:hAnsi="Times New Roman"/>
          <w:noProof/>
          <w:color w:val="000000"/>
          <w:sz w:val="24"/>
        </w:rPr>
      </w:pPr>
    </w:p>
    <w:p w:rsidR="005132EF" w:rsidRPr="00370E70" w:rsidRDefault="004B2E2C" w:rsidP="00034AD4">
      <w:pPr>
        <w:pStyle w:val="References"/>
        <w:rPr>
          <w:color w:val="000000"/>
        </w:rPr>
      </w:pPr>
      <w:r w:rsidRPr="00244339">
        <w:rPr>
          <w:rFonts w:cs="TimesNewRoman"/>
          <w:color w:val="000000"/>
        </w:rPr>
        <w:fldChar w:fldCharType="end"/>
      </w:r>
    </w:p>
    <w:p w:rsidR="0014027C" w:rsidRPr="00370E70" w:rsidRDefault="0014027C" w:rsidP="00034AD4">
      <w:pPr>
        <w:pStyle w:val="References"/>
        <w:ind w:left="540" w:hanging="540"/>
        <w:rPr>
          <w:color w:val="000000"/>
        </w:rPr>
      </w:pPr>
    </w:p>
    <w:p w:rsidR="005132EF" w:rsidRPr="00370E70" w:rsidRDefault="005132EF" w:rsidP="00034AD4">
      <w:pPr>
        <w:pStyle w:val="References"/>
        <w:ind w:left="540" w:hanging="540"/>
        <w:rPr>
          <w:color w:val="000000"/>
        </w:rPr>
        <w:sectPr w:rsidR="005132EF" w:rsidRPr="00370E70" w:rsidSect="00104000">
          <w:headerReference w:type="default" r:id="rId269"/>
          <w:footerReference w:type="first" r:id="rId270"/>
          <w:pgSz w:w="11906" w:h="16838"/>
          <w:pgMar w:top="1418" w:right="1418" w:bottom="1418" w:left="1418" w:header="709" w:footer="709" w:gutter="0"/>
          <w:cols w:space="708"/>
          <w:docGrid w:linePitch="360"/>
        </w:sectPr>
      </w:pPr>
    </w:p>
    <w:p w:rsidR="0014027C" w:rsidRPr="00370E70" w:rsidRDefault="0014027C" w:rsidP="0014027C">
      <w:pPr>
        <w:pStyle w:val="Heading1"/>
        <w:pageBreakBefore w:val="0"/>
        <w:rPr>
          <w:rFonts w:ascii="Century Gothic" w:hAnsi="Century Gothic"/>
          <w:color w:val="000000"/>
        </w:rPr>
      </w:pPr>
      <w:bookmarkStart w:id="1057" w:name="_Toc384196158"/>
      <w:r w:rsidRPr="00370E70">
        <w:rPr>
          <w:rFonts w:ascii="Century Gothic" w:hAnsi="Century Gothic"/>
          <w:color w:val="000000"/>
        </w:rPr>
        <w:lastRenderedPageBreak/>
        <w:t>Appendix 1.</w:t>
      </w:r>
      <w:bookmarkEnd w:id="1057"/>
    </w:p>
    <w:p w:rsidR="005132EF" w:rsidRPr="00370E70" w:rsidRDefault="005132EF" w:rsidP="00034AD4">
      <w:pPr>
        <w:pStyle w:val="References"/>
        <w:ind w:left="540" w:hanging="540"/>
        <w:rPr>
          <w:color w:val="000000"/>
        </w:rPr>
      </w:pPr>
    </w:p>
    <w:p w:rsidR="00A91077" w:rsidRPr="00370E70" w:rsidRDefault="005132EF" w:rsidP="00A91077">
      <w:pPr>
        <w:pStyle w:val="Caption"/>
        <w:keepNext/>
        <w:jc w:val="center"/>
        <w:rPr>
          <w:i/>
          <w:vanish/>
          <w:lang w:val="en-AU"/>
          <w:specVanish/>
        </w:rPr>
      </w:pPr>
      <w:bookmarkStart w:id="1058" w:name="_Toc384196572"/>
      <w:r w:rsidRPr="00370E70">
        <w:rPr>
          <w:rStyle w:val="StyleCaptionCaptionCharCharLatinCalibri11ptBlackChar"/>
          <w:lang w:val="en-AU"/>
        </w:rPr>
        <w:t xml:space="preserve">Table </w:t>
      </w:r>
      <w:r w:rsidRPr="00370E70">
        <w:rPr>
          <w:lang w:val="en-AU"/>
        </w:rPr>
        <w:fldChar w:fldCharType="begin"/>
      </w:r>
      <w:r w:rsidRPr="00370E70">
        <w:rPr>
          <w:lang w:val="en-AU"/>
        </w:rPr>
        <w:instrText xml:space="preserve"> SEQ Table \* ARABIC </w:instrText>
      </w:r>
      <w:r w:rsidRPr="00370E70">
        <w:rPr>
          <w:lang w:val="en-AU"/>
        </w:rPr>
        <w:fldChar w:fldCharType="separate"/>
      </w:r>
      <w:r w:rsidR="005B5FD6">
        <w:rPr>
          <w:noProof/>
          <w:lang w:val="en-AU"/>
        </w:rPr>
        <w:t>36</w:t>
      </w:r>
      <w:r w:rsidRPr="00370E70">
        <w:rPr>
          <w:lang w:val="en-AU"/>
        </w:rPr>
        <w:fldChar w:fldCharType="end"/>
      </w:r>
      <w:r w:rsidRPr="00370E70">
        <w:rPr>
          <w:rStyle w:val="StyleCaptionCaptionCharCharLatinCalibri11ptBlackChar"/>
          <w:lang w:val="en-AU"/>
        </w:rPr>
        <w:t xml:space="preserve">. </w:t>
      </w:r>
      <w:r w:rsidRPr="00370E70">
        <w:rPr>
          <w:i/>
          <w:lang w:val="en-AU"/>
        </w:rPr>
        <w:t>Annual freshwater discharge (ML) for the major GBR Catchment rivers in proximity to the inshore seagrass sampling sites.</w:t>
      </w:r>
      <w:bookmarkEnd w:id="1058"/>
      <w:r w:rsidR="0014027C" w:rsidRPr="00370E70">
        <w:rPr>
          <w:i/>
          <w:vanish/>
          <w:color w:val="000000"/>
          <w:szCs w:val="22"/>
          <w:lang w:val="en-AU"/>
          <w:specVanish/>
        </w:rPr>
        <w:t xml:space="preserve"> </w:t>
      </w:r>
    </w:p>
    <w:p w:rsidR="00A91077" w:rsidRPr="00370E70" w:rsidRDefault="005132EF" w:rsidP="00A91077">
      <w:pPr>
        <w:pStyle w:val="Caption"/>
        <w:keepNext/>
        <w:jc w:val="center"/>
        <w:rPr>
          <w:lang w:val="en-AU"/>
        </w:rPr>
      </w:pPr>
      <w:r w:rsidRPr="00370E70">
        <w:rPr>
          <w:i/>
          <w:lang w:val="en-AU"/>
        </w:rPr>
        <w:t xml:space="preserve"> Shaded cells highlight years for which river flow exceeded the median annual flow as estimated from available long-term time series for each river. Discharge data supplied by the Queensland Department of Natural Resources and Mines. Long-term medians were estimated from annual totals available on watermonitoring.derm.qld.gov.au accessed 31 October 2012</w:t>
      </w:r>
      <w:r w:rsidR="0014027C" w:rsidRPr="00370E70">
        <w:rPr>
          <w:i/>
          <w:lang w:val="en-AU"/>
        </w:rPr>
        <w:t xml:space="preserve">. </w:t>
      </w:r>
    </w:p>
    <w:tbl>
      <w:tblPr>
        <w:tblW w:w="109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922"/>
        <w:gridCol w:w="907"/>
        <w:gridCol w:w="907"/>
        <w:gridCol w:w="908"/>
        <w:gridCol w:w="907"/>
        <w:gridCol w:w="908"/>
        <w:gridCol w:w="907"/>
        <w:gridCol w:w="907"/>
        <w:gridCol w:w="908"/>
        <w:gridCol w:w="907"/>
        <w:gridCol w:w="908"/>
      </w:tblGrid>
      <w:tr w:rsidR="005132EF" w:rsidRPr="00370E70" w:rsidTr="00A474B9">
        <w:trPr>
          <w:jc w:val="center"/>
        </w:trPr>
        <w:tc>
          <w:tcPr>
            <w:tcW w:w="998" w:type="dxa"/>
            <w:vAlign w:val="center"/>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Region</w:t>
            </w:r>
          </w:p>
        </w:tc>
        <w:tc>
          <w:tcPr>
            <w:tcW w:w="922" w:type="dxa"/>
            <w:vAlign w:val="center"/>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River</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2002/03</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2003/04</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2004/05</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2005/06</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2006/07</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2007/08</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2008/09</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2009/10</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2010/11</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b/>
                <w:color w:val="000000"/>
                <w:sz w:val="16"/>
                <w:szCs w:val="16"/>
              </w:rPr>
            </w:pPr>
            <w:r w:rsidRPr="00370E70">
              <w:rPr>
                <w:rFonts w:cs="TimesNewRoman"/>
                <w:b/>
                <w:color w:val="000000"/>
                <w:sz w:val="16"/>
                <w:szCs w:val="16"/>
              </w:rPr>
              <w:t>2011/12</w:t>
            </w:r>
          </w:p>
        </w:tc>
      </w:tr>
      <w:tr w:rsidR="005132EF" w:rsidRPr="00370E70" w:rsidTr="00A474B9">
        <w:trPr>
          <w:jc w:val="center"/>
        </w:trPr>
        <w:tc>
          <w:tcPr>
            <w:tcW w:w="998"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smartTag w:uri="urn:schemas-microsoft-com:office:smarttags" w:element="place">
              <w:r w:rsidRPr="00370E70">
                <w:rPr>
                  <w:rFonts w:cs="TimesNewRoman"/>
                  <w:color w:val="000000"/>
                  <w:sz w:val="16"/>
                  <w:szCs w:val="16"/>
                </w:rPr>
                <w:t>Cape York</w:t>
              </w:r>
            </w:smartTag>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Annan</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59,471</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515,628</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174,222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452,715</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229,380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338,619</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186,316</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362,420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589,750</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324,136</w:t>
            </w:r>
          </w:p>
        </w:tc>
      </w:tr>
      <w:tr w:rsidR="005132EF" w:rsidRPr="00370E70" w:rsidTr="00A474B9">
        <w:trPr>
          <w:jc w:val="center"/>
        </w:trPr>
        <w:tc>
          <w:tcPr>
            <w:tcW w:w="998" w:type="dxa"/>
            <w:vMerge w:val="restart"/>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Wet Tropics</w:t>
            </w: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Daintree</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127,169</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1,400,606</w:t>
            </w:r>
          </w:p>
        </w:tc>
        <w:tc>
          <w:tcPr>
            <w:tcW w:w="908"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477,383</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1,207,002</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765,822</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885,151</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655,839</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1,113,249</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1,713,729</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975,243</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Barron</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113,644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950,206</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392,223</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745,779</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471,359</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1,582,470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781,081</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539,064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1,863,407</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767,367</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Mulgrave</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333,262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1,132,754</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432,522*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1,014,701</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757,914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938,122</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689,845</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605,863</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1,438,894</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1,058,817</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Russell</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615,927</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1,345,243</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990,734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1,299,019</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1,276,654</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1,075,370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1,213,227</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1,041,182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1,907,137</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1,216,785</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Tully</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1,442,043</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3,283,940</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2,200,706</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3,624,129</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4,149,772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3,232,667</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3,769,840</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2,570,984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6,958,103</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3,701,218</w:t>
            </w:r>
          </w:p>
        </w:tc>
      </w:tr>
      <w:tr w:rsidR="005132EF" w:rsidRPr="00370E70" w:rsidTr="00A474B9">
        <w:trPr>
          <w:jc w:val="center"/>
        </w:trPr>
        <w:tc>
          <w:tcPr>
            <w:tcW w:w="998"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Burdekin</w:t>
            </w: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Burdekin</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2,092,834</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1,516,194</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4,328,246</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2,191,850</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9,170,162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27,970,750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30,090,023</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7,906,079</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34,757,120</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14,961,549</w:t>
            </w:r>
          </w:p>
        </w:tc>
      </w:tr>
      <w:tr w:rsidR="005132EF" w:rsidRPr="00370E70" w:rsidTr="00A474B9">
        <w:trPr>
          <w:jc w:val="center"/>
        </w:trPr>
        <w:tc>
          <w:tcPr>
            <w:tcW w:w="998" w:type="dxa"/>
            <w:vMerge w:val="restart"/>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Mackay Whitsunday</w:t>
            </w: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Proserpine</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18,910</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9,845</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24,505</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20,348</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43,249</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75,667</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66,522</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49,421</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35,0222</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50,817</w:t>
            </w:r>
          </w:p>
        </w:tc>
      </w:tr>
      <w:tr w:rsidR="005132EF" w:rsidRPr="00370E70" w:rsidTr="00A474B9">
        <w:trPr>
          <w:jc w:val="center"/>
        </w:trPr>
        <w:tc>
          <w:tcPr>
            <w:tcW w:w="998" w:type="dxa"/>
            <w:vMerge/>
            <w:vAlign w:val="center"/>
          </w:tcPr>
          <w:p w:rsidR="005132EF" w:rsidRPr="00370E70" w:rsidRDefault="005132EF" w:rsidP="00C94FDF">
            <w:pPr>
              <w:rPr>
                <w:sz w:val="20"/>
                <w:szCs w:val="20"/>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O'Connell</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23,236</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23,973</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75,989</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88,756</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179,843</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259,030</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192,640</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320,234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591,395</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278,689</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Pioneer</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113,270</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49,212</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193,382</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57,608</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704,714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1,302,429</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838,343</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1,148,971</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3,289,829</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1,205,517</w:t>
            </w:r>
          </w:p>
        </w:tc>
      </w:tr>
      <w:tr w:rsidR="005132EF" w:rsidRPr="00370E70" w:rsidTr="00A474B9">
        <w:trPr>
          <w:jc w:val="center"/>
        </w:trPr>
        <w:tc>
          <w:tcPr>
            <w:tcW w:w="998" w:type="dxa"/>
            <w:vMerge w:val="restart"/>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Fitzroy</w:t>
            </w: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Fitzroy</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2,548,473</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1,288,096</w:t>
            </w:r>
          </w:p>
        </w:tc>
        <w:tc>
          <w:tcPr>
            <w:tcW w:w="908"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903,484</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666,210</w:t>
            </w:r>
          </w:p>
        </w:tc>
        <w:tc>
          <w:tcPr>
            <w:tcW w:w="908"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872,680</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12,414,788</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2,165,686</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10,960,959</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38,537,354</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7,236,571</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Calliope</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286,313</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106,400</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22,124</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9,282</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2,925</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184,410</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81,824</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295,814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569,216</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167,905</w:t>
            </w:r>
          </w:p>
        </w:tc>
      </w:tr>
      <w:tr w:rsidR="005132EF" w:rsidRPr="00370E70" w:rsidTr="00A474B9">
        <w:trPr>
          <w:jc w:val="center"/>
        </w:trPr>
        <w:tc>
          <w:tcPr>
            <w:tcW w:w="998" w:type="dxa"/>
            <w:vMerge w:val="restart"/>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Burnett Mary</w:t>
            </w: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Burnett</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542,264</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222,392</w:t>
            </w:r>
          </w:p>
        </w:tc>
        <w:tc>
          <w:tcPr>
            <w:tcW w:w="908"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128,857</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73,747</w:t>
            </w:r>
          </w:p>
        </w:tc>
        <w:tc>
          <w:tcPr>
            <w:tcW w:w="908"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34,206</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15,116</w:t>
            </w:r>
          </w:p>
        </w:tc>
        <w:tc>
          <w:tcPr>
            <w:tcW w:w="907" w:type="dxa"/>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17,232</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881,956</w:t>
            </w:r>
          </w:p>
        </w:tc>
        <w:tc>
          <w:tcPr>
            <w:tcW w:w="907"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8,668,223</w:t>
            </w:r>
          </w:p>
        </w:tc>
        <w:tc>
          <w:tcPr>
            <w:tcW w:w="908" w:type="dxa"/>
            <w:shd w:val="clear" w:color="auto" w:fill="E6E6E6"/>
            <w:vAlign w:val="bottom"/>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536,328</w:t>
            </w:r>
          </w:p>
        </w:tc>
      </w:tr>
      <w:tr w:rsidR="005132EF" w:rsidRPr="00370E70" w:rsidTr="00A474B9">
        <w:trPr>
          <w:jc w:val="center"/>
        </w:trPr>
        <w:tc>
          <w:tcPr>
            <w:tcW w:w="998" w:type="dxa"/>
            <w:vMerge/>
            <w:vAlign w:val="center"/>
          </w:tcPr>
          <w:p w:rsidR="005132EF" w:rsidRPr="00370E70" w:rsidRDefault="005132EF" w:rsidP="00A474B9">
            <w:pPr>
              <w:autoSpaceDE w:val="0"/>
              <w:autoSpaceDN w:val="0"/>
              <w:adjustRightInd w:val="0"/>
              <w:spacing w:before="0" w:after="0"/>
              <w:rPr>
                <w:rFonts w:cs="TimesNewRoman"/>
                <w:color w:val="000000"/>
                <w:sz w:val="16"/>
                <w:szCs w:val="16"/>
              </w:rPr>
            </w:pPr>
          </w:p>
        </w:tc>
        <w:tc>
          <w:tcPr>
            <w:tcW w:w="922" w:type="dxa"/>
            <w:vAlign w:val="center"/>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Mary</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687,570</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622,992</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212,062</w:t>
            </w:r>
          </w:p>
        </w:tc>
        <w:tc>
          <w:tcPr>
            <w:tcW w:w="907"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261,343</w:t>
            </w:r>
          </w:p>
        </w:tc>
        <w:tc>
          <w:tcPr>
            <w:tcW w:w="908" w:type="dxa"/>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32,424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1,388,322</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1,133,417</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1,517,694</w:t>
            </w:r>
          </w:p>
        </w:tc>
        <w:tc>
          <w:tcPr>
            <w:tcW w:w="907"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4,996,312</w:t>
            </w:r>
          </w:p>
        </w:tc>
        <w:tc>
          <w:tcPr>
            <w:tcW w:w="908" w:type="dxa"/>
            <w:shd w:val="clear" w:color="auto" w:fill="E6E6E6"/>
            <w:vAlign w:val="center"/>
          </w:tcPr>
          <w:p w:rsidR="005132EF" w:rsidRPr="00370E70" w:rsidRDefault="005132EF" w:rsidP="00A474B9">
            <w:pPr>
              <w:autoSpaceDE w:val="0"/>
              <w:autoSpaceDN w:val="0"/>
              <w:adjustRightInd w:val="0"/>
              <w:spacing w:before="0" w:after="0"/>
              <w:ind w:left="-57" w:right="-57"/>
              <w:jc w:val="center"/>
              <w:rPr>
                <w:rFonts w:cs="TimesNewRoman"/>
                <w:color w:val="000000"/>
                <w:sz w:val="16"/>
                <w:szCs w:val="16"/>
              </w:rPr>
            </w:pPr>
            <w:r w:rsidRPr="00370E70">
              <w:rPr>
                <w:rFonts w:cs="TimesNewRoman"/>
                <w:color w:val="000000"/>
                <w:sz w:val="16"/>
                <w:szCs w:val="16"/>
              </w:rPr>
              <w:t>2,507,985</w:t>
            </w:r>
          </w:p>
        </w:tc>
      </w:tr>
    </w:tbl>
    <w:p w:rsidR="005132EF" w:rsidRPr="00370E70" w:rsidRDefault="005132EF" w:rsidP="00C45405">
      <w:pPr>
        <w:pStyle w:val="References"/>
        <w:ind w:left="540" w:hanging="540"/>
        <w:rPr>
          <w:rFonts w:cs="TimesNewRoman"/>
          <w:color w:val="000000"/>
          <w:sz w:val="16"/>
          <w:szCs w:val="16"/>
        </w:rPr>
      </w:pPr>
    </w:p>
    <w:p w:rsidR="005132EF" w:rsidRPr="00370E70" w:rsidRDefault="005132EF" w:rsidP="00C45405">
      <w:pPr>
        <w:pStyle w:val="References"/>
        <w:ind w:left="540" w:hanging="540"/>
        <w:rPr>
          <w:rFonts w:cs="TimesNewRoman"/>
          <w:color w:val="000000"/>
          <w:sz w:val="16"/>
          <w:szCs w:val="16"/>
        </w:rPr>
      </w:pPr>
    </w:p>
    <w:p w:rsidR="005132EF" w:rsidRPr="00370E70" w:rsidRDefault="005132EF" w:rsidP="008C585C">
      <w:pPr>
        <w:pStyle w:val="Caption"/>
        <w:keepNext/>
        <w:jc w:val="center"/>
        <w:rPr>
          <w:rStyle w:val="StyleCaptionCaptionCharCharLatinCalibri11ptBlackChar"/>
          <w:lang w:val="en-AU"/>
        </w:rPr>
      </w:pPr>
      <w:bookmarkStart w:id="1059" w:name="_Ref353029075"/>
      <w:bookmarkStart w:id="1060" w:name="_Toc384196573"/>
      <w:r w:rsidRPr="00370E70">
        <w:rPr>
          <w:rStyle w:val="StyleCaptionCaptionCharCharLatinCalibri11ptBlackChar"/>
          <w:lang w:val="en-AU"/>
        </w:rPr>
        <w:t xml:space="preserve">Table </w:t>
      </w:r>
      <w:r w:rsidRPr="00370E70">
        <w:rPr>
          <w:color w:val="000000"/>
          <w:szCs w:val="22"/>
          <w:lang w:val="en-AU"/>
        </w:rPr>
        <w:fldChar w:fldCharType="begin"/>
      </w:r>
      <w:r w:rsidRPr="00370E70">
        <w:rPr>
          <w:color w:val="000000"/>
          <w:szCs w:val="22"/>
          <w:lang w:val="en-AU"/>
        </w:rPr>
        <w:instrText xml:space="preserve"> SEQ Table \* ARABIC </w:instrText>
      </w:r>
      <w:r w:rsidRPr="00370E70">
        <w:rPr>
          <w:color w:val="000000"/>
          <w:szCs w:val="22"/>
          <w:lang w:val="en-AU"/>
        </w:rPr>
        <w:fldChar w:fldCharType="separate"/>
      </w:r>
      <w:r w:rsidR="005B5FD6">
        <w:rPr>
          <w:noProof/>
          <w:color w:val="000000"/>
          <w:szCs w:val="22"/>
          <w:lang w:val="en-AU"/>
        </w:rPr>
        <w:t>37</w:t>
      </w:r>
      <w:r w:rsidRPr="00370E70">
        <w:rPr>
          <w:color w:val="000000"/>
          <w:szCs w:val="22"/>
          <w:lang w:val="en-AU"/>
        </w:rPr>
        <w:fldChar w:fldCharType="end"/>
      </w:r>
      <w:bookmarkEnd w:id="1059"/>
      <w:r w:rsidRPr="00370E70">
        <w:rPr>
          <w:rStyle w:val="StyleCaptionCaptionCharCharLatinCalibri11ptBlackChar"/>
          <w:lang w:val="en-AU"/>
        </w:rPr>
        <w:t xml:space="preserve">. </w:t>
      </w:r>
      <w:r w:rsidRPr="00370E70">
        <w:rPr>
          <w:i/>
          <w:color w:val="000000"/>
          <w:szCs w:val="22"/>
          <w:lang w:val="en-AU"/>
        </w:rPr>
        <w:t>Percent carbon in seagrass leaf tissue from published literature.</w:t>
      </w:r>
      <w:bookmarkEnd w:id="1060"/>
      <w:r w:rsidRPr="00370E70">
        <w:rPr>
          <w:i/>
          <w:color w:val="000000"/>
          <w:szCs w:val="22"/>
          <w:lang w:val="en-AU"/>
        </w:rPr>
        <w:t xml:space="preserve"> </w:t>
      </w:r>
    </w:p>
    <w:tbl>
      <w:tblPr>
        <w:tblW w:w="8334" w:type="dxa"/>
        <w:jc w:val="center"/>
        <w:tblLook w:val="01E0" w:firstRow="1" w:lastRow="1" w:firstColumn="1" w:lastColumn="1" w:noHBand="0" w:noVBand="0"/>
      </w:tblPr>
      <w:tblGrid>
        <w:gridCol w:w="2124"/>
        <w:gridCol w:w="979"/>
        <w:gridCol w:w="2231"/>
        <w:gridCol w:w="3000"/>
      </w:tblGrid>
      <w:tr w:rsidR="005132EF" w:rsidRPr="00370E70" w:rsidTr="00A474B9">
        <w:trPr>
          <w:jc w:val="center"/>
        </w:trPr>
        <w:tc>
          <w:tcPr>
            <w:tcW w:w="2124" w:type="dxa"/>
            <w:tcBorders>
              <w:top w:val="single" w:sz="4" w:space="0" w:color="auto"/>
              <w:bottom w:val="single" w:sz="4" w:space="0" w:color="auto"/>
            </w:tcBorders>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Species</w:t>
            </w:r>
          </w:p>
        </w:tc>
        <w:tc>
          <w:tcPr>
            <w:tcW w:w="979" w:type="dxa"/>
            <w:tcBorders>
              <w:top w:val="single" w:sz="4" w:space="0" w:color="auto"/>
              <w:bottom w:val="single" w:sz="4" w:space="0" w:color="auto"/>
            </w:tcBorders>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%C</w:t>
            </w:r>
          </w:p>
        </w:tc>
        <w:tc>
          <w:tcPr>
            <w:tcW w:w="2231" w:type="dxa"/>
            <w:tcBorders>
              <w:top w:val="single" w:sz="4" w:space="0" w:color="auto"/>
              <w:bottom w:val="single" w:sz="4" w:space="0" w:color="auto"/>
            </w:tcBorders>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Citiation</w:t>
            </w:r>
          </w:p>
        </w:tc>
        <w:tc>
          <w:tcPr>
            <w:tcW w:w="3000" w:type="dxa"/>
            <w:tcBorders>
              <w:top w:val="single" w:sz="4" w:space="0" w:color="auto"/>
              <w:bottom w:val="single" w:sz="4" w:space="0" w:color="auto"/>
            </w:tcBorders>
          </w:tcPr>
          <w:p w:rsidR="005132EF" w:rsidRPr="00370E70" w:rsidRDefault="005132EF" w:rsidP="00A474B9">
            <w:pPr>
              <w:autoSpaceDE w:val="0"/>
              <w:autoSpaceDN w:val="0"/>
              <w:adjustRightInd w:val="0"/>
              <w:spacing w:before="0" w:after="0"/>
              <w:jc w:val="center"/>
              <w:rPr>
                <w:rFonts w:cs="TimesNewRoman"/>
                <w:b/>
                <w:color w:val="000000"/>
                <w:sz w:val="16"/>
                <w:szCs w:val="16"/>
              </w:rPr>
            </w:pPr>
            <w:r w:rsidRPr="00370E70">
              <w:rPr>
                <w:rFonts w:cs="TimesNewRoman"/>
                <w:b/>
                <w:color w:val="000000"/>
                <w:sz w:val="16"/>
                <w:szCs w:val="16"/>
              </w:rPr>
              <w:t>Location</w:t>
            </w:r>
          </w:p>
        </w:tc>
      </w:tr>
      <w:tr w:rsidR="005132EF" w:rsidRPr="00370E70" w:rsidTr="00A474B9">
        <w:trPr>
          <w:jc w:val="center"/>
        </w:trPr>
        <w:tc>
          <w:tcPr>
            <w:tcW w:w="2124" w:type="dxa"/>
            <w:tcBorders>
              <w:top w:val="single" w:sz="4" w:space="0" w:color="auto"/>
            </w:tcBorders>
          </w:tcPr>
          <w:p w:rsidR="005132EF" w:rsidRPr="00370E70" w:rsidRDefault="005132EF"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Cymodocea rotundata</w:t>
            </w:r>
          </w:p>
        </w:tc>
        <w:tc>
          <w:tcPr>
            <w:tcW w:w="979"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38.9</w:t>
            </w:r>
          </w:p>
        </w:tc>
        <w:tc>
          <w:tcPr>
            <w:tcW w:w="2231"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Yamamuro &amp; Chirapart 2005</w:t>
            </w:r>
          </w:p>
        </w:tc>
        <w:tc>
          <w:tcPr>
            <w:tcW w:w="3000"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City">
                <w:r w:rsidRPr="00370E70">
                  <w:rPr>
                    <w:rFonts w:cs="TimesNewRoman"/>
                    <w:color w:val="000000"/>
                    <w:sz w:val="16"/>
                    <w:szCs w:val="16"/>
                  </w:rPr>
                  <w:t>Trang</w:t>
                </w:r>
              </w:smartTag>
              <w:r w:rsidRPr="00370E70">
                <w:rPr>
                  <w:rFonts w:cs="TimesNewRoman"/>
                  <w:color w:val="000000"/>
                  <w:sz w:val="16"/>
                  <w:szCs w:val="16"/>
                </w:rPr>
                <w:t xml:space="preserve">, </w:t>
              </w:r>
              <w:smartTag w:uri="urn:schemas-microsoft-com:office:smarttags" w:element="country-region">
                <w:r w:rsidRPr="00370E70">
                  <w:rPr>
                    <w:rFonts w:cs="TimesNewRoman"/>
                    <w:color w:val="000000"/>
                    <w:sz w:val="16"/>
                    <w:szCs w:val="16"/>
                  </w:rPr>
                  <w:t>Thailand</w:t>
                </w:r>
              </w:smartTag>
            </w:smartTag>
          </w:p>
        </w:tc>
      </w:tr>
      <w:tr w:rsidR="005132EF" w:rsidRPr="00370E70" w:rsidTr="004470BE">
        <w:trPr>
          <w:jc w:val="center"/>
        </w:trPr>
        <w:tc>
          <w:tcPr>
            <w:tcW w:w="2124" w:type="dxa"/>
            <w:tcBorders>
              <w:bottom w:val="single" w:sz="4" w:space="0" w:color="auto"/>
            </w:tcBorders>
            <w:shd w:val="clear" w:color="auto" w:fill="F3F3F3"/>
          </w:tcPr>
          <w:p w:rsidR="005132EF" w:rsidRPr="00370E70" w:rsidRDefault="005132EF" w:rsidP="00A474B9">
            <w:pPr>
              <w:autoSpaceDE w:val="0"/>
              <w:autoSpaceDN w:val="0"/>
              <w:adjustRightInd w:val="0"/>
              <w:spacing w:before="0" w:after="0"/>
              <w:rPr>
                <w:rFonts w:cs="TimesNewRoman"/>
                <w:i/>
                <w:color w:val="000000"/>
                <w:sz w:val="16"/>
                <w:szCs w:val="16"/>
              </w:rPr>
            </w:pPr>
          </w:p>
        </w:tc>
        <w:tc>
          <w:tcPr>
            <w:tcW w:w="979" w:type="dxa"/>
            <w:tcBorders>
              <w:bottom w:val="single" w:sz="4" w:space="0" w:color="auto"/>
            </w:tcBorders>
            <w:shd w:val="clear" w:color="auto" w:fill="F3F3F3"/>
          </w:tcPr>
          <w:p w:rsidR="005132EF" w:rsidRPr="00370E70" w:rsidRDefault="005132EF" w:rsidP="00A474B9">
            <w:pPr>
              <w:autoSpaceDE w:val="0"/>
              <w:autoSpaceDN w:val="0"/>
              <w:adjustRightInd w:val="0"/>
              <w:spacing w:before="0" w:after="0"/>
              <w:rPr>
                <w:rFonts w:cs="TimesNewRoman"/>
                <w:color w:val="000000"/>
                <w:sz w:val="16"/>
                <w:szCs w:val="16"/>
              </w:rPr>
            </w:pPr>
          </w:p>
        </w:tc>
        <w:tc>
          <w:tcPr>
            <w:tcW w:w="2231" w:type="dxa"/>
            <w:tcBorders>
              <w:bottom w:val="single" w:sz="4" w:space="0" w:color="auto"/>
            </w:tcBorders>
            <w:shd w:val="clear" w:color="auto" w:fill="F3F3F3"/>
          </w:tcPr>
          <w:p w:rsidR="005132EF" w:rsidRPr="00370E70" w:rsidRDefault="005132EF" w:rsidP="00A474B9">
            <w:pPr>
              <w:autoSpaceDE w:val="0"/>
              <w:autoSpaceDN w:val="0"/>
              <w:adjustRightInd w:val="0"/>
              <w:spacing w:before="0" w:after="0"/>
              <w:rPr>
                <w:rFonts w:cs="TimesNewRoman"/>
                <w:color w:val="000000"/>
                <w:sz w:val="16"/>
                <w:szCs w:val="16"/>
              </w:rPr>
            </w:pPr>
          </w:p>
        </w:tc>
        <w:tc>
          <w:tcPr>
            <w:tcW w:w="3000" w:type="dxa"/>
            <w:tcBorders>
              <w:bottom w:val="single" w:sz="4" w:space="0" w:color="auto"/>
            </w:tcBorders>
            <w:shd w:val="clear" w:color="auto" w:fill="F3F3F3"/>
          </w:tcPr>
          <w:p w:rsidR="005132EF" w:rsidRPr="00370E70" w:rsidRDefault="005132EF" w:rsidP="00A474B9">
            <w:pPr>
              <w:autoSpaceDE w:val="0"/>
              <w:autoSpaceDN w:val="0"/>
              <w:adjustRightInd w:val="0"/>
              <w:spacing w:before="0" w:after="0"/>
              <w:rPr>
                <w:rFonts w:cs="TimesNewRoman"/>
                <w:color w:val="000000"/>
                <w:sz w:val="16"/>
                <w:szCs w:val="16"/>
              </w:rPr>
            </w:pPr>
          </w:p>
        </w:tc>
      </w:tr>
      <w:tr w:rsidR="005132EF" w:rsidRPr="00370E70" w:rsidTr="00A474B9">
        <w:trPr>
          <w:jc w:val="center"/>
        </w:trPr>
        <w:tc>
          <w:tcPr>
            <w:tcW w:w="2124" w:type="dxa"/>
            <w:tcBorders>
              <w:top w:val="single" w:sz="4" w:space="0" w:color="auto"/>
            </w:tcBorders>
          </w:tcPr>
          <w:p w:rsidR="005132EF" w:rsidRPr="00370E70" w:rsidRDefault="005132EF"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Cymodocea serrulata</w:t>
            </w:r>
          </w:p>
        </w:tc>
        <w:tc>
          <w:tcPr>
            <w:tcW w:w="979"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42.7</w:t>
            </w:r>
          </w:p>
        </w:tc>
        <w:tc>
          <w:tcPr>
            <w:tcW w:w="2231"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Grice et al. 1996</w:t>
            </w:r>
          </w:p>
        </w:tc>
        <w:tc>
          <w:tcPr>
            <w:tcW w:w="3000" w:type="dxa"/>
            <w:tcBorders>
              <w:top w:val="single" w:sz="4" w:space="0" w:color="auto"/>
            </w:tcBorders>
          </w:tcPr>
          <w:p w:rsidR="005132EF" w:rsidRPr="00370E70" w:rsidRDefault="005132EF"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Green</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Island</w:t>
                </w:r>
              </w:smartTag>
            </w:smartTag>
          </w:p>
        </w:tc>
      </w:tr>
      <w:tr w:rsidR="005132EF" w:rsidRPr="00370E70" w:rsidTr="004470BE">
        <w:trPr>
          <w:jc w:val="center"/>
        </w:trPr>
        <w:tc>
          <w:tcPr>
            <w:tcW w:w="2124" w:type="dxa"/>
          </w:tcPr>
          <w:p w:rsidR="005132EF" w:rsidRPr="00370E70" w:rsidRDefault="005132EF" w:rsidP="00A474B9">
            <w:pPr>
              <w:autoSpaceDE w:val="0"/>
              <w:autoSpaceDN w:val="0"/>
              <w:adjustRightInd w:val="0"/>
              <w:spacing w:before="0" w:after="0"/>
              <w:rPr>
                <w:rFonts w:cs="TimesNewRoman"/>
                <w:i/>
                <w:color w:val="000000"/>
                <w:sz w:val="16"/>
                <w:szCs w:val="16"/>
              </w:rPr>
            </w:pPr>
          </w:p>
        </w:tc>
        <w:tc>
          <w:tcPr>
            <w:tcW w:w="979" w:type="dxa"/>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38</w:t>
            </w:r>
          </w:p>
        </w:tc>
        <w:tc>
          <w:tcPr>
            <w:tcW w:w="2231" w:type="dxa"/>
          </w:tcPr>
          <w:p w:rsidR="005132EF" w:rsidRPr="00370E70" w:rsidRDefault="005132EF"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Atkinson &amp; Smith (1984)</w:t>
            </w:r>
          </w:p>
        </w:tc>
        <w:tc>
          <w:tcPr>
            <w:tcW w:w="3000" w:type="dxa"/>
          </w:tcPr>
          <w:p w:rsidR="005132EF" w:rsidRPr="00370E70" w:rsidRDefault="005132EF"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Cockle</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Bay</w:t>
                </w:r>
              </w:smartTag>
            </w:smartTag>
          </w:p>
        </w:tc>
      </w:tr>
      <w:tr w:rsidR="004470BE" w:rsidRPr="00370E70" w:rsidTr="004470BE">
        <w:trPr>
          <w:jc w:val="center"/>
        </w:trPr>
        <w:tc>
          <w:tcPr>
            <w:tcW w:w="2124"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c>
          <w:tcPr>
            <w:tcW w:w="979"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40.4</w:t>
            </w:r>
          </w:p>
        </w:tc>
        <w:tc>
          <w:tcPr>
            <w:tcW w:w="2231" w:type="dxa"/>
            <w:shd w:val="clear" w:color="auto" w:fill="F3F3F3"/>
          </w:tcPr>
          <w:p w:rsidR="004470BE" w:rsidRPr="00370E70" w:rsidRDefault="004470BE" w:rsidP="00C925DE">
            <w:pPr>
              <w:autoSpaceDE w:val="0"/>
              <w:autoSpaceDN w:val="0"/>
              <w:adjustRightInd w:val="0"/>
              <w:spacing w:before="0" w:after="0"/>
              <w:rPr>
                <w:rFonts w:cs="TimesNewRoman"/>
                <w:color w:val="000000"/>
                <w:sz w:val="16"/>
                <w:szCs w:val="16"/>
              </w:rPr>
            </w:pPr>
            <w:r w:rsidRPr="00370E70">
              <w:rPr>
                <w:rFonts w:cs="TimesNewRoman"/>
                <w:color w:val="000000"/>
                <w:sz w:val="16"/>
                <w:szCs w:val="16"/>
              </w:rPr>
              <w:t>median</w:t>
            </w:r>
          </w:p>
        </w:tc>
        <w:tc>
          <w:tcPr>
            <w:tcW w:w="3000"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A474B9">
        <w:trPr>
          <w:jc w:val="center"/>
        </w:trPr>
        <w:tc>
          <w:tcPr>
            <w:tcW w:w="2124" w:type="dxa"/>
            <w:tcBorders>
              <w:top w:val="single" w:sz="4" w:space="0" w:color="auto"/>
            </w:tcBorders>
          </w:tcPr>
          <w:p w:rsidR="004470BE" w:rsidRPr="00370E70" w:rsidRDefault="004470BE"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Halodule uninervis</w:t>
            </w:r>
          </w:p>
        </w:tc>
        <w:tc>
          <w:tcPr>
            <w:tcW w:w="979"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40.9</w:t>
            </w:r>
          </w:p>
        </w:tc>
        <w:tc>
          <w:tcPr>
            <w:tcW w:w="2231"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Grice et al. 1996</w:t>
            </w:r>
          </w:p>
        </w:tc>
        <w:tc>
          <w:tcPr>
            <w:tcW w:w="3000"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Green</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Island</w:t>
                </w:r>
              </w:smartTag>
            </w:smartTag>
          </w:p>
        </w:tc>
      </w:tr>
      <w:tr w:rsidR="004470BE" w:rsidRPr="00370E70" w:rsidTr="00A474B9">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36</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Atkinson &amp; Smith (1984)</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r w:rsidRPr="00370E70">
                <w:rPr>
                  <w:rFonts w:cs="TimesNewRoman"/>
                  <w:color w:val="000000"/>
                  <w:sz w:val="16"/>
                  <w:szCs w:val="16"/>
                </w:rPr>
                <w:t>N Queensland</w:t>
              </w:r>
            </w:smartTag>
          </w:p>
        </w:tc>
      </w:tr>
      <w:tr w:rsidR="004470BE" w:rsidRPr="00370E70" w:rsidTr="004470BE">
        <w:trPr>
          <w:jc w:val="center"/>
        </w:trPr>
        <w:tc>
          <w:tcPr>
            <w:tcW w:w="2124"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c>
          <w:tcPr>
            <w:tcW w:w="979"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38.5</w:t>
            </w:r>
          </w:p>
        </w:tc>
        <w:tc>
          <w:tcPr>
            <w:tcW w:w="2231" w:type="dxa"/>
            <w:tcBorders>
              <w:bottom w:val="single" w:sz="4" w:space="0" w:color="auto"/>
            </w:tcBorders>
            <w:shd w:val="clear" w:color="auto" w:fill="F3F3F3"/>
          </w:tcPr>
          <w:p w:rsidR="004470BE" w:rsidRPr="00370E70" w:rsidRDefault="004470BE" w:rsidP="00C925DE">
            <w:pPr>
              <w:autoSpaceDE w:val="0"/>
              <w:autoSpaceDN w:val="0"/>
              <w:adjustRightInd w:val="0"/>
              <w:spacing w:before="0" w:after="0"/>
              <w:rPr>
                <w:rFonts w:cs="TimesNewRoman"/>
                <w:color w:val="000000"/>
                <w:sz w:val="16"/>
                <w:szCs w:val="16"/>
              </w:rPr>
            </w:pPr>
            <w:r w:rsidRPr="00370E70">
              <w:rPr>
                <w:rFonts w:cs="TimesNewRoman"/>
                <w:color w:val="000000"/>
                <w:sz w:val="16"/>
                <w:szCs w:val="16"/>
              </w:rPr>
              <w:t>median</w:t>
            </w:r>
          </w:p>
        </w:tc>
        <w:tc>
          <w:tcPr>
            <w:tcW w:w="3000"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A474B9">
        <w:trPr>
          <w:jc w:val="center"/>
        </w:trPr>
        <w:tc>
          <w:tcPr>
            <w:tcW w:w="2124" w:type="dxa"/>
            <w:tcBorders>
              <w:top w:val="single" w:sz="4" w:space="0" w:color="auto"/>
            </w:tcBorders>
          </w:tcPr>
          <w:p w:rsidR="004470BE" w:rsidRPr="00370E70" w:rsidRDefault="004470BE"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Halophila ovalis</w:t>
            </w:r>
          </w:p>
        </w:tc>
        <w:tc>
          <w:tcPr>
            <w:tcW w:w="979"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p>
        </w:tc>
        <w:tc>
          <w:tcPr>
            <w:tcW w:w="2231"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p>
        </w:tc>
        <w:tc>
          <w:tcPr>
            <w:tcW w:w="3000"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4470BE">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32 ± 0.5</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McMahon (2005)</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Moreton</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Bay</w:t>
                </w:r>
              </w:smartTag>
            </w:smartTag>
            <w:r w:rsidRPr="00370E70">
              <w:rPr>
                <w:rFonts w:cs="TimesNewRoman"/>
                <w:color w:val="000000"/>
                <w:sz w:val="16"/>
                <w:szCs w:val="16"/>
              </w:rPr>
              <w:t xml:space="preserve"> - Aug</w:t>
            </w:r>
          </w:p>
        </w:tc>
      </w:tr>
      <w:tr w:rsidR="004470BE" w:rsidRPr="00370E70" w:rsidTr="004470BE">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29 ± 0.4</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McMahon (2005)</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Moreton</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Bay</w:t>
                </w:r>
              </w:smartTag>
            </w:smartTag>
            <w:r w:rsidRPr="00370E70">
              <w:rPr>
                <w:rFonts w:cs="TimesNewRoman"/>
                <w:color w:val="000000"/>
                <w:sz w:val="16"/>
                <w:szCs w:val="16"/>
              </w:rPr>
              <w:t xml:space="preserve"> - Jan</w:t>
            </w:r>
          </w:p>
        </w:tc>
      </w:tr>
      <w:tr w:rsidR="004470BE" w:rsidRPr="00370E70" w:rsidTr="004470BE">
        <w:trPr>
          <w:jc w:val="center"/>
        </w:trPr>
        <w:tc>
          <w:tcPr>
            <w:tcW w:w="2124"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c>
          <w:tcPr>
            <w:tcW w:w="979"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30.5</w:t>
            </w:r>
          </w:p>
        </w:tc>
        <w:tc>
          <w:tcPr>
            <w:tcW w:w="2231" w:type="dxa"/>
            <w:shd w:val="clear" w:color="auto" w:fill="F3F3F3"/>
          </w:tcPr>
          <w:p w:rsidR="004470BE" w:rsidRPr="00370E70" w:rsidRDefault="004470BE" w:rsidP="00C925DE">
            <w:pPr>
              <w:autoSpaceDE w:val="0"/>
              <w:autoSpaceDN w:val="0"/>
              <w:adjustRightInd w:val="0"/>
              <w:spacing w:before="0" w:after="0"/>
              <w:rPr>
                <w:rFonts w:cs="TimesNewRoman"/>
                <w:color w:val="000000"/>
                <w:sz w:val="16"/>
                <w:szCs w:val="16"/>
              </w:rPr>
            </w:pPr>
            <w:r w:rsidRPr="00370E70">
              <w:rPr>
                <w:rFonts w:cs="TimesNewRoman"/>
                <w:color w:val="000000"/>
                <w:sz w:val="16"/>
                <w:szCs w:val="16"/>
              </w:rPr>
              <w:t>median</w:t>
            </w:r>
          </w:p>
        </w:tc>
        <w:tc>
          <w:tcPr>
            <w:tcW w:w="3000"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A474B9">
        <w:trPr>
          <w:jc w:val="center"/>
        </w:trPr>
        <w:tc>
          <w:tcPr>
            <w:tcW w:w="2124" w:type="dxa"/>
            <w:tcBorders>
              <w:top w:val="single" w:sz="4" w:space="0" w:color="auto"/>
            </w:tcBorders>
          </w:tcPr>
          <w:p w:rsidR="004470BE" w:rsidRPr="00370E70" w:rsidRDefault="004470BE"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Thalassia hemprichii</w:t>
            </w:r>
          </w:p>
        </w:tc>
        <w:tc>
          <w:tcPr>
            <w:tcW w:w="979"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 xml:space="preserve">32..61 </w:t>
            </w:r>
          </w:p>
        </w:tc>
        <w:tc>
          <w:tcPr>
            <w:tcW w:w="2231"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Erftemeijer and Herman 1994</w:t>
            </w:r>
          </w:p>
        </w:tc>
        <w:tc>
          <w:tcPr>
            <w:tcW w:w="3000"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City">
                <w:r w:rsidRPr="00370E70">
                  <w:rPr>
                    <w:rFonts w:cs="TimesNewRoman"/>
                    <w:color w:val="000000"/>
                    <w:sz w:val="16"/>
                    <w:szCs w:val="16"/>
                  </w:rPr>
                  <w:t>Kudingareng</w:t>
                </w:r>
              </w:smartTag>
              <w:r w:rsidRPr="00370E70">
                <w:rPr>
                  <w:rFonts w:cs="TimesNewRoman"/>
                  <w:color w:val="000000"/>
                  <w:sz w:val="16"/>
                  <w:szCs w:val="16"/>
                </w:rPr>
                <w:t xml:space="preserve">, </w:t>
              </w:r>
              <w:smartTag w:uri="urn:schemas-microsoft-com:office:smarttags" w:element="country-region">
                <w:r w:rsidRPr="00370E70">
                  <w:rPr>
                    <w:rFonts w:cs="TimesNewRoman"/>
                    <w:color w:val="000000"/>
                    <w:sz w:val="16"/>
                    <w:szCs w:val="16"/>
                  </w:rPr>
                  <w:t>Indonesia</w:t>
                </w:r>
              </w:smartTag>
            </w:smartTag>
          </w:p>
        </w:tc>
      </w:tr>
      <w:tr w:rsidR="004470BE" w:rsidRPr="00160B27" w:rsidTr="00A474B9">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35.58</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Erftemeijer and Herman 1994</w:t>
            </w:r>
          </w:p>
        </w:tc>
        <w:tc>
          <w:tcPr>
            <w:tcW w:w="3000" w:type="dxa"/>
          </w:tcPr>
          <w:p w:rsidR="004470BE" w:rsidRPr="00160B27" w:rsidRDefault="004470BE" w:rsidP="00A474B9">
            <w:pPr>
              <w:autoSpaceDE w:val="0"/>
              <w:autoSpaceDN w:val="0"/>
              <w:adjustRightInd w:val="0"/>
              <w:spacing w:before="0" w:after="0"/>
              <w:rPr>
                <w:rFonts w:cs="TimesNewRoman"/>
                <w:color w:val="000000"/>
                <w:sz w:val="16"/>
                <w:szCs w:val="16"/>
                <w:lang w:val="it-IT"/>
              </w:rPr>
            </w:pPr>
            <w:r w:rsidRPr="00160B27">
              <w:rPr>
                <w:rFonts w:cs="TimesNewRoman"/>
                <w:color w:val="000000"/>
                <w:sz w:val="16"/>
                <w:szCs w:val="16"/>
                <w:lang w:val="it-IT"/>
              </w:rPr>
              <w:t>Barang Lompo, South Sulawesi, Indonesia</w:t>
            </w:r>
          </w:p>
        </w:tc>
      </w:tr>
      <w:tr w:rsidR="004470BE" w:rsidRPr="00370E70" w:rsidTr="00A474B9">
        <w:trPr>
          <w:jc w:val="center"/>
        </w:trPr>
        <w:tc>
          <w:tcPr>
            <w:tcW w:w="2124" w:type="dxa"/>
          </w:tcPr>
          <w:p w:rsidR="004470BE" w:rsidRPr="00160B27" w:rsidRDefault="004470BE" w:rsidP="00A474B9">
            <w:pPr>
              <w:autoSpaceDE w:val="0"/>
              <w:autoSpaceDN w:val="0"/>
              <w:adjustRightInd w:val="0"/>
              <w:spacing w:before="0" w:after="0"/>
              <w:rPr>
                <w:rFonts w:cs="TimesNewRoman"/>
                <w:i/>
                <w:color w:val="000000"/>
                <w:sz w:val="16"/>
                <w:szCs w:val="16"/>
                <w:lang w:val="it-IT"/>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37.4</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Koike et al (1987)</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City">
                <w:r w:rsidRPr="00370E70">
                  <w:rPr>
                    <w:rFonts w:cs="TimesNewRoman"/>
                    <w:color w:val="000000"/>
                    <w:sz w:val="16"/>
                    <w:szCs w:val="16"/>
                  </w:rPr>
                  <w:t>Port Moresby</w:t>
                </w:r>
              </w:smartTag>
            </w:smartTag>
            <w:r w:rsidRPr="00370E70">
              <w:rPr>
                <w:rFonts w:cs="TimesNewRoman"/>
                <w:color w:val="000000"/>
                <w:sz w:val="16"/>
                <w:szCs w:val="16"/>
              </w:rPr>
              <w:t>, PNG</w:t>
            </w:r>
          </w:p>
        </w:tc>
      </w:tr>
      <w:tr w:rsidR="004470BE" w:rsidRPr="00370E70" w:rsidTr="00A474B9">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40.4</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Koike et al (1987)</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City">
                <w:r w:rsidRPr="00370E70">
                  <w:rPr>
                    <w:rFonts w:cs="TimesNewRoman"/>
                    <w:color w:val="000000"/>
                    <w:sz w:val="16"/>
                    <w:szCs w:val="16"/>
                  </w:rPr>
                  <w:t>Port Moresby</w:t>
                </w:r>
              </w:smartTag>
            </w:smartTag>
            <w:r w:rsidRPr="00370E70">
              <w:rPr>
                <w:rFonts w:cs="TimesNewRoman"/>
                <w:color w:val="000000"/>
                <w:sz w:val="16"/>
                <w:szCs w:val="16"/>
              </w:rPr>
              <w:t>, PNG</w:t>
            </w:r>
          </w:p>
        </w:tc>
      </w:tr>
      <w:tr w:rsidR="004470BE" w:rsidRPr="00370E70" w:rsidTr="004470BE">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33</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Atkinson &amp; Smith (1984)</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PlaceName">
                <w:r w:rsidRPr="00370E70">
                  <w:rPr>
                    <w:rFonts w:cs="TimesNewRoman"/>
                    <w:color w:val="000000"/>
                    <w:sz w:val="16"/>
                    <w:szCs w:val="16"/>
                  </w:rPr>
                  <w:t>Cockle</w:t>
                </w:r>
              </w:smartTag>
              <w:r w:rsidRPr="00370E70">
                <w:rPr>
                  <w:rFonts w:cs="TimesNewRoman"/>
                  <w:color w:val="000000"/>
                  <w:sz w:val="16"/>
                  <w:szCs w:val="16"/>
                </w:rPr>
                <w:t xml:space="preserve"> </w:t>
              </w:r>
              <w:smartTag w:uri="urn:schemas-microsoft-com:office:smarttags" w:element="PlaceType">
                <w:r w:rsidRPr="00370E70">
                  <w:rPr>
                    <w:rFonts w:cs="TimesNewRoman"/>
                    <w:color w:val="000000"/>
                    <w:sz w:val="16"/>
                    <w:szCs w:val="16"/>
                  </w:rPr>
                  <w:t>Bay</w:t>
                </w:r>
              </w:smartTag>
            </w:smartTag>
          </w:p>
        </w:tc>
      </w:tr>
      <w:tr w:rsidR="004470BE" w:rsidRPr="00370E70" w:rsidTr="004470BE">
        <w:trPr>
          <w:jc w:val="center"/>
        </w:trPr>
        <w:tc>
          <w:tcPr>
            <w:tcW w:w="2124" w:type="dxa"/>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33.5</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Yamamuro &amp; Chirapart 2005</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4470BE">
        <w:trPr>
          <w:jc w:val="center"/>
        </w:trPr>
        <w:tc>
          <w:tcPr>
            <w:tcW w:w="2124" w:type="dxa"/>
            <w:shd w:val="clear" w:color="auto" w:fill="F3F3F3"/>
          </w:tcPr>
          <w:p w:rsidR="004470BE" w:rsidRPr="00370E70" w:rsidRDefault="004470BE" w:rsidP="004470BE">
            <w:pPr>
              <w:autoSpaceDE w:val="0"/>
              <w:autoSpaceDN w:val="0"/>
              <w:adjustRightInd w:val="0"/>
              <w:spacing w:before="0" w:after="0"/>
              <w:jc w:val="right"/>
              <w:rPr>
                <w:rFonts w:cs="TimesNewRoman"/>
                <w:color w:val="000000"/>
                <w:sz w:val="16"/>
                <w:szCs w:val="16"/>
              </w:rPr>
            </w:pPr>
          </w:p>
        </w:tc>
        <w:tc>
          <w:tcPr>
            <w:tcW w:w="979"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35.6</w:t>
            </w:r>
          </w:p>
        </w:tc>
        <w:tc>
          <w:tcPr>
            <w:tcW w:w="2231" w:type="dxa"/>
            <w:shd w:val="clear" w:color="auto" w:fill="F3F3F3"/>
          </w:tcPr>
          <w:p w:rsidR="004470BE" w:rsidRPr="00370E70" w:rsidRDefault="004470BE" w:rsidP="004470BE">
            <w:pPr>
              <w:autoSpaceDE w:val="0"/>
              <w:autoSpaceDN w:val="0"/>
              <w:adjustRightInd w:val="0"/>
              <w:spacing w:before="0" w:after="0"/>
              <w:rPr>
                <w:rFonts w:cs="TimesNewRoman"/>
                <w:color w:val="000000"/>
                <w:sz w:val="16"/>
                <w:szCs w:val="16"/>
              </w:rPr>
            </w:pPr>
            <w:r w:rsidRPr="00370E70">
              <w:rPr>
                <w:rFonts w:cs="TimesNewRoman"/>
                <w:color w:val="000000"/>
                <w:sz w:val="16"/>
                <w:szCs w:val="16"/>
              </w:rPr>
              <w:t>median</w:t>
            </w:r>
          </w:p>
        </w:tc>
        <w:tc>
          <w:tcPr>
            <w:tcW w:w="3000" w:type="dxa"/>
            <w:shd w:val="clear" w:color="auto" w:fill="F3F3F3"/>
          </w:tcPr>
          <w:p w:rsidR="004470BE" w:rsidRPr="00370E70" w:rsidRDefault="004470BE" w:rsidP="00A474B9">
            <w:pPr>
              <w:autoSpaceDE w:val="0"/>
              <w:autoSpaceDN w:val="0"/>
              <w:adjustRightInd w:val="0"/>
              <w:spacing w:before="0" w:after="0"/>
              <w:rPr>
                <w:rFonts w:cs="TimesNewRoman"/>
                <w:color w:val="000000"/>
                <w:sz w:val="16"/>
                <w:szCs w:val="16"/>
              </w:rPr>
            </w:pPr>
          </w:p>
        </w:tc>
      </w:tr>
      <w:tr w:rsidR="004470BE" w:rsidRPr="00370E70" w:rsidTr="00A474B9">
        <w:trPr>
          <w:jc w:val="center"/>
        </w:trPr>
        <w:tc>
          <w:tcPr>
            <w:tcW w:w="2124" w:type="dxa"/>
            <w:tcBorders>
              <w:top w:val="single" w:sz="4" w:space="0" w:color="auto"/>
            </w:tcBorders>
          </w:tcPr>
          <w:p w:rsidR="004470BE" w:rsidRPr="00370E70" w:rsidRDefault="004470BE"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 xml:space="preserve">Zostera </w:t>
            </w:r>
            <w:r w:rsidR="00145BB9" w:rsidRPr="00370E70">
              <w:rPr>
                <w:rFonts w:cs="TimesNewRoman"/>
                <w:i/>
                <w:color w:val="000000"/>
                <w:sz w:val="16"/>
                <w:szCs w:val="16"/>
              </w:rPr>
              <w:t>muelleri (</w:t>
            </w:r>
            <w:r w:rsidRPr="00370E70">
              <w:rPr>
                <w:rFonts w:cs="TimesNewRoman"/>
                <w:i/>
                <w:color w:val="000000"/>
                <w:sz w:val="16"/>
                <w:szCs w:val="16"/>
              </w:rPr>
              <w:t>capricorni</w:t>
            </w:r>
            <w:r w:rsidR="00145BB9" w:rsidRPr="00370E70">
              <w:rPr>
                <w:rFonts w:cs="TimesNewRoman"/>
                <w:i/>
                <w:color w:val="000000"/>
                <w:sz w:val="16"/>
                <w:szCs w:val="16"/>
              </w:rPr>
              <w:t>)</w:t>
            </w:r>
          </w:p>
        </w:tc>
        <w:tc>
          <w:tcPr>
            <w:tcW w:w="979"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32</w:t>
            </w:r>
          </w:p>
        </w:tc>
        <w:tc>
          <w:tcPr>
            <w:tcW w:w="2231"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Atkinson &amp; Smith (1984)</w:t>
            </w:r>
          </w:p>
        </w:tc>
        <w:tc>
          <w:tcPr>
            <w:tcW w:w="3000" w:type="dxa"/>
            <w:tcBorders>
              <w:top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Pallerenda</w:t>
            </w:r>
          </w:p>
        </w:tc>
      </w:tr>
      <w:tr w:rsidR="004470BE" w:rsidRPr="00370E70" w:rsidTr="00A474B9">
        <w:trPr>
          <w:jc w:val="center"/>
        </w:trPr>
        <w:tc>
          <w:tcPr>
            <w:tcW w:w="2124" w:type="dxa"/>
          </w:tcPr>
          <w:p w:rsidR="004470BE" w:rsidRPr="00370E70" w:rsidRDefault="004470BE" w:rsidP="00A474B9">
            <w:pPr>
              <w:autoSpaceDE w:val="0"/>
              <w:autoSpaceDN w:val="0"/>
              <w:adjustRightInd w:val="0"/>
              <w:spacing w:before="0" w:after="0"/>
              <w:rPr>
                <w:rFonts w:cs="TimesNewRoman"/>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32 ±04</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McMahon (2005)</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Urangan - April</w:t>
            </w:r>
          </w:p>
        </w:tc>
      </w:tr>
      <w:tr w:rsidR="004470BE" w:rsidRPr="00370E70" w:rsidTr="00A474B9">
        <w:trPr>
          <w:jc w:val="center"/>
        </w:trPr>
        <w:tc>
          <w:tcPr>
            <w:tcW w:w="2124" w:type="dxa"/>
          </w:tcPr>
          <w:p w:rsidR="004470BE" w:rsidRPr="00370E70" w:rsidRDefault="004470BE" w:rsidP="00A474B9">
            <w:pPr>
              <w:autoSpaceDE w:val="0"/>
              <w:autoSpaceDN w:val="0"/>
              <w:adjustRightInd w:val="0"/>
              <w:spacing w:before="0" w:after="0"/>
              <w:rPr>
                <w:rFonts w:cs="TimesNewRoman"/>
                <w:color w:val="000000"/>
                <w:sz w:val="16"/>
                <w:szCs w:val="16"/>
              </w:rPr>
            </w:pPr>
          </w:p>
        </w:tc>
        <w:tc>
          <w:tcPr>
            <w:tcW w:w="979"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25 ±1.8</w:t>
            </w:r>
          </w:p>
        </w:tc>
        <w:tc>
          <w:tcPr>
            <w:tcW w:w="2231"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McMahon (2005)</w:t>
            </w:r>
          </w:p>
        </w:tc>
        <w:tc>
          <w:tcPr>
            <w:tcW w:w="3000" w:type="dxa"/>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Urangan -Dec</w:t>
            </w:r>
          </w:p>
        </w:tc>
      </w:tr>
      <w:tr w:rsidR="004470BE" w:rsidRPr="00370E70" w:rsidTr="004470BE">
        <w:trPr>
          <w:jc w:val="center"/>
        </w:trPr>
        <w:tc>
          <w:tcPr>
            <w:tcW w:w="2124"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i/>
                <w:color w:val="000000"/>
                <w:sz w:val="16"/>
                <w:szCs w:val="16"/>
              </w:rPr>
            </w:pPr>
          </w:p>
        </w:tc>
        <w:tc>
          <w:tcPr>
            <w:tcW w:w="979"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i/>
                <w:color w:val="000000"/>
                <w:sz w:val="16"/>
                <w:szCs w:val="16"/>
              </w:rPr>
            </w:pPr>
            <w:r w:rsidRPr="00370E70">
              <w:rPr>
                <w:rFonts w:cs="TimesNewRoman"/>
                <w:i/>
                <w:color w:val="000000"/>
                <w:sz w:val="16"/>
                <w:szCs w:val="16"/>
              </w:rPr>
              <w:t>32</w:t>
            </w:r>
          </w:p>
        </w:tc>
        <w:tc>
          <w:tcPr>
            <w:tcW w:w="2231" w:type="dxa"/>
            <w:tcBorders>
              <w:bottom w:val="single" w:sz="4" w:space="0" w:color="auto"/>
            </w:tcBorders>
            <w:shd w:val="clear" w:color="auto" w:fill="F3F3F3"/>
          </w:tcPr>
          <w:p w:rsidR="004470BE" w:rsidRPr="00370E70" w:rsidRDefault="004470BE" w:rsidP="00C925DE">
            <w:pPr>
              <w:autoSpaceDE w:val="0"/>
              <w:autoSpaceDN w:val="0"/>
              <w:adjustRightInd w:val="0"/>
              <w:spacing w:before="0" w:after="0"/>
              <w:rPr>
                <w:rFonts w:cs="TimesNewRoman"/>
                <w:i/>
                <w:color w:val="000000"/>
                <w:sz w:val="16"/>
                <w:szCs w:val="16"/>
              </w:rPr>
            </w:pPr>
            <w:r w:rsidRPr="00370E70">
              <w:rPr>
                <w:rFonts w:cs="TimesNewRoman"/>
                <w:i/>
                <w:color w:val="000000"/>
                <w:sz w:val="16"/>
                <w:szCs w:val="16"/>
              </w:rPr>
              <w:t>median</w:t>
            </w:r>
          </w:p>
        </w:tc>
        <w:tc>
          <w:tcPr>
            <w:tcW w:w="3000" w:type="dxa"/>
            <w:tcBorders>
              <w:bottom w:val="single" w:sz="4" w:space="0" w:color="auto"/>
            </w:tcBorders>
            <w:shd w:val="clear" w:color="auto" w:fill="F3F3F3"/>
          </w:tcPr>
          <w:p w:rsidR="004470BE" w:rsidRPr="00370E70" w:rsidRDefault="004470BE" w:rsidP="00A474B9">
            <w:pPr>
              <w:autoSpaceDE w:val="0"/>
              <w:autoSpaceDN w:val="0"/>
              <w:adjustRightInd w:val="0"/>
              <w:spacing w:before="0" w:after="0"/>
              <w:rPr>
                <w:rFonts w:cs="TimesNewRoman"/>
                <w:i/>
                <w:color w:val="000000"/>
                <w:sz w:val="16"/>
                <w:szCs w:val="16"/>
              </w:rPr>
            </w:pPr>
          </w:p>
        </w:tc>
      </w:tr>
      <w:tr w:rsidR="004470BE" w:rsidRPr="00370E70" w:rsidTr="00A474B9">
        <w:trPr>
          <w:jc w:val="center"/>
        </w:trPr>
        <w:tc>
          <w:tcPr>
            <w:tcW w:w="2124" w:type="dxa"/>
            <w:tcBorders>
              <w:top w:val="single" w:sz="4" w:space="0" w:color="auto"/>
              <w:bottom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Global</w:t>
            </w:r>
          </w:p>
        </w:tc>
        <w:tc>
          <w:tcPr>
            <w:tcW w:w="979" w:type="dxa"/>
            <w:tcBorders>
              <w:top w:val="single" w:sz="4" w:space="0" w:color="auto"/>
              <w:bottom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r w:rsidRPr="00370E70">
              <w:rPr>
                <w:rFonts w:cs="TimesNewRoman"/>
                <w:color w:val="000000"/>
                <w:sz w:val="16"/>
                <w:szCs w:val="16"/>
              </w:rPr>
              <w:t>33.6 ±0.31</w:t>
            </w:r>
          </w:p>
        </w:tc>
        <w:tc>
          <w:tcPr>
            <w:tcW w:w="2231" w:type="dxa"/>
            <w:tcBorders>
              <w:top w:val="single" w:sz="4" w:space="0" w:color="auto"/>
              <w:bottom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smartTag w:uri="urn:schemas-microsoft-com:office:smarttags" w:element="place">
              <w:smartTag w:uri="urn:schemas-microsoft-com:office:smarttags" w:element="City">
                <w:r w:rsidRPr="00370E70">
                  <w:rPr>
                    <w:rFonts w:cs="TimesNewRoman"/>
                    <w:color w:val="000000"/>
                    <w:sz w:val="16"/>
                    <w:szCs w:val="16"/>
                  </w:rPr>
                  <w:t>Duarte</w:t>
                </w:r>
              </w:smartTag>
            </w:smartTag>
            <w:r w:rsidRPr="00370E70">
              <w:rPr>
                <w:rFonts w:cs="TimesNewRoman"/>
                <w:color w:val="000000"/>
                <w:sz w:val="16"/>
                <w:szCs w:val="16"/>
              </w:rPr>
              <w:t xml:space="preserve"> 1990</w:t>
            </w:r>
          </w:p>
        </w:tc>
        <w:tc>
          <w:tcPr>
            <w:tcW w:w="3000" w:type="dxa"/>
            <w:tcBorders>
              <w:top w:val="single" w:sz="4" w:space="0" w:color="auto"/>
              <w:bottom w:val="single" w:sz="4" w:space="0" w:color="auto"/>
            </w:tcBorders>
          </w:tcPr>
          <w:p w:rsidR="004470BE" w:rsidRPr="00370E70" w:rsidRDefault="004470BE" w:rsidP="00A474B9">
            <w:pPr>
              <w:autoSpaceDE w:val="0"/>
              <w:autoSpaceDN w:val="0"/>
              <w:adjustRightInd w:val="0"/>
              <w:spacing w:before="0" w:after="0"/>
              <w:rPr>
                <w:rFonts w:cs="TimesNewRoman"/>
                <w:color w:val="000000"/>
                <w:sz w:val="16"/>
                <w:szCs w:val="16"/>
              </w:rPr>
            </w:pPr>
          </w:p>
        </w:tc>
      </w:tr>
    </w:tbl>
    <w:p w:rsidR="005132EF" w:rsidRDefault="005132EF" w:rsidP="008C585C">
      <w:pPr>
        <w:pStyle w:val="References"/>
        <w:ind w:left="540" w:hanging="540"/>
        <w:rPr>
          <w:rFonts w:cs="TimesNewRoman"/>
          <w:color w:val="000000"/>
          <w:sz w:val="16"/>
          <w:szCs w:val="16"/>
        </w:rPr>
      </w:pPr>
    </w:p>
    <w:p w:rsidR="003C440C" w:rsidRPr="00370E70" w:rsidRDefault="003C440C" w:rsidP="008C585C">
      <w:pPr>
        <w:pStyle w:val="References"/>
        <w:ind w:left="540" w:hanging="540"/>
        <w:rPr>
          <w:rFonts w:cs="TimesNewRoman"/>
          <w:color w:val="000000"/>
          <w:sz w:val="16"/>
          <w:szCs w:val="16"/>
        </w:rPr>
      </w:pPr>
    </w:p>
    <w:sectPr w:rsidR="003C440C" w:rsidRPr="00370E70" w:rsidSect="0010400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799F" w:rsidRDefault="0089799F">
      <w:r>
        <w:separator/>
      </w:r>
    </w:p>
  </w:endnote>
  <w:endnote w:type="continuationSeparator" w:id="0">
    <w:p w:rsidR="0089799F" w:rsidRDefault="008979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Optimum">
    <w:altName w:val="Times New Roman"/>
    <w:panose1 w:val="00000000000000000000"/>
    <w:charset w:val="00"/>
    <w:family w:val="auto"/>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Times">
    <w:panose1 w:val="02020603050405020304"/>
    <w:charset w:val="00"/>
    <w:family w:val="roman"/>
    <w:pitch w:val="variable"/>
    <w:sig w:usb0="E0002AFF"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MetaOT-Normal">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Helvetica">
    <w:panose1 w:val="020B0604020202030204"/>
    <w:charset w:val="00"/>
    <w:family w:val="swiss"/>
    <w:pitch w:val="variable"/>
    <w:sig w:usb0="00000007" w:usb1="00000000" w:usb2="00000000" w:usb3="00000000" w:csb0="00000093" w:csb1="00000000"/>
  </w:font>
  <w:font w:name="Wingdings 3">
    <w:panose1 w:val="05040102010807070707"/>
    <w:charset w:val="02"/>
    <w:family w:val="roman"/>
    <w:pitch w:val="variable"/>
    <w:sig w:usb0="00000000" w:usb1="10000000" w:usb2="00000000" w:usb3="00000000" w:csb0="80000000" w:csb1="00000000"/>
  </w:font>
  <w:font w:name="GaramondPremrPro">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B5FD6" w:rsidRDefault="005B5FD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B5FD6" w:rsidRDefault="005B5FD6" w:rsidP="00034AD4">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A14B8">
      <w:rPr>
        <w:rStyle w:val="PageNumber"/>
        <w:noProof/>
      </w:rPr>
      <w:t>iii</w:t>
    </w:r>
    <w:r>
      <w:rPr>
        <w:rStyle w:val="PageNumber"/>
      </w:rPr>
      <w:fldChar w:fldCharType="end"/>
    </w:r>
  </w:p>
  <w:p w:rsidR="005B5FD6" w:rsidRDefault="005B5FD6" w:rsidP="00034AD4">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rsidP="00034AD4">
    <w:pPr>
      <w:pStyle w:val="Footer"/>
      <w:jc w:val="center"/>
    </w:pPr>
    <w:r>
      <w:fldChar w:fldCharType="begin"/>
    </w:r>
    <w:r>
      <w:instrText xml:space="preserve"> PAGE   \* MERGEFORMAT </w:instrText>
    </w:r>
    <w:r>
      <w:fldChar w:fldCharType="separate"/>
    </w:r>
    <w:r w:rsidR="009A14B8">
      <w:rPr>
        <w:noProof/>
      </w:rPr>
      <w:t>19</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Default="005B5F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799F" w:rsidRDefault="0089799F">
      <w:r>
        <w:separator/>
      </w:r>
    </w:p>
  </w:footnote>
  <w:footnote w:type="continuationSeparator" w:id="0">
    <w:p w:rsidR="0089799F" w:rsidRDefault="0089799F">
      <w:r>
        <w:continuationSeparator/>
      </w:r>
    </w:p>
  </w:footnote>
  <w:footnote w:id="1">
    <w:p w:rsidR="005B5FD6" w:rsidRPr="00E454F0" w:rsidRDefault="005B5FD6">
      <w:pPr>
        <w:pStyle w:val="FootnoteText"/>
        <w:rPr>
          <w:rFonts w:ascii="Arial Narrow" w:hAnsi="Arial Narrow"/>
        </w:rPr>
      </w:pPr>
      <w:r>
        <w:rPr>
          <w:rStyle w:val="FootnoteReference"/>
        </w:rPr>
        <w:footnoteRef/>
      </w:r>
      <w:r>
        <w:t xml:space="preserve"> </w:t>
      </w:r>
      <w:r w:rsidRPr="00E454F0">
        <w:rPr>
          <w:rFonts w:ascii="Arial Narrow" w:hAnsi="Arial Narrow"/>
        </w:rPr>
        <w:t>The Fisheries Queensland (DAFF) contract was novated to James Cook University (JCU) on 17th December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Pr="001015C2" w:rsidRDefault="005B5FD6" w:rsidP="001015C2">
    <w:pPr>
      <w:pStyle w:val="Header"/>
      <w:tabs>
        <w:tab w:val="clear" w:pos="4153"/>
        <w:tab w:val="clear" w:pos="8306"/>
      </w:tabs>
      <w:spacing w:before="60" w:after="0"/>
      <w:jc w:val="center"/>
      <w:rPr>
        <w:rFonts w:eastAsia="Calibri" w:cs="Arial"/>
        <w:noProof/>
        <w:sz w:val="15"/>
        <w:szCs w:val="15"/>
        <w:lang w:eastAsia="en-AU"/>
      </w:rPr>
    </w:pPr>
    <w:r w:rsidRPr="001015C2">
      <w:rPr>
        <w:rFonts w:eastAsia="Calibri" w:cs="Arial"/>
        <w:noProof/>
        <w:sz w:val="15"/>
        <w:szCs w:val="15"/>
        <w:lang w:eastAsia="en-AU"/>
      </w:rPr>
      <w:t>Reef Rescue MMP Inshore Seagrass: ANNUAL REPORT (1st July 2011 – 31st June 2012)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Pr="001015C2" w:rsidRDefault="005B5FD6" w:rsidP="001015C2">
    <w:pPr>
      <w:pStyle w:val="Header"/>
      <w:tabs>
        <w:tab w:val="clear" w:pos="4153"/>
        <w:tab w:val="clear" w:pos="8306"/>
      </w:tabs>
      <w:spacing w:before="60" w:after="0"/>
      <w:jc w:val="center"/>
      <w:rPr>
        <w:rFonts w:eastAsia="Calibri" w:cs="Arial"/>
        <w:noProof/>
        <w:sz w:val="15"/>
        <w:szCs w:val="15"/>
        <w:lang w:eastAsia="en-AU"/>
      </w:rPr>
    </w:pPr>
    <w:r w:rsidRPr="001015C2">
      <w:rPr>
        <w:rFonts w:eastAsia="Calibri" w:cs="Arial"/>
        <w:noProof/>
        <w:sz w:val="15"/>
        <w:szCs w:val="15"/>
        <w:lang w:eastAsia="en-AU"/>
      </w:rPr>
      <w:t>Reef Rescue MMP Inshore Seagrass: ANNUAL REPORT (1st July 2011 – 31st June 2012)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FD6" w:rsidRPr="001015C2" w:rsidRDefault="005B5FD6" w:rsidP="001015C2">
    <w:pPr>
      <w:pStyle w:val="Header"/>
      <w:tabs>
        <w:tab w:val="clear" w:pos="4153"/>
        <w:tab w:val="clear" w:pos="8306"/>
      </w:tabs>
      <w:spacing w:before="60" w:after="0"/>
      <w:jc w:val="center"/>
      <w:rPr>
        <w:rFonts w:eastAsia="Calibri" w:cs="Arial"/>
        <w:noProof/>
        <w:sz w:val="15"/>
        <w:szCs w:val="15"/>
        <w:lang w:eastAsia="en-AU"/>
      </w:rPr>
    </w:pPr>
    <w:r w:rsidRPr="001015C2">
      <w:rPr>
        <w:rFonts w:eastAsia="Calibri" w:cs="Arial"/>
        <w:noProof/>
        <w:sz w:val="15"/>
        <w:szCs w:val="15"/>
        <w:lang w:eastAsia="en-AU"/>
      </w:rPr>
      <w:t>Reef Rescue MMP Inshore Seagrass: ANNUAL REPORT (1st July 2011 – 31st June 2012)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85AEC64"/>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3210D538"/>
    <w:lvl w:ilvl="0">
      <w:start w:val="1"/>
      <w:numFmt w:val="bullet"/>
      <w:lvlText w:val=""/>
      <w:lvlJc w:val="left"/>
      <w:pPr>
        <w:tabs>
          <w:tab w:val="num" w:pos="360"/>
        </w:tabs>
        <w:ind w:left="360" w:hanging="360"/>
      </w:pPr>
      <w:rPr>
        <w:rFonts w:ascii="Symbol" w:hAnsi="Symbol" w:hint="default"/>
      </w:rPr>
    </w:lvl>
  </w:abstractNum>
  <w:abstractNum w:abstractNumId="2">
    <w:nsid w:val="05D90AEF"/>
    <w:multiLevelType w:val="hybridMultilevel"/>
    <w:tmpl w:val="52F63A24"/>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067F5461"/>
    <w:multiLevelType w:val="hybridMultilevel"/>
    <w:tmpl w:val="BF0A6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8704D9"/>
    <w:multiLevelType w:val="multilevel"/>
    <w:tmpl w:val="72326D2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bullet"/>
      <w:lvlText w:val="o"/>
      <w:lvlJc w:val="left"/>
      <w:pPr>
        <w:tabs>
          <w:tab w:val="num" w:pos="1440"/>
        </w:tabs>
        <w:ind w:left="1440" w:hanging="360"/>
      </w:pPr>
      <w:rPr>
        <w:rFonts w:ascii="Courier New" w:hAnsi="Courier New"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nsid w:val="0C3D2A8E"/>
    <w:multiLevelType w:val="hybridMultilevel"/>
    <w:tmpl w:val="63C63D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D291F5F"/>
    <w:multiLevelType w:val="multilevel"/>
    <w:tmpl w:val="85D49D2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0DB47706"/>
    <w:multiLevelType w:val="multilevel"/>
    <w:tmpl w:val="0C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121E2C06"/>
    <w:multiLevelType w:val="hybridMultilevel"/>
    <w:tmpl w:val="BD307754"/>
    <w:lvl w:ilvl="0" w:tplc="9A343684">
      <w:start w:val="1"/>
      <w:numFmt w:val="lowerLetter"/>
      <w:lvlText w:val="%1."/>
      <w:lvlJc w:val="left"/>
      <w:pPr>
        <w:tabs>
          <w:tab w:val="num" w:pos="1086"/>
        </w:tabs>
        <w:ind w:left="1086" w:hanging="726"/>
      </w:pPr>
      <w:rPr>
        <w:rFonts w:cs="Times New Roman"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9">
    <w:nsid w:val="201B6C72"/>
    <w:multiLevelType w:val="multilevel"/>
    <w:tmpl w:val="A2BCA3B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27D12FD4"/>
    <w:multiLevelType w:val="hybridMultilevel"/>
    <w:tmpl w:val="0EC6299A"/>
    <w:lvl w:ilvl="0" w:tplc="819CAF04">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984560F"/>
    <w:multiLevelType w:val="hybridMultilevel"/>
    <w:tmpl w:val="951E3452"/>
    <w:lvl w:ilvl="0" w:tplc="0C090005">
      <w:start w:val="1"/>
      <w:numFmt w:val="bullet"/>
      <w:lvlText w:val=""/>
      <w:lvlJc w:val="left"/>
      <w:pPr>
        <w:tabs>
          <w:tab w:val="num" w:pos="720"/>
        </w:tabs>
        <w:ind w:left="720" w:hanging="360"/>
      </w:pPr>
      <w:rPr>
        <w:rFonts w:ascii="Wingdings" w:hAnsi="Wingdings"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2">
    <w:nsid w:val="36092D05"/>
    <w:multiLevelType w:val="multilevel"/>
    <w:tmpl w:val="A378B2C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41010496"/>
    <w:multiLevelType w:val="multilevel"/>
    <w:tmpl w:val="69C8AA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41B04018"/>
    <w:multiLevelType w:val="hybridMultilevel"/>
    <w:tmpl w:val="3BD6E0DA"/>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43A42A88"/>
    <w:multiLevelType w:val="hybridMultilevel"/>
    <w:tmpl w:val="60C6285E"/>
    <w:lvl w:ilvl="0" w:tplc="9C82B168">
      <w:start w:val="1"/>
      <w:numFmt w:val="bullet"/>
      <w:lvlText w:val=""/>
      <w:lvlJc w:val="left"/>
      <w:pPr>
        <w:tabs>
          <w:tab w:val="num" w:pos="360"/>
        </w:tabs>
        <w:ind w:left="360" w:hanging="360"/>
      </w:pPr>
      <w:rPr>
        <w:rFonts w:ascii="Wingdings 2" w:hAnsi="Wingdings 2" w:hint="default"/>
        <w:color w:val="808080"/>
        <w:sz w:val="20"/>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6">
    <w:nsid w:val="462C3626"/>
    <w:multiLevelType w:val="hybridMultilevel"/>
    <w:tmpl w:val="3B86D228"/>
    <w:lvl w:ilvl="0" w:tplc="6078390C">
      <w:start w:val="1"/>
      <w:numFmt w:val="bullet"/>
      <w:lvlText w:val=""/>
      <w:lvlJc w:val="left"/>
      <w:pPr>
        <w:tabs>
          <w:tab w:val="num" w:pos="360"/>
        </w:tabs>
        <w:ind w:left="360"/>
      </w:pPr>
      <w:rPr>
        <w:rFonts w:ascii="Symbol" w:hAnsi="Symbol" w:hint="default"/>
        <w:sz w:val="1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CE8372C"/>
    <w:multiLevelType w:val="hybridMultilevel"/>
    <w:tmpl w:val="4CEC4BF8"/>
    <w:lvl w:ilvl="0" w:tplc="0C090005">
      <w:start w:val="1"/>
      <w:numFmt w:val="bullet"/>
      <w:lvlText w:val=""/>
      <w:lvlJc w:val="left"/>
      <w:pPr>
        <w:tabs>
          <w:tab w:val="num" w:pos="360"/>
        </w:tabs>
        <w:ind w:left="360" w:hanging="360"/>
      </w:pPr>
      <w:rPr>
        <w:rFonts w:ascii="Wingdings" w:hAnsi="Wingdings" w:hint="default"/>
      </w:rPr>
    </w:lvl>
    <w:lvl w:ilvl="1" w:tplc="0C090003">
      <w:start w:val="1"/>
      <w:numFmt w:val="bullet"/>
      <w:lvlText w:val="o"/>
      <w:lvlJc w:val="left"/>
      <w:pPr>
        <w:tabs>
          <w:tab w:val="num" w:pos="1080"/>
        </w:tabs>
        <w:ind w:left="1080" w:hanging="360"/>
      </w:pPr>
      <w:rPr>
        <w:rFonts w:ascii="Courier New" w:hAnsi="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8">
    <w:nsid w:val="4E7B0FD5"/>
    <w:multiLevelType w:val="hybridMultilevel"/>
    <w:tmpl w:val="8E840298"/>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4F13597A"/>
    <w:multiLevelType w:val="multilevel"/>
    <w:tmpl w:val="C87825B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5056381C"/>
    <w:multiLevelType w:val="hybridMultilevel"/>
    <w:tmpl w:val="21C83AE0"/>
    <w:lvl w:ilvl="0" w:tplc="04090015">
      <w:start w:val="1"/>
      <w:numFmt w:val="upperLetter"/>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513C399E"/>
    <w:multiLevelType w:val="hybridMultilevel"/>
    <w:tmpl w:val="CE9E279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51AE5226"/>
    <w:multiLevelType w:val="hybridMultilevel"/>
    <w:tmpl w:val="A442F9B4"/>
    <w:lvl w:ilvl="0" w:tplc="0409000F">
      <w:start w:val="1"/>
      <w:numFmt w:val="decimal"/>
      <w:lvlText w:val="%1."/>
      <w:lvlJc w:val="left"/>
      <w:pPr>
        <w:tabs>
          <w:tab w:val="num" w:pos="360"/>
        </w:tabs>
        <w:ind w:left="360" w:hanging="360"/>
      </w:pPr>
      <w:rPr>
        <w:rFonts w:cs="Times New Roman" w:hint="default"/>
      </w:rPr>
    </w:lvl>
    <w:lvl w:ilvl="1" w:tplc="0C090003">
      <w:start w:val="1"/>
      <w:numFmt w:val="bullet"/>
      <w:lvlText w:val="o"/>
      <w:lvlJc w:val="left"/>
      <w:pPr>
        <w:tabs>
          <w:tab w:val="num" w:pos="1080"/>
        </w:tabs>
        <w:ind w:left="1080" w:hanging="360"/>
      </w:pPr>
      <w:rPr>
        <w:rFonts w:ascii="Courier New" w:hAnsi="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3">
    <w:nsid w:val="5A6065AD"/>
    <w:multiLevelType w:val="hybridMultilevel"/>
    <w:tmpl w:val="E3827D6C"/>
    <w:lvl w:ilvl="0" w:tplc="0409000F">
      <w:start w:val="1"/>
      <w:numFmt w:val="decimal"/>
      <w:lvlText w:val="%1."/>
      <w:lvlJc w:val="left"/>
      <w:pPr>
        <w:tabs>
          <w:tab w:val="num" w:pos="720"/>
        </w:tabs>
        <w:ind w:left="720" w:hanging="360"/>
      </w:pPr>
      <w:rPr>
        <w:rFonts w:cs="Times New Roman"/>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4">
    <w:nsid w:val="5A8206D9"/>
    <w:multiLevelType w:val="hybridMultilevel"/>
    <w:tmpl w:val="0E7606A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6">
    <w:nsid w:val="6065607A"/>
    <w:multiLevelType w:val="hybridMultilevel"/>
    <w:tmpl w:val="DF100640"/>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7">
    <w:nsid w:val="660C3585"/>
    <w:multiLevelType w:val="hybridMultilevel"/>
    <w:tmpl w:val="DBDC2832"/>
    <w:lvl w:ilvl="0" w:tplc="56009710">
      <w:start w:val="1"/>
      <w:numFmt w:val="bullet"/>
      <w:pStyle w:val="TableDotPoint"/>
      <w:lvlText w:val=""/>
      <w:lvlJc w:val="left"/>
      <w:pPr>
        <w:tabs>
          <w:tab w:val="num" w:pos="754"/>
        </w:tabs>
        <w:ind w:left="754" w:hanging="360"/>
      </w:pPr>
      <w:rPr>
        <w:rFonts w:ascii="Wingdings" w:hAnsi="Wingdings" w:hint="default"/>
      </w:rPr>
    </w:lvl>
    <w:lvl w:ilvl="1" w:tplc="DBFAB3E8">
      <w:start w:val="1"/>
      <w:numFmt w:val="bullet"/>
      <w:lvlText w:val=""/>
      <w:lvlJc w:val="left"/>
      <w:pPr>
        <w:tabs>
          <w:tab w:val="num" w:pos="1474"/>
        </w:tabs>
        <w:ind w:left="1474" w:hanging="360"/>
      </w:pPr>
      <w:rPr>
        <w:rFonts w:ascii="Wingdings" w:hAnsi="Wingdings" w:hint="default"/>
      </w:rPr>
    </w:lvl>
    <w:lvl w:ilvl="2" w:tplc="0C090005" w:tentative="1">
      <w:start w:val="1"/>
      <w:numFmt w:val="bullet"/>
      <w:lvlText w:val=""/>
      <w:lvlJc w:val="left"/>
      <w:pPr>
        <w:tabs>
          <w:tab w:val="num" w:pos="2194"/>
        </w:tabs>
        <w:ind w:left="2194" w:hanging="360"/>
      </w:pPr>
      <w:rPr>
        <w:rFonts w:ascii="Wingdings" w:hAnsi="Wingdings" w:hint="default"/>
      </w:rPr>
    </w:lvl>
    <w:lvl w:ilvl="3" w:tplc="0C090001" w:tentative="1">
      <w:start w:val="1"/>
      <w:numFmt w:val="bullet"/>
      <w:lvlText w:val=""/>
      <w:lvlJc w:val="left"/>
      <w:pPr>
        <w:tabs>
          <w:tab w:val="num" w:pos="2914"/>
        </w:tabs>
        <w:ind w:left="2914" w:hanging="360"/>
      </w:pPr>
      <w:rPr>
        <w:rFonts w:ascii="Symbol" w:hAnsi="Symbol" w:hint="default"/>
      </w:rPr>
    </w:lvl>
    <w:lvl w:ilvl="4" w:tplc="0C090003" w:tentative="1">
      <w:start w:val="1"/>
      <w:numFmt w:val="bullet"/>
      <w:lvlText w:val="o"/>
      <w:lvlJc w:val="left"/>
      <w:pPr>
        <w:tabs>
          <w:tab w:val="num" w:pos="3634"/>
        </w:tabs>
        <w:ind w:left="3634" w:hanging="360"/>
      </w:pPr>
      <w:rPr>
        <w:rFonts w:ascii="Courier New" w:hAnsi="Courier New" w:hint="default"/>
      </w:rPr>
    </w:lvl>
    <w:lvl w:ilvl="5" w:tplc="0C090005" w:tentative="1">
      <w:start w:val="1"/>
      <w:numFmt w:val="bullet"/>
      <w:lvlText w:val=""/>
      <w:lvlJc w:val="left"/>
      <w:pPr>
        <w:tabs>
          <w:tab w:val="num" w:pos="4354"/>
        </w:tabs>
        <w:ind w:left="4354" w:hanging="360"/>
      </w:pPr>
      <w:rPr>
        <w:rFonts w:ascii="Wingdings" w:hAnsi="Wingdings" w:hint="default"/>
      </w:rPr>
    </w:lvl>
    <w:lvl w:ilvl="6" w:tplc="0C090001" w:tentative="1">
      <w:start w:val="1"/>
      <w:numFmt w:val="bullet"/>
      <w:lvlText w:val=""/>
      <w:lvlJc w:val="left"/>
      <w:pPr>
        <w:tabs>
          <w:tab w:val="num" w:pos="5074"/>
        </w:tabs>
        <w:ind w:left="5074" w:hanging="360"/>
      </w:pPr>
      <w:rPr>
        <w:rFonts w:ascii="Symbol" w:hAnsi="Symbol" w:hint="default"/>
      </w:rPr>
    </w:lvl>
    <w:lvl w:ilvl="7" w:tplc="0C090003" w:tentative="1">
      <w:start w:val="1"/>
      <w:numFmt w:val="bullet"/>
      <w:lvlText w:val="o"/>
      <w:lvlJc w:val="left"/>
      <w:pPr>
        <w:tabs>
          <w:tab w:val="num" w:pos="5794"/>
        </w:tabs>
        <w:ind w:left="5794" w:hanging="360"/>
      </w:pPr>
      <w:rPr>
        <w:rFonts w:ascii="Courier New" w:hAnsi="Courier New" w:hint="default"/>
      </w:rPr>
    </w:lvl>
    <w:lvl w:ilvl="8" w:tplc="0C090005" w:tentative="1">
      <w:start w:val="1"/>
      <w:numFmt w:val="bullet"/>
      <w:lvlText w:val=""/>
      <w:lvlJc w:val="left"/>
      <w:pPr>
        <w:tabs>
          <w:tab w:val="num" w:pos="6514"/>
        </w:tabs>
        <w:ind w:left="6514" w:hanging="360"/>
      </w:pPr>
      <w:rPr>
        <w:rFonts w:ascii="Wingdings" w:hAnsi="Wingdings" w:hint="default"/>
      </w:rPr>
    </w:lvl>
  </w:abstractNum>
  <w:abstractNum w:abstractNumId="28">
    <w:nsid w:val="67211837"/>
    <w:multiLevelType w:val="multilevel"/>
    <w:tmpl w:val="9C74A2FA"/>
    <w:lvl w:ilvl="0">
      <w:start w:val="1"/>
      <w:numFmt w:val="decimal"/>
      <w:pStyle w:val="Agendaitemheader"/>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nsid w:val="68944C68"/>
    <w:multiLevelType w:val="hybridMultilevel"/>
    <w:tmpl w:val="B1DA7972"/>
    <w:lvl w:ilvl="0" w:tplc="0409000F">
      <w:start w:val="1"/>
      <w:numFmt w:val="decimal"/>
      <w:lvlText w:val="%1."/>
      <w:lvlJc w:val="left"/>
      <w:pPr>
        <w:tabs>
          <w:tab w:val="num" w:pos="360"/>
        </w:tabs>
        <w:ind w:left="360" w:hanging="360"/>
      </w:pPr>
      <w:rPr>
        <w:rFonts w:cs="Times New Roman"/>
      </w:rPr>
    </w:lvl>
    <w:lvl w:ilvl="1" w:tplc="FFFFFFFF">
      <w:start w:val="7"/>
      <w:numFmt w:val="bullet"/>
      <w:lvlText w:val=""/>
      <w:lvlJc w:val="left"/>
      <w:pPr>
        <w:tabs>
          <w:tab w:val="num" w:pos="1117"/>
        </w:tabs>
        <w:ind w:left="1117" w:hanging="397"/>
      </w:pPr>
      <w:rPr>
        <w:rFonts w:ascii="Wingdings" w:eastAsia="Times New Roman" w:hAnsi="Wingdings" w:hint="default"/>
      </w:rPr>
    </w:lvl>
    <w:lvl w:ilvl="2" w:tplc="F89622B4">
      <w:numFmt w:val="bullet"/>
      <w:lvlText w:val="–"/>
      <w:lvlJc w:val="left"/>
      <w:pPr>
        <w:tabs>
          <w:tab w:val="num" w:pos="1980"/>
        </w:tabs>
        <w:ind w:left="1980" w:hanging="360"/>
      </w:pPr>
      <w:rPr>
        <w:rFonts w:ascii="Times New Roman" w:eastAsia="Times New Roman" w:hAnsi="Times New Roman" w:hint="default"/>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0">
    <w:nsid w:val="75F46721"/>
    <w:multiLevelType w:val="multilevel"/>
    <w:tmpl w:val="59DCBDDA"/>
    <w:styleLink w:val="StyleNumbered"/>
    <w:lvl w:ilvl="0">
      <w:start w:val="1"/>
      <w:numFmt w:val="decimal"/>
      <w:lvlText w:val="%1."/>
      <w:lvlJc w:val="left"/>
      <w:pPr>
        <w:tabs>
          <w:tab w:val="num" w:pos="720"/>
        </w:tabs>
        <w:ind w:left="720" w:hanging="360"/>
      </w:pPr>
      <w:rPr>
        <w:rFonts w:ascii="Arial" w:hAnsi="Arial"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1">
    <w:nsid w:val="7A9503F2"/>
    <w:multiLevelType w:val="multilevel"/>
    <w:tmpl w:val="69C8AA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7B2C1A78"/>
    <w:multiLevelType w:val="multilevel"/>
    <w:tmpl w:val="57445E9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bullet"/>
      <w:lvlText w:val="o"/>
      <w:lvlJc w:val="left"/>
      <w:pPr>
        <w:tabs>
          <w:tab w:val="num" w:pos="1440"/>
        </w:tabs>
        <w:ind w:left="1440" w:hanging="360"/>
      </w:pPr>
      <w:rPr>
        <w:rFonts w:ascii="Courier New" w:hAnsi="Courier New" w:hint="default"/>
      </w:rPr>
    </w:lvl>
    <w:lvl w:ilvl="4">
      <w:start w:val="1"/>
      <w:numFmt w:val="bullet"/>
      <w:lvlText w:val="o"/>
      <w:lvlJc w:val="left"/>
      <w:pPr>
        <w:tabs>
          <w:tab w:val="num" w:pos="1800"/>
        </w:tabs>
        <w:ind w:left="1800" w:hanging="360"/>
      </w:pPr>
      <w:rPr>
        <w:rFonts w:ascii="Courier New" w:hAnsi="Courier New" w:hint="default"/>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nsid w:val="7D904E62"/>
    <w:multiLevelType w:val="multilevel"/>
    <w:tmpl w:val="0C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nsid w:val="7E9147E4"/>
    <w:multiLevelType w:val="hybridMultilevel"/>
    <w:tmpl w:val="51D6E8E4"/>
    <w:lvl w:ilvl="0" w:tplc="0C090019">
      <w:start w:val="1"/>
      <w:numFmt w:val="lowerLetter"/>
      <w:lvlText w:val="%1."/>
      <w:lvlJc w:val="left"/>
      <w:pPr>
        <w:tabs>
          <w:tab w:val="num" w:pos="720"/>
        </w:tabs>
        <w:ind w:left="720" w:hanging="360"/>
      </w:pPr>
      <w:rPr>
        <w:rFonts w:cs="Times New Roman"/>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34"/>
  </w:num>
  <w:num w:numId="12">
    <w:abstractNumId w:val="8"/>
  </w:num>
  <w:num w:numId="13">
    <w:abstractNumId w:val="14"/>
  </w:num>
  <w:num w:numId="14">
    <w:abstractNumId w:val="10"/>
  </w:num>
  <w:num w:numId="15">
    <w:abstractNumId w:val="1"/>
  </w:num>
  <w:num w:numId="16">
    <w:abstractNumId w:val="28"/>
  </w:num>
  <w:num w:numId="17">
    <w:abstractNumId w:val="30"/>
  </w:num>
  <w:num w:numId="18">
    <w:abstractNumId w:val="27"/>
  </w:num>
  <w:num w:numId="19">
    <w:abstractNumId w:val="20"/>
  </w:num>
  <w:num w:numId="20">
    <w:abstractNumId w:val="9"/>
  </w:num>
  <w:num w:numId="21">
    <w:abstractNumId w:val="5"/>
  </w:num>
  <w:num w:numId="22">
    <w:abstractNumId w:val="31"/>
  </w:num>
  <w:num w:numId="23">
    <w:abstractNumId w:val="13"/>
  </w:num>
  <w:num w:numId="24">
    <w:abstractNumId w:val="4"/>
  </w:num>
  <w:num w:numId="25">
    <w:abstractNumId w:val="32"/>
  </w:num>
  <w:num w:numId="26">
    <w:abstractNumId w:val="12"/>
  </w:num>
  <w:num w:numId="27">
    <w:abstractNumId w:val="29"/>
  </w:num>
  <w:num w:numId="28">
    <w:abstractNumId w:val="17"/>
  </w:num>
  <w:num w:numId="29">
    <w:abstractNumId w:val="22"/>
  </w:num>
  <w:num w:numId="30">
    <w:abstractNumId w:val="6"/>
  </w:num>
  <w:num w:numId="31">
    <w:abstractNumId w:val="19"/>
  </w:num>
  <w:num w:numId="32">
    <w:abstractNumId w:val="26"/>
  </w:num>
  <w:num w:numId="33">
    <w:abstractNumId w:val="2"/>
  </w:num>
  <w:num w:numId="34">
    <w:abstractNumId w:val="15"/>
  </w:num>
  <w:num w:numId="35">
    <w:abstractNumId w:val="25"/>
  </w:num>
  <w:num w:numId="36">
    <w:abstractNumId w:val="24"/>
  </w:num>
  <w:num w:numId="37">
    <w:abstractNumId w:val="18"/>
  </w:num>
  <w:num w:numId="38">
    <w:abstractNumId w:val="21"/>
  </w:num>
  <w:num w:numId="39">
    <w:abstractNumId w:val="11"/>
  </w:num>
  <w:num w:numId="40">
    <w:abstractNumId w:val="16"/>
  </w:num>
  <w:num w:numId="41">
    <w:abstractNumId w:val="23"/>
  </w:num>
  <w:num w:numId="42">
    <w:abstractNumId w:val="7"/>
  </w:num>
  <w:num w:numId="43">
    <w:abstractNumId w:val="3"/>
  </w:num>
  <w:num w:numId="44">
    <w:abstractNumId w:val="3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activeWritingStyle w:appName="MSWord" w:lang="en-AU" w:vendorID="64" w:dllVersion="131078" w:nlCheck="1" w:checkStyle="1"/>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GBRMP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ve55x9y5vfd6e9dacxtew4eatve2dzds9a&quot;&gt;Len&amp;apos;s library&lt;record-ids&gt;&lt;item&gt;64&lt;/item&gt;&lt;item&gt;116&lt;/item&gt;&lt;item&gt;126&lt;/item&gt;&lt;item&gt;128&lt;/item&gt;&lt;item&gt;129&lt;/item&gt;&lt;item&gt;177&lt;/item&gt;&lt;item&gt;208&lt;/item&gt;&lt;item&gt;228&lt;/item&gt;&lt;item&gt;304&lt;/item&gt;&lt;item&gt;305&lt;/item&gt;&lt;item&gt;629&lt;/item&gt;&lt;item&gt;682&lt;/item&gt;&lt;item&gt;731&lt;/item&gt;&lt;item&gt;911&lt;/item&gt;&lt;item&gt;924&lt;/item&gt;&lt;item&gt;950&lt;/item&gt;&lt;item&gt;1074&lt;/item&gt;&lt;item&gt;1247&lt;/item&gt;&lt;item&gt;1303&lt;/item&gt;&lt;item&gt;1343&lt;/item&gt;&lt;item&gt;1346&lt;/item&gt;&lt;item&gt;1388&lt;/item&gt;&lt;item&gt;1549&lt;/item&gt;&lt;item&gt;1687&lt;/item&gt;&lt;item&gt;1708&lt;/item&gt;&lt;item&gt;1954&lt;/item&gt;&lt;item&gt;2371&lt;/item&gt;&lt;item&gt;2570&lt;/item&gt;&lt;item&gt;2582&lt;/item&gt;&lt;item&gt;2607&lt;/item&gt;&lt;item&gt;2838&lt;/item&gt;&lt;item&gt;2895&lt;/item&gt;&lt;item&gt;2896&lt;/item&gt;&lt;item&gt;3730&lt;/item&gt;&lt;item&gt;3739&lt;/item&gt;&lt;item&gt;3782&lt;/item&gt;&lt;item&gt;5408&lt;/item&gt;&lt;item&gt;5442&lt;/item&gt;&lt;item&gt;5454&lt;/item&gt;&lt;item&gt;5476&lt;/item&gt;&lt;item&gt;5782&lt;/item&gt;&lt;item&gt;6283&lt;/item&gt;&lt;item&gt;6292&lt;/item&gt;&lt;item&gt;6844&lt;/item&gt;&lt;item&gt;6932&lt;/item&gt;&lt;item&gt;6992&lt;/item&gt;&lt;item&gt;7010&lt;/item&gt;&lt;item&gt;7086&lt;/item&gt;&lt;item&gt;7285&lt;/item&gt;&lt;item&gt;7291&lt;/item&gt;&lt;item&gt;7326&lt;/item&gt;&lt;item&gt;7340&lt;/item&gt;&lt;item&gt;7350&lt;/item&gt;&lt;item&gt;7364&lt;/item&gt;&lt;item&gt;7405&lt;/item&gt;&lt;item&gt;7418&lt;/item&gt;&lt;item&gt;7422&lt;/item&gt;&lt;item&gt;7423&lt;/item&gt;&lt;item&gt;7450&lt;/item&gt;&lt;item&gt;7503&lt;/item&gt;&lt;item&gt;7505&lt;/item&gt;&lt;item&gt;7774&lt;/item&gt;&lt;item&gt;7787&lt;/item&gt;&lt;item&gt;7826&lt;/item&gt;&lt;item&gt;7829&lt;/item&gt;&lt;item&gt;7831&lt;/item&gt;&lt;item&gt;7855&lt;/item&gt;&lt;item&gt;7891&lt;/item&gt;&lt;item&gt;7894&lt;/item&gt;&lt;item&gt;8021&lt;/item&gt;&lt;item&gt;8024&lt;/item&gt;&lt;item&gt;8035&lt;/item&gt;&lt;item&gt;8096&lt;/item&gt;&lt;item&gt;8103&lt;/item&gt;&lt;item&gt;8489&lt;/item&gt;&lt;item&gt;8530&lt;/item&gt;&lt;item&gt;8887&lt;/item&gt;&lt;item&gt;9043&lt;/item&gt;&lt;item&gt;9070&lt;/item&gt;&lt;item&gt;9074&lt;/item&gt;&lt;item&gt;9077&lt;/item&gt;&lt;item&gt;9133&lt;/item&gt;&lt;item&gt;9135&lt;/item&gt;&lt;item&gt;9140&lt;/item&gt;&lt;item&gt;9142&lt;/item&gt;&lt;item&gt;9145&lt;/item&gt;&lt;item&gt;9156&lt;/item&gt;&lt;item&gt;9163&lt;/item&gt;&lt;item&gt;9168&lt;/item&gt;&lt;item&gt;9265&lt;/item&gt;&lt;item&gt;9279&lt;/item&gt;&lt;item&gt;9285&lt;/item&gt;&lt;item&gt;9287&lt;/item&gt;&lt;item&gt;9288&lt;/item&gt;&lt;item&gt;9294&lt;/item&gt;&lt;item&gt;9304&lt;/item&gt;&lt;item&gt;9308&lt;/item&gt;&lt;item&gt;9309&lt;/item&gt;&lt;item&gt;9319&lt;/item&gt;&lt;item&gt;9326&lt;/item&gt;&lt;item&gt;9341&lt;/item&gt;&lt;item&gt;9344&lt;/item&gt;&lt;item&gt;9367&lt;/item&gt;&lt;item&gt;9435&lt;/item&gt;&lt;item&gt;9456&lt;/item&gt;&lt;item&gt;9478&lt;/item&gt;&lt;item&gt;9486&lt;/item&gt;&lt;item&gt;9489&lt;/item&gt;&lt;item&gt;9490&lt;/item&gt;&lt;item&gt;9491&lt;/item&gt;&lt;item&gt;9492&lt;/item&gt;&lt;item&gt;9493&lt;/item&gt;&lt;item&gt;9494&lt;/item&gt;&lt;item&gt;9495&lt;/item&gt;&lt;item&gt;9496&lt;/item&gt;&lt;item&gt;9497&lt;/item&gt;&lt;item&gt;9502&lt;/item&gt;&lt;item&gt;9605&lt;/item&gt;&lt;item&gt;9606&lt;/item&gt;&lt;item&gt;9609&lt;/item&gt;&lt;item&gt;9645&lt;/item&gt;&lt;item&gt;9646&lt;/item&gt;&lt;item&gt;9672&lt;/item&gt;&lt;item&gt;9675&lt;/item&gt;&lt;item&gt;9676&lt;/item&gt;&lt;item&gt;9677&lt;/item&gt;&lt;item&gt;9678&lt;/item&gt;&lt;item&gt;9679&lt;/item&gt;&lt;item&gt;9680&lt;/item&gt;&lt;item&gt;9682&lt;/item&gt;&lt;item&gt;9683&lt;/item&gt;&lt;item&gt;9684&lt;/item&gt;&lt;item&gt;9691&lt;/item&gt;&lt;item&gt;9692&lt;/item&gt;&lt;item&gt;9704&lt;/item&gt;&lt;item&gt;9707&lt;/item&gt;&lt;item&gt;9713&lt;/item&gt;&lt;item&gt;9717&lt;/item&gt;&lt;item&gt;9730&lt;/item&gt;&lt;item&gt;9731&lt;/item&gt;&lt;item&gt;9732&lt;/item&gt;&lt;item&gt;9733&lt;/item&gt;&lt;item&gt;9734&lt;/item&gt;&lt;item&gt;9735&lt;/item&gt;&lt;item&gt;9736&lt;/item&gt;&lt;item&gt;9737&lt;/item&gt;&lt;item&gt;9738&lt;/item&gt;&lt;item&gt;9739&lt;/item&gt;&lt;item&gt;9740&lt;/item&gt;&lt;item&gt;9741&lt;/item&gt;&lt;item&gt;9742&lt;/item&gt;&lt;item&gt;9743&lt;/item&gt;&lt;item&gt;9744&lt;/item&gt;&lt;item&gt;9745&lt;/item&gt;&lt;item&gt;9746&lt;/item&gt;&lt;item&gt;9747&lt;/item&gt;&lt;item&gt;9748&lt;/item&gt;&lt;item&gt;9749&lt;/item&gt;&lt;item&gt;9750&lt;/item&gt;&lt;item&gt;9751&lt;/item&gt;&lt;item&gt;9752&lt;/item&gt;&lt;item&gt;9753&lt;/item&gt;&lt;item&gt;9754&lt;/item&gt;&lt;item&gt;9755&lt;/item&gt;&lt;item&gt;9756&lt;/item&gt;&lt;item&gt;9758&lt;/item&gt;&lt;item&gt;9759&lt;/item&gt;&lt;item&gt;9760&lt;/item&gt;&lt;item&gt;9761&lt;/item&gt;&lt;item&gt;9762&lt;/item&gt;&lt;item&gt;9763&lt;/item&gt;&lt;item&gt;9764&lt;/item&gt;&lt;item&gt;9765&lt;/item&gt;&lt;item&gt;9766&lt;/item&gt;&lt;item&gt;9767&lt;/item&gt;&lt;item&gt;9768&lt;/item&gt;&lt;item&gt;9769&lt;/item&gt;&lt;item&gt;9770&lt;/item&gt;&lt;item&gt;9771&lt;/item&gt;&lt;item&gt;9772&lt;/item&gt;&lt;item&gt;9773&lt;/item&gt;&lt;item&gt;9774&lt;/item&gt;&lt;item&gt;9775&lt;/item&gt;&lt;item&gt;9776&lt;/item&gt;&lt;item&gt;9777&lt;/item&gt;&lt;item&gt;9780&lt;/item&gt;&lt;item&gt;9785&lt;/item&gt;&lt;item&gt;9788&lt;/item&gt;&lt;item&gt;9789&lt;/item&gt;&lt;item&gt;9790&lt;/item&gt;&lt;item&gt;9791&lt;/item&gt;&lt;item&gt;9792&lt;/item&gt;&lt;item&gt;9797&lt;/item&gt;&lt;item&gt;9798&lt;/item&gt;&lt;/record-ids&gt;&lt;/item&gt;&lt;/Libraries&gt;"/>
  </w:docVars>
  <w:rsids>
    <w:rsidRoot w:val="003469AB"/>
    <w:rsid w:val="00001A9C"/>
    <w:rsid w:val="00001AA5"/>
    <w:rsid w:val="00002C32"/>
    <w:rsid w:val="000038BE"/>
    <w:rsid w:val="00004179"/>
    <w:rsid w:val="0001103A"/>
    <w:rsid w:val="0001105C"/>
    <w:rsid w:val="000135E4"/>
    <w:rsid w:val="00016FBB"/>
    <w:rsid w:val="00020F54"/>
    <w:rsid w:val="00021921"/>
    <w:rsid w:val="00021B77"/>
    <w:rsid w:val="0002225C"/>
    <w:rsid w:val="00022E06"/>
    <w:rsid w:val="00023460"/>
    <w:rsid w:val="00023A10"/>
    <w:rsid w:val="000242FC"/>
    <w:rsid w:val="000244AA"/>
    <w:rsid w:val="00024827"/>
    <w:rsid w:val="00024C3F"/>
    <w:rsid w:val="00024E68"/>
    <w:rsid w:val="00025BD5"/>
    <w:rsid w:val="000266AE"/>
    <w:rsid w:val="00027B67"/>
    <w:rsid w:val="00027E9F"/>
    <w:rsid w:val="000316DC"/>
    <w:rsid w:val="00032EAE"/>
    <w:rsid w:val="000334E5"/>
    <w:rsid w:val="00034308"/>
    <w:rsid w:val="00034AD4"/>
    <w:rsid w:val="00034D68"/>
    <w:rsid w:val="00037AA5"/>
    <w:rsid w:val="00037B97"/>
    <w:rsid w:val="00043759"/>
    <w:rsid w:val="00043A4D"/>
    <w:rsid w:val="000444DF"/>
    <w:rsid w:val="00044EF7"/>
    <w:rsid w:val="00044F7A"/>
    <w:rsid w:val="00045E99"/>
    <w:rsid w:val="00046227"/>
    <w:rsid w:val="00046CED"/>
    <w:rsid w:val="0005092C"/>
    <w:rsid w:val="00050A32"/>
    <w:rsid w:val="00051DA9"/>
    <w:rsid w:val="00051EA3"/>
    <w:rsid w:val="00052179"/>
    <w:rsid w:val="000535CA"/>
    <w:rsid w:val="00053C3F"/>
    <w:rsid w:val="00053E4A"/>
    <w:rsid w:val="00053E52"/>
    <w:rsid w:val="00055AA3"/>
    <w:rsid w:val="000566E7"/>
    <w:rsid w:val="00056F86"/>
    <w:rsid w:val="00057677"/>
    <w:rsid w:val="00057E27"/>
    <w:rsid w:val="000606C2"/>
    <w:rsid w:val="00061307"/>
    <w:rsid w:val="000621A1"/>
    <w:rsid w:val="00063983"/>
    <w:rsid w:val="00064A56"/>
    <w:rsid w:val="0006575E"/>
    <w:rsid w:val="00067B5B"/>
    <w:rsid w:val="000709C8"/>
    <w:rsid w:val="000710E0"/>
    <w:rsid w:val="0007231A"/>
    <w:rsid w:val="0007311D"/>
    <w:rsid w:val="00073388"/>
    <w:rsid w:val="00075403"/>
    <w:rsid w:val="00075E7C"/>
    <w:rsid w:val="0007662C"/>
    <w:rsid w:val="000807DF"/>
    <w:rsid w:val="00081015"/>
    <w:rsid w:val="00082564"/>
    <w:rsid w:val="00083619"/>
    <w:rsid w:val="000847DD"/>
    <w:rsid w:val="00085EB2"/>
    <w:rsid w:val="000860E4"/>
    <w:rsid w:val="000860F7"/>
    <w:rsid w:val="00086345"/>
    <w:rsid w:val="00091849"/>
    <w:rsid w:val="00091C37"/>
    <w:rsid w:val="00093927"/>
    <w:rsid w:val="00096ED1"/>
    <w:rsid w:val="000A0B57"/>
    <w:rsid w:val="000A10A4"/>
    <w:rsid w:val="000A43B3"/>
    <w:rsid w:val="000A57DC"/>
    <w:rsid w:val="000A7748"/>
    <w:rsid w:val="000B0E9F"/>
    <w:rsid w:val="000B127D"/>
    <w:rsid w:val="000B21EC"/>
    <w:rsid w:val="000B272F"/>
    <w:rsid w:val="000B437F"/>
    <w:rsid w:val="000C0A3D"/>
    <w:rsid w:val="000C2604"/>
    <w:rsid w:val="000C6754"/>
    <w:rsid w:val="000C6CC2"/>
    <w:rsid w:val="000C6E6E"/>
    <w:rsid w:val="000C715C"/>
    <w:rsid w:val="000C7426"/>
    <w:rsid w:val="000D008E"/>
    <w:rsid w:val="000D39B0"/>
    <w:rsid w:val="000D4E21"/>
    <w:rsid w:val="000E04B5"/>
    <w:rsid w:val="000E09D9"/>
    <w:rsid w:val="000E0CA9"/>
    <w:rsid w:val="000E0CC6"/>
    <w:rsid w:val="000E28FA"/>
    <w:rsid w:val="000E4A7D"/>
    <w:rsid w:val="000E590B"/>
    <w:rsid w:val="000E598D"/>
    <w:rsid w:val="000E6440"/>
    <w:rsid w:val="000E66A8"/>
    <w:rsid w:val="000E6890"/>
    <w:rsid w:val="000F1D7F"/>
    <w:rsid w:val="000F4FD2"/>
    <w:rsid w:val="000F5621"/>
    <w:rsid w:val="000F5B86"/>
    <w:rsid w:val="000F674A"/>
    <w:rsid w:val="000F6CFB"/>
    <w:rsid w:val="000F74AA"/>
    <w:rsid w:val="000F7525"/>
    <w:rsid w:val="001001C9"/>
    <w:rsid w:val="001015C2"/>
    <w:rsid w:val="00101F59"/>
    <w:rsid w:val="00104000"/>
    <w:rsid w:val="0010776F"/>
    <w:rsid w:val="00107AEE"/>
    <w:rsid w:val="001116CE"/>
    <w:rsid w:val="00111AE6"/>
    <w:rsid w:val="00112C22"/>
    <w:rsid w:val="00114545"/>
    <w:rsid w:val="001150FD"/>
    <w:rsid w:val="001153A4"/>
    <w:rsid w:val="00117451"/>
    <w:rsid w:val="00120EBB"/>
    <w:rsid w:val="00121A05"/>
    <w:rsid w:val="00124163"/>
    <w:rsid w:val="00125115"/>
    <w:rsid w:val="00126051"/>
    <w:rsid w:val="001269B5"/>
    <w:rsid w:val="00126CD4"/>
    <w:rsid w:val="00127078"/>
    <w:rsid w:val="00127335"/>
    <w:rsid w:val="00133901"/>
    <w:rsid w:val="0013419F"/>
    <w:rsid w:val="00134225"/>
    <w:rsid w:val="00134CFE"/>
    <w:rsid w:val="00134D65"/>
    <w:rsid w:val="00134DB8"/>
    <w:rsid w:val="00135096"/>
    <w:rsid w:val="00135E53"/>
    <w:rsid w:val="001362B3"/>
    <w:rsid w:val="00137342"/>
    <w:rsid w:val="00137EB1"/>
    <w:rsid w:val="0014027C"/>
    <w:rsid w:val="001402CB"/>
    <w:rsid w:val="00140F95"/>
    <w:rsid w:val="001414CC"/>
    <w:rsid w:val="00142D7B"/>
    <w:rsid w:val="00143A9C"/>
    <w:rsid w:val="00143C7F"/>
    <w:rsid w:val="001453C6"/>
    <w:rsid w:val="00145BB9"/>
    <w:rsid w:val="00145D3C"/>
    <w:rsid w:val="00146C33"/>
    <w:rsid w:val="0015082E"/>
    <w:rsid w:val="0015107E"/>
    <w:rsid w:val="00152601"/>
    <w:rsid w:val="00156009"/>
    <w:rsid w:val="0015709B"/>
    <w:rsid w:val="00160B27"/>
    <w:rsid w:val="00161A0F"/>
    <w:rsid w:val="00162342"/>
    <w:rsid w:val="0016517E"/>
    <w:rsid w:val="00166850"/>
    <w:rsid w:val="001675ED"/>
    <w:rsid w:val="001707F7"/>
    <w:rsid w:val="0017138C"/>
    <w:rsid w:val="0017208D"/>
    <w:rsid w:val="0017683D"/>
    <w:rsid w:val="00180054"/>
    <w:rsid w:val="00180874"/>
    <w:rsid w:val="00184557"/>
    <w:rsid w:val="00185C8D"/>
    <w:rsid w:val="00185CC0"/>
    <w:rsid w:val="00186144"/>
    <w:rsid w:val="0019097F"/>
    <w:rsid w:val="00190C16"/>
    <w:rsid w:val="00191438"/>
    <w:rsid w:val="0019182F"/>
    <w:rsid w:val="00191AFC"/>
    <w:rsid w:val="00194937"/>
    <w:rsid w:val="00194D1D"/>
    <w:rsid w:val="0019595C"/>
    <w:rsid w:val="001964C4"/>
    <w:rsid w:val="001978DB"/>
    <w:rsid w:val="00197E3F"/>
    <w:rsid w:val="001A023B"/>
    <w:rsid w:val="001A0B25"/>
    <w:rsid w:val="001A1985"/>
    <w:rsid w:val="001A2258"/>
    <w:rsid w:val="001A317B"/>
    <w:rsid w:val="001A39D3"/>
    <w:rsid w:val="001A5186"/>
    <w:rsid w:val="001B0190"/>
    <w:rsid w:val="001B051E"/>
    <w:rsid w:val="001B1EDD"/>
    <w:rsid w:val="001B2C57"/>
    <w:rsid w:val="001B2E78"/>
    <w:rsid w:val="001B450B"/>
    <w:rsid w:val="001B5765"/>
    <w:rsid w:val="001B5CFE"/>
    <w:rsid w:val="001B7440"/>
    <w:rsid w:val="001B7FC7"/>
    <w:rsid w:val="001C1E7B"/>
    <w:rsid w:val="001C2474"/>
    <w:rsid w:val="001C33E7"/>
    <w:rsid w:val="001C3595"/>
    <w:rsid w:val="001C3EC5"/>
    <w:rsid w:val="001C46F1"/>
    <w:rsid w:val="001D0F5B"/>
    <w:rsid w:val="001D1E60"/>
    <w:rsid w:val="001D26C5"/>
    <w:rsid w:val="001D2A9E"/>
    <w:rsid w:val="001D3A34"/>
    <w:rsid w:val="001D3DC7"/>
    <w:rsid w:val="001D45D6"/>
    <w:rsid w:val="001D6B0B"/>
    <w:rsid w:val="001D7345"/>
    <w:rsid w:val="001D7923"/>
    <w:rsid w:val="001D7D5C"/>
    <w:rsid w:val="001E3A31"/>
    <w:rsid w:val="001E3D02"/>
    <w:rsid w:val="001E40C4"/>
    <w:rsid w:val="001E675A"/>
    <w:rsid w:val="001E6DCE"/>
    <w:rsid w:val="001F0B9B"/>
    <w:rsid w:val="001F3162"/>
    <w:rsid w:val="001F437A"/>
    <w:rsid w:val="001F6D59"/>
    <w:rsid w:val="001F7E0D"/>
    <w:rsid w:val="001F7E65"/>
    <w:rsid w:val="0020225E"/>
    <w:rsid w:val="00202432"/>
    <w:rsid w:val="00205A63"/>
    <w:rsid w:val="00207B5F"/>
    <w:rsid w:val="002111E5"/>
    <w:rsid w:val="002117C7"/>
    <w:rsid w:val="002117D4"/>
    <w:rsid w:val="00212B88"/>
    <w:rsid w:val="0021563F"/>
    <w:rsid w:val="00223A5C"/>
    <w:rsid w:val="00223F35"/>
    <w:rsid w:val="00227CC4"/>
    <w:rsid w:val="002300B5"/>
    <w:rsid w:val="00231FC0"/>
    <w:rsid w:val="0023240F"/>
    <w:rsid w:val="00232432"/>
    <w:rsid w:val="00232443"/>
    <w:rsid w:val="00233C4D"/>
    <w:rsid w:val="002345EA"/>
    <w:rsid w:val="00235AF2"/>
    <w:rsid w:val="00236DED"/>
    <w:rsid w:val="00244339"/>
    <w:rsid w:val="002444B3"/>
    <w:rsid w:val="00250028"/>
    <w:rsid w:val="002507AC"/>
    <w:rsid w:val="002532F9"/>
    <w:rsid w:val="00253537"/>
    <w:rsid w:val="00253667"/>
    <w:rsid w:val="00253A22"/>
    <w:rsid w:val="00253B8A"/>
    <w:rsid w:val="00255659"/>
    <w:rsid w:val="00255A11"/>
    <w:rsid w:val="00255CCC"/>
    <w:rsid w:val="002639A7"/>
    <w:rsid w:val="00264A45"/>
    <w:rsid w:val="00266D0A"/>
    <w:rsid w:val="00267E40"/>
    <w:rsid w:val="00267F84"/>
    <w:rsid w:val="002709B3"/>
    <w:rsid w:val="00271A77"/>
    <w:rsid w:val="00271E58"/>
    <w:rsid w:val="0027326B"/>
    <w:rsid w:val="00273EAB"/>
    <w:rsid w:val="00277835"/>
    <w:rsid w:val="0028012B"/>
    <w:rsid w:val="00287DF5"/>
    <w:rsid w:val="00290199"/>
    <w:rsid w:val="002908F6"/>
    <w:rsid w:val="00291A06"/>
    <w:rsid w:val="00292653"/>
    <w:rsid w:val="00292905"/>
    <w:rsid w:val="0029361C"/>
    <w:rsid w:val="002945F4"/>
    <w:rsid w:val="00294BBF"/>
    <w:rsid w:val="002953A3"/>
    <w:rsid w:val="002955FD"/>
    <w:rsid w:val="002A062E"/>
    <w:rsid w:val="002A3517"/>
    <w:rsid w:val="002A46DC"/>
    <w:rsid w:val="002A515E"/>
    <w:rsid w:val="002A7518"/>
    <w:rsid w:val="002A7C2C"/>
    <w:rsid w:val="002B13CA"/>
    <w:rsid w:val="002B2E51"/>
    <w:rsid w:val="002B2F2C"/>
    <w:rsid w:val="002B461D"/>
    <w:rsid w:val="002B599C"/>
    <w:rsid w:val="002B6214"/>
    <w:rsid w:val="002B7E12"/>
    <w:rsid w:val="002C0BC5"/>
    <w:rsid w:val="002C4299"/>
    <w:rsid w:val="002C4464"/>
    <w:rsid w:val="002C5FA1"/>
    <w:rsid w:val="002C6536"/>
    <w:rsid w:val="002C6A12"/>
    <w:rsid w:val="002C7B4C"/>
    <w:rsid w:val="002D27D4"/>
    <w:rsid w:val="002D4701"/>
    <w:rsid w:val="002D4AD4"/>
    <w:rsid w:val="002D787C"/>
    <w:rsid w:val="002E0D07"/>
    <w:rsid w:val="002E1AA7"/>
    <w:rsid w:val="002E413F"/>
    <w:rsid w:val="002E42A6"/>
    <w:rsid w:val="002E5315"/>
    <w:rsid w:val="002E545F"/>
    <w:rsid w:val="002E5FE6"/>
    <w:rsid w:val="002F0FAA"/>
    <w:rsid w:val="002F2BA6"/>
    <w:rsid w:val="002F3629"/>
    <w:rsid w:val="002F5B4B"/>
    <w:rsid w:val="002F643D"/>
    <w:rsid w:val="002F77D5"/>
    <w:rsid w:val="003001AD"/>
    <w:rsid w:val="0030036D"/>
    <w:rsid w:val="00300629"/>
    <w:rsid w:val="003037FA"/>
    <w:rsid w:val="003037FC"/>
    <w:rsid w:val="003057BF"/>
    <w:rsid w:val="0030647E"/>
    <w:rsid w:val="00306A1E"/>
    <w:rsid w:val="00314019"/>
    <w:rsid w:val="003214B3"/>
    <w:rsid w:val="003233EB"/>
    <w:rsid w:val="003234E5"/>
    <w:rsid w:val="00324B2E"/>
    <w:rsid w:val="00326091"/>
    <w:rsid w:val="003260C7"/>
    <w:rsid w:val="003269BB"/>
    <w:rsid w:val="00327A6D"/>
    <w:rsid w:val="00327AF7"/>
    <w:rsid w:val="00327C46"/>
    <w:rsid w:val="003302A3"/>
    <w:rsid w:val="00332718"/>
    <w:rsid w:val="003329BC"/>
    <w:rsid w:val="003341BE"/>
    <w:rsid w:val="0033559C"/>
    <w:rsid w:val="003357B3"/>
    <w:rsid w:val="0033617E"/>
    <w:rsid w:val="0033652B"/>
    <w:rsid w:val="0034068E"/>
    <w:rsid w:val="00340D63"/>
    <w:rsid w:val="003427E4"/>
    <w:rsid w:val="0034290E"/>
    <w:rsid w:val="0034367D"/>
    <w:rsid w:val="0034380C"/>
    <w:rsid w:val="00343940"/>
    <w:rsid w:val="0034423C"/>
    <w:rsid w:val="00345135"/>
    <w:rsid w:val="003469AB"/>
    <w:rsid w:val="003477F9"/>
    <w:rsid w:val="00347C0C"/>
    <w:rsid w:val="00351B01"/>
    <w:rsid w:val="00351C46"/>
    <w:rsid w:val="00353AF2"/>
    <w:rsid w:val="00356043"/>
    <w:rsid w:val="00356AC9"/>
    <w:rsid w:val="00357D12"/>
    <w:rsid w:val="003600A0"/>
    <w:rsid w:val="00361273"/>
    <w:rsid w:val="003615F2"/>
    <w:rsid w:val="00361646"/>
    <w:rsid w:val="003624E9"/>
    <w:rsid w:val="0036306F"/>
    <w:rsid w:val="00363EBA"/>
    <w:rsid w:val="00366B09"/>
    <w:rsid w:val="00370E70"/>
    <w:rsid w:val="00371F57"/>
    <w:rsid w:val="00373EA6"/>
    <w:rsid w:val="00384C62"/>
    <w:rsid w:val="00385638"/>
    <w:rsid w:val="00385B6C"/>
    <w:rsid w:val="00385F5C"/>
    <w:rsid w:val="003865D6"/>
    <w:rsid w:val="003873FC"/>
    <w:rsid w:val="00391383"/>
    <w:rsid w:val="00392838"/>
    <w:rsid w:val="003940EB"/>
    <w:rsid w:val="0039494C"/>
    <w:rsid w:val="003958A5"/>
    <w:rsid w:val="003976D9"/>
    <w:rsid w:val="003A30F0"/>
    <w:rsid w:val="003A3B7D"/>
    <w:rsid w:val="003A4B87"/>
    <w:rsid w:val="003A5F50"/>
    <w:rsid w:val="003B1206"/>
    <w:rsid w:val="003B3351"/>
    <w:rsid w:val="003B4AB2"/>
    <w:rsid w:val="003B7AF3"/>
    <w:rsid w:val="003B7ECD"/>
    <w:rsid w:val="003B7FB5"/>
    <w:rsid w:val="003C08EF"/>
    <w:rsid w:val="003C205B"/>
    <w:rsid w:val="003C2335"/>
    <w:rsid w:val="003C3697"/>
    <w:rsid w:val="003C4147"/>
    <w:rsid w:val="003C440C"/>
    <w:rsid w:val="003C7E95"/>
    <w:rsid w:val="003D09EB"/>
    <w:rsid w:val="003D1637"/>
    <w:rsid w:val="003D1C23"/>
    <w:rsid w:val="003D243C"/>
    <w:rsid w:val="003D3B56"/>
    <w:rsid w:val="003D69FA"/>
    <w:rsid w:val="003D7476"/>
    <w:rsid w:val="003E0817"/>
    <w:rsid w:val="003E0D22"/>
    <w:rsid w:val="003E19A3"/>
    <w:rsid w:val="003E4693"/>
    <w:rsid w:val="003E4BA7"/>
    <w:rsid w:val="003E73F2"/>
    <w:rsid w:val="003F1626"/>
    <w:rsid w:val="003F2DB0"/>
    <w:rsid w:val="003F45C0"/>
    <w:rsid w:val="003F6E86"/>
    <w:rsid w:val="004024EE"/>
    <w:rsid w:val="004026E9"/>
    <w:rsid w:val="0040305A"/>
    <w:rsid w:val="00403411"/>
    <w:rsid w:val="00403575"/>
    <w:rsid w:val="004047A7"/>
    <w:rsid w:val="004107B2"/>
    <w:rsid w:val="00411897"/>
    <w:rsid w:val="00411BCF"/>
    <w:rsid w:val="00411F2A"/>
    <w:rsid w:val="004127C4"/>
    <w:rsid w:val="00413BBE"/>
    <w:rsid w:val="00414682"/>
    <w:rsid w:val="00416E2C"/>
    <w:rsid w:val="0041715F"/>
    <w:rsid w:val="00417907"/>
    <w:rsid w:val="00420162"/>
    <w:rsid w:val="0042297A"/>
    <w:rsid w:val="00423E42"/>
    <w:rsid w:val="00424552"/>
    <w:rsid w:val="0042459E"/>
    <w:rsid w:val="004255A5"/>
    <w:rsid w:val="004266EE"/>
    <w:rsid w:val="0042779F"/>
    <w:rsid w:val="00430548"/>
    <w:rsid w:val="00430E15"/>
    <w:rsid w:val="004316F7"/>
    <w:rsid w:val="00436926"/>
    <w:rsid w:val="00440E4E"/>
    <w:rsid w:val="00441135"/>
    <w:rsid w:val="004415FF"/>
    <w:rsid w:val="004416E1"/>
    <w:rsid w:val="004430AB"/>
    <w:rsid w:val="0044362E"/>
    <w:rsid w:val="00443807"/>
    <w:rsid w:val="00444464"/>
    <w:rsid w:val="0044491C"/>
    <w:rsid w:val="00445E15"/>
    <w:rsid w:val="004462C1"/>
    <w:rsid w:val="00446A5E"/>
    <w:rsid w:val="004470BE"/>
    <w:rsid w:val="004543AC"/>
    <w:rsid w:val="004546B7"/>
    <w:rsid w:val="00454C08"/>
    <w:rsid w:val="00456D5F"/>
    <w:rsid w:val="00457A83"/>
    <w:rsid w:val="004605EB"/>
    <w:rsid w:val="00463369"/>
    <w:rsid w:val="00464632"/>
    <w:rsid w:val="00465F3B"/>
    <w:rsid w:val="004673D4"/>
    <w:rsid w:val="0047171A"/>
    <w:rsid w:val="00471FCB"/>
    <w:rsid w:val="00472E2D"/>
    <w:rsid w:val="00473725"/>
    <w:rsid w:val="00473822"/>
    <w:rsid w:val="00473E8F"/>
    <w:rsid w:val="004745AA"/>
    <w:rsid w:val="00474776"/>
    <w:rsid w:val="00477642"/>
    <w:rsid w:val="0048142F"/>
    <w:rsid w:val="00481650"/>
    <w:rsid w:val="00482A58"/>
    <w:rsid w:val="004879DF"/>
    <w:rsid w:val="00487F3F"/>
    <w:rsid w:val="0049073D"/>
    <w:rsid w:val="00490AD3"/>
    <w:rsid w:val="00490B0E"/>
    <w:rsid w:val="00490DAE"/>
    <w:rsid w:val="00490DDA"/>
    <w:rsid w:val="0049141D"/>
    <w:rsid w:val="00494624"/>
    <w:rsid w:val="00495034"/>
    <w:rsid w:val="00497ED6"/>
    <w:rsid w:val="004A0141"/>
    <w:rsid w:val="004A0640"/>
    <w:rsid w:val="004A1AD6"/>
    <w:rsid w:val="004A3BF1"/>
    <w:rsid w:val="004A401E"/>
    <w:rsid w:val="004A41D4"/>
    <w:rsid w:val="004A5DDC"/>
    <w:rsid w:val="004A7FE8"/>
    <w:rsid w:val="004B12B2"/>
    <w:rsid w:val="004B24B1"/>
    <w:rsid w:val="004B259B"/>
    <w:rsid w:val="004B2E2C"/>
    <w:rsid w:val="004B4006"/>
    <w:rsid w:val="004B45F3"/>
    <w:rsid w:val="004B4D7F"/>
    <w:rsid w:val="004B59F9"/>
    <w:rsid w:val="004C00ED"/>
    <w:rsid w:val="004C0F4D"/>
    <w:rsid w:val="004C5D8E"/>
    <w:rsid w:val="004D0FF8"/>
    <w:rsid w:val="004D28C1"/>
    <w:rsid w:val="004D3201"/>
    <w:rsid w:val="004D4231"/>
    <w:rsid w:val="004D62A9"/>
    <w:rsid w:val="004D67BB"/>
    <w:rsid w:val="004D68DB"/>
    <w:rsid w:val="004D7101"/>
    <w:rsid w:val="004E15C2"/>
    <w:rsid w:val="004E23CE"/>
    <w:rsid w:val="004E2560"/>
    <w:rsid w:val="004E2700"/>
    <w:rsid w:val="004E2953"/>
    <w:rsid w:val="004E415E"/>
    <w:rsid w:val="004E4EB9"/>
    <w:rsid w:val="004E51E1"/>
    <w:rsid w:val="004E524D"/>
    <w:rsid w:val="004E5C3B"/>
    <w:rsid w:val="004E68D6"/>
    <w:rsid w:val="004E7B5D"/>
    <w:rsid w:val="004F21F3"/>
    <w:rsid w:val="004F2C93"/>
    <w:rsid w:val="00500918"/>
    <w:rsid w:val="00500CF8"/>
    <w:rsid w:val="0050147F"/>
    <w:rsid w:val="00503172"/>
    <w:rsid w:val="005042AD"/>
    <w:rsid w:val="0050462E"/>
    <w:rsid w:val="00504C9B"/>
    <w:rsid w:val="00506158"/>
    <w:rsid w:val="0051020D"/>
    <w:rsid w:val="0051183B"/>
    <w:rsid w:val="0051227B"/>
    <w:rsid w:val="005132EF"/>
    <w:rsid w:val="00513752"/>
    <w:rsid w:val="005137AB"/>
    <w:rsid w:val="0051394D"/>
    <w:rsid w:val="00513B39"/>
    <w:rsid w:val="00517404"/>
    <w:rsid w:val="0051765B"/>
    <w:rsid w:val="005215D5"/>
    <w:rsid w:val="0052282C"/>
    <w:rsid w:val="00523CD6"/>
    <w:rsid w:val="0052680D"/>
    <w:rsid w:val="00527B78"/>
    <w:rsid w:val="00531052"/>
    <w:rsid w:val="00531494"/>
    <w:rsid w:val="005314A4"/>
    <w:rsid w:val="00531C86"/>
    <w:rsid w:val="0053234E"/>
    <w:rsid w:val="00536F8F"/>
    <w:rsid w:val="00537530"/>
    <w:rsid w:val="005406BF"/>
    <w:rsid w:val="00542382"/>
    <w:rsid w:val="00542E24"/>
    <w:rsid w:val="00544723"/>
    <w:rsid w:val="0054519F"/>
    <w:rsid w:val="00546336"/>
    <w:rsid w:val="00546467"/>
    <w:rsid w:val="005523EF"/>
    <w:rsid w:val="005556A4"/>
    <w:rsid w:val="005564C4"/>
    <w:rsid w:val="005567C5"/>
    <w:rsid w:val="00556AD8"/>
    <w:rsid w:val="00560994"/>
    <w:rsid w:val="00561115"/>
    <w:rsid w:val="00561372"/>
    <w:rsid w:val="00563F19"/>
    <w:rsid w:val="00564242"/>
    <w:rsid w:val="0056479D"/>
    <w:rsid w:val="005656CC"/>
    <w:rsid w:val="00566E0A"/>
    <w:rsid w:val="00567AAF"/>
    <w:rsid w:val="005710C9"/>
    <w:rsid w:val="00571438"/>
    <w:rsid w:val="005739BF"/>
    <w:rsid w:val="00574DE1"/>
    <w:rsid w:val="00575DBF"/>
    <w:rsid w:val="00585B89"/>
    <w:rsid w:val="00590990"/>
    <w:rsid w:val="0059302B"/>
    <w:rsid w:val="005934AB"/>
    <w:rsid w:val="00594EA8"/>
    <w:rsid w:val="0059518A"/>
    <w:rsid w:val="005965C1"/>
    <w:rsid w:val="005A0BAC"/>
    <w:rsid w:val="005A2D5F"/>
    <w:rsid w:val="005A3BD8"/>
    <w:rsid w:val="005A53E5"/>
    <w:rsid w:val="005A66EE"/>
    <w:rsid w:val="005B0C33"/>
    <w:rsid w:val="005B2C0E"/>
    <w:rsid w:val="005B2FC3"/>
    <w:rsid w:val="005B333E"/>
    <w:rsid w:val="005B5A65"/>
    <w:rsid w:val="005B5FD6"/>
    <w:rsid w:val="005B6E6D"/>
    <w:rsid w:val="005B6E72"/>
    <w:rsid w:val="005B7666"/>
    <w:rsid w:val="005C2D72"/>
    <w:rsid w:val="005C355D"/>
    <w:rsid w:val="005C43AE"/>
    <w:rsid w:val="005C4E8C"/>
    <w:rsid w:val="005C6302"/>
    <w:rsid w:val="005C6CCE"/>
    <w:rsid w:val="005D1F58"/>
    <w:rsid w:val="005D27D7"/>
    <w:rsid w:val="005D35A2"/>
    <w:rsid w:val="005D4127"/>
    <w:rsid w:val="005D4789"/>
    <w:rsid w:val="005D52E9"/>
    <w:rsid w:val="005D53F9"/>
    <w:rsid w:val="005D70A5"/>
    <w:rsid w:val="005D73BF"/>
    <w:rsid w:val="005D78D7"/>
    <w:rsid w:val="005D7F4B"/>
    <w:rsid w:val="005E0E4D"/>
    <w:rsid w:val="005E140E"/>
    <w:rsid w:val="005E3A46"/>
    <w:rsid w:val="005E3C76"/>
    <w:rsid w:val="005E45A1"/>
    <w:rsid w:val="005E5171"/>
    <w:rsid w:val="005E6F22"/>
    <w:rsid w:val="005E7D18"/>
    <w:rsid w:val="005F12FF"/>
    <w:rsid w:val="005F2366"/>
    <w:rsid w:val="005F2472"/>
    <w:rsid w:val="005F2D7F"/>
    <w:rsid w:val="005F2F2F"/>
    <w:rsid w:val="005F5A8C"/>
    <w:rsid w:val="005F6872"/>
    <w:rsid w:val="005F7D28"/>
    <w:rsid w:val="006012AD"/>
    <w:rsid w:val="00601D2C"/>
    <w:rsid w:val="0060214D"/>
    <w:rsid w:val="00602F23"/>
    <w:rsid w:val="00604875"/>
    <w:rsid w:val="00605DD9"/>
    <w:rsid w:val="006073F2"/>
    <w:rsid w:val="00612353"/>
    <w:rsid w:val="00613BFD"/>
    <w:rsid w:val="00614BA5"/>
    <w:rsid w:val="00615097"/>
    <w:rsid w:val="00615428"/>
    <w:rsid w:val="00615738"/>
    <w:rsid w:val="0061638E"/>
    <w:rsid w:val="00616B80"/>
    <w:rsid w:val="00617624"/>
    <w:rsid w:val="006207A8"/>
    <w:rsid w:val="006210C4"/>
    <w:rsid w:val="00625700"/>
    <w:rsid w:val="00627106"/>
    <w:rsid w:val="006271BF"/>
    <w:rsid w:val="00627910"/>
    <w:rsid w:val="006301CC"/>
    <w:rsid w:val="00633355"/>
    <w:rsid w:val="00633EA0"/>
    <w:rsid w:val="00634468"/>
    <w:rsid w:val="00634A7D"/>
    <w:rsid w:val="00635010"/>
    <w:rsid w:val="00636866"/>
    <w:rsid w:val="00641CBD"/>
    <w:rsid w:val="00642333"/>
    <w:rsid w:val="00643531"/>
    <w:rsid w:val="0064478C"/>
    <w:rsid w:val="0064578E"/>
    <w:rsid w:val="006458FD"/>
    <w:rsid w:val="006463B1"/>
    <w:rsid w:val="00647D3E"/>
    <w:rsid w:val="006530DE"/>
    <w:rsid w:val="00655045"/>
    <w:rsid w:val="006561E2"/>
    <w:rsid w:val="00657108"/>
    <w:rsid w:val="00657BE7"/>
    <w:rsid w:val="00657D22"/>
    <w:rsid w:val="0066067C"/>
    <w:rsid w:val="00660EF2"/>
    <w:rsid w:val="0066102C"/>
    <w:rsid w:val="00663A3E"/>
    <w:rsid w:val="00666B48"/>
    <w:rsid w:val="0066793A"/>
    <w:rsid w:val="0066793D"/>
    <w:rsid w:val="00667DCE"/>
    <w:rsid w:val="00670E0D"/>
    <w:rsid w:val="00671898"/>
    <w:rsid w:val="00671E24"/>
    <w:rsid w:val="00676F45"/>
    <w:rsid w:val="00676F9B"/>
    <w:rsid w:val="00680BB9"/>
    <w:rsid w:val="00681693"/>
    <w:rsid w:val="00681E81"/>
    <w:rsid w:val="006830A0"/>
    <w:rsid w:val="006830AB"/>
    <w:rsid w:val="006844DD"/>
    <w:rsid w:val="006849AA"/>
    <w:rsid w:val="00684FB1"/>
    <w:rsid w:val="00685090"/>
    <w:rsid w:val="00686DEF"/>
    <w:rsid w:val="0068795D"/>
    <w:rsid w:val="00690F2B"/>
    <w:rsid w:val="00690FF0"/>
    <w:rsid w:val="00691EC2"/>
    <w:rsid w:val="00691F38"/>
    <w:rsid w:val="00692FB6"/>
    <w:rsid w:val="00694C3D"/>
    <w:rsid w:val="00694D97"/>
    <w:rsid w:val="006959DE"/>
    <w:rsid w:val="0069663D"/>
    <w:rsid w:val="00697319"/>
    <w:rsid w:val="006A2D8B"/>
    <w:rsid w:val="006A3C61"/>
    <w:rsid w:val="006A45A5"/>
    <w:rsid w:val="006A466A"/>
    <w:rsid w:val="006A499B"/>
    <w:rsid w:val="006A49C1"/>
    <w:rsid w:val="006A5BF2"/>
    <w:rsid w:val="006A5E42"/>
    <w:rsid w:val="006A7DB9"/>
    <w:rsid w:val="006B1B14"/>
    <w:rsid w:val="006B2BBC"/>
    <w:rsid w:val="006B4CB0"/>
    <w:rsid w:val="006B4F66"/>
    <w:rsid w:val="006B4FAF"/>
    <w:rsid w:val="006B765B"/>
    <w:rsid w:val="006B7BE4"/>
    <w:rsid w:val="006C017A"/>
    <w:rsid w:val="006C0701"/>
    <w:rsid w:val="006C1CBD"/>
    <w:rsid w:val="006C4C43"/>
    <w:rsid w:val="006C5E63"/>
    <w:rsid w:val="006C6330"/>
    <w:rsid w:val="006C66ED"/>
    <w:rsid w:val="006C7525"/>
    <w:rsid w:val="006D1394"/>
    <w:rsid w:val="006D13A9"/>
    <w:rsid w:val="006D16BC"/>
    <w:rsid w:val="006D19B4"/>
    <w:rsid w:val="006D3082"/>
    <w:rsid w:val="006D351A"/>
    <w:rsid w:val="006D56F4"/>
    <w:rsid w:val="006D7BEB"/>
    <w:rsid w:val="006E0F9A"/>
    <w:rsid w:val="006E2CC8"/>
    <w:rsid w:val="006E4B1B"/>
    <w:rsid w:val="006F00EF"/>
    <w:rsid w:val="006F0627"/>
    <w:rsid w:val="006F1D20"/>
    <w:rsid w:val="006F45E9"/>
    <w:rsid w:val="006F61A2"/>
    <w:rsid w:val="006F6279"/>
    <w:rsid w:val="006F7EF1"/>
    <w:rsid w:val="00702E5E"/>
    <w:rsid w:val="00704917"/>
    <w:rsid w:val="00705BBF"/>
    <w:rsid w:val="0070727F"/>
    <w:rsid w:val="00707914"/>
    <w:rsid w:val="00707E1B"/>
    <w:rsid w:val="007101C4"/>
    <w:rsid w:val="00712D14"/>
    <w:rsid w:val="00713D23"/>
    <w:rsid w:val="00713D6C"/>
    <w:rsid w:val="0071743D"/>
    <w:rsid w:val="00717DB1"/>
    <w:rsid w:val="0072046E"/>
    <w:rsid w:val="00720C91"/>
    <w:rsid w:val="00720EA9"/>
    <w:rsid w:val="00724799"/>
    <w:rsid w:val="007252C9"/>
    <w:rsid w:val="0072787E"/>
    <w:rsid w:val="00731D9E"/>
    <w:rsid w:val="0073295B"/>
    <w:rsid w:val="007363B3"/>
    <w:rsid w:val="00740EA9"/>
    <w:rsid w:val="007411B3"/>
    <w:rsid w:val="0074218B"/>
    <w:rsid w:val="007430F3"/>
    <w:rsid w:val="00745C97"/>
    <w:rsid w:val="00746ECF"/>
    <w:rsid w:val="007474B5"/>
    <w:rsid w:val="007475F6"/>
    <w:rsid w:val="00747ECC"/>
    <w:rsid w:val="00753D5C"/>
    <w:rsid w:val="00754D5E"/>
    <w:rsid w:val="00755054"/>
    <w:rsid w:val="00760C7C"/>
    <w:rsid w:val="00761A57"/>
    <w:rsid w:val="00762032"/>
    <w:rsid w:val="00764FAC"/>
    <w:rsid w:val="007651ED"/>
    <w:rsid w:val="007652FB"/>
    <w:rsid w:val="007660E3"/>
    <w:rsid w:val="00766B0C"/>
    <w:rsid w:val="0077169E"/>
    <w:rsid w:val="0077204F"/>
    <w:rsid w:val="00772828"/>
    <w:rsid w:val="00775733"/>
    <w:rsid w:val="00785180"/>
    <w:rsid w:val="00785846"/>
    <w:rsid w:val="00786E68"/>
    <w:rsid w:val="00787547"/>
    <w:rsid w:val="00787997"/>
    <w:rsid w:val="0079165C"/>
    <w:rsid w:val="007923A8"/>
    <w:rsid w:val="007932C9"/>
    <w:rsid w:val="007937EA"/>
    <w:rsid w:val="00793CDE"/>
    <w:rsid w:val="00796626"/>
    <w:rsid w:val="00797899"/>
    <w:rsid w:val="007A0D89"/>
    <w:rsid w:val="007A3DD6"/>
    <w:rsid w:val="007A3ED7"/>
    <w:rsid w:val="007A3F6E"/>
    <w:rsid w:val="007A4555"/>
    <w:rsid w:val="007A521C"/>
    <w:rsid w:val="007A5C33"/>
    <w:rsid w:val="007A743A"/>
    <w:rsid w:val="007B0BF5"/>
    <w:rsid w:val="007B15AB"/>
    <w:rsid w:val="007B3801"/>
    <w:rsid w:val="007B3AC1"/>
    <w:rsid w:val="007B4306"/>
    <w:rsid w:val="007B4F4F"/>
    <w:rsid w:val="007B6A2B"/>
    <w:rsid w:val="007B7A2F"/>
    <w:rsid w:val="007C12AB"/>
    <w:rsid w:val="007C1F3C"/>
    <w:rsid w:val="007C2BB4"/>
    <w:rsid w:val="007C6A4A"/>
    <w:rsid w:val="007C7D1D"/>
    <w:rsid w:val="007D0242"/>
    <w:rsid w:val="007D0BCE"/>
    <w:rsid w:val="007D0FB4"/>
    <w:rsid w:val="007D2338"/>
    <w:rsid w:val="007D28B4"/>
    <w:rsid w:val="007D48C5"/>
    <w:rsid w:val="007D51EB"/>
    <w:rsid w:val="007D6358"/>
    <w:rsid w:val="007D6AC3"/>
    <w:rsid w:val="007D70B6"/>
    <w:rsid w:val="007E15D9"/>
    <w:rsid w:val="007E1A10"/>
    <w:rsid w:val="007E1F83"/>
    <w:rsid w:val="007E34EF"/>
    <w:rsid w:val="007E3E28"/>
    <w:rsid w:val="007E4EAE"/>
    <w:rsid w:val="007E5A06"/>
    <w:rsid w:val="007E7124"/>
    <w:rsid w:val="007E741E"/>
    <w:rsid w:val="007E7894"/>
    <w:rsid w:val="007E7BAC"/>
    <w:rsid w:val="007E7ECC"/>
    <w:rsid w:val="007E7FEF"/>
    <w:rsid w:val="007F21DC"/>
    <w:rsid w:val="007F53D7"/>
    <w:rsid w:val="007F61CB"/>
    <w:rsid w:val="007F6384"/>
    <w:rsid w:val="007F6C9A"/>
    <w:rsid w:val="00800B0C"/>
    <w:rsid w:val="00801DBE"/>
    <w:rsid w:val="008026DE"/>
    <w:rsid w:val="00804DBE"/>
    <w:rsid w:val="0080753C"/>
    <w:rsid w:val="0081330C"/>
    <w:rsid w:val="00814116"/>
    <w:rsid w:val="008167EB"/>
    <w:rsid w:val="008173B6"/>
    <w:rsid w:val="00817930"/>
    <w:rsid w:val="00820DF8"/>
    <w:rsid w:val="00822ED9"/>
    <w:rsid w:val="00823673"/>
    <w:rsid w:val="0082388F"/>
    <w:rsid w:val="00826CDD"/>
    <w:rsid w:val="00827C73"/>
    <w:rsid w:val="00827F23"/>
    <w:rsid w:val="00830A19"/>
    <w:rsid w:val="00831000"/>
    <w:rsid w:val="00831AA9"/>
    <w:rsid w:val="00832A08"/>
    <w:rsid w:val="00833519"/>
    <w:rsid w:val="00835DDA"/>
    <w:rsid w:val="00842AFF"/>
    <w:rsid w:val="008430E0"/>
    <w:rsid w:val="0084447B"/>
    <w:rsid w:val="00844AA9"/>
    <w:rsid w:val="00851537"/>
    <w:rsid w:val="0085401E"/>
    <w:rsid w:val="008540B5"/>
    <w:rsid w:val="00854614"/>
    <w:rsid w:val="0085471E"/>
    <w:rsid w:val="008552FE"/>
    <w:rsid w:val="00855689"/>
    <w:rsid w:val="00856107"/>
    <w:rsid w:val="00856E98"/>
    <w:rsid w:val="00857847"/>
    <w:rsid w:val="0086047F"/>
    <w:rsid w:val="008604AC"/>
    <w:rsid w:val="00863F37"/>
    <w:rsid w:val="00866E56"/>
    <w:rsid w:val="00870BE4"/>
    <w:rsid w:val="008716ED"/>
    <w:rsid w:val="0087170E"/>
    <w:rsid w:val="0087343E"/>
    <w:rsid w:val="00875BF6"/>
    <w:rsid w:val="00877E6D"/>
    <w:rsid w:val="00882F2F"/>
    <w:rsid w:val="008833FC"/>
    <w:rsid w:val="008843D6"/>
    <w:rsid w:val="008864E2"/>
    <w:rsid w:val="0088734C"/>
    <w:rsid w:val="00887DBE"/>
    <w:rsid w:val="008912BF"/>
    <w:rsid w:val="0089173B"/>
    <w:rsid w:val="00891D1A"/>
    <w:rsid w:val="00893040"/>
    <w:rsid w:val="00893498"/>
    <w:rsid w:val="008952A1"/>
    <w:rsid w:val="00895AD9"/>
    <w:rsid w:val="0089696F"/>
    <w:rsid w:val="0089799F"/>
    <w:rsid w:val="008A08BB"/>
    <w:rsid w:val="008A28D7"/>
    <w:rsid w:val="008A3429"/>
    <w:rsid w:val="008A3868"/>
    <w:rsid w:val="008A41C4"/>
    <w:rsid w:val="008A478C"/>
    <w:rsid w:val="008A4ABB"/>
    <w:rsid w:val="008A5918"/>
    <w:rsid w:val="008A5E1E"/>
    <w:rsid w:val="008A71DB"/>
    <w:rsid w:val="008B1487"/>
    <w:rsid w:val="008B315F"/>
    <w:rsid w:val="008B3E05"/>
    <w:rsid w:val="008B70D5"/>
    <w:rsid w:val="008C0404"/>
    <w:rsid w:val="008C5478"/>
    <w:rsid w:val="008C54FE"/>
    <w:rsid w:val="008C585C"/>
    <w:rsid w:val="008C62F5"/>
    <w:rsid w:val="008D0507"/>
    <w:rsid w:val="008D19EF"/>
    <w:rsid w:val="008D3CB9"/>
    <w:rsid w:val="008D3F02"/>
    <w:rsid w:val="008D74B5"/>
    <w:rsid w:val="008D7C83"/>
    <w:rsid w:val="008E114F"/>
    <w:rsid w:val="008E2E85"/>
    <w:rsid w:val="008E5653"/>
    <w:rsid w:val="008E65AD"/>
    <w:rsid w:val="008F153B"/>
    <w:rsid w:val="008F2224"/>
    <w:rsid w:val="008F2BEC"/>
    <w:rsid w:val="008F339A"/>
    <w:rsid w:val="008F3882"/>
    <w:rsid w:val="008F4EDA"/>
    <w:rsid w:val="008F4F4B"/>
    <w:rsid w:val="008F514B"/>
    <w:rsid w:val="008F575C"/>
    <w:rsid w:val="008F5E75"/>
    <w:rsid w:val="008F7331"/>
    <w:rsid w:val="008F76C4"/>
    <w:rsid w:val="00900CC4"/>
    <w:rsid w:val="0090152F"/>
    <w:rsid w:val="009025FC"/>
    <w:rsid w:val="00902FB0"/>
    <w:rsid w:val="0091053D"/>
    <w:rsid w:val="00912BC2"/>
    <w:rsid w:val="00913461"/>
    <w:rsid w:val="009137D8"/>
    <w:rsid w:val="00915B84"/>
    <w:rsid w:val="009172D7"/>
    <w:rsid w:val="009179F8"/>
    <w:rsid w:val="00917D57"/>
    <w:rsid w:val="00920BFD"/>
    <w:rsid w:val="009216BF"/>
    <w:rsid w:val="00923F16"/>
    <w:rsid w:val="00924BFB"/>
    <w:rsid w:val="00925389"/>
    <w:rsid w:val="00927412"/>
    <w:rsid w:val="00930BC0"/>
    <w:rsid w:val="00930DB3"/>
    <w:rsid w:val="009322D6"/>
    <w:rsid w:val="0093294A"/>
    <w:rsid w:val="0093563F"/>
    <w:rsid w:val="0094260F"/>
    <w:rsid w:val="009434A3"/>
    <w:rsid w:val="009458E5"/>
    <w:rsid w:val="009477C6"/>
    <w:rsid w:val="00951A81"/>
    <w:rsid w:val="0095535C"/>
    <w:rsid w:val="00956867"/>
    <w:rsid w:val="00957396"/>
    <w:rsid w:val="00957445"/>
    <w:rsid w:val="00957E83"/>
    <w:rsid w:val="00957EBE"/>
    <w:rsid w:val="00964A70"/>
    <w:rsid w:val="0096644F"/>
    <w:rsid w:val="009666D3"/>
    <w:rsid w:val="00966CC7"/>
    <w:rsid w:val="009670FF"/>
    <w:rsid w:val="00971340"/>
    <w:rsid w:val="009724B7"/>
    <w:rsid w:val="009733CE"/>
    <w:rsid w:val="00973562"/>
    <w:rsid w:val="00975095"/>
    <w:rsid w:val="009769B8"/>
    <w:rsid w:val="00976C52"/>
    <w:rsid w:val="00976F88"/>
    <w:rsid w:val="0097739F"/>
    <w:rsid w:val="009805E2"/>
    <w:rsid w:val="00983C63"/>
    <w:rsid w:val="009877AB"/>
    <w:rsid w:val="00990885"/>
    <w:rsid w:val="00990DD2"/>
    <w:rsid w:val="00991CE5"/>
    <w:rsid w:val="0099409E"/>
    <w:rsid w:val="0099578D"/>
    <w:rsid w:val="009969E3"/>
    <w:rsid w:val="009978DC"/>
    <w:rsid w:val="009A0AEF"/>
    <w:rsid w:val="009A14B8"/>
    <w:rsid w:val="009A1A7B"/>
    <w:rsid w:val="009A1B1F"/>
    <w:rsid w:val="009A231C"/>
    <w:rsid w:val="009A3B34"/>
    <w:rsid w:val="009A7C58"/>
    <w:rsid w:val="009B1397"/>
    <w:rsid w:val="009B2FE5"/>
    <w:rsid w:val="009B3935"/>
    <w:rsid w:val="009B5520"/>
    <w:rsid w:val="009B6627"/>
    <w:rsid w:val="009B67A6"/>
    <w:rsid w:val="009B6AD0"/>
    <w:rsid w:val="009B6F0E"/>
    <w:rsid w:val="009B70C6"/>
    <w:rsid w:val="009C0197"/>
    <w:rsid w:val="009C135F"/>
    <w:rsid w:val="009C48AE"/>
    <w:rsid w:val="009C5824"/>
    <w:rsid w:val="009C6886"/>
    <w:rsid w:val="009D08C2"/>
    <w:rsid w:val="009D1171"/>
    <w:rsid w:val="009D1ECE"/>
    <w:rsid w:val="009D2302"/>
    <w:rsid w:val="009D2F68"/>
    <w:rsid w:val="009D3F4B"/>
    <w:rsid w:val="009D5EB6"/>
    <w:rsid w:val="009D6DDB"/>
    <w:rsid w:val="009D7C0A"/>
    <w:rsid w:val="009E0605"/>
    <w:rsid w:val="009E101C"/>
    <w:rsid w:val="009E3BAA"/>
    <w:rsid w:val="009E48F5"/>
    <w:rsid w:val="009E5DAA"/>
    <w:rsid w:val="009E743D"/>
    <w:rsid w:val="009F1CA7"/>
    <w:rsid w:val="009F2B39"/>
    <w:rsid w:val="009F3525"/>
    <w:rsid w:val="009F518F"/>
    <w:rsid w:val="009F5C48"/>
    <w:rsid w:val="009F615D"/>
    <w:rsid w:val="00A02021"/>
    <w:rsid w:val="00A02160"/>
    <w:rsid w:val="00A051CC"/>
    <w:rsid w:val="00A05961"/>
    <w:rsid w:val="00A06CF0"/>
    <w:rsid w:val="00A1226E"/>
    <w:rsid w:val="00A13C52"/>
    <w:rsid w:val="00A145E8"/>
    <w:rsid w:val="00A14D54"/>
    <w:rsid w:val="00A14F86"/>
    <w:rsid w:val="00A15F3E"/>
    <w:rsid w:val="00A21368"/>
    <w:rsid w:val="00A22A6D"/>
    <w:rsid w:val="00A241A0"/>
    <w:rsid w:val="00A244E1"/>
    <w:rsid w:val="00A268F7"/>
    <w:rsid w:val="00A26A62"/>
    <w:rsid w:val="00A26DE8"/>
    <w:rsid w:val="00A27AC0"/>
    <w:rsid w:val="00A27D90"/>
    <w:rsid w:val="00A30EFA"/>
    <w:rsid w:val="00A33D00"/>
    <w:rsid w:val="00A34D85"/>
    <w:rsid w:val="00A3577E"/>
    <w:rsid w:val="00A3605B"/>
    <w:rsid w:val="00A361AE"/>
    <w:rsid w:val="00A37000"/>
    <w:rsid w:val="00A37A3A"/>
    <w:rsid w:val="00A4370B"/>
    <w:rsid w:val="00A43D84"/>
    <w:rsid w:val="00A43D9C"/>
    <w:rsid w:val="00A46CDE"/>
    <w:rsid w:val="00A474B9"/>
    <w:rsid w:val="00A50B1A"/>
    <w:rsid w:val="00A55887"/>
    <w:rsid w:val="00A57E66"/>
    <w:rsid w:val="00A60815"/>
    <w:rsid w:val="00A62B1C"/>
    <w:rsid w:val="00A63086"/>
    <w:rsid w:val="00A63DC2"/>
    <w:rsid w:val="00A640B0"/>
    <w:rsid w:val="00A643F0"/>
    <w:rsid w:val="00A64AE0"/>
    <w:rsid w:val="00A674BD"/>
    <w:rsid w:val="00A74DFB"/>
    <w:rsid w:val="00A75627"/>
    <w:rsid w:val="00A7619A"/>
    <w:rsid w:val="00A77418"/>
    <w:rsid w:val="00A82688"/>
    <w:rsid w:val="00A85D46"/>
    <w:rsid w:val="00A85D57"/>
    <w:rsid w:val="00A86BAC"/>
    <w:rsid w:val="00A87658"/>
    <w:rsid w:val="00A87F91"/>
    <w:rsid w:val="00A9088E"/>
    <w:rsid w:val="00A91077"/>
    <w:rsid w:val="00A93E4D"/>
    <w:rsid w:val="00A946DE"/>
    <w:rsid w:val="00A96BFC"/>
    <w:rsid w:val="00A96D9D"/>
    <w:rsid w:val="00A96FFF"/>
    <w:rsid w:val="00AA09C0"/>
    <w:rsid w:val="00AA19A4"/>
    <w:rsid w:val="00AA1A51"/>
    <w:rsid w:val="00AA1D89"/>
    <w:rsid w:val="00AA2C03"/>
    <w:rsid w:val="00AA4F88"/>
    <w:rsid w:val="00AA4FED"/>
    <w:rsid w:val="00AA57E5"/>
    <w:rsid w:val="00AA662A"/>
    <w:rsid w:val="00AB1AA4"/>
    <w:rsid w:val="00AB3496"/>
    <w:rsid w:val="00AB4626"/>
    <w:rsid w:val="00AB707C"/>
    <w:rsid w:val="00AB7368"/>
    <w:rsid w:val="00AB73BD"/>
    <w:rsid w:val="00AC3E9D"/>
    <w:rsid w:val="00AC4C59"/>
    <w:rsid w:val="00AC4C9D"/>
    <w:rsid w:val="00AC523C"/>
    <w:rsid w:val="00AC5835"/>
    <w:rsid w:val="00AC6422"/>
    <w:rsid w:val="00AC6C4C"/>
    <w:rsid w:val="00AD17B5"/>
    <w:rsid w:val="00AD3289"/>
    <w:rsid w:val="00AD358A"/>
    <w:rsid w:val="00AD408F"/>
    <w:rsid w:val="00AD584C"/>
    <w:rsid w:val="00AD5A0F"/>
    <w:rsid w:val="00AD637F"/>
    <w:rsid w:val="00AE15B4"/>
    <w:rsid w:val="00AE2229"/>
    <w:rsid w:val="00AE3F97"/>
    <w:rsid w:val="00AE4443"/>
    <w:rsid w:val="00AE4CA6"/>
    <w:rsid w:val="00AE4EFA"/>
    <w:rsid w:val="00AE7D65"/>
    <w:rsid w:val="00AF11D4"/>
    <w:rsid w:val="00AF4E79"/>
    <w:rsid w:val="00AF5C34"/>
    <w:rsid w:val="00AF648A"/>
    <w:rsid w:val="00AF6DB1"/>
    <w:rsid w:val="00B00D0C"/>
    <w:rsid w:val="00B0375D"/>
    <w:rsid w:val="00B03D35"/>
    <w:rsid w:val="00B03D82"/>
    <w:rsid w:val="00B03E05"/>
    <w:rsid w:val="00B04814"/>
    <w:rsid w:val="00B0490B"/>
    <w:rsid w:val="00B049E4"/>
    <w:rsid w:val="00B06CDA"/>
    <w:rsid w:val="00B07551"/>
    <w:rsid w:val="00B1252F"/>
    <w:rsid w:val="00B1286A"/>
    <w:rsid w:val="00B146FE"/>
    <w:rsid w:val="00B166A7"/>
    <w:rsid w:val="00B16EFF"/>
    <w:rsid w:val="00B21048"/>
    <w:rsid w:val="00B21C51"/>
    <w:rsid w:val="00B22122"/>
    <w:rsid w:val="00B224C0"/>
    <w:rsid w:val="00B2272B"/>
    <w:rsid w:val="00B23273"/>
    <w:rsid w:val="00B2375D"/>
    <w:rsid w:val="00B239B4"/>
    <w:rsid w:val="00B2417B"/>
    <w:rsid w:val="00B2561F"/>
    <w:rsid w:val="00B27CB8"/>
    <w:rsid w:val="00B35395"/>
    <w:rsid w:val="00B36529"/>
    <w:rsid w:val="00B43441"/>
    <w:rsid w:val="00B436F5"/>
    <w:rsid w:val="00B4456F"/>
    <w:rsid w:val="00B44D57"/>
    <w:rsid w:val="00B45D8F"/>
    <w:rsid w:val="00B46095"/>
    <w:rsid w:val="00B4634C"/>
    <w:rsid w:val="00B47BFD"/>
    <w:rsid w:val="00B53269"/>
    <w:rsid w:val="00B53666"/>
    <w:rsid w:val="00B54B0B"/>
    <w:rsid w:val="00B54B5E"/>
    <w:rsid w:val="00B563A1"/>
    <w:rsid w:val="00B61E6E"/>
    <w:rsid w:val="00B63F0D"/>
    <w:rsid w:val="00B64713"/>
    <w:rsid w:val="00B6498B"/>
    <w:rsid w:val="00B7290A"/>
    <w:rsid w:val="00B73B3B"/>
    <w:rsid w:val="00B74347"/>
    <w:rsid w:val="00B7498D"/>
    <w:rsid w:val="00B75608"/>
    <w:rsid w:val="00B75BE9"/>
    <w:rsid w:val="00B804CF"/>
    <w:rsid w:val="00B83145"/>
    <w:rsid w:val="00B838FA"/>
    <w:rsid w:val="00B90B87"/>
    <w:rsid w:val="00B91EF1"/>
    <w:rsid w:val="00B93C9D"/>
    <w:rsid w:val="00B972A5"/>
    <w:rsid w:val="00BA10B6"/>
    <w:rsid w:val="00BA362C"/>
    <w:rsid w:val="00BA45D5"/>
    <w:rsid w:val="00BA4BDD"/>
    <w:rsid w:val="00BA6BFA"/>
    <w:rsid w:val="00BA721F"/>
    <w:rsid w:val="00BB0803"/>
    <w:rsid w:val="00BB12C1"/>
    <w:rsid w:val="00BB53F0"/>
    <w:rsid w:val="00BB5405"/>
    <w:rsid w:val="00BB6BE1"/>
    <w:rsid w:val="00BB7003"/>
    <w:rsid w:val="00BC173F"/>
    <w:rsid w:val="00BC26AE"/>
    <w:rsid w:val="00BC37A3"/>
    <w:rsid w:val="00BC49B5"/>
    <w:rsid w:val="00BC4D07"/>
    <w:rsid w:val="00BC4D53"/>
    <w:rsid w:val="00BC5E5C"/>
    <w:rsid w:val="00BC73AF"/>
    <w:rsid w:val="00BC7845"/>
    <w:rsid w:val="00BD6434"/>
    <w:rsid w:val="00BD7037"/>
    <w:rsid w:val="00BD77BF"/>
    <w:rsid w:val="00BD7FC5"/>
    <w:rsid w:val="00BE2CBF"/>
    <w:rsid w:val="00BE3D72"/>
    <w:rsid w:val="00BE455A"/>
    <w:rsid w:val="00BE52E3"/>
    <w:rsid w:val="00BE54AE"/>
    <w:rsid w:val="00BE6F3E"/>
    <w:rsid w:val="00BE7D62"/>
    <w:rsid w:val="00BF09DF"/>
    <w:rsid w:val="00BF27A2"/>
    <w:rsid w:val="00BF2AA8"/>
    <w:rsid w:val="00BF5422"/>
    <w:rsid w:val="00BF6746"/>
    <w:rsid w:val="00C04079"/>
    <w:rsid w:val="00C052C5"/>
    <w:rsid w:val="00C05AA5"/>
    <w:rsid w:val="00C06DBA"/>
    <w:rsid w:val="00C114AF"/>
    <w:rsid w:val="00C1423E"/>
    <w:rsid w:val="00C16038"/>
    <w:rsid w:val="00C16F3F"/>
    <w:rsid w:val="00C2332A"/>
    <w:rsid w:val="00C23532"/>
    <w:rsid w:val="00C24884"/>
    <w:rsid w:val="00C25C25"/>
    <w:rsid w:val="00C27B74"/>
    <w:rsid w:val="00C27C92"/>
    <w:rsid w:val="00C27FA2"/>
    <w:rsid w:val="00C30BD8"/>
    <w:rsid w:val="00C31A51"/>
    <w:rsid w:val="00C3464E"/>
    <w:rsid w:val="00C34D0D"/>
    <w:rsid w:val="00C362CA"/>
    <w:rsid w:val="00C41E4A"/>
    <w:rsid w:val="00C422F0"/>
    <w:rsid w:val="00C42D11"/>
    <w:rsid w:val="00C44CE7"/>
    <w:rsid w:val="00C45405"/>
    <w:rsid w:val="00C45494"/>
    <w:rsid w:val="00C45838"/>
    <w:rsid w:val="00C4733E"/>
    <w:rsid w:val="00C51561"/>
    <w:rsid w:val="00C522F5"/>
    <w:rsid w:val="00C524F1"/>
    <w:rsid w:val="00C52990"/>
    <w:rsid w:val="00C52C58"/>
    <w:rsid w:val="00C60543"/>
    <w:rsid w:val="00C610E4"/>
    <w:rsid w:val="00C62601"/>
    <w:rsid w:val="00C63125"/>
    <w:rsid w:val="00C63F93"/>
    <w:rsid w:val="00C64015"/>
    <w:rsid w:val="00C66BB3"/>
    <w:rsid w:val="00C67B1C"/>
    <w:rsid w:val="00C702ED"/>
    <w:rsid w:val="00C70963"/>
    <w:rsid w:val="00C71214"/>
    <w:rsid w:val="00C716D1"/>
    <w:rsid w:val="00C71800"/>
    <w:rsid w:val="00C738AB"/>
    <w:rsid w:val="00C74651"/>
    <w:rsid w:val="00C74D30"/>
    <w:rsid w:val="00C754F5"/>
    <w:rsid w:val="00C770C7"/>
    <w:rsid w:val="00C7725F"/>
    <w:rsid w:val="00C8321E"/>
    <w:rsid w:val="00C8481C"/>
    <w:rsid w:val="00C85682"/>
    <w:rsid w:val="00C85717"/>
    <w:rsid w:val="00C868F3"/>
    <w:rsid w:val="00C925DE"/>
    <w:rsid w:val="00C93084"/>
    <w:rsid w:val="00C93CE6"/>
    <w:rsid w:val="00C944EF"/>
    <w:rsid w:val="00C94FDF"/>
    <w:rsid w:val="00C97F5E"/>
    <w:rsid w:val="00CA0325"/>
    <w:rsid w:val="00CA26DA"/>
    <w:rsid w:val="00CA35F6"/>
    <w:rsid w:val="00CA3CAB"/>
    <w:rsid w:val="00CA5F31"/>
    <w:rsid w:val="00CA6551"/>
    <w:rsid w:val="00CA6944"/>
    <w:rsid w:val="00CB02D5"/>
    <w:rsid w:val="00CB170F"/>
    <w:rsid w:val="00CB33D3"/>
    <w:rsid w:val="00CB390E"/>
    <w:rsid w:val="00CB4236"/>
    <w:rsid w:val="00CB5CDC"/>
    <w:rsid w:val="00CC13EF"/>
    <w:rsid w:val="00CC3926"/>
    <w:rsid w:val="00CC56B7"/>
    <w:rsid w:val="00CC5703"/>
    <w:rsid w:val="00CC74D0"/>
    <w:rsid w:val="00CD0A73"/>
    <w:rsid w:val="00CE082B"/>
    <w:rsid w:val="00CE0CC6"/>
    <w:rsid w:val="00CE1367"/>
    <w:rsid w:val="00CE29A7"/>
    <w:rsid w:val="00CE3E1B"/>
    <w:rsid w:val="00CE3F8B"/>
    <w:rsid w:val="00CE4138"/>
    <w:rsid w:val="00CE4CAF"/>
    <w:rsid w:val="00CE5265"/>
    <w:rsid w:val="00CE56FB"/>
    <w:rsid w:val="00CE702D"/>
    <w:rsid w:val="00CE7177"/>
    <w:rsid w:val="00CE7DDB"/>
    <w:rsid w:val="00CF167D"/>
    <w:rsid w:val="00CF27CA"/>
    <w:rsid w:val="00CF2B92"/>
    <w:rsid w:val="00CF2D99"/>
    <w:rsid w:val="00CF35B5"/>
    <w:rsid w:val="00CF4E2B"/>
    <w:rsid w:val="00CF5B49"/>
    <w:rsid w:val="00CF7903"/>
    <w:rsid w:val="00D010DC"/>
    <w:rsid w:val="00D040F1"/>
    <w:rsid w:val="00D0425E"/>
    <w:rsid w:val="00D064CD"/>
    <w:rsid w:val="00D07A80"/>
    <w:rsid w:val="00D11218"/>
    <w:rsid w:val="00D12173"/>
    <w:rsid w:val="00D12642"/>
    <w:rsid w:val="00D12C48"/>
    <w:rsid w:val="00D13298"/>
    <w:rsid w:val="00D144B5"/>
    <w:rsid w:val="00D15910"/>
    <w:rsid w:val="00D170CE"/>
    <w:rsid w:val="00D1729B"/>
    <w:rsid w:val="00D17533"/>
    <w:rsid w:val="00D247AF"/>
    <w:rsid w:val="00D26202"/>
    <w:rsid w:val="00D2630A"/>
    <w:rsid w:val="00D265DE"/>
    <w:rsid w:val="00D26625"/>
    <w:rsid w:val="00D26661"/>
    <w:rsid w:val="00D274ED"/>
    <w:rsid w:val="00D314F7"/>
    <w:rsid w:val="00D32294"/>
    <w:rsid w:val="00D32C6C"/>
    <w:rsid w:val="00D36219"/>
    <w:rsid w:val="00D40428"/>
    <w:rsid w:val="00D4383B"/>
    <w:rsid w:val="00D45F34"/>
    <w:rsid w:val="00D50C97"/>
    <w:rsid w:val="00D534BC"/>
    <w:rsid w:val="00D5353E"/>
    <w:rsid w:val="00D54038"/>
    <w:rsid w:val="00D54673"/>
    <w:rsid w:val="00D54C8C"/>
    <w:rsid w:val="00D57986"/>
    <w:rsid w:val="00D626D3"/>
    <w:rsid w:val="00D6515F"/>
    <w:rsid w:val="00D665EC"/>
    <w:rsid w:val="00D66C3B"/>
    <w:rsid w:val="00D70D20"/>
    <w:rsid w:val="00D72F90"/>
    <w:rsid w:val="00D73671"/>
    <w:rsid w:val="00D74AF7"/>
    <w:rsid w:val="00D75D89"/>
    <w:rsid w:val="00D75F55"/>
    <w:rsid w:val="00D76633"/>
    <w:rsid w:val="00D81D10"/>
    <w:rsid w:val="00D83C37"/>
    <w:rsid w:val="00D8526A"/>
    <w:rsid w:val="00D87974"/>
    <w:rsid w:val="00D91C78"/>
    <w:rsid w:val="00D93D52"/>
    <w:rsid w:val="00D9465E"/>
    <w:rsid w:val="00D94EEF"/>
    <w:rsid w:val="00D95450"/>
    <w:rsid w:val="00D961F6"/>
    <w:rsid w:val="00D96305"/>
    <w:rsid w:val="00D96F81"/>
    <w:rsid w:val="00D97105"/>
    <w:rsid w:val="00DA1CA4"/>
    <w:rsid w:val="00DA2E64"/>
    <w:rsid w:val="00DA3D0F"/>
    <w:rsid w:val="00DA466B"/>
    <w:rsid w:val="00DA52AB"/>
    <w:rsid w:val="00DA5874"/>
    <w:rsid w:val="00DA60FD"/>
    <w:rsid w:val="00DA6C70"/>
    <w:rsid w:val="00DA6EC4"/>
    <w:rsid w:val="00DA7131"/>
    <w:rsid w:val="00DB1BE9"/>
    <w:rsid w:val="00DB2284"/>
    <w:rsid w:val="00DB2454"/>
    <w:rsid w:val="00DB271D"/>
    <w:rsid w:val="00DC0446"/>
    <w:rsid w:val="00DC0A7A"/>
    <w:rsid w:val="00DC0E0F"/>
    <w:rsid w:val="00DC1772"/>
    <w:rsid w:val="00DC224C"/>
    <w:rsid w:val="00DC4EB3"/>
    <w:rsid w:val="00DC576A"/>
    <w:rsid w:val="00DC65B9"/>
    <w:rsid w:val="00DC6E4B"/>
    <w:rsid w:val="00DD1910"/>
    <w:rsid w:val="00DD1F7E"/>
    <w:rsid w:val="00DD1FF0"/>
    <w:rsid w:val="00DD73CA"/>
    <w:rsid w:val="00DE2288"/>
    <w:rsid w:val="00DE3010"/>
    <w:rsid w:val="00DE3693"/>
    <w:rsid w:val="00DE4408"/>
    <w:rsid w:val="00DE4931"/>
    <w:rsid w:val="00DE4EF9"/>
    <w:rsid w:val="00DE7F06"/>
    <w:rsid w:val="00DF1255"/>
    <w:rsid w:val="00DF26E5"/>
    <w:rsid w:val="00DF4740"/>
    <w:rsid w:val="00DF4B77"/>
    <w:rsid w:val="00DF51E3"/>
    <w:rsid w:val="00DF6473"/>
    <w:rsid w:val="00DF6FC0"/>
    <w:rsid w:val="00DF7647"/>
    <w:rsid w:val="00DF7AAF"/>
    <w:rsid w:val="00E01F25"/>
    <w:rsid w:val="00E026E2"/>
    <w:rsid w:val="00E06837"/>
    <w:rsid w:val="00E10E87"/>
    <w:rsid w:val="00E12147"/>
    <w:rsid w:val="00E12BEC"/>
    <w:rsid w:val="00E13E6D"/>
    <w:rsid w:val="00E15238"/>
    <w:rsid w:val="00E15998"/>
    <w:rsid w:val="00E15D28"/>
    <w:rsid w:val="00E16A65"/>
    <w:rsid w:val="00E20821"/>
    <w:rsid w:val="00E22CE9"/>
    <w:rsid w:val="00E22D47"/>
    <w:rsid w:val="00E235BE"/>
    <w:rsid w:val="00E23974"/>
    <w:rsid w:val="00E23C10"/>
    <w:rsid w:val="00E2514B"/>
    <w:rsid w:val="00E26592"/>
    <w:rsid w:val="00E27147"/>
    <w:rsid w:val="00E27420"/>
    <w:rsid w:val="00E27919"/>
    <w:rsid w:val="00E279CF"/>
    <w:rsid w:val="00E27D29"/>
    <w:rsid w:val="00E3009E"/>
    <w:rsid w:val="00E312F3"/>
    <w:rsid w:val="00E31603"/>
    <w:rsid w:val="00E31FE6"/>
    <w:rsid w:val="00E32174"/>
    <w:rsid w:val="00E3256B"/>
    <w:rsid w:val="00E32DED"/>
    <w:rsid w:val="00E333F5"/>
    <w:rsid w:val="00E33C22"/>
    <w:rsid w:val="00E33D9A"/>
    <w:rsid w:val="00E34BC9"/>
    <w:rsid w:val="00E36F2A"/>
    <w:rsid w:val="00E4119D"/>
    <w:rsid w:val="00E41B86"/>
    <w:rsid w:val="00E43132"/>
    <w:rsid w:val="00E45409"/>
    <w:rsid w:val="00E454F0"/>
    <w:rsid w:val="00E46717"/>
    <w:rsid w:val="00E46C59"/>
    <w:rsid w:val="00E46E4C"/>
    <w:rsid w:val="00E47419"/>
    <w:rsid w:val="00E5035A"/>
    <w:rsid w:val="00E509BD"/>
    <w:rsid w:val="00E53173"/>
    <w:rsid w:val="00E536D2"/>
    <w:rsid w:val="00E53B6B"/>
    <w:rsid w:val="00E53BA1"/>
    <w:rsid w:val="00E5477B"/>
    <w:rsid w:val="00E548DF"/>
    <w:rsid w:val="00E54F1A"/>
    <w:rsid w:val="00E55797"/>
    <w:rsid w:val="00E5764E"/>
    <w:rsid w:val="00E57D76"/>
    <w:rsid w:val="00E57F02"/>
    <w:rsid w:val="00E60B8C"/>
    <w:rsid w:val="00E61CF1"/>
    <w:rsid w:val="00E62433"/>
    <w:rsid w:val="00E62FD9"/>
    <w:rsid w:val="00E65C32"/>
    <w:rsid w:val="00E66245"/>
    <w:rsid w:val="00E67604"/>
    <w:rsid w:val="00E74EBD"/>
    <w:rsid w:val="00E75C95"/>
    <w:rsid w:val="00E76089"/>
    <w:rsid w:val="00E76252"/>
    <w:rsid w:val="00E7718B"/>
    <w:rsid w:val="00E77CA5"/>
    <w:rsid w:val="00E77E0B"/>
    <w:rsid w:val="00E8026A"/>
    <w:rsid w:val="00E8134B"/>
    <w:rsid w:val="00E83921"/>
    <w:rsid w:val="00E84B78"/>
    <w:rsid w:val="00E86388"/>
    <w:rsid w:val="00E87987"/>
    <w:rsid w:val="00E87F78"/>
    <w:rsid w:val="00E9353B"/>
    <w:rsid w:val="00E94AAC"/>
    <w:rsid w:val="00E95FE2"/>
    <w:rsid w:val="00EA17C0"/>
    <w:rsid w:val="00EA2CAD"/>
    <w:rsid w:val="00EA3ADF"/>
    <w:rsid w:val="00EA4A37"/>
    <w:rsid w:val="00EA4E07"/>
    <w:rsid w:val="00EA6C9B"/>
    <w:rsid w:val="00EB0630"/>
    <w:rsid w:val="00EB2ED9"/>
    <w:rsid w:val="00EB37C6"/>
    <w:rsid w:val="00EB4306"/>
    <w:rsid w:val="00EB4A14"/>
    <w:rsid w:val="00EB4C5F"/>
    <w:rsid w:val="00EB6823"/>
    <w:rsid w:val="00EB74B7"/>
    <w:rsid w:val="00EB7C68"/>
    <w:rsid w:val="00EC0218"/>
    <w:rsid w:val="00EC0343"/>
    <w:rsid w:val="00EC0A20"/>
    <w:rsid w:val="00EC27A0"/>
    <w:rsid w:val="00EC2A36"/>
    <w:rsid w:val="00EC2E0B"/>
    <w:rsid w:val="00EC32AC"/>
    <w:rsid w:val="00EC4719"/>
    <w:rsid w:val="00EC677D"/>
    <w:rsid w:val="00EC695D"/>
    <w:rsid w:val="00ED2A87"/>
    <w:rsid w:val="00ED30F0"/>
    <w:rsid w:val="00ED37ED"/>
    <w:rsid w:val="00ED4E20"/>
    <w:rsid w:val="00ED6424"/>
    <w:rsid w:val="00ED6B04"/>
    <w:rsid w:val="00ED7B39"/>
    <w:rsid w:val="00EE0164"/>
    <w:rsid w:val="00EE0722"/>
    <w:rsid w:val="00EE1BCB"/>
    <w:rsid w:val="00EE227F"/>
    <w:rsid w:val="00EE2751"/>
    <w:rsid w:val="00EE3A40"/>
    <w:rsid w:val="00EE4A39"/>
    <w:rsid w:val="00EE6710"/>
    <w:rsid w:val="00EE755E"/>
    <w:rsid w:val="00EF00C1"/>
    <w:rsid w:val="00EF0F65"/>
    <w:rsid w:val="00EF10B4"/>
    <w:rsid w:val="00EF3B79"/>
    <w:rsid w:val="00EF3E42"/>
    <w:rsid w:val="00EF4588"/>
    <w:rsid w:val="00EF5F41"/>
    <w:rsid w:val="00F00C00"/>
    <w:rsid w:val="00F02FCC"/>
    <w:rsid w:val="00F03F12"/>
    <w:rsid w:val="00F048AE"/>
    <w:rsid w:val="00F05F4B"/>
    <w:rsid w:val="00F0659E"/>
    <w:rsid w:val="00F1083F"/>
    <w:rsid w:val="00F13044"/>
    <w:rsid w:val="00F16A50"/>
    <w:rsid w:val="00F16CF1"/>
    <w:rsid w:val="00F173EA"/>
    <w:rsid w:val="00F206DF"/>
    <w:rsid w:val="00F21D68"/>
    <w:rsid w:val="00F237D6"/>
    <w:rsid w:val="00F23A58"/>
    <w:rsid w:val="00F31E72"/>
    <w:rsid w:val="00F33F2E"/>
    <w:rsid w:val="00F34450"/>
    <w:rsid w:val="00F3574F"/>
    <w:rsid w:val="00F36AE8"/>
    <w:rsid w:val="00F40D1E"/>
    <w:rsid w:val="00F4234A"/>
    <w:rsid w:val="00F43884"/>
    <w:rsid w:val="00F442B5"/>
    <w:rsid w:val="00F443F1"/>
    <w:rsid w:val="00F46346"/>
    <w:rsid w:val="00F476A9"/>
    <w:rsid w:val="00F51FC3"/>
    <w:rsid w:val="00F52B77"/>
    <w:rsid w:val="00F60A28"/>
    <w:rsid w:val="00F6186D"/>
    <w:rsid w:val="00F62A57"/>
    <w:rsid w:val="00F62D77"/>
    <w:rsid w:val="00F641DA"/>
    <w:rsid w:val="00F6594D"/>
    <w:rsid w:val="00F6729C"/>
    <w:rsid w:val="00F679A8"/>
    <w:rsid w:val="00F679C4"/>
    <w:rsid w:val="00F70888"/>
    <w:rsid w:val="00F71A88"/>
    <w:rsid w:val="00F72AB5"/>
    <w:rsid w:val="00F72ED9"/>
    <w:rsid w:val="00F734F5"/>
    <w:rsid w:val="00F767FF"/>
    <w:rsid w:val="00F775F0"/>
    <w:rsid w:val="00F854FE"/>
    <w:rsid w:val="00F85C4D"/>
    <w:rsid w:val="00F86D0B"/>
    <w:rsid w:val="00F86F2E"/>
    <w:rsid w:val="00F904DC"/>
    <w:rsid w:val="00F92258"/>
    <w:rsid w:val="00F924FD"/>
    <w:rsid w:val="00F94FCA"/>
    <w:rsid w:val="00F95986"/>
    <w:rsid w:val="00FA0891"/>
    <w:rsid w:val="00FA1B2B"/>
    <w:rsid w:val="00FA2276"/>
    <w:rsid w:val="00FA38E8"/>
    <w:rsid w:val="00FA3C35"/>
    <w:rsid w:val="00FA6F63"/>
    <w:rsid w:val="00FA7329"/>
    <w:rsid w:val="00FA75CB"/>
    <w:rsid w:val="00FB024F"/>
    <w:rsid w:val="00FB2113"/>
    <w:rsid w:val="00FB239D"/>
    <w:rsid w:val="00FB39A9"/>
    <w:rsid w:val="00FC06AE"/>
    <w:rsid w:val="00FC0A37"/>
    <w:rsid w:val="00FC236F"/>
    <w:rsid w:val="00FC2C20"/>
    <w:rsid w:val="00FC2DB6"/>
    <w:rsid w:val="00FC3297"/>
    <w:rsid w:val="00FC3CE1"/>
    <w:rsid w:val="00FC4E7E"/>
    <w:rsid w:val="00FC665A"/>
    <w:rsid w:val="00FC7079"/>
    <w:rsid w:val="00FD1713"/>
    <w:rsid w:val="00FD4C22"/>
    <w:rsid w:val="00FD4D51"/>
    <w:rsid w:val="00FD67B5"/>
    <w:rsid w:val="00FD7DCB"/>
    <w:rsid w:val="00FE0ED3"/>
    <w:rsid w:val="00FE0F40"/>
    <w:rsid w:val="00FE564F"/>
    <w:rsid w:val="00FE5A1D"/>
    <w:rsid w:val="00FE7B11"/>
    <w:rsid w:val="00FF1EEB"/>
    <w:rsid w:val="00FF20B0"/>
    <w:rsid w:val="00FF2331"/>
    <w:rsid w:val="00FF34C9"/>
    <w:rsid w:val="00FF4D13"/>
    <w:rsid w:val="00FF523B"/>
    <w:rsid w:val="00FF5BD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State"/>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2AB5"/>
    <w:pPr>
      <w:spacing w:before="120" w:after="120"/>
    </w:pPr>
    <w:rPr>
      <w:rFonts w:ascii="Calibri" w:hAnsi="Calibri"/>
      <w:sz w:val="22"/>
      <w:szCs w:val="24"/>
      <w:lang w:eastAsia="en-US"/>
    </w:rPr>
  </w:style>
  <w:style w:type="paragraph" w:styleId="Heading1">
    <w:name w:val="heading 1"/>
    <w:basedOn w:val="Normal"/>
    <w:next w:val="Normal"/>
    <w:link w:val="Heading1Char"/>
    <w:qFormat/>
    <w:rsid w:val="00785180"/>
    <w:pPr>
      <w:keepNext/>
      <w:pageBreakBefore/>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785180"/>
    <w:pPr>
      <w:keepNext/>
      <w:spacing w:before="240" w:after="60"/>
      <w:outlineLvl w:val="1"/>
    </w:pPr>
    <w:rPr>
      <w:rFonts w:ascii="Arial" w:hAnsi="Arial" w:cs="Arial"/>
      <w:b/>
      <w:bCs/>
      <w:iCs/>
      <w:sz w:val="26"/>
      <w:szCs w:val="28"/>
    </w:rPr>
  </w:style>
  <w:style w:type="paragraph" w:styleId="Heading3">
    <w:name w:val="heading 3"/>
    <w:basedOn w:val="Normal"/>
    <w:next w:val="Normal"/>
    <w:link w:val="Heading3Char"/>
    <w:qFormat/>
    <w:rsid w:val="00785180"/>
    <w:pPr>
      <w:keepNext/>
      <w:spacing w:before="240" w:after="60"/>
      <w:outlineLvl w:val="2"/>
    </w:pPr>
    <w:rPr>
      <w:b/>
      <w:bCs/>
      <w:szCs w:val="26"/>
      <w:lang w:eastAsia="en-AU"/>
    </w:rPr>
  </w:style>
  <w:style w:type="paragraph" w:styleId="Heading4">
    <w:name w:val="heading 4"/>
    <w:basedOn w:val="Normal"/>
    <w:next w:val="Normal"/>
    <w:link w:val="Heading4Char"/>
    <w:qFormat/>
    <w:rsid w:val="00785180"/>
    <w:pPr>
      <w:keepNext/>
      <w:spacing w:before="240" w:after="60"/>
      <w:outlineLvl w:val="3"/>
    </w:pPr>
    <w:rPr>
      <w:bCs/>
      <w:i/>
      <w:szCs w:val="28"/>
      <w:lang w:eastAsia="en-AU"/>
    </w:rPr>
  </w:style>
  <w:style w:type="paragraph" w:styleId="Heading5">
    <w:name w:val="heading 5"/>
    <w:basedOn w:val="Normal"/>
    <w:next w:val="Normal"/>
    <w:link w:val="Heading5Char"/>
    <w:qFormat/>
    <w:rsid w:val="00785180"/>
    <w:pPr>
      <w:spacing w:before="240" w:after="60"/>
      <w:outlineLvl w:val="4"/>
    </w:pPr>
    <w:rPr>
      <w:bCs/>
      <w:iCs/>
      <w:u w:val="single"/>
    </w:rPr>
  </w:style>
  <w:style w:type="paragraph" w:styleId="Heading6">
    <w:name w:val="heading 6"/>
    <w:basedOn w:val="Normal"/>
    <w:next w:val="Normal"/>
    <w:link w:val="Heading6Char"/>
    <w:qFormat/>
    <w:rsid w:val="00785180"/>
    <w:pPr>
      <w:spacing w:before="240" w:after="60"/>
      <w:outlineLvl w:val="5"/>
    </w:pPr>
    <w:rPr>
      <w:b/>
      <w:bCs/>
      <w:szCs w:val="22"/>
      <w:lang w:eastAsia="en-AU"/>
    </w:rPr>
  </w:style>
  <w:style w:type="paragraph" w:styleId="Heading7">
    <w:name w:val="heading 7"/>
    <w:basedOn w:val="Normal"/>
    <w:next w:val="Normal"/>
    <w:link w:val="Heading7Char"/>
    <w:qFormat/>
    <w:rsid w:val="00785180"/>
    <w:pPr>
      <w:keepNext/>
      <w:jc w:val="center"/>
      <w:outlineLvl w:val="6"/>
    </w:pPr>
    <w:rPr>
      <w:rFonts w:ascii="Arial" w:hAnsi="Arial"/>
      <w:b/>
      <w:bCs/>
      <w:sz w:val="20"/>
      <w:szCs w:val="20"/>
      <w:lang w:eastAsia="en-AU"/>
    </w:rPr>
  </w:style>
  <w:style w:type="paragraph" w:styleId="Heading9">
    <w:name w:val="heading 9"/>
    <w:basedOn w:val="Normal"/>
    <w:next w:val="Normal"/>
    <w:link w:val="Heading9Char"/>
    <w:qFormat/>
    <w:rsid w:val="00785180"/>
    <w:pPr>
      <w:keepNext/>
      <w:ind w:left="180"/>
      <w:outlineLvl w:val="8"/>
    </w:pPr>
    <w:rPr>
      <w:rFonts w:ascii="Arial" w:eastAsia="Arial Unicode MS" w:hAnsi="Arial"/>
      <w:b/>
      <w:bCs/>
      <w:sz w:val="16"/>
      <w:szCs w:val="16"/>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785180"/>
    <w:rPr>
      <w:rFonts w:ascii="Arial" w:hAnsi="Arial" w:cs="Times New Roman"/>
      <w:b/>
      <w:kern w:val="32"/>
      <w:sz w:val="32"/>
      <w:lang w:val="en-AU" w:eastAsia="en-US"/>
    </w:rPr>
  </w:style>
  <w:style w:type="character" w:customStyle="1" w:styleId="Heading2Char">
    <w:name w:val="Heading 2 Char"/>
    <w:link w:val="Heading2"/>
    <w:locked/>
    <w:rsid w:val="00785180"/>
    <w:rPr>
      <w:rFonts w:ascii="Arial" w:hAnsi="Arial" w:cs="Times New Roman"/>
      <w:b/>
      <w:sz w:val="28"/>
      <w:lang w:val="en-AU" w:eastAsia="en-US"/>
    </w:rPr>
  </w:style>
  <w:style w:type="character" w:customStyle="1" w:styleId="Heading3Char">
    <w:name w:val="Heading 3 Char"/>
    <w:link w:val="Heading3"/>
    <w:locked/>
    <w:rsid w:val="00785180"/>
    <w:rPr>
      <w:rFonts w:cs="Times New Roman"/>
      <w:b/>
      <w:sz w:val="26"/>
      <w:lang w:val="en-AU" w:eastAsia="x-none"/>
    </w:rPr>
  </w:style>
  <w:style w:type="character" w:customStyle="1" w:styleId="Heading4Char">
    <w:name w:val="Heading 4 Char"/>
    <w:link w:val="Heading4"/>
    <w:locked/>
    <w:rsid w:val="00785180"/>
    <w:rPr>
      <w:rFonts w:cs="Times New Roman"/>
      <w:i/>
      <w:sz w:val="28"/>
      <w:lang w:val="en-AU" w:eastAsia="x-none"/>
    </w:rPr>
  </w:style>
  <w:style w:type="character" w:customStyle="1" w:styleId="Heading5Char">
    <w:name w:val="Heading 5 Char"/>
    <w:link w:val="Heading5"/>
    <w:locked/>
    <w:rsid w:val="00785180"/>
    <w:rPr>
      <w:rFonts w:cs="Times New Roman"/>
      <w:sz w:val="24"/>
      <w:u w:val="single"/>
      <w:lang w:val="en-AU" w:eastAsia="en-US"/>
    </w:rPr>
  </w:style>
  <w:style w:type="character" w:customStyle="1" w:styleId="Heading6Char">
    <w:name w:val="Heading 6 Char"/>
    <w:link w:val="Heading6"/>
    <w:locked/>
    <w:rsid w:val="00785180"/>
    <w:rPr>
      <w:rFonts w:cs="Times New Roman"/>
      <w:b/>
      <w:sz w:val="22"/>
      <w:lang w:val="en-AU" w:eastAsia="x-none"/>
    </w:rPr>
  </w:style>
  <w:style w:type="character" w:customStyle="1" w:styleId="Heading7Char">
    <w:name w:val="Heading 7 Char"/>
    <w:link w:val="Heading7"/>
    <w:locked/>
    <w:rsid w:val="00785180"/>
    <w:rPr>
      <w:rFonts w:ascii="Arial" w:hAnsi="Arial" w:cs="Times New Roman"/>
      <w:b/>
      <w:lang w:val="en-AU" w:eastAsia="x-none"/>
    </w:rPr>
  </w:style>
  <w:style w:type="character" w:customStyle="1" w:styleId="Heading9Char">
    <w:name w:val="Heading 9 Char"/>
    <w:link w:val="Heading9"/>
    <w:locked/>
    <w:rsid w:val="00785180"/>
    <w:rPr>
      <w:rFonts w:ascii="Arial" w:eastAsia="Arial Unicode MS" w:hAnsi="Arial" w:cs="Times New Roman"/>
      <w:b/>
      <w:sz w:val="16"/>
      <w:lang w:val="en-AU" w:eastAsia="x-none"/>
    </w:rPr>
  </w:style>
  <w:style w:type="paragraph" w:styleId="BodyText">
    <w:name w:val="Body Text"/>
    <w:basedOn w:val="Normal"/>
    <w:link w:val="BodyTextChar1"/>
    <w:rsid w:val="00785180"/>
    <w:pPr>
      <w:spacing w:line="360" w:lineRule="auto"/>
    </w:pPr>
    <w:rPr>
      <w:szCs w:val="20"/>
      <w:lang w:eastAsia="en-AU"/>
    </w:rPr>
  </w:style>
  <w:style w:type="character" w:customStyle="1" w:styleId="BodyTextChar">
    <w:name w:val="Body Text Char"/>
    <w:locked/>
    <w:rsid w:val="00785180"/>
    <w:rPr>
      <w:rFonts w:ascii="Times New Roman" w:hAnsi="Times New Roman" w:cs="Times New Roman"/>
      <w:sz w:val="24"/>
      <w:lang w:val="en-AU" w:eastAsia="en-AU"/>
    </w:rPr>
  </w:style>
  <w:style w:type="paragraph" w:styleId="Title">
    <w:name w:val="Title"/>
    <w:basedOn w:val="Normal"/>
    <w:link w:val="TitleChar"/>
    <w:qFormat/>
    <w:rsid w:val="00785180"/>
    <w:pPr>
      <w:spacing w:before="240" w:after="60" w:line="360" w:lineRule="auto"/>
      <w:jc w:val="center"/>
      <w:outlineLvl w:val="0"/>
    </w:pPr>
    <w:rPr>
      <w:rFonts w:ascii="Arial" w:hAnsi="Arial"/>
      <w:b/>
      <w:bCs/>
      <w:kern w:val="28"/>
      <w:sz w:val="32"/>
      <w:szCs w:val="32"/>
      <w:lang w:eastAsia="en-AU"/>
    </w:rPr>
  </w:style>
  <w:style w:type="character" w:customStyle="1" w:styleId="TitleChar">
    <w:name w:val="Title Char"/>
    <w:link w:val="Title"/>
    <w:locked/>
    <w:rsid w:val="00785180"/>
    <w:rPr>
      <w:rFonts w:ascii="Arial" w:hAnsi="Arial" w:cs="Times New Roman"/>
      <w:b/>
      <w:kern w:val="28"/>
      <w:sz w:val="32"/>
      <w:lang w:val="en-AU" w:eastAsia="en-AU"/>
    </w:rPr>
  </w:style>
  <w:style w:type="paragraph" w:styleId="FootnoteText">
    <w:name w:val="footnote text"/>
    <w:basedOn w:val="Normal"/>
    <w:link w:val="FootnoteTextChar"/>
    <w:semiHidden/>
    <w:rsid w:val="00785180"/>
    <w:rPr>
      <w:sz w:val="20"/>
      <w:szCs w:val="20"/>
      <w:lang w:eastAsia="en-AU"/>
    </w:rPr>
  </w:style>
  <w:style w:type="character" w:customStyle="1" w:styleId="FootnoteTextChar">
    <w:name w:val="Footnote Text Char"/>
    <w:link w:val="FootnoteText"/>
    <w:semiHidden/>
    <w:locked/>
    <w:rsid w:val="00785180"/>
    <w:rPr>
      <w:rFonts w:cs="Times New Roman"/>
      <w:lang w:val="en-AU" w:eastAsia="en-AU"/>
    </w:rPr>
  </w:style>
  <w:style w:type="character" w:styleId="FootnoteReference">
    <w:name w:val="footnote reference"/>
    <w:semiHidden/>
    <w:rsid w:val="00785180"/>
    <w:rPr>
      <w:rFonts w:cs="Times New Roman"/>
      <w:vertAlign w:val="superscript"/>
    </w:rPr>
  </w:style>
  <w:style w:type="character" w:styleId="Hyperlink">
    <w:name w:val="Hyperlink"/>
    <w:rsid w:val="00785180"/>
    <w:rPr>
      <w:rFonts w:cs="Times New Roman"/>
      <w:color w:val="0000FF"/>
      <w:u w:val="single"/>
    </w:rPr>
  </w:style>
  <w:style w:type="paragraph" w:customStyle="1" w:styleId="normaltext">
    <w:name w:val="normal text"/>
    <w:basedOn w:val="Normal"/>
    <w:link w:val="normaltextChar"/>
    <w:rsid w:val="003469AB"/>
    <w:rPr>
      <w:rFonts w:ascii="Arial" w:hAnsi="Arial"/>
      <w:szCs w:val="20"/>
    </w:rPr>
  </w:style>
  <w:style w:type="character" w:customStyle="1" w:styleId="normaltextChar">
    <w:name w:val="normal text Char"/>
    <w:link w:val="normaltext"/>
    <w:locked/>
    <w:rsid w:val="003469AB"/>
    <w:rPr>
      <w:rFonts w:ascii="Arial" w:hAnsi="Arial"/>
      <w:sz w:val="24"/>
      <w:lang w:val="en-AU" w:eastAsia="en-US"/>
    </w:rPr>
  </w:style>
  <w:style w:type="paragraph" w:styleId="NormalWeb">
    <w:name w:val="Normal (Web)"/>
    <w:basedOn w:val="Normal"/>
    <w:semiHidden/>
    <w:rsid w:val="00785180"/>
    <w:pPr>
      <w:spacing w:before="100" w:beforeAutospacing="1" w:after="100" w:afterAutospacing="1"/>
    </w:pPr>
    <w:rPr>
      <w:lang w:eastAsia="en-AU"/>
    </w:rPr>
  </w:style>
  <w:style w:type="paragraph" w:customStyle="1" w:styleId="ListNosforConcept">
    <w:name w:val="List No's for Concept"/>
    <w:basedOn w:val="Normal"/>
    <w:rsid w:val="003469AB"/>
    <w:pPr>
      <w:spacing w:after="240"/>
      <w:jc w:val="both"/>
    </w:pPr>
    <w:rPr>
      <w:rFonts w:ascii="CG Times" w:hAnsi="CG Times"/>
      <w:szCs w:val="20"/>
      <w:lang w:val="en-GB"/>
    </w:rPr>
  </w:style>
  <w:style w:type="paragraph" w:styleId="Caption">
    <w:name w:val="caption"/>
    <w:aliases w:val="Caption Char Char"/>
    <w:basedOn w:val="Normal"/>
    <w:next w:val="Normal"/>
    <w:link w:val="CaptionChar"/>
    <w:qFormat/>
    <w:rsid w:val="0078518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paragraph" w:customStyle="1" w:styleId="Default">
    <w:name w:val="Default"/>
    <w:rsid w:val="00785180"/>
    <w:pPr>
      <w:autoSpaceDE w:val="0"/>
      <w:autoSpaceDN w:val="0"/>
      <w:adjustRightInd w:val="0"/>
      <w:spacing w:before="120" w:after="120"/>
      <w:ind w:left="576"/>
    </w:pPr>
    <w:rPr>
      <w:rFonts w:ascii="Arial" w:hAnsi="Arial" w:cs="Arial"/>
      <w:color w:val="000000"/>
      <w:sz w:val="24"/>
      <w:szCs w:val="24"/>
    </w:rPr>
  </w:style>
  <w:style w:type="character" w:styleId="CommentReference">
    <w:name w:val="annotation reference"/>
    <w:rsid w:val="00785180"/>
    <w:rPr>
      <w:rFonts w:cs="Times New Roman"/>
      <w:sz w:val="16"/>
    </w:rPr>
  </w:style>
  <w:style w:type="paragraph" w:styleId="CommentText">
    <w:name w:val="annotation text"/>
    <w:basedOn w:val="Normal"/>
    <w:link w:val="CommentTextChar"/>
    <w:semiHidden/>
    <w:rsid w:val="00785180"/>
    <w:rPr>
      <w:rFonts w:ascii="Arial" w:hAnsi="Arial"/>
      <w:sz w:val="20"/>
      <w:szCs w:val="20"/>
      <w:lang w:eastAsia="en-AU"/>
    </w:rPr>
  </w:style>
  <w:style w:type="character" w:customStyle="1" w:styleId="CommentTextChar">
    <w:name w:val="Comment Text Char"/>
    <w:link w:val="CommentText"/>
    <w:semiHidden/>
    <w:locked/>
    <w:rsid w:val="00785180"/>
    <w:rPr>
      <w:rFonts w:ascii="Arial" w:hAnsi="Arial" w:cs="Times New Roman"/>
      <w:lang w:val="en-AU" w:eastAsia="x-none"/>
    </w:rPr>
  </w:style>
  <w:style w:type="character" w:styleId="Emphasis">
    <w:name w:val="Emphasis"/>
    <w:qFormat/>
    <w:rsid w:val="00785180"/>
    <w:rPr>
      <w:rFonts w:cs="Times New Roman"/>
      <w:i/>
    </w:rPr>
  </w:style>
  <w:style w:type="character" w:styleId="Strong">
    <w:name w:val="Strong"/>
    <w:qFormat/>
    <w:rsid w:val="00785180"/>
    <w:rPr>
      <w:rFonts w:cs="Times New Roman"/>
      <w:b/>
    </w:rPr>
  </w:style>
  <w:style w:type="paragraph" w:styleId="BalloonText">
    <w:name w:val="Balloon Text"/>
    <w:basedOn w:val="Normal"/>
    <w:link w:val="BalloonTextChar"/>
    <w:semiHidden/>
    <w:rsid w:val="00785180"/>
    <w:rPr>
      <w:rFonts w:ascii="Tahoma" w:hAnsi="Tahoma" w:cs="Tahoma"/>
      <w:sz w:val="16"/>
      <w:szCs w:val="16"/>
      <w:lang w:eastAsia="en-AU"/>
    </w:rPr>
  </w:style>
  <w:style w:type="character" w:customStyle="1" w:styleId="BalloonTextChar">
    <w:name w:val="Balloon Text Char"/>
    <w:link w:val="BalloonText"/>
    <w:semiHidden/>
    <w:locked/>
    <w:rsid w:val="007D0FB4"/>
    <w:rPr>
      <w:rFonts w:cs="Times New Roman"/>
      <w:sz w:val="2"/>
      <w:lang w:val="x-none" w:eastAsia="en-US"/>
    </w:rPr>
  </w:style>
  <w:style w:type="paragraph" w:styleId="BodyText2">
    <w:name w:val="Body Text 2"/>
    <w:basedOn w:val="Normal"/>
    <w:link w:val="BodyText2Char"/>
    <w:semiHidden/>
    <w:rsid w:val="00785180"/>
    <w:pPr>
      <w:spacing w:line="480" w:lineRule="auto"/>
    </w:pPr>
  </w:style>
  <w:style w:type="character" w:customStyle="1" w:styleId="BodyText2Char">
    <w:name w:val="Body Text 2 Char"/>
    <w:link w:val="BodyText2"/>
    <w:locked/>
    <w:rsid w:val="00785180"/>
    <w:rPr>
      <w:rFonts w:cs="Times New Roman"/>
      <w:sz w:val="24"/>
      <w:lang w:val="en-AU" w:eastAsia="en-US"/>
    </w:rPr>
  </w:style>
  <w:style w:type="paragraph" w:styleId="BodyTextIndent2">
    <w:name w:val="Body Text Indent 2"/>
    <w:basedOn w:val="Normal"/>
    <w:link w:val="BodyTextIndent2Char"/>
    <w:semiHidden/>
    <w:rsid w:val="00785180"/>
    <w:pPr>
      <w:tabs>
        <w:tab w:val="left" w:pos="993"/>
      </w:tabs>
      <w:ind w:left="1704" w:hanging="1704"/>
    </w:pPr>
    <w:rPr>
      <w:lang w:eastAsia="en-AU"/>
    </w:rPr>
  </w:style>
  <w:style w:type="character" w:customStyle="1" w:styleId="BodyTextIndent2Char">
    <w:name w:val="Body Text Indent 2 Char"/>
    <w:link w:val="BodyTextIndent2"/>
    <w:semiHidden/>
    <w:locked/>
    <w:rsid w:val="00785180"/>
    <w:rPr>
      <w:rFonts w:cs="Times New Roman"/>
      <w:sz w:val="24"/>
      <w:lang w:val="en-AU" w:eastAsia="x-none"/>
    </w:rPr>
  </w:style>
  <w:style w:type="character" w:customStyle="1" w:styleId="CaptionChar">
    <w:name w:val="Caption Char"/>
    <w:aliases w:val="Caption Char Char Char"/>
    <w:link w:val="Caption"/>
    <w:locked/>
    <w:rsid w:val="00785180"/>
    <w:rPr>
      <w:rFonts w:eastAsia="SimSun"/>
      <w:sz w:val="24"/>
      <w:lang w:val="en-GB" w:eastAsia="en-US"/>
    </w:rPr>
  </w:style>
  <w:style w:type="paragraph" w:customStyle="1" w:styleId="Captions">
    <w:name w:val="Captions"/>
    <w:basedOn w:val="Normal"/>
    <w:semiHidden/>
    <w:rsid w:val="00785180"/>
    <w:rPr>
      <w:i/>
    </w:rPr>
  </w:style>
  <w:style w:type="paragraph" w:customStyle="1" w:styleId="font5">
    <w:name w:val="font5"/>
    <w:basedOn w:val="Normal"/>
    <w:semiHidden/>
    <w:rsid w:val="00785180"/>
    <w:pPr>
      <w:spacing w:before="100" w:beforeAutospacing="1" w:after="100" w:afterAutospacing="1"/>
    </w:pPr>
    <w:rPr>
      <w:rFonts w:ascii="Tahoma" w:eastAsia="Arial Unicode MS" w:hAnsi="Tahoma" w:cs="Tahoma"/>
      <w:b/>
      <w:bCs/>
      <w:color w:val="000000"/>
      <w:sz w:val="16"/>
      <w:szCs w:val="16"/>
    </w:rPr>
  </w:style>
  <w:style w:type="paragraph" w:customStyle="1" w:styleId="font6">
    <w:name w:val="font6"/>
    <w:basedOn w:val="Normal"/>
    <w:semiHidden/>
    <w:rsid w:val="00785180"/>
    <w:pPr>
      <w:spacing w:before="100" w:beforeAutospacing="1" w:after="100" w:afterAutospacing="1"/>
    </w:pPr>
    <w:rPr>
      <w:rFonts w:ascii="Tahoma" w:eastAsia="Arial Unicode MS" w:hAnsi="Tahoma" w:cs="Tahoma"/>
      <w:color w:val="000000"/>
      <w:sz w:val="16"/>
      <w:szCs w:val="16"/>
    </w:rPr>
  </w:style>
  <w:style w:type="paragraph" w:styleId="Footer">
    <w:name w:val="footer"/>
    <w:basedOn w:val="Normal"/>
    <w:link w:val="FooterChar"/>
    <w:rsid w:val="00785180"/>
    <w:pPr>
      <w:tabs>
        <w:tab w:val="center" w:pos="4153"/>
        <w:tab w:val="right" w:pos="8306"/>
      </w:tabs>
      <w:suppressAutoHyphens/>
    </w:pPr>
    <w:rPr>
      <w:spacing w:val="-3"/>
      <w:szCs w:val="20"/>
    </w:rPr>
  </w:style>
  <w:style w:type="character" w:customStyle="1" w:styleId="FooterChar">
    <w:name w:val="Footer Char"/>
    <w:link w:val="Footer"/>
    <w:semiHidden/>
    <w:locked/>
    <w:rsid w:val="00785180"/>
    <w:rPr>
      <w:rFonts w:cs="Times New Roman"/>
      <w:spacing w:val="-3"/>
      <w:sz w:val="22"/>
      <w:lang w:val="en-AU" w:eastAsia="en-US"/>
    </w:rPr>
  </w:style>
  <w:style w:type="paragraph" w:styleId="Header">
    <w:name w:val="header"/>
    <w:basedOn w:val="Normal"/>
    <w:link w:val="HeaderChar"/>
    <w:rsid w:val="00785180"/>
    <w:pPr>
      <w:tabs>
        <w:tab w:val="center" w:pos="4153"/>
        <w:tab w:val="right" w:pos="8306"/>
      </w:tabs>
      <w:jc w:val="both"/>
    </w:pPr>
    <w:rPr>
      <w:rFonts w:ascii="Arial" w:hAnsi="Arial"/>
      <w:szCs w:val="20"/>
    </w:rPr>
  </w:style>
  <w:style w:type="character" w:customStyle="1" w:styleId="HeaderChar">
    <w:name w:val="Header Char"/>
    <w:link w:val="Header"/>
    <w:locked/>
    <w:rsid w:val="00785180"/>
    <w:rPr>
      <w:rFonts w:ascii="Arial" w:hAnsi="Arial" w:cs="Times New Roman"/>
      <w:sz w:val="22"/>
      <w:lang w:val="en-AU" w:eastAsia="en-US"/>
    </w:rPr>
  </w:style>
  <w:style w:type="paragraph" w:customStyle="1" w:styleId="Heading54">
    <w:name w:val="Heading 54"/>
    <w:basedOn w:val="Heading5"/>
    <w:rsid w:val="00785180"/>
  </w:style>
  <w:style w:type="paragraph" w:customStyle="1" w:styleId="HeadingA1">
    <w:name w:val="Heading A1"/>
    <w:basedOn w:val="Title"/>
    <w:semiHidden/>
    <w:rsid w:val="00785180"/>
    <w:pPr>
      <w:spacing w:line="240" w:lineRule="auto"/>
    </w:pPr>
    <w:rPr>
      <w:rFonts w:ascii="Trebuchet MS" w:hAnsi="Trebuchet MS"/>
      <w:sz w:val="28"/>
      <w:szCs w:val="28"/>
      <w:lang w:eastAsia="zh-CN"/>
    </w:rPr>
  </w:style>
  <w:style w:type="paragraph" w:customStyle="1" w:styleId="HTMLBody">
    <w:name w:val="HTML Body"/>
    <w:semiHidden/>
    <w:rsid w:val="00785180"/>
    <w:pPr>
      <w:autoSpaceDE w:val="0"/>
      <w:autoSpaceDN w:val="0"/>
      <w:adjustRightInd w:val="0"/>
      <w:spacing w:before="120" w:after="120"/>
      <w:ind w:left="576"/>
    </w:pPr>
    <w:rPr>
      <w:rFonts w:ascii="Arial" w:hAnsi="Arial"/>
      <w:lang w:val="en-US" w:eastAsia="en-US"/>
    </w:rPr>
  </w:style>
  <w:style w:type="paragraph" w:customStyle="1" w:styleId="Imprint">
    <w:name w:val="Imprint"/>
    <w:basedOn w:val="Normal"/>
    <w:semiHidden/>
    <w:rsid w:val="00785180"/>
    <w:pPr>
      <w:tabs>
        <w:tab w:val="left" w:pos="284"/>
        <w:tab w:val="left" w:pos="567"/>
        <w:tab w:val="left" w:pos="851"/>
        <w:tab w:val="left" w:pos="1134"/>
      </w:tabs>
    </w:pPr>
    <w:rPr>
      <w:rFonts w:ascii="Arial" w:hAnsi="Arial"/>
      <w:i/>
      <w:sz w:val="16"/>
      <w:szCs w:val="20"/>
    </w:rPr>
  </w:style>
  <w:style w:type="paragraph" w:styleId="ListBullet2">
    <w:name w:val="List Bullet 2"/>
    <w:basedOn w:val="Normal"/>
    <w:semiHidden/>
    <w:rsid w:val="00785180"/>
    <w:rPr>
      <w:rFonts w:ascii="Optimum" w:hAnsi="Optimum"/>
    </w:rPr>
  </w:style>
  <w:style w:type="paragraph" w:customStyle="1" w:styleId="name">
    <w:name w:val="name"/>
    <w:basedOn w:val="Normal"/>
    <w:semiHidden/>
    <w:rsid w:val="00785180"/>
    <w:pPr>
      <w:keepNext/>
      <w:tabs>
        <w:tab w:val="left" w:pos="284"/>
        <w:tab w:val="left" w:pos="567"/>
        <w:tab w:val="left" w:pos="851"/>
        <w:tab w:val="left" w:pos="1134"/>
      </w:tabs>
    </w:pPr>
    <w:rPr>
      <w:rFonts w:ascii="Arial" w:hAnsi="Arial"/>
      <w:b/>
      <w:sz w:val="20"/>
      <w:szCs w:val="20"/>
    </w:rPr>
  </w:style>
  <w:style w:type="paragraph" w:customStyle="1" w:styleId="NormalPalatinoLinotype">
    <w:name w:val="NormalPalatino Linotype"/>
    <w:basedOn w:val="Normal"/>
    <w:semiHidden/>
    <w:rsid w:val="00785180"/>
    <w:rPr>
      <w:rFonts w:ascii="Palatino Linotype" w:hAnsi="Palatino Linotype"/>
      <w:lang w:eastAsia="en-AU"/>
    </w:rPr>
  </w:style>
  <w:style w:type="character" w:customStyle="1" w:styleId="NormalPalatinoLinotypeChar">
    <w:name w:val="NormalPalatino Linotype Char"/>
    <w:semiHidden/>
    <w:rsid w:val="00785180"/>
    <w:rPr>
      <w:rFonts w:ascii="Palatino Linotype" w:hAnsi="Palatino Linotype"/>
      <w:sz w:val="24"/>
      <w:lang w:val="en-AU" w:eastAsia="en-AU"/>
    </w:rPr>
  </w:style>
  <w:style w:type="paragraph" w:customStyle="1" w:styleId="NormPalatinoLinotype">
    <w:name w:val="NormPalatino Linotype"/>
    <w:basedOn w:val="Normal"/>
    <w:semiHidden/>
    <w:rsid w:val="00785180"/>
    <w:rPr>
      <w:rFonts w:ascii="Palatino Linotype" w:hAnsi="Palatino Linotype"/>
      <w:lang w:eastAsia="en-AU"/>
    </w:rPr>
  </w:style>
  <w:style w:type="character" w:styleId="PageNumber">
    <w:name w:val="page number"/>
    <w:rsid w:val="00785180"/>
    <w:rPr>
      <w:rFonts w:cs="Times New Roman"/>
    </w:rPr>
  </w:style>
  <w:style w:type="paragraph" w:styleId="PlainText">
    <w:name w:val="Plain Text"/>
    <w:basedOn w:val="Normal"/>
    <w:link w:val="PlainTextChar"/>
    <w:semiHidden/>
    <w:rsid w:val="00785180"/>
    <w:rPr>
      <w:rFonts w:ascii="Courier New" w:hAnsi="Courier New"/>
      <w:sz w:val="20"/>
      <w:szCs w:val="20"/>
      <w:lang w:eastAsia="en-AU"/>
    </w:rPr>
  </w:style>
  <w:style w:type="character" w:customStyle="1" w:styleId="PlainTextChar">
    <w:name w:val="Plain Text Char"/>
    <w:link w:val="PlainText"/>
    <w:semiHidden/>
    <w:locked/>
    <w:rsid w:val="00785180"/>
    <w:rPr>
      <w:rFonts w:ascii="Courier New" w:hAnsi="Courier New" w:cs="Times New Roman"/>
      <w:lang w:val="en-AU" w:eastAsia="en-AU"/>
    </w:rPr>
  </w:style>
  <w:style w:type="paragraph" w:customStyle="1" w:styleId="References">
    <w:name w:val="References"/>
    <w:basedOn w:val="Normal"/>
    <w:rsid w:val="00785180"/>
    <w:pPr>
      <w:ind w:left="284" w:hanging="284"/>
    </w:pPr>
    <w:rPr>
      <w:szCs w:val="22"/>
    </w:rPr>
  </w:style>
  <w:style w:type="paragraph" w:customStyle="1" w:styleId="references0">
    <w:name w:val="references"/>
    <w:basedOn w:val="Normal"/>
    <w:rsid w:val="00785180"/>
    <w:pPr>
      <w:spacing w:before="100" w:beforeAutospacing="1" w:after="100" w:afterAutospacing="1"/>
    </w:pPr>
    <w:rPr>
      <w:rFonts w:ascii="Arial Unicode MS" w:eastAsia="Arial Unicode MS" w:hAnsi="Arial Unicode MS" w:cs="Arial Unicode MS"/>
    </w:rPr>
  </w:style>
  <w:style w:type="paragraph" w:customStyle="1" w:styleId="reportheading">
    <w:name w:val="report heading"/>
    <w:basedOn w:val="Heading1"/>
    <w:semiHidden/>
    <w:rsid w:val="00785180"/>
    <w:pPr>
      <w:keepNext w:val="0"/>
      <w:pageBreakBefore w:val="0"/>
      <w:tabs>
        <w:tab w:val="num" w:pos="432"/>
      </w:tabs>
      <w:spacing w:before="0" w:after="0"/>
      <w:ind w:left="432" w:hanging="432"/>
      <w:outlineLvl w:val="9"/>
    </w:pPr>
    <w:rPr>
      <w:rFonts w:ascii="Times New Roman" w:hAnsi="Times New Roman" w:cs="Times New Roman"/>
      <w:kern w:val="28"/>
      <w:sz w:val="28"/>
      <w:szCs w:val="20"/>
      <w:lang w:val="de-DE"/>
    </w:rPr>
  </w:style>
  <w:style w:type="paragraph" w:customStyle="1" w:styleId="reporttitle">
    <w:name w:val="report title"/>
    <w:basedOn w:val="reportheading"/>
    <w:semiHidden/>
    <w:rsid w:val="00785180"/>
    <w:pPr>
      <w:tabs>
        <w:tab w:val="clear" w:pos="432"/>
      </w:tabs>
      <w:ind w:left="0" w:firstLine="0"/>
    </w:pPr>
  </w:style>
  <w:style w:type="paragraph" w:customStyle="1" w:styleId="Style1">
    <w:name w:val="Style1"/>
    <w:basedOn w:val="Heading4"/>
    <w:semiHidden/>
    <w:rsid w:val="00785180"/>
    <w:pPr>
      <w:keepNext w:val="0"/>
      <w:spacing w:before="0" w:after="0"/>
    </w:pPr>
    <w:rPr>
      <w:b/>
      <w:bCs w:val="0"/>
      <w:szCs w:val="24"/>
      <w:u w:val="single"/>
      <w:lang w:val="en-US"/>
    </w:rPr>
  </w:style>
  <w:style w:type="paragraph" w:customStyle="1" w:styleId="TableContents">
    <w:name w:val="Table Contents"/>
    <w:basedOn w:val="BodyText"/>
    <w:rsid w:val="00785180"/>
    <w:pPr>
      <w:suppressLineNumbers/>
      <w:suppressAutoHyphens/>
      <w:spacing w:after="142" w:line="276" w:lineRule="auto"/>
    </w:pPr>
    <w:rPr>
      <w:rFonts w:ascii="Trebuchet MS" w:hAnsi="Trebuchet MS"/>
      <w:sz w:val="21"/>
      <w:lang w:val="en-US"/>
    </w:rPr>
  </w:style>
  <w:style w:type="table" w:styleId="TableGrid">
    <w:name w:val="Table Grid"/>
    <w:basedOn w:val="TableNormal"/>
    <w:rsid w:val="007851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rsid w:val="00785180"/>
    <w:pPr>
      <w:tabs>
        <w:tab w:val="right" w:leader="dot" w:pos="9060"/>
      </w:tabs>
      <w:autoSpaceDE w:val="0"/>
      <w:autoSpaceDN w:val="0"/>
      <w:adjustRightInd w:val="0"/>
    </w:pPr>
    <w:rPr>
      <w:b/>
    </w:rPr>
  </w:style>
  <w:style w:type="paragraph" w:styleId="TOC2">
    <w:name w:val="toc 2"/>
    <w:basedOn w:val="Normal"/>
    <w:next w:val="Normal"/>
    <w:autoRedefine/>
    <w:rsid w:val="00785180"/>
    <w:pPr>
      <w:tabs>
        <w:tab w:val="right" w:leader="dot" w:pos="9060"/>
      </w:tabs>
      <w:ind w:left="240"/>
    </w:pPr>
    <w:rPr>
      <w:b/>
      <w:i/>
    </w:rPr>
  </w:style>
  <w:style w:type="paragraph" w:styleId="TOC3">
    <w:name w:val="toc 3"/>
    <w:basedOn w:val="Normal"/>
    <w:next w:val="Normal"/>
    <w:autoRedefine/>
    <w:rsid w:val="00785180"/>
    <w:pPr>
      <w:tabs>
        <w:tab w:val="right" w:leader="dot" w:pos="9060"/>
      </w:tabs>
      <w:ind w:left="340"/>
    </w:pPr>
  </w:style>
  <w:style w:type="paragraph" w:styleId="TOC4">
    <w:name w:val="toc 4"/>
    <w:basedOn w:val="Normal"/>
    <w:next w:val="Normal"/>
    <w:autoRedefine/>
    <w:rsid w:val="00785180"/>
    <w:pPr>
      <w:tabs>
        <w:tab w:val="left" w:leader="dot" w:pos="8364"/>
      </w:tabs>
      <w:ind w:left="540"/>
    </w:pPr>
    <w:rPr>
      <w:noProof/>
    </w:rPr>
  </w:style>
  <w:style w:type="paragraph" w:customStyle="1" w:styleId="xl24">
    <w:name w:val="xl24"/>
    <w:basedOn w:val="Normal"/>
    <w:semiHidden/>
    <w:rsid w:val="00785180"/>
    <w:pPr>
      <w:spacing w:before="100" w:beforeAutospacing="1" w:after="100" w:afterAutospacing="1"/>
    </w:pPr>
    <w:rPr>
      <w:rFonts w:ascii="Arial" w:eastAsia="Arial Unicode MS" w:hAnsi="Arial" w:cs="Arial"/>
      <w:sz w:val="16"/>
      <w:szCs w:val="16"/>
    </w:rPr>
  </w:style>
  <w:style w:type="paragraph" w:customStyle="1" w:styleId="xl25">
    <w:name w:val="xl25"/>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6">
    <w:name w:val="xl26"/>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7">
    <w:name w:val="xl27"/>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8">
    <w:name w:val="xl28"/>
    <w:basedOn w:val="Normal"/>
    <w:semiHidden/>
    <w:rsid w:val="00785180"/>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semiHidden/>
    <w:rsid w:val="0078518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0">
    <w:name w:val="xl30"/>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1">
    <w:name w:val="xl31"/>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2">
    <w:name w:val="xl32"/>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3">
    <w:name w:val="xl33"/>
    <w:basedOn w:val="Normal"/>
    <w:semiHidden/>
    <w:rsid w:val="00785180"/>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4">
    <w:name w:val="xl34"/>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35">
    <w:name w:val="xl35"/>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6">
    <w:name w:val="xl36"/>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7">
    <w:name w:val="xl37"/>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8">
    <w:name w:val="xl38"/>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9">
    <w:name w:val="xl39"/>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40">
    <w:name w:val="xl40"/>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b/>
      <w:bCs/>
      <w:color w:val="000000"/>
      <w:sz w:val="16"/>
      <w:szCs w:val="16"/>
    </w:rPr>
  </w:style>
  <w:style w:type="paragraph" w:customStyle="1" w:styleId="xl41">
    <w:name w:val="xl41"/>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2">
    <w:name w:val="xl42"/>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3">
    <w:name w:val="xl43"/>
    <w:basedOn w:val="Normal"/>
    <w:semiHidden/>
    <w:rsid w:val="00785180"/>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4">
    <w:name w:val="xl44"/>
    <w:basedOn w:val="Normal"/>
    <w:semiHidden/>
    <w:rsid w:val="00785180"/>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5">
    <w:name w:val="xl45"/>
    <w:basedOn w:val="Normal"/>
    <w:semiHidden/>
    <w:rsid w:val="00785180"/>
    <w:pPr>
      <w:pBdr>
        <w:top w:val="single" w:sz="8" w:space="0" w:color="auto"/>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6">
    <w:name w:val="xl46"/>
    <w:basedOn w:val="Normal"/>
    <w:semiHidden/>
    <w:rsid w:val="00785180"/>
    <w:pPr>
      <w:pBdr>
        <w:top w:val="single" w:sz="4" w:space="0" w:color="C0C0C0"/>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7">
    <w:name w:val="xl47"/>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48">
    <w:name w:val="xl48"/>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9">
    <w:name w:val="xl49"/>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50">
    <w:name w:val="xl50"/>
    <w:basedOn w:val="Normal"/>
    <w:semiHidden/>
    <w:rsid w:val="00785180"/>
    <w:pPr>
      <w:pBdr>
        <w:top w:val="single" w:sz="4" w:space="0" w:color="C0C0C0"/>
        <w:left w:val="single" w:sz="4" w:space="0" w:color="C0C0C0"/>
        <w:bottom w:val="single" w:sz="8" w:space="0" w:color="auto"/>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1">
    <w:name w:val="xl51"/>
    <w:basedOn w:val="Normal"/>
    <w:semiHidden/>
    <w:rsid w:val="00785180"/>
    <w:pPr>
      <w:pBdr>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2">
    <w:name w:val="xl52"/>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3">
    <w:name w:val="xl53"/>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4">
    <w:name w:val="xl54"/>
    <w:basedOn w:val="Normal"/>
    <w:semiHidden/>
    <w:rsid w:val="00785180"/>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5">
    <w:name w:val="xl55"/>
    <w:basedOn w:val="Normal"/>
    <w:semiHidden/>
    <w:rsid w:val="00785180"/>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6">
    <w:name w:val="xl56"/>
    <w:basedOn w:val="Normal"/>
    <w:semiHidden/>
    <w:rsid w:val="00785180"/>
    <w:pPr>
      <w:pBdr>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7">
    <w:name w:val="xl57"/>
    <w:basedOn w:val="Normal"/>
    <w:semiHidden/>
    <w:rsid w:val="00785180"/>
    <w:pPr>
      <w:pBdr>
        <w:left w:val="single" w:sz="8" w:space="0" w:color="auto"/>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8">
    <w:name w:val="xl58"/>
    <w:basedOn w:val="Normal"/>
    <w:semiHidden/>
    <w:rsid w:val="00785180"/>
    <w:pPr>
      <w:pBdr>
        <w:top w:val="single" w:sz="8"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9">
    <w:name w:val="xl59"/>
    <w:basedOn w:val="Normal"/>
    <w:semiHidden/>
    <w:rsid w:val="00785180"/>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0">
    <w:name w:val="xl60"/>
    <w:basedOn w:val="Normal"/>
    <w:semiHidden/>
    <w:rsid w:val="00785180"/>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1">
    <w:name w:val="xl61"/>
    <w:basedOn w:val="Normal"/>
    <w:semiHidden/>
    <w:rsid w:val="00785180"/>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62">
    <w:name w:val="xl62"/>
    <w:basedOn w:val="Normal"/>
    <w:semiHidden/>
    <w:rsid w:val="00785180"/>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3">
    <w:name w:val="xl63"/>
    <w:basedOn w:val="Normal"/>
    <w:semiHidden/>
    <w:rsid w:val="00785180"/>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4">
    <w:name w:val="xl64"/>
    <w:basedOn w:val="Normal"/>
    <w:semiHidden/>
    <w:rsid w:val="00785180"/>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5">
    <w:name w:val="xl65"/>
    <w:basedOn w:val="Normal"/>
    <w:semiHidden/>
    <w:rsid w:val="00785180"/>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6">
    <w:name w:val="xl66"/>
    <w:basedOn w:val="Normal"/>
    <w:semiHidden/>
    <w:rsid w:val="00785180"/>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67">
    <w:name w:val="xl67"/>
    <w:basedOn w:val="Normal"/>
    <w:semiHidden/>
    <w:rsid w:val="00785180"/>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8">
    <w:name w:val="xl68"/>
    <w:basedOn w:val="Normal"/>
    <w:semiHidden/>
    <w:rsid w:val="00785180"/>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9">
    <w:name w:val="xl69"/>
    <w:basedOn w:val="Normal"/>
    <w:semiHidden/>
    <w:rsid w:val="00785180"/>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0">
    <w:name w:val="xl70"/>
    <w:basedOn w:val="Normal"/>
    <w:semiHidden/>
    <w:rsid w:val="00785180"/>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1">
    <w:name w:val="xl71"/>
    <w:basedOn w:val="Normal"/>
    <w:semiHidden/>
    <w:rsid w:val="00785180"/>
    <w:pPr>
      <w:pBdr>
        <w:left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2">
    <w:name w:val="xl72"/>
    <w:basedOn w:val="Normal"/>
    <w:semiHidden/>
    <w:rsid w:val="00785180"/>
    <w:pPr>
      <w:pBdr>
        <w:top w:val="single" w:sz="4"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3">
    <w:name w:val="xl73"/>
    <w:basedOn w:val="Normal"/>
    <w:semiHidden/>
    <w:rsid w:val="00785180"/>
    <w:pPr>
      <w:pBdr>
        <w:top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4">
    <w:name w:val="xl74"/>
    <w:basedOn w:val="Normal"/>
    <w:semiHidden/>
    <w:rsid w:val="00785180"/>
    <w:pPr>
      <w:pBdr>
        <w:bottom w:val="single" w:sz="8" w:space="0" w:color="auto"/>
      </w:pBdr>
      <w:spacing w:before="100" w:beforeAutospacing="1" w:after="100" w:afterAutospacing="1"/>
    </w:pPr>
    <w:rPr>
      <w:rFonts w:ascii="Arial Unicode MS" w:eastAsia="Arial Unicode MS" w:hAnsi="Arial Unicode MS" w:cs="Arial Unicode MS"/>
    </w:rPr>
  </w:style>
  <w:style w:type="paragraph" w:styleId="TableofFigures">
    <w:name w:val="table of figures"/>
    <w:basedOn w:val="Normal"/>
    <w:next w:val="Normal"/>
    <w:rsid w:val="00785180"/>
  </w:style>
  <w:style w:type="paragraph" w:customStyle="1" w:styleId="Affiliations">
    <w:name w:val="Affiliations"/>
    <w:basedOn w:val="Normal"/>
    <w:rsid w:val="00785180"/>
    <w:pPr>
      <w:jc w:val="center"/>
    </w:pPr>
    <w:rPr>
      <w:rFonts w:ascii="Arial" w:hAnsi="Arial"/>
      <w:sz w:val="20"/>
      <w:szCs w:val="20"/>
    </w:rPr>
  </w:style>
  <w:style w:type="paragraph" w:customStyle="1" w:styleId="Authors">
    <w:name w:val="Authors"/>
    <w:basedOn w:val="Normal"/>
    <w:rsid w:val="00785180"/>
    <w:pPr>
      <w:jc w:val="center"/>
    </w:pPr>
    <w:rPr>
      <w:rFonts w:ascii="Arial" w:hAnsi="Arial"/>
    </w:rPr>
  </w:style>
  <w:style w:type="character" w:styleId="FollowedHyperlink">
    <w:name w:val="FollowedHyperlink"/>
    <w:rsid w:val="00785180"/>
    <w:rPr>
      <w:rFonts w:cs="Times New Roman"/>
      <w:color w:val="800080"/>
      <w:u w:val="single"/>
    </w:rPr>
  </w:style>
  <w:style w:type="paragraph" w:customStyle="1" w:styleId="Char">
    <w:name w:val="Char"/>
    <w:basedOn w:val="Normal"/>
    <w:rsid w:val="00785180"/>
    <w:rPr>
      <w:rFonts w:ascii="Arial" w:hAnsi="Arial"/>
      <w:szCs w:val="20"/>
    </w:rPr>
  </w:style>
  <w:style w:type="paragraph" w:styleId="TOC5">
    <w:name w:val="toc 5"/>
    <w:basedOn w:val="Normal"/>
    <w:next w:val="Normal"/>
    <w:autoRedefine/>
    <w:rsid w:val="00785180"/>
    <w:pPr>
      <w:spacing w:before="0" w:after="0"/>
      <w:ind w:left="960"/>
    </w:pPr>
    <w:rPr>
      <w:lang w:val="en-US"/>
    </w:rPr>
  </w:style>
  <w:style w:type="paragraph" w:styleId="TOC6">
    <w:name w:val="toc 6"/>
    <w:basedOn w:val="Normal"/>
    <w:next w:val="Normal"/>
    <w:autoRedefine/>
    <w:rsid w:val="00785180"/>
    <w:pPr>
      <w:spacing w:before="0" w:after="0"/>
      <w:ind w:left="1200"/>
    </w:pPr>
    <w:rPr>
      <w:lang w:val="en-US"/>
    </w:rPr>
  </w:style>
  <w:style w:type="paragraph" w:styleId="TOC7">
    <w:name w:val="toc 7"/>
    <w:basedOn w:val="Normal"/>
    <w:next w:val="Normal"/>
    <w:autoRedefine/>
    <w:rsid w:val="00785180"/>
    <w:pPr>
      <w:spacing w:before="0" w:after="0"/>
      <w:ind w:left="1440"/>
    </w:pPr>
    <w:rPr>
      <w:lang w:val="en-US"/>
    </w:rPr>
  </w:style>
  <w:style w:type="paragraph" w:styleId="TOC8">
    <w:name w:val="toc 8"/>
    <w:basedOn w:val="Normal"/>
    <w:next w:val="Normal"/>
    <w:autoRedefine/>
    <w:rsid w:val="00785180"/>
    <w:pPr>
      <w:spacing w:before="0" w:after="0"/>
      <w:ind w:left="1680"/>
    </w:pPr>
    <w:rPr>
      <w:lang w:val="en-US"/>
    </w:rPr>
  </w:style>
  <w:style w:type="paragraph" w:styleId="TOC9">
    <w:name w:val="toc 9"/>
    <w:basedOn w:val="Normal"/>
    <w:next w:val="Normal"/>
    <w:autoRedefine/>
    <w:rsid w:val="00785180"/>
    <w:pPr>
      <w:spacing w:before="0" w:after="0"/>
      <w:ind w:left="1920"/>
    </w:pPr>
    <w:rPr>
      <w:lang w:val="en-US"/>
    </w:rPr>
  </w:style>
  <w:style w:type="paragraph" w:customStyle="1" w:styleId="TitlePage1">
    <w:name w:val="Title Page 1"/>
    <w:basedOn w:val="Normal"/>
    <w:rsid w:val="00785180"/>
    <w:pPr>
      <w:jc w:val="center"/>
    </w:pPr>
    <w:rPr>
      <w:rFonts w:ascii="Century Gothic" w:hAnsi="Century Gothic"/>
      <w:b/>
      <w:sz w:val="36"/>
      <w:szCs w:val="36"/>
      <w:lang w:val="en-US"/>
    </w:rPr>
  </w:style>
  <w:style w:type="paragraph" w:styleId="CommentSubject">
    <w:name w:val="annotation subject"/>
    <w:basedOn w:val="CommentText"/>
    <w:next w:val="CommentText"/>
    <w:link w:val="CommentSubjectChar"/>
    <w:semiHidden/>
    <w:rsid w:val="00785180"/>
    <w:rPr>
      <w:b/>
      <w:bCs/>
    </w:rPr>
  </w:style>
  <w:style w:type="character" w:customStyle="1" w:styleId="CommentSubjectChar">
    <w:name w:val="Comment Subject Char"/>
    <w:link w:val="CommentSubject"/>
    <w:semiHidden/>
    <w:locked/>
    <w:rsid w:val="00785180"/>
    <w:rPr>
      <w:rFonts w:ascii="Arial" w:hAnsi="Arial" w:cs="Times New Roman"/>
      <w:b/>
      <w:lang w:val="en-AU" w:eastAsia="x-none"/>
    </w:rPr>
  </w:style>
  <w:style w:type="paragraph" w:customStyle="1" w:styleId="CharCharCharCharCharCharCharCharCharCharCharCharCharCharCharCharCharCharCharCharCharCharCharChar">
    <w:name w:val="Char Char Char Char Char Char Char Char Char Char Char Char Char Char Char Char Char Char Char Char Char Char Char Char"/>
    <w:basedOn w:val="Normal"/>
    <w:rsid w:val="00785180"/>
    <w:pPr>
      <w:spacing w:before="0" w:after="0"/>
    </w:pPr>
    <w:rPr>
      <w:rFonts w:ascii="Arial" w:hAnsi="Arial"/>
      <w:szCs w:val="20"/>
    </w:rPr>
  </w:style>
  <w:style w:type="paragraph" w:styleId="HTMLPreformatted">
    <w:name w:val="HTML Preformatted"/>
    <w:basedOn w:val="Normal"/>
    <w:link w:val="HTMLPreformattedChar"/>
    <w:rsid w:val="007851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val="en-US"/>
    </w:rPr>
  </w:style>
  <w:style w:type="character" w:customStyle="1" w:styleId="HTMLPreformattedChar">
    <w:name w:val="HTML Preformatted Char"/>
    <w:link w:val="HTMLPreformatted"/>
    <w:semiHidden/>
    <w:locked/>
    <w:rsid w:val="007D0FB4"/>
    <w:rPr>
      <w:rFonts w:ascii="Courier New" w:hAnsi="Courier New" w:cs="Courier New"/>
      <w:sz w:val="20"/>
      <w:szCs w:val="20"/>
      <w:lang w:val="x-none" w:eastAsia="en-US"/>
    </w:rPr>
  </w:style>
  <w:style w:type="paragraph" w:customStyle="1" w:styleId="1">
    <w:name w:val="1"/>
    <w:basedOn w:val="Normal"/>
    <w:rsid w:val="00785180"/>
    <w:pPr>
      <w:spacing w:before="0" w:after="0"/>
    </w:pPr>
    <w:rPr>
      <w:rFonts w:ascii="Arial" w:hAnsi="Arial"/>
      <w:szCs w:val="20"/>
    </w:rPr>
  </w:style>
  <w:style w:type="paragraph" w:customStyle="1" w:styleId="TableCC">
    <w:name w:val="Table CC"/>
    <w:basedOn w:val="Normal"/>
    <w:rsid w:val="00785180"/>
    <w:pPr>
      <w:spacing w:before="0" w:after="0"/>
    </w:pPr>
    <w:rPr>
      <w:rFonts w:ascii="Arial Narrow" w:hAnsi="Arial Narrow"/>
      <w:sz w:val="18"/>
      <w:szCs w:val="20"/>
    </w:rPr>
  </w:style>
  <w:style w:type="paragraph" w:customStyle="1" w:styleId="Tableheader">
    <w:name w:val="Table header"/>
    <w:basedOn w:val="Normal"/>
    <w:rsid w:val="00785180"/>
    <w:pPr>
      <w:spacing w:before="240"/>
    </w:pPr>
    <w:rPr>
      <w:rFonts w:ascii="Arial" w:hAnsi="Arial"/>
      <w:sz w:val="18"/>
      <w:szCs w:val="20"/>
    </w:rPr>
  </w:style>
  <w:style w:type="paragraph" w:customStyle="1" w:styleId="Figurecaption">
    <w:name w:val="Figure caption"/>
    <w:basedOn w:val="Tableheader"/>
    <w:rsid w:val="00785180"/>
    <w:pPr>
      <w:spacing w:before="0" w:after="240"/>
    </w:pPr>
  </w:style>
  <w:style w:type="character" w:customStyle="1" w:styleId="Heading5Char1">
    <w:name w:val="Heading 5 Char1"/>
    <w:rsid w:val="00785180"/>
    <w:rPr>
      <w:rFonts w:ascii="Calibri" w:hAnsi="Calibri"/>
      <w:i/>
      <w:sz w:val="24"/>
    </w:rPr>
  </w:style>
  <w:style w:type="character" w:customStyle="1" w:styleId="CaptionChar1">
    <w:name w:val="Caption Char1"/>
    <w:aliases w:val="Caption Char Char Char1"/>
    <w:rsid w:val="00785180"/>
    <w:rPr>
      <w:rFonts w:ascii="Times New Roman" w:eastAsia="SimSun" w:hAnsi="Times New Roman"/>
      <w:sz w:val="24"/>
      <w:lang w:val="en-GB" w:eastAsia="x-none"/>
    </w:rPr>
  </w:style>
  <w:style w:type="character" w:customStyle="1" w:styleId="CharChar2">
    <w:name w:val="Char Char2"/>
    <w:rsid w:val="00785180"/>
    <w:rPr>
      <w:rFonts w:ascii="Arial" w:hAnsi="Arial"/>
      <w:b/>
      <w:kern w:val="32"/>
      <w:sz w:val="32"/>
      <w:lang w:val="en-AU" w:eastAsia="en-US"/>
    </w:rPr>
  </w:style>
  <w:style w:type="character" w:customStyle="1" w:styleId="BodyText2Char1">
    <w:name w:val="Body Text 2 Char1"/>
    <w:semiHidden/>
    <w:rsid w:val="00785180"/>
    <w:rPr>
      <w:rFonts w:ascii="Times New Roman" w:hAnsi="Times New Roman"/>
      <w:sz w:val="24"/>
      <w:lang w:val="en-AU" w:eastAsia="x-none"/>
    </w:rPr>
  </w:style>
  <w:style w:type="paragraph" w:customStyle="1" w:styleId="CharCharChar1Char">
    <w:name w:val="Char Char Char1 Char"/>
    <w:basedOn w:val="Normal"/>
    <w:rsid w:val="00785180"/>
    <w:pPr>
      <w:spacing w:before="0" w:after="0"/>
    </w:pPr>
    <w:rPr>
      <w:rFonts w:ascii="Arial" w:hAnsi="Arial"/>
      <w:szCs w:val="20"/>
    </w:rPr>
  </w:style>
  <w:style w:type="paragraph" w:customStyle="1" w:styleId="Agendaitemheader">
    <w:name w:val="Agenda item header"/>
    <w:basedOn w:val="Heading1"/>
    <w:next w:val="BodyTextFirstIndent"/>
    <w:rsid w:val="00785180"/>
    <w:pPr>
      <w:pageBreakBefore w:val="0"/>
      <w:numPr>
        <w:numId w:val="16"/>
      </w:numPr>
    </w:pPr>
    <w:rPr>
      <w:sz w:val="28"/>
      <w:szCs w:val="24"/>
      <w:lang w:val="en-GB" w:eastAsia="en-AU"/>
    </w:rPr>
  </w:style>
  <w:style w:type="paragraph" w:styleId="BodyTextFirstIndent">
    <w:name w:val="Body Text First Indent"/>
    <w:basedOn w:val="BodyText"/>
    <w:link w:val="BodyTextFirstIndentChar"/>
    <w:rsid w:val="00785180"/>
    <w:pPr>
      <w:pBdr>
        <w:top w:val="single" w:sz="4" w:space="8" w:color="auto"/>
        <w:left w:val="single" w:sz="4" w:space="4" w:color="auto"/>
        <w:bottom w:val="single" w:sz="4" w:space="1" w:color="auto"/>
        <w:right w:val="single" w:sz="4" w:space="4" w:color="auto"/>
      </w:pBdr>
      <w:spacing w:line="240" w:lineRule="auto"/>
      <w:ind w:left="720" w:firstLine="210"/>
    </w:pPr>
    <w:rPr>
      <w:color w:val="000000"/>
    </w:rPr>
  </w:style>
  <w:style w:type="character" w:customStyle="1" w:styleId="BodyTextFirstIndentChar">
    <w:name w:val="Body Text First Indent Char"/>
    <w:link w:val="BodyTextFirstIndent"/>
    <w:locked/>
    <w:rsid w:val="00785180"/>
    <w:rPr>
      <w:rFonts w:ascii="Calibri" w:hAnsi="Calibri" w:cs="Times New Roman"/>
      <w:color w:val="000000"/>
      <w:sz w:val="24"/>
      <w:lang w:val="en-AU" w:eastAsia="en-AU"/>
    </w:rPr>
  </w:style>
  <w:style w:type="character" w:customStyle="1" w:styleId="BodyTextChar1">
    <w:name w:val="Body Text Char1"/>
    <w:link w:val="BodyText"/>
    <w:locked/>
    <w:rsid w:val="00785180"/>
    <w:rPr>
      <w:sz w:val="24"/>
      <w:lang w:val="en-AU" w:eastAsia="en-AU"/>
    </w:rPr>
  </w:style>
  <w:style w:type="character" w:customStyle="1" w:styleId="Style14pt">
    <w:name w:val="Style 14 pt"/>
    <w:rsid w:val="00785180"/>
    <w:rPr>
      <w:sz w:val="24"/>
    </w:rPr>
  </w:style>
  <w:style w:type="character" w:customStyle="1" w:styleId="StyleArial11pt">
    <w:name w:val="Style Arial 11 pt"/>
    <w:rsid w:val="00785180"/>
    <w:rPr>
      <w:rFonts w:ascii="Gill Sans MT" w:hAnsi="Gill Sans MT"/>
      <w:sz w:val="20"/>
    </w:rPr>
  </w:style>
  <w:style w:type="paragraph" w:customStyle="1" w:styleId="StyleBodyTextArial9ptAfter72pt">
    <w:name w:val="Style Body Text + Arial 9 pt After:  7.2 pt"/>
    <w:basedOn w:val="BodyText"/>
    <w:rsid w:val="00785180"/>
    <w:pPr>
      <w:pBdr>
        <w:top w:val="single" w:sz="4" w:space="8" w:color="auto"/>
        <w:left w:val="single" w:sz="4" w:space="4" w:color="auto"/>
        <w:bottom w:val="single" w:sz="4" w:space="1" w:color="auto"/>
        <w:right w:val="single" w:sz="4" w:space="4" w:color="auto"/>
      </w:pBdr>
      <w:spacing w:after="60" w:line="240" w:lineRule="auto"/>
      <w:ind w:left="567" w:hanging="340"/>
    </w:pPr>
    <w:rPr>
      <w:color w:val="000000"/>
      <w:sz w:val="18"/>
    </w:rPr>
  </w:style>
  <w:style w:type="paragraph" w:customStyle="1" w:styleId="AgendaL2">
    <w:name w:val="Agenda L2"/>
    <w:basedOn w:val="Normal"/>
    <w:rsid w:val="00785180"/>
    <w:pPr>
      <w:tabs>
        <w:tab w:val="num" w:pos="1440"/>
      </w:tabs>
      <w:ind w:left="1440" w:hanging="360"/>
    </w:pPr>
    <w:rPr>
      <w:rFonts w:ascii="Arial" w:hAnsi="Arial"/>
      <w:sz w:val="20"/>
      <w:lang w:eastAsia="en-AU"/>
    </w:rPr>
  </w:style>
  <w:style w:type="paragraph" w:customStyle="1" w:styleId="TableDotPoint">
    <w:name w:val="Table Dot Point"/>
    <w:basedOn w:val="BodyText"/>
    <w:rsid w:val="00785180"/>
    <w:pPr>
      <w:numPr>
        <w:numId w:val="18"/>
      </w:numPr>
      <w:pBdr>
        <w:top w:val="single" w:sz="4" w:space="8" w:color="auto"/>
        <w:left w:val="single" w:sz="4" w:space="4" w:color="auto"/>
        <w:bottom w:val="single" w:sz="4" w:space="1" w:color="auto"/>
        <w:right w:val="single" w:sz="4" w:space="4" w:color="auto"/>
      </w:pBdr>
      <w:spacing w:before="0" w:after="0" w:line="220" w:lineRule="atLeast"/>
    </w:pPr>
    <w:rPr>
      <w:color w:val="000000"/>
      <w:sz w:val="20"/>
      <w:lang w:val="en-US" w:eastAsia="en-US"/>
    </w:rPr>
  </w:style>
  <w:style w:type="paragraph" w:customStyle="1" w:styleId="Table">
    <w:name w:val="Table"/>
    <w:basedOn w:val="Normal"/>
    <w:link w:val="TableChar"/>
    <w:rsid w:val="00785180"/>
    <w:pPr>
      <w:spacing w:before="0"/>
    </w:pPr>
    <w:rPr>
      <w:rFonts w:ascii="Arial Narrow" w:hAnsi="Arial Narrow"/>
      <w:szCs w:val="20"/>
      <w:lang w:val="en-GB" w:eastAsia="en-AU"/>
    </w:rPr>
  </w:style>
  <w:style w:type="character" w:customStyle="1" w:styleId="TableChar">
    <w:name w:val="Table Char"/>
    <w:link w:val="Table"/>
    <w:locked/>
    <w:rsid w:val="00785180"/>
    <w:rPr>
      <w:rFonts w:ascii="Arial Narrow" w:hAnsi="Arial Narrow"/>
      <w:sz w:val="22"/>
      <w:lang w:val="en-GB" w:eastAsia="x-none"/>
    </w:rPr>
  </w:style>
  <w:style w:type="paragraph" w:customStyle="1" w:styleId="Research-bullet">
    <w:name w:val="Research-bullet"/>
    <w:basedOn w:val="ListBullet"/>
    <w:rsid w:val="00785180"/>
    <w:pPr>
      <w:spacing w:before="0"/>
    </w:pPr>
    <w:rPr>
      <w:rFonts w:ascii="Gill Sans MT" w:hAnsi="Gill Sans MT" w:cs="Arial"/>
      <w:color w:val="000000"/>
      <w:sz w:val="22"/>
      <w:szCs w:val="22"/>
      <w:lang w:val="en-US" w:eastAsia="en-US"/>
    </w:rPr>
  </w:style>
  <w:style w:type="character" w:customStyle="1" w:styleId="pubref">
    <w:name w:val="pubref"/>
    <w:rsid w:val="00785180"/>
  </w:style>
  <w:style w:type="paragraph" w:styleId="ListBullet">
    <w:name w:val="List Bullet"/>
    <w:basedOn w:val="Normal"/>
    <w:rsid w:val="00785180"/>
    <w:pPr>
      <w:tabs>
        <w:tab w:val="num" w:pos="643"/>
      </w:tabs>
      <w:ind w:left="360" w:hanging="360"/>
    </w:pPr>
    <w:rPr>
      <w:rFonts w:ascii="Arial" w:hAnsi="Arial"/>
      <w:sz w:val="20"/>
      <w:lang w:eastAsia="en-AU"/>
    </w:rPr>
  </w:style>
  <w:style w:type="paragraph" w:customStyle="1" w:styleId="Abstracttext">
    <w:name w:val="Abstract text"/>
    <w:basedOn w:val="Normal"/>
    <w:rsid w:val="00785180"/>
    <w:pPr>
      <w:autoSpaceDE w:val="0"/>
      <w:autoSpaceDN w:val="0"/>
      <w:spacing w:before="0" w:after="0" w:line="360" w:lineRule="auto"/>
      <w:ind w:firstLine="567"/>
      <w:jc w:val="both"/>
    </w:pPr>
    <w:rPr>
      <w:rFonts w:cs="Times"/>
      <w:sz w:val="20"/>
      <w:szCs w:val="20"/>
      <w:lang w:val="ru-RU" w:eastAsia="ru-RU" w:bidi="th-TH"/>
    </w:rPr>
  </w:style>
  <w:style w:type="paragraph" w:customStyle="1" w:styleId="CharCharChar1Char1">
    <w:name w:val="Char Char Char1 Char1"/>
    <w:basedOn w:val="Normal"/>
    <w:rsid w:val="00785180"/>
    <w:pPr>
      <w:spacing w:before="0" w:after="0"/>
    </w:pPr>
    <w:rPr>
      <w:rFonts w:ascii="Arial" w:hAnsi="Arial" w:cs="Arial"/>
      <w:szCs w:val="22"/>
    </w:rPr>
  </w:style>
  <w:style w:type="character" w:customStyle="1" w:styleId="CharChar1">
    <w:name w:val="Char Char1"/>
    <w:rsid w:val="00785180"/>
    <w:rPr>
      <w:rFonts w:ascii="Calibri" w:hAnsi="Calibri"/>
      <w:i/>
      <w:sz w:val="24"/>
    </w:rPr>
  </w:style>
  <w:style w:type="character" w:customStyle="1" w:styleId="CaptionCharCharCharChar">
    <w:name w:val="Caption Char Char Char Char"/>
    <w:rsid w:val="00785180"/>
    <w:rPr>
      <w:rFonts w:ascii="Times New Roman" w:eastAsia="SimSun" w:hAnsi="Times New Roman"/>
      <w:sz w:val="24"/>
      <w:lang w:val="en-GB" w:eastAsia="x-none"/>
    </w:rPr>
  </w:style>
  <w:style w:type="character" w:customStyle="1" w:styleId="CharChar">
    <w:name w:val="Char Char"/>
    <w:semiHidden/>
    <w:rsid w:val="00785180"/>
    <w:rPr>
      <w:rFonts w:ascii="Times New Roman" w:hAnsi="Times New Roman"/>
      <w:sz w:val="24"/>
      <w:lang w:val="en-AU" w:eastAsia="x-none"/>
    </w:rPr>
  </w:style>
  <w:style w:type="paragraph" w:styleId="Revision">
    <w:name w:val="Revision"/>
    <w:hidden/>
    <w:semiHidden/>
    <w:rsid w:val="004316F7"/>
    <w:rPr>
      <w:sz w:val="24"/>
      <w:szCs w:val="24"/>
      <w:lang w:eastAsia="en-US"/>
    </w:rPr>
  </w:style>
  <w:style w:type="paragraph" w:styleId="BodyTextIndent">
    <w:name w:val="Body Text Indent"/>
    <w:basedOn w:val="Normal"/>
    <w:link w:val="BodyTextIndentChar"/>
    <w:rsid w:val="00CC13EF"/>
    <w:pPr>
      <w:ind w:left="283"/>
    </w:pPr>
  </w:style>
  <w:style w:type="character" w:customStyle="1" w:styleId="BodyTextIndentChar">
    <w:name w:val="Body Text Indent Char"/>
    <w:link w:val="BodyTextIndent"/>
    <w:semiHidden/>
    <w:locked/>
    <w:rsid w:val="007D0FB4"/>
    <w:rPr>
      <w:rFonts w:cs="Times New Roman"/>
      <w:sz w:val="24"/>
      <w:szCs w:val="24"/>
      <w:lang w:val="x-none" w:eastAsia="en-US"/>
    </w:rPr>
  </w:style>
  <w:style w:type="paragraph" w:styleId="ListParagraph">
    <w:name w:val="List Paragraph"/>
    <w:basedOn w:val="Normal"/>
    <w:qFormat/>
    <w:rsid w:val="002D787C"/>
    <w:pPr>
      <w:ind w:left="720"/>
      <w:contextualSpacing/>
    </w:pPr>
  </w:style>
  <w:style w:type="numbering" w:customStyle="1" w:styleId="StyleNumbered">
    <w:name w:val="Style Numbered"/>
    <w:rsid w:val="00DA4269"/>
    <w:pPr>
      <w:numPr>
        <w:numId w:val="17"/>
      </w:numPr>
    </w:pPr>
  </w:style>
  <w:style w:type="paragraph" w:styleId="DocumentMap">
    <w:name w:val="Document Map"/>
    <w:basedOn w:val="Normal"/>
    <w:semiHidden/>
    <w:locked/>
    <w:rsid w:val="00DD1910"/>
    <w:pPr>
      <w:shd w:val="clear" w:color="auto" w:fill="000080"/>
    </w:pPr>
    <w:rPr>
      <w:rFonts w:ascii="Tahoma" w:hAnsi="Tahoma" w:cs="Tahoma"/>
      <w:sz w:val="20"/>
      <w:szCs w:val="20"/>
    </w:rPr>
  </w:style>
  <w:style w:type="paragraph" w:customStyle="1" w:styleId="CharCharChar1Char0">
    <w:name w:val="Char Char Char1 Char"/>
    <w:basedOn w:val="Normal"/>
    <w:rsid w:val="00EF10B4"/>
    <w:pPr>
      <w:spacing w:before="0" w:after="0"/>
    </w:pPr>
    <w:rPr>
      <w:rFonts w:ascii="Arial" w:hAnsi="Arial"/>
      <w:szCs w:val="20"/>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Char Char Char Char Char Char"/>
    <w:basedOn w:val="Normal"/>
    <w:rsid w:val="00235AF2"/>
    <w:pPr>
      <w:spacing w:before="0" w:after="0"/>
    </w:pPr>
    <w:rPr>
      <w:rFonts w:ascii="Arial" w:hAnsi="Arial"/>
      <w:szCs w:val="20"/>
    </w:rPr>
  </w:style>
  <w:style w:type="paragraph" w:customStyle="1" w:styleId="StyleCaptionCaptionCharCharLatinCalibri11ptBlack">
    <w:name w:val="Style CaptionCaption Char Char + (Latin) Calibri 11 pt Black"/>
    <w:basedOn w:val="Caption"/>
    <w:link w:val="StyleCaptionCaptionCharCharLatinCalibri11ptBlackChar"/>
    <w:autoRedefine/>
    <w:rsid w:val="00F72AB5"/>
    <w:rPr>
      <w:color w:val="000000"/>
    </w:rPr>
  </w:style>
  <w:style w:type="character" w:customStyle="1" w:styleId="StyleCaptionCaptionCharCharLatinCalibri11ptBlackChar">
    <w:name w:val="Style CaptionCaption Char Char + (Latin) Calibri 11 pt Black Char"/>
    <w:link w:val="StyleCaptionCaptionCharCharLatinCalibri11ptBlack"/>
    <w:rsid w:val="00F72AB5"/>
    <w:rPr>
      <w:rFonts w:ascii="Calibri" w:eastAsia="SimSun" w:hAnsi="Calibri"/>
      <w:color w:val="000000"/>
      <w:sz w:val="22"/>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2AB5"/>
    <w:pPr>
      <w:spacing w:before="120" w:after="120"/>
    </w:pPr>
    <w:rPr>
      <w:rFonts w:ascii="Calibri" w:hAnsi="Calibri"/>
      <w:sz w:val="22"/>
      <w:szCs w:val="24"/>
      <w:lang w:eastAsia="en-US"/>
    </w:rPr>
  </w:style>
  <w:style w:type="paragraph" w:styleId="Heading1">
    <w:name w:val="heading 1"/>
    <w:basedOn w:val="Normal"/>
    <w:next w:val="Normal"/>
    <w:link w:val="Heading1Char"/>
    <w:qFormat/>
    <w:rsid w:val="00785180"/>
    <w:pPr>
      <w:keepNext/>
      <w:pageBreakBefore/>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785180"/>
    <w:pPr>
      <w:keepNext/>
      <w:spacing w:before="240" w:after="60"/>
      <w:outlineLvl w:val="1"/>
    </w:pPr>
    <w:rPr>
      <w:rFonts w:ascii="Arial" w:hAnsi="Arial" w:cs="Arial"/>
      <w:b/>
      <w:bCs/>
      <w:iCs/>
      <w:sz w:val="26"/>
      <w:szCs w:val="28"/>
    </w:rPr>
  </w:style>
  <w:style w:type="paragraph" w:styleId="Heading3">
    <w:name w:val="heading 3"/>
    <w:basedOn w:val="Normal"/>
    <w:next w:val="Normal"/>
    <w:link w:val="Heading3Char"/>
    <w:qFormat/>
    <w:rsid w:val="00785180"/>
    <w:pPr>
      <w:keepNext/>
      <w:spacing w:before="240" w:after="60"/>
      <w:outlineLvl w:val="2"/>
    </w:pPr>
    <w:rPr>
      <w:b/>
      <w:bCs/>
      <w:szCs w:val="26"/>
      <w:lang w:eastAsia="en-AU"/>
    </w:rPr>
  </w:style>
  <w:style w:type="paragraph" w:styleId="Heading4">
    <w:name w:val="heading 4"/>
    <w:basedOn w:val="Normal"/>
    <w:next w:val="Normal"/>
    <w:link w:val="Heading4Char"/>
    <w:qFormat/>
    <w:rsid w:val="00785180"/>
    <w:pPr>
      <w:keepNext/>
      <w:spacing w:before="240" w:after="60"/>
      <w:outlineLvl w:val="3"/>
    </w:pPr>
    <w:rPr>
      <w:bCs/>
      <w:i/>
      <w:szCs w:val="28"/>
      <w:lang w:eastAsia="en-AU"/>
    </w:rPr>
  </w:style>
  <w:style w:type="paragraph" w:styleId="Heading5">
    <w:name w:val="heading 5"/>
    <w:basedOn w:val="Normal"/>
    <w:next w:val="Normal"/>
    <w:link w:val="Heading5Char"/>
    <w:qFormat/>
    <w:rsid w:val="00785180"/>
    <w:pPr>
      <w:spacing w:before="240" w:after="60"/>
      <w:outlineLvl w:val="4"/>
    </w:pPr>
    <w:rPr>
      <w:bCs/>
      <w:iCs/>
      <w:u w:val="single"/>
    </w:rPr>
  </w:style>
  <w:style w:type="paragraph" w:styleId="Heading6">
    <w:name w:val="heading 6"/>
    <w:basedOn w:val="Normal"/>
    <w:next w:val="Normal"/>
    <w:link w:val="Heading6Char"/>
    <w:qFormat/>
    <w:rsid w:val="00785180"/>
    <w:pPr>
      <w:spacing w:before="240" w:after="60"/>
      <w:outlineLvl w:val="5"/>
    </w:pPr>
    <w:rPr>
      <w:b/>
      <w:bCs/>
      <w:szCs w:val="22"/>
      <w:lang w:eastAsia="en-AU"/>
    </w:rPr>
  </w:style>
  <w:style w:type="paragraph" w:styleId="Heading7">
    <w:name w:val="heading 7"/>
    <w:basedOn w:val="Normal"/>
    <w:next w:val="Normal"/>
    <w:link w:val="Heading7Char"/>
    <w:qFormat/>
    <w:rsid w:val="00785180"/>
    <w:pPr>
      <w:keepNext/>
      <w:jc w:val="center"/>
      <w:outlineLvl w:val="6"/>
    </w:pPr>
    <w:rPr>
      <w:rFonts w:ascii="Arial" w:hAnsi="Arial"/>
      <w:b/>
      <w:bCs/>
      <w:sz w:val="20"/>
      <w:szCs w:val="20"/>
      <w:lang w:eastAsia="en-AU"/>
    </w:rPr>
  </w:style>
  <w:style w:type="paragraph" w:styleId="Heading9">
    <w:name w:val="heading 9"/>
    <w:basedOn w:val="Normal"/>
    <w:next w:val="Normal"/>
    <w:link w:val="Heading9Char"/>
    <w:qFormat/>
    <w:rsid w:val="00785180"/>
    <w:pPr>
      <w:keepNext/>
      <w:ind w:left="180"/>
      <w:outlineLvl w:val="8"/>
    </w:pPr>
    <w:rPr>
      <w:rFonts w:ascii="Arial" w:eastAsia="Arial Unicode MS" w:hAnsi="Arial"/>
      <w:b/>
      <w:bCs/>
      <w:sz w:val="16"/>
      <w:szCs w:val="16"/>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785180"/>
    <w:rPr>
      <w:rFonts w:ascii="Arial" w:hAnsi="Arial" w:cs="Times New Roman"/>
      <w:b/>
      <w:kern w:val="32"/>
      <w:sz w:val="32"/>
      <w:lang w:val="en-AU" w:eastAsia="en-US"/>
    </w:rPr>
  </w:style>
  <w:style w:type="character" w:customStyle="1" w:styleId="Heading2Char">
    <w:name w:val="Heading 2 Char"/>
    <w:link w:val="Heading2"/>
    <w:locked/>
    <w:rsid w:val="00785180"/>
    <w:rPr>
      <w:rFonts w:ascii="Arial" w:hAnsi="Arial" w:cs="Times New Roman"/>
      <w:b/>
      <w:sz w:val="28"/>
      <w:lang w:val="en-AU" w:eastAsia="en-US"/>
    </w:rPr>
  </w:style>
  <w:style w:type="character" w:customStyle="1" w:styleId="Heading3Char">
    <w:name w:val="Heading 3 Char"/>
    <w:link w:val="Heading3"/>
    <w:locked/>
    <w:rsid w:val="00785180"/>
    <w:rPr>
      <w:rFonts w:cs="Times New Roman"/>
      <w:b/>
      <w:sz w:val="26"/>
      <w:lang w:val="en-AU" w:eastAsia="x-none"/>
    </w:rPr>
  </w:style>
  <w:style w:type="character" w:customStyle="1" w:styleId="Heading4Char">
    <w:name w:val="Heading 4 Char"/>
    <w:link w:val="Heading4"/>
    <w:locked/>
    <w:rsid w:val="00785180"/>
    <w:rPr>
      <w:rFonts w:cs="Times New Roman"/>
      <w:i/>
      <w:sz w:val="28"/>
      <w:lang w:val="en-AU" w:eastAsia="x-none"/>
    </w:rPr>
  </w:style>
  <w:style w:type="character" w:customStyle="1" w:styleId="Heading5Char">
    <w:name w:val="Heading 5 Char"/>
    <w:link w:val="Heading5"/>
    <w:locked/>
    <w:rsid w:val="00785180"/>
    <w:rPr>
      <w:rFonts w:cs="Times New Roman"/>
      <w:sz w:val="24"/>
      <w:u w:val="single"/>
      <w:lang w:val="en-AU" w:eastAsia="en-US"/>
    </w:rPr>
  </w:style>
  <w:style w:type="character" w:customStyle="1" w:styleId="Heading6Char">
    <w:name w:val="Heading 6 Char"/>
    <w:link w:val="Heading6"/>
    <w:locked/>
    <w:rsid w:val="00785180"/>
    <w:rPr>
      <w:rFonts w:cs="Times New Roman"/>
      <w:b/>
      <w:sz w:val="22"/>
      <w:lang w:val="en-AU" w:eastAsia="x-none"/>
    </w:rPr>
  </w:style>
  <w:style w:type="character" w:customStyle="1" w:styleId="Heading7Char">
    <w:name w:val="Heading 7 Char"/>
    <w:link w:val="Heading7"/>
    <w:locked/>
    <w:rsid w:val="00785180"/>
    <w:rPr>
      <w:rFonts w:ascii="Arial" w:hAnsi="Arial" w:cs="Times New Roman"/>
      <w:b/>
      <w:lang w:val="en-AU" w:eastAsia="x-none"/>
    </w:rPr>
  </w:style>
  <w:style w:type="character" w:customStyle="1" w:styleId="Heading9Char">
    <w:name w:val="Heading 9 Char"/>
    <w:link w:val="Heading9"/>
    <w:locked/>
    <w:rsid w:val="00785180"/>
    <w:rPr>
      <w:rFonts w:ascii="Arial" w:eastAsia="Arial Unicode MS" w:hAnsi="Arial" w:cs="Times New Roman"/>
      <w:b/>
      <w:sz w:val="16"/>
      <w:lang w:val="en-AU" w:eastAsia="x-none"/>
    </w:rPr>
  </w:style>
  <w:style w:type="paragraph" w:styleId="BodyText">
    <w:name w:val="Body Text"/>
    <w:basedOn w:val="Normal"/>
    <w:link w:val="BodyTextChar1"/>
    <w:rsid w:val="00785180"/>
    <w:pPr>
      <w:spacing w:line="360" w:lineRule="auto"/>
    </w:pPr>
    <w:rPr>
      <w:szCs w:val="20"/>
      <w:lang w:eastAsia="en-AU"/>
    </w:rPr>
  </w:style>
  <w:style w:type="character" w:customStyle="1" w:styleId="BodyTextChar">
    <w:name w:val="Body Text Char"/>
    <w:locked/>
    <w:rsid w:val="00785180"/>
    <w:rPr>
      <w:rFonts w:ascii="Times New Roman" w:hAnsi="Times New Roman" w:cs="Times New Roman"/>
      <w:sz w:val="24"/>
      <w:lang w:val="en-AU" w:eastAsia="en-AU"/>
    </w:rPr>
  </w:style>
  <w:style w:type="paragraph" w:styleId="Title">
    <w:name w:val="Title"/>
    <w:basedOn w:val="Normal"/>
    <w:link w:val="TitleChar"/>
    <w:qFormat/>
    <w:rsid w:val="00785180"/>
    <w:pPr>
      <w:spacing w:before="240" w:after="60" w:line="360" w:lineRule="auto"/>
      <w:jc w:val="center"/>
      <w:outlineLvl w:val="0"/>
    </w:pPr>
    <w:rPr>
      <w:rFonts w:ascii="Arial" w:hAnsi="Arial"/>
      <w:b/>
      <w:bCs/>
      <w:kern w:val="28"/>
      <w:sz w:val="32"/>
      <w:szCs w:val="32"/>
      <w:lang w:eastAsia="en-AU"/>
    </w:rPr>
  </w:style>
  <w:style w:type="character" w:customStyle="1" w:styleId="TitleChar">
    <w:name w:val="Title Char"/>
    <w:link w:val="Title"/>
    <w:locked/>
    <w:rsid w:val="00785180"/>
    <w:rPr>
      <w:rFonts w:ascii="Arial" w:hAnsi="Arial" w:cs="Times New Roman"/>
      <w:b/>
      <w:kern w:val="28"/>
      <w:sz w:val="32"/>
      <w:lang w:val="en-AU" w:eastAsia="en-AU"/>
    </w:rPr>
  </w:style>
  <w:style w:type="paragraph" w:styleId="FootnoteText">
    <w:name w:val="footnote text"/>
    <w:basedOn w:val="Normal"/>
    <w:link w:val="FootnoteTextChar"/>
    <w:semiHidden/>
    <w:rsid w:val="00785180"/>
    <w:rPr>
      <w:sz w:val="20"/>
      <w:szCs w:val="20"/>
      <w:lang w:eastAsia="en-AU"/>
    </w:rPr>
  </w:style>
  <w:style w:type="character" w:customStyle="1" w:styleId="FootnoteTextChar">
    <w:name w:val="Footnote Text Char"/>
    <w:link w:val="FootnoteText"/>
    <w:semiHidden/>
    <w:locked/>
    <w:rsid w:val="00785180"/>
    <w:rPr>
      <w:rFonts w:cs="Times New Roman"/>
      <w:lang w:val="en-AU" w:eastAsia="en-AU"/>
    </w:rPr>
  </w:style>
  <w:style w:type="character" w:styleId="FootnoteReference">
    <w:name w:val="footnote reference"/>
    <w:semiHidden/>
    <w:rsid w:val="00785180"/>
    <w:rPr>
      <w:rFonts w:cs="Times New Roman"/>
      <w:vertAlign w:val="superscript"/>
    </w:rPr>
  </w:style>
  <w:style w:type="character" w:styleId="Hyperlink">
    <w:name w:val="Hyperlink"/>
    <w:rsid w:val="00785180"/>
    <w:rPr>
      <w:rFonts w:cs="Times New Roman"/>
      <w:color w:val="0000FF"/>
      <w:u w:val="single"/>
    </w:rPr>
  </w:style>
  <w:style w:type="paragraph" w:customStyle="1" w:styleId="normaltext">
    <w:name w:val="normal text"/>
    <w:basedOn w:val="Normal"/>
    <w:link w:val="normaltextChar"/>
    <w:rsid w:val="003469AB"/>
    <w:rPr>
      <w:rFonts w:ascii="Arial" w:hAnsi="Arial"/>
      <w:szCs w:val="20"/>
    </w:rPr>
  </w:style>
  <w:style w:type="character" w:customStyle="1" w:styleId="normaltextChar">
    <w:name w:val="normal text Char"/>
    <w:link w:val="normaltext"/>
    <w:locked/>
    <w:rsid w:val="003469AB"/>
    <w:rPr>
      <w:rFonts w:ascii="Arial" w:hAnsi="Arial"/>
      <w:sz w:val="24"/>
      <w:lang w:val="en-AU" w:eastAsia="en-US"/>
    </w:rPr>
  </w:style>
  <w:style w:type="paragraph" w:styleId="NormalWeb">
    <w:name w:val="Normal (Web)"/>
    <w:basedOn w:val="Normal"/>
    <w:semiHidden/>
    <w:rsid w:val="00785180"/>
    <w:pPr>
      <w:spacing w:before="100" w:beforeAutospacing="1" w:after="100" w:afterAutospacing="1"/>
    </w:pPr>
    <w:rPr>
      <w:lang w:eastAsia="en-AU"/>
    </w:rPr>
  </w:style>
  <w:style w:type="paragraph" w:customStyle="1" w:styleId="ListNosforConcept">
    <w:name w:val="List No's for Concept"/>
    <w:basedOn w:val="Normal"/>
    <w:rsid w:val="003469AB"/>
    <w:pPr>
      <w:spacing w:after="240"/>
      <w:jc w:val="both"/>
    </w:pPr>
    <w:rPr>
      <w:rFonts w:ascii="CG Times" w:hAnsi="CG Times"/>
      <w:szCs w:val="20"/>
      <w:lang w:val="en-GB"/>
    </w:rPr>
  </w:style>
  <w:style w:type="paragraph" w:styleId="Caption">
    <w:name w:val="caption"/>
    <w:aliases w:val="Caption Char Char"/>
    <w:basedOn w:val="Normal"/>
    <w:next w:val="Normal"/>
    <w:link w:val="CaptionChar"/>
    <w:qFormat/>
    <w:rsid w:val="0078518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paragraph" w:customStyle="1" w:styleId="Default">
    <w:name w:val="Default"/>
    <w:rsid w:val="00785180"/>
    <w:pPr>
      <w:autoSpaceDE w:val="0"/>
      <w:autoSpaceDN w:val="0"/>
      <w:adjustRightInd w:val="0"/>
      <w:spacing w:before="120" w:after="120"/>
      <w:ind w:left="576"/>
    </w:pPr>
    <w:rPr>
      <w:rFonts w:ascii="Arial" w:hAnsi="Arial" w:cs="Arial"/>
      <w:color w:val="000000"/>
      <w:sz w:val="24"/>
      <w:szCs w:val="24"/>
    </w:rPr>
  </w:style>
  <w:style w:type="character" w:styleId="CommentReference">
    <w:name w:val="annotation reference"/>
    <w:rsid w:val="00785180"/>
    <w:rPr>
      <w:rFonts w:cs="Times New Roman"/>
      <w:sz w:val="16"/>
    </w:rPr>
  </w:style>
  <w:style w:type="paragraph" w:styleId="CommentText">
    <w:name w:val="annotation text"/>
    <w:basedOn w:val="Normal"/>
    <w:link w:val="CommentTextChar"/>
    <w:semiHidden/>
    <w:rsid w:val="00785180"/>
    <w:rPr>
      <w:rFonts w:ascii="Arial" w:hAnsi="Arial"/>
      <w:sz w:val="20"/>
      <w:szCs w:val="20"/>
      <w:lang w:eastAsia="en-AU"/>
    </w:rPr>
  </w:style>
  <w:style w:type="character" w:customStyle="1" w:styleId="CommentTextChar">
    <w:name w:val="Comment Text Char"/>
    <w:link w:val="CommentText"/>
    <w:semiHidden/>
    <w:locked/>
    <w:rsid w:val="00785180"/>
    <w:rPr>
      <w:rFonts w:ascii="Arial" w:hAnsi="Arial" w:cs="Times New Roman"/>
      <w:lang w:val="en-AU" w:eastAsia="x-none"/>
    </w:rPr>
  </w:style>
  <w:style w:type="character" w:styleId="Emphasis">
    <w:name w:val="Emphasis"/>
    <w:qFormat/>
    <w:rsid w:val="00785180"/>
    <w:rPr>
      <w:rFonts w:cs="Times New Roman"/>
      <w:i/>
    </w:rPr>
  </w:style>
  <w:style w:type="character" w:styleId="Strong">
    <w:name w:val="Strong"/>
    <w:qFormat/>
    <w:rsid w:val="00785180"/>
    <w:rPr>
      <w:rFonts w:cs="Times New Roman"/>
      <w:b/>
    </w:rPr>
  </w:style>
  <w:style w:type="paragraph" w:styleId="BalloonText">
    <w:name w:val="Balloon Text"/>
    <w:basedOn w:val="Normal"/>
    <w:link w:val="BalloonTextChar"/>
    <w:semiHidden/>
    <w:rsid w:val="00785180"/>
    <w:rPr>
      <w:rFonts w:ascii="Tahoma" w:hAnsi="Tahoma" w:cs="Tahoma"/>
      <w:sz w:val="16"/>
      <w:szCs w:val="16"/>
      <w:lang w:eastAsia="en-AU"/>
    </w:rPr>
  </w:style>
  <w:style w:type="character" w:customStyle="1" w:styleId="BalloonTextChar">
    <w:name w:val="Balloon Text Char"/>
    <w:link w:val="BalloonText"/>
    <w:semiHidden/>
    <w:locked/>
    <w:rsid w:val="007D0FB4"/>
    <w:rPr>
      <w:rFonts w:cs="Times New Roman"/>
      <w:sz w:val="2"/>
      <w:lang w:val="x-none" w:eastAsia="en-US"/>
    </w:rPr>
  </w:style>
  <w:style w:type="paragraph" w:styleId="BodyText2">
    <w:name w:val="Body Text 2"/>
    <w:basedOn w:val="Normal"/>
    <w:link w:val="BodyText2Char"/>
    <w:semiHidden/>
    <w:rsid w:val="00785180"/>
    <w:pPr>
      <w:spacing w:line="480" w:lineRule="auto"/>
    </w:pPr>
  </w:style>
  <w:style w:type="character" w:customStyle="1" w:styleId="BodyText2Char">
    <w:name w:val="Body Text 2 Char"/>
    <w:link w:val="BodyText2"/>
    <w:locked/>
    <w:rsid w:val="00785180"/>
    <w:rPr>
      <w:rFonts w:cs="Times New Roman"/>
      <w:sz w:val="24"/>
      <w:lang w:val="en-AU" w:eastAsia="en-US"/>
    </w:rPr>
  </w:style>
  <w:style w:type="paragraph" w:styleId="BodyTextIndent2">
    <w:name w:val="Body Text Indent 2"/>
    <w:basedOn w:val="Normal"/>
    <w:link w:val="BodyTextIndent2Char"/>
    <w:semiHidden/>
    <w:rsid w:val="00785180"/>
    <w:pPr>
      <w:tabs>
        <w:tab w:val="left" w:pos="993"/>
      </w:tabs>
      <w:ind w:left="1704" w:hanging="1704"/>
    </w:pPr>
    <w:rPr>
      <w:lang w:eastAsia="en-AU"/>
    </w:rPr>
  </w:style>
  <w:style w:type="character" w:customStyle="1" w:styleId="BodyTextIndent2Char">
    <w:name w:val="Body Text Indent 2 Char"/>
    <w:link w:val="BodyTextIndent2"/>
    <w:semiHidden/>
    <w:locked/>
    <w:rsid w:val="00785180"/>
    <w:rPr>
      <w:rFonts w:cs="Times New Roman"/>
      <w:sz w:val="24"/>
      <w:lang w:val="en-AU" w:eastAsia="x-none"/>
    </w:rPr>
  </w:style>
  <w:style w:type="character" w:customStyle="1" w:styleId="CaptionChar">
    <w:name w:val="Caption Char"/>
    <w:aliases w:val="Caption Char Char Char"/>
    <w:link w:val="Caption"/>
    <w:locked/>
    <w:rsid w:val="00785180"/>
    <w:rPr>
      <w:rFonts w:eastAsia="SimSun"/>
      <w:sz w:val="24"/>
      <w:lang w:val="en-GB" w:eastAsia="en-US"/>
    </w:rPr>
  </w:style>
  <w:style w:type="paragraph" w:customStyle="1" w:styleId="Captions">
    <w:name w:val="Captions"/>
    <w:basedOn w:val="Normal"/>
    <w:semiHidden/>
    <w:rsid w:val="00785180"/>
    <w:rPr>
      <w:i/>
    </w:rPr>
  </w:style>
  <w:style w:type="paragraph" w:customStyle="1" w:styleId="font5">
    <w:name w:val="font5"/>
    <w:basedOn w:val="Normal"/>
    <w:semiHidden/>
    <w:rsid w:val="00785180"/>
    <w:pPr>
      <w:spacing w:before="100" w:beforeAutospacing="1" w:after="100" w:afterAutospacing="1"/>
    </w:pPr>
    <w:rPr>
      <w:rFonts w:ascii="Tahoma" w:eastAsia="Arial Unicode MS" w:hAnsi="Tahoma" w:cs="Tahoma"/>
      <w:b/>
      <w:bCs/>
      <w:color w:val="000000"/>
      <w:sz w:val="16"/>
      <w:szCs w:val="16"/>
    </w:rPr>
  </w:style>
  <w:style w:type="paragraph" w:customStyle="1" w:styleId="font6">
    <w:name w:val="font6"/>
    <w:basedOn w:val="Normal"/>
    <w:semiHidden/>
    <w:rsid w:val="00785180"/>
    <w:pPr>
      <w:spacing w:before="100" w:beforeAutospacing="1" w:after="100" w:afterAutospacing="1"/>
    </w:pPr>
    <w:rPr>
      <w:rFonts w:ascii="Tahoma" w:eastAsia="Arial Unicode MS" w:hAnsi="Tahoma" w:cs="Tahoma"/>
      <w:color w:val="000000"/>
      <w:sz w:val="16"/>
      <w:szCs w:val="16"/>
    </w:rPr>
  </w:style>
  <w:style w:type="paragraph" w:styleId="Footer">
    <w:name w:val="footer"/>
    <w:basedOn w:val="Normal"/>
    <w:link w:val="FooterChar"/>
    <w:rsid w:val="00785180"/>
    <w:pPr>
      <w:tabs>
        <w:tab w:val="center" w:pos="4153"/>
        <w:tab w:val="right" w:pos="8306"/>
      </w:tabs>
      <w:suppressAutoHyphens/>
    </w:pPr>
    <w:rPr>
      <w:spacing w:val="-3"/>
      <w:szCs w:val="20"/>
    </w:rPr>
  </w:style>
  <w:style w:type="character" w:customStyle="1" w:styleId="FooterChar">
    <w:name w:val="Footer Char"/>
    <w:link w:val="Footer"/>
    <w:semiHidden/>
    <w:locked/>
    <w:rsid w:val="00785180"/>
    <w:rPr>
      <w:rFonts w:cs="Times New Roman"/>
      <w:spacing w:val="-3"/>
      <w:sz w:val="22"/>
      <w:lang w:val="en-AU" w:eastAsia="en-US"/>
    </w:rPr>
  </w:style>
  <w:style w:type="paragraph" w:styleId="Header">
    <w:name w:val="header"/>
    <w:basedOn w:val="Normal"/>
    <w:link w:val="HeaderChar"/>
    <w:rsid w:val="00785180"/>
    <w:pPr>
      <w:tabs>
        <w:tab w:val="center" w:pos="4153"/>
        <w:tab w:val="right" w:pos="8306"/>
      </w:tabs>
      <w:jc w:val="both"/>
    </w:pPr>
    <w:rPr>
      <w:rFonts w:ascii="Arial" w:hAnsi="Arial"/>
      <w:szCs w:val="20"/>
    </w:rPr>
  </w:style>
  <w:style w:type="character" w:customStyle="1" w:styleId="HeaderChar">
    <w:name w:val="Header Char"/>
    <w:link w:val="Header"/>
    <w:locked/>
    <w:rsid w:val="00785180"/>
    <w:rPr>
      <w:rFonts w:ascii="Arial" w:hAnsi="Arial" w:cs="Times New Roman"/>
      <w:sz w:val="22"/>
      <w:lang w:val="en-AU" w:eastAsia="en-US"/>
    </w:rPr>
  </w:style>
  <w:style w:type="paragraph" w:customStyle="1" w:styleId="Heading54">
    <w:name w:val="Heading 54"/>
    <w:basedOn w:val="Heading5"/>
    <w:rsid w:val="00785180"/>
  </w:style>
  <w:style w:type="paragraph" w:customStyle="1" w:styleId="HeadingA1">
    <w:name w:val="Heading A1"/>
    <w:basedOn w:val="Title"/>
    <w:semiHidden/>
    <w:rsid w:val="00785180"/>
    <w:pPr>
      <w:spacing w:line="240" w:lineRule="auto"/>
    </w:pPr>
    <w:rPr>
      <w:rFonts w:ascii="Trebuchet MS" w:hAnsi="Trebuchet MS"/>
      <w:sz w:val="28"/>
      <w:szCs w:val="28"/>
      <w:lang w:eastAsia="zh-CN"/>
    </w:rPr>
  </w:style>
  <w:style w:type="paragraph" w:customStyle="1" w:styleId="HTMLBody">
    <w:name w:val="HTML Body"/>
    <w:semiHidden/>
    <w:rsid w:val="00785180"/>
    <w:pPr>
      <w:autoSpaceDE w:val="0"/>
      <w:autoSpaceDN w:val="0"/>
      <w:adjustRightInd w:val="0"/>
      <w:spacing w:before="120" w:after="120"/>
      <w:ind w:left="576"/>
    </w:pPr>
    <w:rPr>
      <w:rFonts w:ascii="Arial" w:hAnsi="Arial"/>
      <w:lang w:val="en-US" w:eastAsia="en-US"/>
    </w:rPr>
  </w:style>
  <w:style w:type="paragraph" w:customStyle="1" w:styleId="Imprint">
    <w:name w:val="Imprint"/>
    <w:basedOn w:val="Normal"/>
    <w:semiHidden/>
    <w:rsid w:val="00785180"/>
    <w:pPr>
      <w:tabs>
        <w:tab w:val="left" w:pos="284"/>
        <w:tab w:val="left" w:pos="567"/>
        <w:tab w:val="left" w:pos="851"/>
        <w:tab w:val="left" w:pos="1134"/>
      </w:tabs>
    </w:pPr>
    <w:rPr>
      <w:rFonts w:ascii="Arial" w:hAnsi="Arial"/>
      <w:i/>
      <w:sz w:val="16"/>
      <w:szCs w:val="20"/>
    </w:rPr>
  </w:style>
  <w:style w:type="paragraph" w:styleId="ListBullet2">
    <w:name w:val="List Bullet 2"/>
    <w:basedOn w:val="Normal"/>
    <w:semiHidden/>
    <w:rsid w:val="00785180"/>
    <w:rPr>
      <w:rFonts w:ascii="Optimum" w:hAnsi="Optimum"/>
    </w:rPr>
  </w:style>
  <w:style w:type="paragraph" w:customStyle="1" w:styleId="name">
    <w:name w:val="name"/>
    <w:basedOn w:val="Normal"/>
    <w:semiHidden/>
    <w:rsid w:val="00785180"/>
    <w:pPr>
      <w:keepNext/>
      <w:tabs>
        <w:tab w:val="left" w:pos="284"/>
        <w:tab w:val="left" w:pos="567"/>
        <w:tab w:val="left" w:pos="851"/>
        <w:tab w:val="left" w:pos="1134"/>
      </w:tabs>
    </w:pPr>
    <w:rPr>
      <w:rFonts w:ascii="Arial" w:hAnsi="Arial"/>
      <w:b/>
      <w:sz w:val="20"/>
      <w:szCs w:val="20"/>
    </w:rPr>
  </w:style>
  <w:style w:type="paragraph" w:customStyle="1" w:styleId="NormalPalatinoLinotype">
    <w:name w:val="NormalPalatino Linotype"/>
    <w:basedOn w:val="Normal"/>
    <w:semiHidden/>
    <w:rsid w:val="00785180"/>
    <w:rPr>
      <w:rFonts w:ascii="Palatino Linotype" w:hAnsi="Palatino Linotype"/>
      <w:lang w:eastAsia="en-AU"/>
    </w:rPr>
  </w:style>
  <w:style w:type="character" w:customStyle="1" w:styleId="NormalPalatinoLinotypeChar">
    <w:name w:val="NormalPalatino Linotype Char"/>
    <w:semiHidden/>
    <w:rsid w:val="00785180"/>
    <w:rPr>
      <w:rFonts w:ascii="Palatino Linotype" w:hAnsi="Palatino Linotype"/>
      <w:sz w:val="24"/>
      <w:lang w:val="en-AU" w:eastAsia="en-AU"/>
    </w:rPr>
  </w:style>
  <w:style w:type="paragraph" w:customStyle="1" w:styleId="NormPalatinoLinotype">
    <w:name w:val="NormPalatino Linotype"/>
    <w:basedOn w:val="Normal"/>
    <w:semiHidden/>
    <w:rsid w:val="00785180"/>
    <w:rPr>
      <w:rFonts w:ascii="Palatino Linotype" w:hAnsi="Palatino Linotype"/>
      <w:lang w:eastAsia="en-AU"/>
    </w:rPr>
  </w:style>
  <w:style w:type="character" w:styleId="PageNumber">
    <w:name w:val="page number"/>
    <w:rsid w:val="00785180"/>
    <w:rPr>
      <w:rFonts w:cs="Times New Roman"/>
    </w:rPr>
  </w:style>
  <w:style w:type="paragraph" w:styleId="PlainText">
    <w:name w:val="Plain Text"/>
    <w:basedOn w:val="Normal"/>
    <w:link w:val="PlainTextChar"/>
    <w:semiHidden/>
    <w:rsid w:val="00785180"/>
    <w:rPr>
      <w:rFonts w:ascii="Courier New" w:hAnsi="Courier New"/>
      <w:sz w:val="20"/>
      <w:szCs w:val="20"/>
      <w:lang w:eastAsia="en-AU"/>
    </w:rPr>
  </w:style>
  <w:style w:type="character" w:customStyle="1" w:styleId="PlainTextChar">
    <w:name w:val="Plain Text Char"/>
    <w:link w:val="PlainText"/>
    <w:semiHidden/>
    <w:locked/>
    <w:rsid w:val="00785180"/>
    <w:rPr>
      <w:rFonts w:ascii="Courier New" w:hAnsi="Courier New" w:cs="Times New Roman"/>
      <w:lang w:val="en-AU" w:eastAsia="en-AU"/>
    </w:rPr>
  </w:style>
  <w:style w:type="paragraph" w:customStyle="1" w:styleId="References">
    <w:name w:val="References"/>
    <w:basedOn w:val="Normal"/>
    <w:rsid w:val="00785180"/>
    <w:pPr>
      <w:ind w:left="284" w:hanging="284"/>
    </w:pPr>
    <w:rPr>
      <w:szCs w:val="22"/>
    </w:rPr>
  </w:style>
  <w:style w:type="paragraph" w:customStyle="1" w:styleId="references0">
    <w:name w:val="references"/>
    <w:basedOn w:val="Normal"/>
    <w:rsid w:val="00785180"/>
    <w:pPr>
      <w:spacing w:before="100" w:beforeAutospacing="1" w:after="100" w:afterAutospacing="1"/>
    </w:pPr>
    <w:rPr>
      <w:rFonts w:ascii="Arial Unicode MS" w:eastAsia="Arial Unicode MS" w:hAnsi="Arial Unicode MS" w:cs="Arial Unicode MS"/>
    </w:rPr>
  </w:style>
  <w:style w:type="paragraph" w:customStyle="1" w:styleId="reportheading">
    <w:name w:val="report heading"/>
    <w:basedOn w:val="Heading1"/>
    <w:semiHidden/>
    <w:rsid w:val="00785180"/>
    <w:pPr>
      <w:keepNext w:val="0"/>
      <w:pageBreakBefore w:val="0"/>
      <w:tabs>
        <w:tab w:val="num" w:pos="432"/>
      </w:tabs>
      <w:spacing w:before="0" w:after="0"/>
      <w:ind w:left="432" w:hanging="432"/>
      <w:outlineLvl w:val="9"/>
    </w:pPr>
    <w:rPr>
      <w:rFonts w:ascii="Times New Roman" w:hAnsi="Times New Roman" w:cs="Times New Roman"/>
      <w:kern w:val="28"/>
      <w:sz w:val="28"/>
      <w:szCs w:val="20"/>
      <w:lang w:val="de-DE"/>
    </w:rPr>
  </w:style>
  <w:style w:type="paragraph" w:customStyle="1" w:styleId="reporttitle">
    <w:name w:val="report title"/>
    <w:basedOn w:val="reportheading"/>
    <w:semiHidden/>
    <w:rsid w:val="00785180"/>
    <w:pPr>
      <w:tabs>
        <w:tab w:val="clear" w:pos="432"/>
      </w:tabs>
      <w:ind w:left="0" w:firstLine="0"/>
    </w:pPr>
  </w:style>
  <w:style w:type="paragraph" w:customStyle="1" w:styleId="Style1">
    <w:name w:val="Style1"/>
    <w:basedOn w:val="Heading4"/>
    <w:semiHidden/>
    <w:rsid w:val="00785180"/>
    <w:pPr>
      <w:keepNext w:val="0"/>
      <w:spacing w:before="0" w:after="0"/>
    </w:pPr>
    <w:rPr>
      <w:b/>
      <w:bCs w:val="0"/>
      <w:szCs w:val="24"/>
      <w:u w:val="single"/>
      <w:lang w:val="en-US"/>
    </w:rPr>
  </w:style>
  <w:style w:type="paragraph" w:customStyle="1" w:styleId="TableContents">
    <w:name w:val="Table Contents"/>
    <w:basedOn w:val="BodyText"/>
    <w:rsid w:val="00785180"/>
    <w:pPr>
      <w:suppressLineNumbers/>
      <w:suppressAutoHyphens/>
      <w:spacing w:after="142" w:line="276" w:lineRule="auto"/>
    </w:pPr>
    <w:rPr>
      <w:rFonts w:ascii="Trebuchet MS" w:hAnsi="Trebuchet MS"/>
      <w:sz w:val="21"/>
      <w:lang w:val="en-US"/>
    </w:rPr>
  </w:style>
  <w:style w:type="table" w:styleId="TableGrid">
    <w:name w:val="Table Grid"/>
    <w:basedOn w:val="TableNormal"/>
    <w:rsid w:val="007851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rsid w:val="00785180"/>
    <w:pPr>
      <w:tabs>
        <w:tab w:val="right" w:leader="dot" w:pos="9060"/>
      </w:tabs>
      <w:autoSpaceDE w:val="0"/>
      <w:autoSpaceDN w:val="0"/>
      <w:adjustRightInd w:val="0"/>
    </w:pPr>
    <w:rPr>
      <w:b/>
    </w:rPr>
  </w:style>
  <w:style w:type="paragraph" w:styleId="TOC2">
    <w:name w:val="toc 2"/>
    <w:basedOn w:val="Normal"/>
    <w:next w:val="Normal"/>
    <w:autoRedefine/>
    <w:rsid w:val="00785180"/>
    <w:pPr>
      <w:tabs>
        <w:tab w:val="right" w:leader="dot" w:pos="9060"/>
      </w:tabs>
      <w:ind w:left="240"/>
    </w:pPr>
    <w:rPr>
      <w:b/>
      <w:i/>
    </w:rPr>
  </w:style>
  <w:style w:type="paragraph" w:styleId="TOC3">
    <w:name w:val="toc 3"/>
    <w:basedOn w:val="Normal"/>
    <w:next w:val="Normal"/>
    <w:autoRedefine/>
    <w:rsid w:val="00785180"/>
    <w:pPr>
      <w:tabs>
        <w:tab w:val="right" w:leader="dot" w:pos="9060"/>
      </w:tabs>
      <w:ind w:left="340"/>
    </w:pPr>
  </w:style>
  <w:style w:type="paragraph" w:styleId="TOC4">
    <w:name w:val="toc 4"/>
    <w:basedOn w:val="Normal"/>
    <w:next w:val="Normal"/>
    <w:autoRedefine/>
    <w:rsid w:val="00785180"/>
    <w:pPr>
      <w:tabs>
        <w:tab w:val="left" w:leader="dot" w:pos="8364"/>
      </w:tabs>
      <w:ind w:left="540"/>
    </w:pPr>
    <w:rPr>
      <w:noProof/>
    </w:rPr>
  </w:style>
  <w:style w:type="paragraph" w:customStyle="1" w:styleId="xl24">
    <w:name w:val="xl24"/>
    <w:basedOn w:val="Normal"/>
    <w:semiHidden/>
    <w:rsid w:val="00785180"/>
    <w:pPr>
      <w:spacing w:before="100" w:beforeAutospacing="1" w:after="100" w:afterAutospacing="1"/>
    </w:pPr>
    <w:rPr>
      <w:rFonts w:ascii="Arial" w:eastAsia="Arial Unicode MS" w:hAnsi="Arial" w:cs="Arial"/>
      <w:sz w:val="16"/>
      <w:szCs w:val="16"/>
    </w:rPr>
  </w:style>
  <w:style w:type="paragraph" w:customStyle="1" w:styleId="xl25">
    <w:name w:val="xl25"/>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6">
    <w:name w:val="xl26"/>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7">
    <w:name w:val="xl27"/>
    <w:basedOn w:val="Normal"/>
    <w:semiHidden/>
    <w:rsid w:val="00785180"/>
    <w:pPr>
      <w:spacing w:before="100" w:beforeAutospacing="1" w:after="100" w:afterAutospacing="1"/>
      <w:jc w:val="center"/>
      <w:textAlignment w:val="center"/>
    </w:pPr>
    <w:rPr>
      <w:rFonts w:ascii="Arial" w:eastAsia="Arial Unicode MS" w:hAnsi="Arial" w:cs="Arial"/>
      <w:sz w:val="16"/>
      <w:szCs w:val="16"/>
    </w:rPr>
  </w:style>
  <w:style w:type="paragraph" w:customStyle="1" w:styleId="xl28">
    <w:name w:val="xl28"/>
    <w:basedOn w:val="Normal"/>
    <w:semiHidden/>
    <w:rsid w:val="00785180"/>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semiHidden/>
    <w:rsid w:val="0078518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0">
    <w:name w:val="xl30"/>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1">
    <w:name w:val="xl31"/>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2">
    <w:name w:val="xl32"/>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3">
    <w:name w:val="xl33"/>
    <w:basedOn w:val="Normal"/>
    <w:semiHidden/>
    <w:rsid w:val="00785180"/>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4">
    <w:name w:val="xl34"/>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35">
    <w:name w:val="xl35"/>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6">
    <w:name w:val="xl36"/>
    <w:basedOn w:val="Normal"/>
    <w:semiHidden/>
    <w:rsid w:val="00785180"/>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7">
    <w:name w:val="xl37"/>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8">
    <w:name w:val="xl38"/>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9">
    <w:name w:val="xl39"/>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40">
    <w:name w:val="xl40"/>
    <w:basedOn w:val="Normal"/>
    <w:semiHidden/>
    <w:rsid w:val="00785180"/>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b/>
      <w:bCs/>
      <w:color w:val="000000"/>
      <w:sz w:val="16"/>
      <w:szCs w:val="16"/>
    </w:rPr>
  </w:style>
  <w:style w:type="paragraph" w:customStyle="1" w:styleId="xl41">
    <w:name w:val="xl41"/>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2">
    <w:name w:val="xl42"/>
    <w:basedOn w:val="Normal"/>
    <w:semiHidden/>
    <w:rsid w:val="00785180"/>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3">
    <w:name w:val="xl43"/>
    <w:basedOn w:val="Normal"/>
    <w:semiHidden/>
    <w:rsid w:val="00785180"/>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4">
    <w:name w:val="xl44"/>
    <w:basedOn w:val="Normal"/>
    <w:semiHidden/>
    <w:rsid w:val="00785180"/>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5">
    <w:name w:val="xl45"/>
    <w:basedOn w:val="Normal"/>
    <w:semiHidden/>
    <w:rsid w:val="00785180"/>
    <w:pPr>
      <w:pBdr>
        <w:top w:val="single" w:sz="8" w:space="0" w:color="auto"/>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6">
    <w:name w:val="xl46"/>
    <w:basedOn w:val="Normal"/>
    <w:semiHidden/>
    <w:rsid w:val="00785180"/>
    <w:pPr>
      <w:pBdr>
        <w:top w:val="single" w:sz="4" w:space="0" w:color="C0C0C0"/>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7">
    <w:name w:val="xl47"/>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48">
    <w:name w:val="xl48"/>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9">
    <w:name w:val="xl49"/>
    <w:basedOn w:val="Normal"/>
    <w:semiHidden/>
    <w:rsid w:val="00785180"/>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50">
    <w:name w:val="xl50"/>
    <w:basedOn w:val="Normal"/>
    <w:semiHidden/>
    <w:rsid w:val="00785180"/>
    <w:pPr>
      <w:pBdr>
        <w:top w:val="single" w:sz="4" w:space="0" w:color="C0C0C0"/>
        <w:left w:val="single" w:sz="4" w:space="0" w:color="C0C0C0"/>
        <w:bottom w:val="single" w:sz="8" w:space="0" w:color="auto"/>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1">
    <w:name w:val="xl51"/>
    <w:basedOn w:val="Normal"/>
    <w:semiHidden/>
    <w:rsid w:val="00785180"/>
    <w:pPr>
      <w:pBdr>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2">
    <w:name w:val="xl52"/>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3">
    <w:name w:val="xl53"/>
    <w:basedOn w:val="Normal"/>
    <w:semiHidden/>
    <w:rsid w:val="00785180"/>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4">
    <w:name w:val="xl54"/>
    <w:basedOn w:val="Normal"/>
    <w:semiHidden/>
    <w:rsid w:val="00785180"/>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5">
    <w:name w:val="xl55"/>
    <w:basedOn w:val="Normal"/>
    <w:semiHidden/>
    <w:rsid w:val="00785180"/>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6">
    <w:name w:val="xl56"/>
    <w:basedOn w:val="Normal"/>
    <w:semiHidden/>
    <w:rsid w:val="00785180"/>
    <w:pPr>
      <w:pBdr>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7">
    <w:name w:val="xl57"/>
    <w:basedOn w:val="Normal"/>
    <w:semiHidden/>
    <w:rsid w:val="00785180"/>
    <w:pPr>
      <w:pBdr>
        <w:left w:val="single" w:sz="8" w:space="0" w:color="auto"/>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8">
    <w:name w:val="xl58"/>
    <w:basedOn w:val="Normal"/>
    <w:semiHidden/>
    <w:rsid w:val="00785180"/>
    <w:pPr>
      <w:pBdr>
        <w:top w:val="single" w:sz="8"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9">
    <w:name w:val="xl59"/>
    <w:basedOn w:val="Normal"/>
    <w:semiHidden/>
    <w:rsid w:val="00785180"/>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0">
    <w:name w:val="xl60"/>
    <w:basedOn w:val="Normal"/>
    <w:semiHidden/>
    <w:rsid w:val="00785180"/>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1">
    <w:name w:val="xl61"/>
    <w:basedOn w:val="Normal"/>
    <w:semiHidden/>
    <w:rsid w:val="00785180"/>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62">
    <w:name w:val="xl62"/>
    <w:basedOn w:val="Normal"/>
    <w:semiHidden/>
    <w:rsid w:val="00785180"/>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3">
    <w:name w:val="xl63"/>
    <w:basedOn w:val="Normal"/>
    <w:semiHidden/>
    <w:rsid w:val="00785180"/>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4">
    <w:name w:val="xl64"/>
    <w:basedOn w:val="Normal"/>
    <w:semiHidden/>
    <w:rsid w:val="00785180"/>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5">
    <w:name w:val="xl65"/>
    <w:basedOn w:val="Normal"/>
    <w:semiHidden/>
    <w:rsid w:val="00785180"/>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6">
    <w:name w:val="xl66"/>
    <w:basedOn w:val="Normal"/>
    <w:semiHidden/>
    <w:rsid w:val="00785180"/>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67">
    <w:name w:val="xl67"/>
    <w:basedOn w:val="Normal"/>
    <w:semiHidden/>
    <w:rsid w:val="00785180"/>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8">
    <w:name w:val="xl68"/>
    <w:basedOn w:val="Normal"/>
    <w:semiHidden/>
    <w:rsid w:val="00785180"/>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9">
    <w:name w:val="xl69"/>
    <w:basedOn w:val="Normal"/>
    <w:semiHidden/>
    <w:rsid w:val="00785180"/>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0">
    <w:name w:val="xl70"/>
    <w:basedOn w:val="Normal"/>
    <w:semiHidden/>
    <w:rsid w:val="00785180"/>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1">
    <w:name w:val="xl71"/>
    <w:basedOn w:val="Normal"/>
    <w:semiHidden/>
    <w:rsid w:val="00785180"/>
    <w:pPr>
      <w:pBdr>
        <w:left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2">
    <w:name w:val="xl72"/>
    <w:basedOn w:val="Normal"/>
    <w:semiHidden/>
    <w:rsid w:val="00785180"/>
    <w:pPr>
      <w:pBdr>
        <w:top w:val="single" w:sz="4"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3">
    <w:name w:val="xl73"/>
    <w:basedOn w:val="Normal"/>
    <w:semiHidden/>
    <w:rsid w:val="00785180"/>
    <w:pPr>
      <w:pBdr>
        <w:top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4">
    <w:name w:val="xl74"/>
    <w:basedOn w:val="Normal"/>
    <w:semiHidden/>
    <w:rsid w:val="00785180"/>
    <w:pPr>
      <w:pBdr>
        <w:bottom w:val="single" w:sz="8" w:space="0" w:color="auto"/>
      </w:pBdr>
      <w:spacing w:before="100" w:beforeAutospacing="1" w:after="100" w:afterAutospacing="1"/>
    </w:pPr>
    <w:rPr>
      <w:rFonts w:ascii="Arial Unicode MS" w:eastAsia="Arial Unicode MS" w:hAnsi="Arial Unicode MS" w:cs="Arial Unicode MS"/>
    </w:rPr>
  </w:style>
  <w:style w:type="paragraph" w:styleId="TableofFigures">
    <w:name w:val="table of figures"/>
    <w:basedOn w:val="Normal"/>
    <w:next w:val="Normal"/>
    <w:rsid w:val="00785180"/>
  </w:style>
  <w:style w:type="paragraph" w:customStyle="1" w:styleId="Affiliations">
    <w:name w:val="Affiliations"/>
    <w:basedOn w:val="Normal"/>
    <w:rsid w:val="00785180"/>
    <w:pPr>
      <w:jc w:val="center"/>
    </w:pPr>
    <w:rPr>
      <w:rFonts w:ascii="Arial" w:hAnsi="Arial"/>
      <w:sz w:val="20"/>
      <w:szCs w:val="20"/>
    </w:rPr>
  </w:style>
  <w:style w:type="paragraph" w:customStyle="1" w:styleId="Authors">
    <w:name w:val="Authors"/>
    <w:basedOn w:val="Normal"/>
    <w:rsid w:val="00785180"/>
    <w:pPr>
      <w:jc w:val="center"/>
    </w:pPr>
    <w:rPr>
      <w:rFonts w:ascii="Arial" w:hAnsi="Arial"/>
    </w:rPr>
  </w:style>
  <w:style w:type="character" w:styleId="FollowedHyperlink">
    <w:name w:val="FollowedHyperlink"/>
    <w:rsid w:val="00785180"/>
    <w:rPr>
      <w:rFonts w:cs="Times New Roman"/>
      <w:color w:val="800080"/>
      <w:u w:val="single"/>
    </w:rPr>
  </w:style>
  <w:style w:type="paragraph" w:customStyle="1" w:styleId="Char">
    <w:name w:val="Char"/>
    <w:basedOn w:val="Normal"/>
    <w:rsid w:val="00785180"/>
    <w:rPr>
      <w:rFonts w:ascii="Arial" w:hAnsi="Arial"/>
      <w:szCs w:val="20"/>
    </w:rPr>
  </w:style>
  <w:style w:type="paragraph" w:styleId="TOC5">
    <w:name w:val="toc 5"/>
    <w:basedOn w:val="Normal"/>
    <w:next w:val="Normal"/>
    <w:autoRedefine/>
    <w:rsid w:val="00785180"/>
    <w:pPr>
      <w:spacing w:before="0" w:after="0"/>
      <w:ind w:left="960"/>
    </w:pPr>
    <w:rPr>
      <w:lang w:val="en-US"/>
    </w:rPr>
  </w:style>
  <w:style w:type="paragraph" w:styleId="TOC6">
    <w:name w:val="toc 6"/>
    <w:basedOn w:val="Normal"/>
    <w:next w:val="Normal"/>
    <w:autoRedefine/>
    <w:rsid w:val="00785180"/>
    <w:pPr>
      <w:spacing w:before="0" w:after="0"/>
      <w:ind w:left="1200"/>
    </w:pPr>
    <w:rPr>
      <w:lang w:val="en-US"/>
    </w:rPr>
  </w:style>
  <w:style w:type="paragraph" w:styleId="TOC7">
    <w:name w:val="toc 7"/>
    <w:basedOn w:val="Normal"/>
    <w:next w:val="Normal"/>
    <w:autoRedefine/>
    <w:rsid w:val="00785180"/>
    <w:pPr>
      <w:spacing w:before="0" w:after="0"/>
      <w:ind w:left="1440"/>
    </w:pPr>
    <w:rPr>
      <w:lang w:val="en-US"/>
    </w:rPr>
  </w:style>
  <w:style w:type="paragraph" w:styleId="TOC8">
    <w:name w:val="toc 8"/>
    <w:basedOn w:val="Normal"/>
    <w:next w:val="Normal"/>
    <w:autoRedefine/>
    <w:rsid w:val="00785180"/>
    <w:pPr>
      <w:spacing w:before="0" w:after="0"/>
      <w:ind w:left="1680"/>
    </w:pPr>
    <w:rPr>
      <w:lang w:val="en-US"/>
    </w:rPr>
  </w:style>
  <w:style w:type="paragraph" w:styleId="TOC9">
    <w:name w:val="toc 9"/>
    <w:basedOn w:val="Normal"/>
    <w:next w:val="Normal"/>
    <w:autoRedefine/>
    <w:rsid w:val="00785180"/>
    <w:pPr>
      <w:spacing w:before="0" w:after="0"/>
      <w:ind w:left="1920"/>
    </w:pPr>
    <w:rPr>
      <w:lang w:val="en-US"/>
    </w:rPr>
  </w:style>
  <w:style w:type="paragraph" w:customStyle="1" w:styleId="TitlePage1">
    <w:name w:val="Title Page 1"/>
    <w:basedOn w:val="Normal"/>
    <w:rsid w:val="00785180"/>
    <w:pPr>
      <w:jc w:val="center"/>
    </w:pPr>
    <w:rPr>
      <w:rFonts w:ascii="Century Gothic" w:hAnsi="Century Gothic"/>
      <w:b/>
      <w:sz w:val="36"/>
      <w:szCs w:val="36"/>
      <w:lang w:val="en-US"/>
    </w:rPr>
  </w:style>
  <w:style w:type="paragraph" w:styleId="CommentSubject">
    <w:name w:val="annotation subject"/>
    <w:basedOn w:val="CommentText"/>
    <w:next w:val="CommentText"/>
    <w:link w:val="CommentSubjectChar"/>
    <w:semiHidden/>
    <w:rsid w:val="00785180"/>
    <w:rPr>
      <w:b/>
      <w:bCs/>
    </w:rPr>
  </w:style>
  <w:style w:type="character" w:customStyle="1" w:styleId="CommentSubjectChar">
    <w:name w:val="Comment Subject Char"/>
    <w:link w:val="CommentSubject"/>
    <w:semiHidden/>
    <w:locked/>
    <w:rsid w:val="00785180"/>
    <w:rPr>
      <w:rFonts w:ascii="Arial" w:hAnsi="Arial" w:cs="Times New Roman"/>
      <w:b/>
      <w:lang w:val="en-AU" w:eastAsia="x-none"/>
    </w:rPr>
  </w:style>
  <w:style w:type="paragraph" w:customStyle="1" w:styleId="CharCharCharCharCharCharCharCharCharCharCharCharCharCharCharCharCharCharCharCharCharCharCharChar">
    <w:name w:val="Char Char Char Char Char Char Char Char Char Char Char Char Char Char Char Char Char Char Char Char Char Char Char Char"/>
    <w:basedOn w:val="Normal"/>
    <w:rsid w:val="00785180"/>
    <w:pPr>
      <w:spacing w:before="0" w:after="0"/>
    </w:pPr>
    <w:rPr>
      <w:rFonts w:ascii="Arial" w:hAnsi="Arial"/>
      <w:szCs w:val="20"/>
    </w:rPr>
  </w:style>
  <w:style w:type="paragraph" w:styleId="HTMLPreformatted">
    <w:name w:val="HTML Preformatted"/>
    <w:basedOn w:val="Normal"/>
    <w:link w:val="HTMLPreformattedChar"/>
    <w:rsid w:val="007851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val="en-US"/>
    </w:rPr>
  </w:style>
  <w:style w:type="character" w:customStyle="1" w:styleId="HTMLPreformattedChar">
    <w:name w:val="HTML Preformatted Char"/>
    <w:link w:val="HTMLPreformatted"/>
    <w:semiHidden/>
    <w:locked/>
    <w:rsid w:val="007D0FB4"/>
    <w:rPr>
      <w:rFonts w:ascii="Courier New" w:hAnsi="Courier New" w:cs="Courier New"/>
      <w:sz w:val="20"/>
      <w:szCs w:val="20"/>
      <w:lang w:val="x-none" w:eastAsia="en-US"/>
    </w:rPr>
  </w:style>
  <w:style w:type="paragraph" w:customStyle="1" w:styleId="1">
    <w:name w:val="1"/>
    <w:basedOn w:val="Normal"/>
    <w:rsid w:val="00785180"/>
    <w:pPr>
      <w:spacing w:before="0" w:after="0"/>
    </w:pPr>
    <w:rPr>
      <w:rFonts w:ascii="Arial" w:hAnsi="Arial"/>
      <w:szCs w:val="20"/>
    </w:rPr>
  </w:style>
  <w:style w:type="paragraph" w:customStyle="1" w:styleId="TableCC">
    <w:name w:val="Table CC"/>
    <w:basedOn w:val="Normal"/>
    <w:rsid w:val="00785180"/>
    <w:pPr>
      <w:spacing w:before="0" w:after="0"/>
    </w:pPr>
    <w:rPr>
      <w:rFonts w:ascii="Arial Narrow" w:hAnsi="Arial Narrow"/>
      <w:sz w:val="18"/>
      <w:szCs w:val="20"/>
    </w:rPr>
  </w:style>
  <w:style w:type="paragraph" w:customStyle="1" w:styleId="Tableheader">
    <w:name w:val="Table header"/>
    <w:basedOn w:val="Normal"/>
    <w:rsid w:val="00785180"/>
    <w:pPr>
      <w:spacing w:before="240"/>
    </w:pPr>
    <w:rPr>
      <w:rFonts w:ascii="Arial" w:hAnsi="Arial"/>
      <w:sz w:val="18"/>
      <w:szCs w:val="20"/>
    </w:rPr>
  </w:style>
  <w:style w:type="paragraph" w:customStyle="1" w:styleId="Figurecaption">
    <w:name w:val="Figure caption"/>
    <w:basedOn w:val="Tableheader"/>
    <w:rsid w:val="00785180"/>
    <w:pPr>
      <w:spacing w:before="0" w:after="240"/>
    </w:pPr>
  </w:style>
  <w:style w:type="character" w:customStyle="1" w:styleId="Heading5Char1">
    <w:name w:val="Heading 5 Char1"/>
    <w:rsid w:val="00785180"/>
    <w:rPr>
      <w:rFonts w:ascii="Calibri" w:hAnsi="Calibri"/>
      <w:i/>
      <w:sz w:val="24"/>
    </w:rPr>
  </w:style>
  <w:style w:type="character" w:customStyle="1" w:styleId="CaptionChar1">
    <w:name w:val="Caption Char1"/>
    <w:aliases w:val="Caption Char Char Char1"/>
    <w:rsid w:val="00785180"/>
    <w:rPr>
      <w:rFonts w:ascii="Times New Roman" w:eastAsia="SimSun" w:hAnsi="Times New Roman"/>
      <w:sz w:val="24"/>
      <w:lang w:val="en-GB" w:eastAsia="x-none"/>
    </w:rPr>
  </w:style>
  <w:style w:type="character" w:customStyle="1" w:styleId="CharChar2">
    <w:name w:val="Char Char2"/>
    <w:rsid w:val="00785180"/>
    <w:rPr>
      <w:rFonts w:ascii="Arial" w:hAnsi="Arial"/>
      <w:b/>
      <w:kern w:val="32"/>
      <w:sz w:val="32"/>
      <w:lang w:val="en-AU" w:eastAsia="en-US"/>
    </w:rPr>
  </w:style>
  <w:style w:type="character" w:customStyle="1" w:styleId="BodyText2Char1">
    <w:name w:val="Body Text 2 Char1"/>
    <w:semiHidden/>
    <w:rsid w:val="00785180"/>
    <w:rPr>
      <w:rFonts w:ascii="Times New Roman" w:hAnsi="Times New Roman"/>
      <w:sz w:val="24"/>
      <w:lang w:val="en-AU" w:eastAsia="x-none"/>
    </w:rPr>
  </w:style>
  <w:style w:type="paragraph" w:customStyle="1" w:styleId="CharCharChar1Char">
    <w:name w:val="Char Char Char1 Char"/>
    <w:basedOn w:val="Normal"/>
    <w:rsid w:val="00785180"/>
    <w:pPr>
      <w:spacing w:before="0" w:after="0"/>
    </w:pPr>
    <w:rPr>
      <w:rFonts w:ascii="Arial" w:hAnsi="Arial"/>
      <w:szCs w:val="20"/>
    </w:rPr>
  </w:style>
  <w:style w:type="paragraph" w:customStyle="1" w:styleId="Agendaitemheader">
    <w:name w:val="Agenda item header"/>
    <w:basedOn w:val="Heading1"/>
    <w:next w:val="BodyTextFirstIndent"/>
    <w:rsid w:val="00785180"/>
    <w:pPr>
      <w:pageBreakBefore w:val="0"/>
      <w:numPr>
        <w:numId w:val="16"/>
      </w:numPr>
    </w:pPr>
    <w:rPr>
      <w:sz w:val="28"/>
      <w:szCs w:val="24"/>
      <w:lang w:val="en-GB" w:eastAsia="en-AU"/>
    </w:rPr>
  </w:style>
  <w:style w:type="paragraph" w:styleId="BodyTextFirstIndent">
    <w:name w:val="Body Text First Indent"/>
    <w:basedOn w:val="BodyText"/>
    <w:link w:val="BodyTextFirstIndentChar"/>
    <w:rsid w:val="00785180"/>
    <w:pPr>
      <w:pBdr>
        <w:top w:val="single" w:sz="4" w:space="8" w:color="auto"/>
        <w:left w:val="single" w:sz="4" w:space="4" w:color="auto"/>
        <w:bottom w:val="single" w:sz="4" w:space="1" w:color="auto"/>
        <w:right w:val="single" w:sz="4" w:space="4" w:color="auto"/>
      </w:pBdr>
      <w:spacing w:line="240" w:lineRule="auto"/>
      <w:ind w:left="720" w:firstLine="210"/>
    </w:pPr>
    <w:rPr>
      <w:color w:val="000000"/>
    </w:rPr>
  </w:style>
  <w:style w:type="character" w:customStyle="1" w:styleId="BodyTextFirstIndentChar">
    <w:name w:val="Body Text First Indent Char"/>
    <w:link w:val="BodyTextFirstIndent"/>
    <w:locked/>
    <w:rsid w:val="00785180"/>
    <w:rPr>
      <w:rFonts w:ascii="Calibri" w:hAnsi="Calibri" w:cs="Times New Roman"/>
      <w:color w:val="000000"/>
      <w:sz w:val="24"/>
      <w:lang w:val="en-AU" w:eastAsia="en-AU"/>
    </w:rPr>
  </w:style>
  <w:style w:type="character" w:customStyle="1" w:styleId="BodyTextChar1">
    <w:name w:val="Body Text Char1"/>
    <w:link w:val="BodyText"/>
    <w:locked/>
    <w:rsid w:val="00785180"/>
    <w:rPr>
      <w:sz w:val="24"/>
      <w:lang w:val="en-AU" w:eastAsia="en-AU"/>
    </w:rPr>
  </w:style>
  <w:style w:type="character" w:customStyle="1" w:styleId="Style14pt">
    <w:name w:val="Style 14 pt"/>
    <w:rsid w:val="00785180"/>
    <w:rPr>
      <w:sz w:val="24"/>
    </w:rPr>
  </w:style>
  <w:style w:type="character" w:customStyle="1" w:styleId="StyleArial11pt">
    <w:name w:val="Style Arial 11 pt"/>
    <w:rsid w:val="00785180"/>
    <w:rPr>
      <w:rFonts w:ascii="Gill Sans MT" w:hAnsi="Gill Sans MT"/>
      <w:sz w:val="20"/>
    </w:rPr>
  </w:style>
  <w:style w:type="paragraph" w:customStyle="1" w:styleId="StyleBodyTextArial9ptAfter72pt">
    <w:name w:val="Style Body Text + Arial 9 pt After:  7.2 pt"/>
    <w:basedOn w:val="BodyText"/>
    <w:rsid w:val="00785180"/>
    <w:pPr>
      <w:pBdr>
        <w:top w:val="single" w:sz="4" w:space="8" w:color="auto"/>
        <w:left w:val="single" w:sz="4" w:space="4" w:color="auto"/>
        <w:bottom w:val="single" w:sz="4" w:space="1" w:color="auto"/>
        <w:right w:val="single" w:sz="4" w:space="4" w:color="auto"/>
      </w:pBdr>
      <w:spacing w:after="60" w:line="240" w:lineRule="auto"/>
      <w:ind w:left="567" w:hanging="340"/>
    </w:pPr>
    <w:rPr>
      <w:color w:val="000000"/>
      <w:sz w:val="18"/>
    </w:rPr>
  </w:style>
  <w:style w:type="paragraph" w:customStyle="1" w:styleId="AgendaL2">
    <w:name w:val="Agenda L2"/>
    <w:basedOn w:val="Normal"/>
    <w:rsid w:val="00785180"/>
    <w:pPr>
      <w:tabs>
        <w:tab w:val="num" w:pos="1440"/>
      </w:tabs>
      <w:ind w:left="1440" w:hanging="360"/>
    </w:pPr>
    <w:rPr>
      <w:rFonts w:ascii="Arial" w:hAnsi="Arial"/>
      <w:sz w:val="20"/>
      <w:lang w:eastAsia="en-AU"/>
    </w:rPr>
  </w:style>
  <w:style w:type="paragraph" w:customStyle="1" w:styleId="TableDotPoint">
    <w:name w:val="Table Dot Point"/>
    <w:basedOn w:val="BodyText"/>
    <w:rsid w:val="00785180"/>
    <w:pPr>
      <w:numPr>
        <w:numId w:val="18"/>
      </w:numPr>
      <w:pBdr>
        <w:top w:val="single" w:sz="4" w:space="8" w:color="auto"/>
        <w:left w:val="single" w:sz="4" w:space="4" w:color="auto"/>
        <w:bottom w:val="single" w:sz="4" w:space="1" w:color="auto"/>
        <w:right w:val="single" w:sz="4" w:space="4" w:color="auto"/>
      </w:pBdr>
      <w:spacing w:before="0" w:after="0" w:line="220" w:lineRule="atLeast"/>
    </w:pPr>
    <w:rPr>
      <w:color w:val="000000"/>
      <w:sz w:val="20"/>
      <w:lang w:val="en-US" w:eastAsia="en-US"/>
    </w:rPr>
  </w:style>
  <w:style w:type="paragraph" w:customStyle="1" w:styleId="Table">
    <w:name w:val="Table"/>
    <w:basedOn w:val="Normal"/>
    <w:link w:val="TableChar"/>
    <w:rsid w:val="00785180"/>
    <w:pPr>
      <w:spacing w:before="0"/>
    </w:pPr>
    <w:rPr>
      <w:rFonts w:ascii="Arial Narrow" w:hAnsi="Arial Narrow"/>
      <w:szCs w:val="20"/>
      <w:lang w:val="en-GB" w:eastAsia="en-AU"/>
    </w:rPr>
  </w:style>
  <w:style w:type="character" w:customStyle="1" w:styleId="TableChar">
    <w:name w:val="Table Char"/>
    <w:link w:val="Table"/>
    <w:locked/>
    <w:rsid w:val="00785180"/>
    <w:rPr>
      <w:rFonts w:ascii="Arial Narrow" w:hAnsi="Arial Narrow"/>
      <w:sz w:val="22"/>
      <w:lang w:val="en-GB" w:eastAsia="x-none"/>
    </w:rPr>
  </w:style>
  <w:style w:type="paragraph" w:customStyle="1" w:styleId="Research-bullet">
    <w:name w:val="Research-bullet"/>
    <w:basedOn w:val="ListBullet"/>
    <w:rsid w:val="00785180"/>
    <w:pPr>
      <w:spacing w:before="0"/>
    </w:pPr>
    <w:rPr>
      <w:rFonts w:ascii="Gill Sans MT" w:hAnsi="Gill Sans MT" w:cs="Arial"/>
      <w:color w:val="000000"/>
      <w:sz w:val="22"/>
      <w:szCs w:val="22"/>
      <w:lang w:val="en-US" w:eastAsia="en-US"/>
    </w:rPr>
  </w:style>
  <w:style w:type="character" w:customStyle="1" w:styleId="pubref">
    <w:name w:val="pubref"/>
    <w:rsid w:val="00785180"/>
  </w:style>
  <w:style w:type="paragraph" w:styleId="ListBullet">
    <w:name w:val="List Bullet"/>
    <w:basedOn w:val="Normal"/>
    <w:rsid w:val="00785180"/>
    <w:pPr>
      <w:tabs>
        <w:tab w:val="num" w:pos="643"/>
      </w:tabs>
      <w:ind w:left="360" w:hanging="360"/>
    </w:pPr>
    <w:rPr>
      <w:rFonts w:ascii="Arial" w:hAnsi="Arial"/>
      <w:sz w:val="20"/>
      <w:lang w:eastAsia="en-AU"/>
    </w:rPr>
  </w:style>
  <w:style w:type="paragraph" w:customStyle="1" w:styleId="Abstracttext">
    <w:name w:val="Abstract text"/>
    <w:basedOn w:val="Normal"/>
    <w:rsid w:val="00785180"/>
    <w:pPr>
      <w:autoSpaceDE w:val="0"/>
      <w:autoSpaceDN w:val="0"/>
      <w:spacing w:before="0" w:after="0" w:line="360" w:lineRule="auto"/>
      <w:ind w:firstLine="567"/>
      <w:jc w:val="both"/>
    </w:pPr>
    <w:rPr>
      <w:rFonts w:cs="Times"/>
      <w:sz w:val="20"/>
      <w:szCs w:val="20"/>
      <w:lang w:val="ru-RU" w:eastAsia="ru-RU" w:bidi="th-TH"/>
    </w:rPr>
  </w:style>
  <w:style w:type="paragraph" w:customStyle="1" w:styleId="CharCharChar1Char1">
    <w:name w:val="Char Char Char1 Char1"/>
    <w:basedOn w:val="Normal"/>
    <w:rsid w:val="00785180"/>
    <w:pPr>
      <w:spacing w:before="0" w:after="0"/>
    </w:pPr>
    <w:rPr>
      <w:rFonts w:ascii="Arial" w:hAnsi="Arial" w:cs="Arial"/>
      <w:szCs w:val="22"/>
    </w:rPr>
  </w:style>
  <w:style w:type="character" w:customStyle="1" w:styleId="CharChar1">
    <w:name w:val="Char Char1"/>
    <w:rsid w:val="00785180"/>
    <w:rPr>
      <w:rFonts w:ascii="Calibri" w:hAnsi="Calibri"/>
      <w:i/>
      <w:sz w:val="24"/>
    </w:rPr>
  </w:style>
  <w:style w:type="character" w:customStyle="1" w:styleId="CaptionCharCharCharChar">
    <w:name w:val="Caption Char Char Char Char"/>
    <w:rsid w:val="00785180"/>
    <w:rPr>
      <w:rFonts w:ascii="Times New Roman" w:eastAsia="SimSun" w:hAnsi="Times New Roman"/>
      <w:sz w:val="24"/>
      <w:lang w:val="en-GB" w:eastAsia="x-none"/>
    </w:rPr>
  </w:style>
  <w:style w:type="character" w:customStyle="1" w:styleId="CharChar">
    <w:name w:val="Char Char"/>
    <w:semiHidden/>
    <w:rsid w:val="00785180"/>
    <w:rPr>
      <w:rFonts w:ascii="Times New Roman" w:hAnsi="Times New Roman"/>
      <w:sz w:val="24"/>
      <w:lang w:val="en-AU" w:eastAsia="x-none"/>
    </w:rPr>
  </w:style>
  <w:style w:type="paragraph" w:styleId="Revision">
    <w:name w:val="Revision"/>
    <w:hidden/>
    <w:semiHidden/>
    <w:rsid w:val="004316F7"/>
    <w:rPr>
      <w:sz w:val="24"/>
      <w:szCs w:val="24"/>
      <w:lang w:eastAsia="en-US"/>
    </w:rPr>
  </w:style>
  <w:style w:type="paragraph" w:styleId="BodyTextIndent">
    <w:name w:val="Body Text Indent"/>
    <w:basedOn w:val="Normal"/>
    <w:link w:val="BodyTextIndentChar"/>
    <w:rsid w:val="00CC13EF"/>
    <w:pPr>
      <w:ind w:left="283"/>
    </w:pPr>
  </w:style>
  <w:style w:type="character" w:customStyle="1" w:styleId="BodyTextIndentChar">
    <w:name w:val="Body Text Indent Char"/>
    <w:link w:val="BodyTextIndent"/>
    <w:semiHidden/>
    <w:locked/>
    <w:rsid w:val="007D0FB4"/>
    <w:rPr>
      <w:rFonts w:cs="Times New Roman"/>
      <w:sz w:val="24"/>
      <w:szCs w:val="24"/>
      <w:lang w:val="x-none" w:eastAsia="en-US"/>
    </w:rPr>
  </w:style>
  <w:style w:type="paragraph" w:styleId="ListParagraph">
    <w:name w:val="List Paragraph"/>
    <w:basedOn w:val="Normal"/>
    <w:qFormat/>
    <w:rsid w:val="002D787C"/>
    <w:pPr>
      <w:ind w:left="720"/>
      <w:contextualSpacing/>
    </w:pPr>
  </w:style>
  <w:style w:type="numbering" w:customStyle="1" w:styleId="StyleNumbered">
    <w:name w:val="Style Numbered"/>
    <w:rsid w:val="00DA4269"/>
    <w:pPr>
      <w:numPr>
        <w:numId w:val="17"/>
      </w:numPr>
    </w:pPr>
  </w:style>
  <w:style w:type="paragraph" w:styleId="DocumentMap">
    <w:name w:val="Document Map"/>
    <w:basedOn w:val="Normal"/>
    <w:semiHidden/>
    <w:locked/>
    <w:rsid w:val="00DD1910"/>
    <w:pPr>
      <w:shd w:val="clear" w:color="auto" w:fill="000080"/>
    </w:pPr>
    <w:rPr>
      <w:rFonts w:ascii="Tahoma" w:hAnsi="Tahoma" w:cs="Tahoma"/>
      <w:sz w:val="20"/>
      <w:szCs w:val="20"/>
    </w:rPr>
  </w:style>
  <w:style w:type="paragraph" w:customStyle="1" w:styleId="CharCharChar1Char0">
    <w:name w:val="Char Char Char1 Char"/>
    <w:basedOn w:val="Normal"/>
    <w:rsid w:val="00EF10B4"/>
    <w:pPr>
      <w:spacing w:before="0" w:after="0"/>
    </w:pPr>
    <w:rPr>
      <w:rFonts w:ascii="Arial" w:hAnsi="Arial"/>
      <w:szCs w:val="20"/>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Char Char Char Char Char Char"/>
    <w:basedOn w:val="Normal"/>
    <w:rsid w:val="00235AF2"/>
    <w:pPr>
      <w:spacing w:before="0" w:after="0"/>
    </w:pPr>
    <w:rPr>
      <w:rFonts w:ascii="Arial" w:hAnsi="Arial"/>
      <w:szCs w:val="20"/>
    </w:rPr>
  </w:style>
  <w:style w:type="paragraph" w:customStyle="1" w:styleId="StyleCaptionCaptionCharCharLatinCalibri11ptBlack">
    <w:name w:val="Style CaptionCaption Char Char + (Latin) Calibri 11 pt Black"/>
    <w:basedOn w:val="Caption"/>
    <w:link w:val="StyleCaptionCaptionCharCharLatinCalibri11ptBlackChar"/>
    <w:autoRedefine/>
    <w:rsid w:val="00F72AB5"/>
    <w:rPr>
      <w:color w:val="000000"/>
    </w:rPr>
  </w:style>
  <w:style w:type="character" w:customStyle="1" w:styleId="StyleCaptionCaptionCharCharLatinCalibri11ptBlackChar">
    <w:name w:val="Style CaptionCaption Char Char + (Latin) Calibri 11 pt Black Char"/>
    <w:link w:val="StyleCaptionCaptionCharCharLatinCalibri11ptBlack"/>
    <w:rsid w:val="00F72AB5"/>
    <w:rPr>
      <w:rFonts w:ascii="Calibri" w:eastAsia="SimSun" w:hAnsi="Calibri"/>
      <w:color w:val="000000"/>
      <w:sz w:val="22"/>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681591073">
      <w:bodyDiv w:val="1"/>
      <w:marLeft w:val="0"/>
      <w:marRight w:val="0"/>
      <w:marTop w:val="0"/>
      <w:marBottom w:val="0"/>
      <w:divBdr>
        <w:top w:val="none" w:sz="0" w:space="0" w:color="auto"/>
        <w:left w:val="none" w:sz="0" w:space="0" w:color="auto"/>
        <w:bottom w:val="none" w:sz="0" w:space="0" w:color="auto"/>
        <w:right w:val="none" w:sz="0" w:space="0" w:color="auto"/>
      </w:divBdr>
    </w:div>
    <w:div w:id="119230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7.emf"/><Relationship Id="rId21" Type="http://schemas.openxmlformats.org/officeDocument/2006/relationships/footer" Target="footer5.xml"/><Relationship Id="rId63" Type="http://schemas.openxmlformats.org/officeDocument/2006/relationships/image" Target="media/image43.jpeg"/><Relationship Id="rId159" Type="http://schemas.openxmlformats.org/officeDocument/2006/relationships/image" Target="media/image139.emf"/><Relationship Id="rId170" Type="http://schemas.openxmlformats.org/officeDocument/2006/relationships/image" Target="media/image150.emf"/><Relationship Id="rId226" Type="http://schemas.openxmlformats.org/officeDocument/2006/relationships/image" Target="media/image206.emf"/><Relationship Id="rId268" Type="http://schemas.openxmlformats.org/officeDocument/2006/relationships/image" Target="media/image248.png"/><Relationship Id="rId11" Type="http://schemas.openxmlformats.org/officeDocument/2006/relationships/image" Target="media/image3.wmf"/><Relationship Id="rId32" Type="http://schemas.openxmlformats.org/officeDocument/2006/relationships/image" Target="media/image14.wmf"/><Relationship Id="rId53" Type="http://schemas.openxmlformats.org/officeDocument/2006/relationships/image" Target="media/image33.emf"/><Relationship Id="rId74" Type="http://schemas.openxmlformats.org/officeDocument/2006/relationships/image" Target="media/image54.emf"/><Relationship Id="rId128" Type="http://schemas.openxmlformats.org/officeDocument/2006/relationships/image" Target="media/image108.emf"/><Relationship Id="rId149" Type="http://schemas.openxmlformats.org/officeDocument/2006/relationships/image" Target="media/image129.png"/><Relationship Id="rId5" Type="http://schemas.openxmlformats.org/officeDocument/2006/relationships/webSettings" Target="webSettings.xml"/><Relationship Id="rId95" Type="http://schemas.openxmlformats.org/officeDocument/2006/relationships/image" Target="media/image75.emf"/><Relationship Id="rId160" Type="http://schemas.openxmlformats.org/officeDocument/2006/relationships/image" Target="media/image140.emf"/><Relationship Id="rId181" Type="http://schemas.openxmlformats.org/officeDocument/2006/relationships/image" Target="media/image161.jpeg"/><Relationship Id="rId216" Type="http://schemas.openxmlformats.org/officeDocument/2006/relationships/image" Target="media/image196.png"/><Relationship Id="rId237" Type="http://schemas.openxmlformats.org/officeDocument/2006/relationships/image" Target="media/image217.emf"/><Relationship Id="rId258" Type="http://schemas.openxmlformats.org/officeDocument/2006/relationships/image" Target="media/image238.emf"/><Relationship Id="rId22" Type="http://schemas.openxmlformats.org/officeDocument/2006/relationships/header" Target="header2.xml"/><Relationship Id="rId43" Type="http://schemas.openxmlformats.org/officeDocument/2006/relationships/image" Target="media/image23.emf"/><Relationship Id="rId64" Type="http://schemas.openxmlformats.org/officeDocument/2006/relationships/image" Target="media/image44.emf"/><Relationship Id="rId118" Type="http://schemas.openxmlformats.org/officeDocument/2006/relationships/image" Target="media/image98.emf"/><Relationship Id="rId139" Type="http://schemas.openxmlformats.org/officeDocument/2006/relationships/image" Target="media/image119.emf"/><Relationship Id="rId85" Type="http://schemas.openxmlformats.org/officeDocument/2006/relationships/image" Target="media/image65.emf"/><Relationship Id="rId150" Type="http://schemas.openxmlformats.org/officeDocument/2006/relationships/image" Target="media/image130.png"/><Relationship Id="rId171" Type="http://schemas.openxmlformats.org/officeDocument/2006/relationships/image" Target="media/image151.emf"/><Relationship Id="rId192" Type="http://schemas.openxmlformats.org/officeDocument/2006/relationships/image" Target="media/image172.emf"/><Relationship Id="rId206" Type="http://schemas.openxmlformats.org/officeDocument/2006/relationships/image" Target="media/image186.emf"/><Relationship Id="rId227" Type="http://schemas.openxmlformats.org/officeDocument/2006/relationships/image" Target="media/image207.emf"/><Relationship Id="rId248" Type="http://schemas.openxmlformats.org/officeDocument/2006/relationships/image" Target="media/image228.png"/><Relationship Id="rId269" Type="http://schemas.openxmlformats.org/officeDocument/2006/relationships/header" Target="header3.xml"/><Relationship Id="rId12" Type="http://schemas.openxmlformats.org/officeDocument/2006/relationships/image" Target="media/image4.wmf"/><Relationship Id="rId33" Type="http://schemas.openxmlformats.org/officeDocument/2006/relationships/image" Target="media/image15.png"/><Relationship Id="rId108" Type="http://schemas.openxmlformats.org/officeDocument/2006/relationships/image" Target="media/image88.emf"/><Relationship Id="rId129" Type="http://schemas.openxmlformats.org/officeDocument/2006/relationships/image" Target="media/image109.emf"/><Relationship Id="rId54" Type="http://schemas.openxmlformats.org/officeDocument/2006/relationships/image" Target="media/image34.emf"/><Relationship Id="rId75" Type="http://schemas.openxmlformats.org/officeDocument/2006/relationships/image" Target="media/image55.emf"/><Relationship Id="rId96" Type="http://schemas.openxmlformats.org/officeDocument/2006/relationships/image" Target="media/image76.jpeg"/><Relationship Id="rId140" Type="http://schemas.openxmlformats.org/officeDocument/2006/relationships/image" Target="media/image120.emf"/><Relationship Id="rId161" Type="http://schemas.openxmlformats.org/officeDocument/2006/relationships/image" Target="media/image141.emf"/><Relationship Id="rId182" Type="http://schemas.openxmlformats.org/officeDocument/2006/relationships/image" Target="media/image162.png"/><Relationship Id="rId217" Type="http://schemas.openxmlformats.org/officeDocument/2006/relationships/image" Target="media/image197.wmf"/><Relationship Id="rId6" Type="http://schemas.openxmlformats.org/officeDocument/2006/relationships/footnotes" Target="footnotes.xml"/><Relationship Id="rId238" Type="http://schemas.openxmlformats.org/officeDocument/2006/relationships/image" Target="media/image218.emf"/><Relationship Id="rId259" Type="http://schemas.openxmlformats.org/officeDocument/2006/relationships/image" Target="media/image239.emf"/><Relationship Id="rId23" Type="http://schemas.openxmlformats.org/officeDocument/2006/relationships/image" Target="media/image9.wmf"/><Relationship Id="rId119" Type="http://schemas.openxmlformats.org/officeDocument/2006/relationships/image" Target="media/image99.emf"/><Relationship Id="rId270" Type="http://schemas.openxmlformats.org/officeDocument/2006/relationships/footer" Target="footer6.xml"/><Relationship Id="rId44" Type="http://schemas.openxmlformats.org/officeDocument/2006/relationships/image" Target="media/image24.png"/><Relationship Id="rId65" Type="http://schemas.openxmlformats.org/officeDocument/2006/relationships/image" Target="media/image45.png"/><Relationship Id="rId86" Type="http://schemas.openxmlformats.org/officeDocument/2006/relationships/image" Target="media/image66.emf"/><Relationship Id="rId130" Type="http://schemas.openxmlformats.org/officeDocument/2006/relationships/image" Target="media/image110.emf"/><Relationship Id="rId151" Type="http://schemas.openxmlformats.org/officeDocument/2006/relationships/image" Target="media/image131.emf"/><Relationship Id="rId172" Type="http://schemas.openxmlformats.org/officeDocument/2006/relationships/image" Target="media/image152.emf"/><Relationship Id="rId193" Type="http://schemas.openxmlformats.org/officeDocument/2006/relationships/image" Target="media/image173.emf"/><Relationship Id="rId207" Type="http://schemas.openxmlformats.org/officeDocument/2006/relationships/image" Target="media/image187.emf"/><Relationship Id="rId228" Type="http://schemas.openxmlformats.org/officeDocument/2006/relationships/image" Target="media/image208.emf"/><Relationship Id="rId249" Type="http://schemas.openxmlformats.org/officeDocument/2006/relationships/image" Target="media/image229.wmf"/><Relationship Id="rId13" Type="http://schemas.openxmlformats.org/officeDocument/2006/relationships/image" Target="media/image5.jpeg"/><Relationship Id="rId109" Type="http://schemas.openxmlformats.org/officeDocument/2006/relationships/image" Target="media/image89.emf"/><Relationship Id="rId260" Type="http://schemas.openxmlformats.org/officeDocument/2006/relationships/image" Target="media/image240.emf"/><Relationship Id="rId34" Type="http://schemas.openxmlformats.org/officeDocument/2006/relationships/image" Target="media/image16.png"/><Relationship Id="rId55" Type="http://schemas.openxmlformats.org/officeDocument/2006/relationships/image" Target="media/image35.emf"/><Relationship Id="rId76" Type="http://schemas.openxmlformats.org/officeDocument/2006/relationships/image" Target="media/image56.emf"/><Relationship Id="rId97" Type="http://schemas.openxmlformats.org/officeDocument/2006/relationships/image" Target="media/image77.jpeg"/><Relationship Id="rId120" Type="http://schemas.openxmlformats.org/officeDocument/2006/relationships/image" Target="media/image100.emf"/><Relationship Id="rId141" Type="http://schemas.openxmlformats.org/officeDocument/2006/relationships/image" Target="media/image121.emf"/><Relationship Id="rId7" Type="http://schemas.openxmlformats.org/officeDocument/2006/relationships/endnotes" Target="endnotes.xml"/><Relationship Id="rId162" Type="http://schemas.openxmlformats.org/officeDocument/2006/relationships/image" Target="media/image142.emf"/><Relationship Id="rId183" Type="http://schemas.openxmlformats.org/officeDocument/2006/relationships/image" Target="media/image163.wmf"/><Relationship Id="rId218" Type="http://schemas.openxmlformats.org/officeDocument/2006/relationships/image" Target="media/image198.emf"/><Relationship Id="rId239" Type="http://schemas.openxmlformats.org/officeDocument/2006/relationships/image" Target="media/image219.emf"/><Relationship Id="rId250" Type="http://schemas.openxmlformats.org/officeDocument/2006/relationships/image" Target="media/image230.wmf"/><Relationship Id="rId271" Type="http://schemas.openxmlformats.org/officeDocument/2006/relationships/fontTable" Target="fontTable.xml"/><Relationship Id="rId24" Type="http://schemas.openxmlformats.org/officeDocument/2006/relationships/oleObject" Target="embeddings/oleObject1.bin"/><Relationship Id="rId45" Type="http://schemas.openxmlformats.org/officeDocument/2006/relationships/image" Target="media/image25.png"/><Relationship Id="rId66" Type="http://schemas.openxmlformats.org/officeDocument/2006/relationships/image" Target="media/image46.wmf"/><Relationship Id="rId87" Type="http://schemas.openxmlformats.org/officeDocument/2006/relationships/image" Target="media/image67.emf"/><Relationship Id="rId110" Type="http://schemas.openxmlformats.org/officeDocument/2006/relationships/image" Target="media/image90.emf"/><Relationship Id="rId131" Type="http://schemas.openxmlformats.org/officeDocument/2006/relationships/image" Target="media/image111.emf"/><Relationship Id="rId152" Type="http://schemas.openxmlformats.org/officeDocument/2006/relationships/image" Target="media/image132.emf"/><Relationship Id="rId173" Type="http://schemas.openxmlformats.org/officeDocument/2006/relationships/image" Target="media/image153.emf"/><Relationship Id="rId194" Type="http://schemas.openxmlformats.org/officeDocument/2006/relationships/image" Target="media/image174.emf"/><Relationship Id="rId208" Type="http://schemas.openxmlformats.org/officeDocument/2006/relationships/image" Target="media/image188.emf"/><Relationship Id="rId229" Type="http://schemas.openxmlformats.org/officeDocument/2006/relationships/image" Target="media/image209.emf"/><Relationship Id="rId240" Type="http://schemas.openxmlformats.org/officeDocument/2006/relationships/image" Target="media/image220.emf"/><Relationship Id="rId261" Type="http://schemas.openxmlformats.org/officeDocument/2006/relationships/image" Target="media/image241.emf"/><Relationship Id="rId14" Type="http://schemas.openxmlformats.org/officeDocument/2006/relationships/footer" Target="footer2.xml"/><Relationship Id="rId35" Type="http://schemas.openxmlformats.org/officeDocument/2006/relationships/image" Target="media/image17.png"/><Relationship Id="rId56" Type="http://schemas.openxmlformats.org/officeDocument/2006/relationships/image" Target="media/image36.emf"/><Relationship Id="rId77" Type="http://schemas.openxmlformats.org/officeDocument/2006/relationships/image" Target="media/image57.emf"/><Relationship Id="rId100" Type="http://schemas.openxmlformats.org/officeDocument/2006/relationships/image" Target="media/image80.emf"/><Relationship Id="rId8" Type="http://schemas.openxmlformats.org/officeDocument/2006/relationships/image" Target="media/image1.jpeg"/><Relationship Id="rId98" Type="http://schemas.openxmlformats.org/officeDocument/2006/relationships/image" Target="media/image78.emf"/><Relationship Id="rId121" Type="http://schemas.openxmlformats.org/officeDocument/2006/relationships/image" Target="media/image101.emf"/><Relationship Id="rId142" Type="http://schemas.openxmlformats.org/officeDocument/2006/relationships/image" Target="media/image122.jpeg"/><Relationship Id="rId163" Type="http://schemas.openxmlformats.org/officeDocument/2006/relationships/image" Target="media/image143.emf"/><Relationship Id="rId184" Type="http://schemas.openxmlformats.org/officeDocument/2006/relationships/image" Target="media/image164.emf"/><Relationship Id="rId219" Type="http://schemas.openxmlformats.org/officeDocument/2006/relationships/image" Target="media/image199.wmf"/><Relationship Id="rId230" Type="http://schemas.openxmlformats.org/officeDocument/2006/relationships/image" Target="media/image210.emf"/><Relationship Id="rId251" Type="http://schemas.openxmlformats.org/officeDocument/2006/relationships/image" Target="media/image231.emf"/><Relationship Id="rId25" Type="http://schemas.openxmlformats.org/officeDocument/2006/relationships/hyperlink" Target="http://en.wikipedia.org/wiki/Stable_isotope" TargetMode="External"/><Relationship Id="rId46" Type="http://schemas.openxmlformats.org/officeDocument/2006/relationships/image" Target="media/image26.png"/><Relationship Id="rId67" Type="http://schemas.openxmlformats.org/officeDocument/2006/relationships/image" Target="media/image47.emf"/><Relationship Id="rId272" Type="http://schemas.openxmlformats.org/officeDocument/2006/relationships/theme" Target="theme/theme1.xml"/><Relationship Id="rId88" Type="http://schemas.openxmlformats.org/officeDocument/2006/relationships/image" Target="media/image68.png"/><Relationship Id="rId111" Type="http://schemas.openxmlformats.org/officeDocument/2006/relationships/image" Target="media/image91.emf"/><Relationship Id="rId132" Type="http://schemas.openxmlformats.org/officeDocument/2006/relationships/image" Target="media/image112.emf"/><Relationship Id="rId153" Type="http://schemas.openxmlformats.org/officeDocument/2006/relationships/image" Target="media/image133.emf"/><Relationship Id="rId174" Type="http://schemas.openxmlformats.org/officeDocument/2006/relationships/image" Target="media/image154.emf"/><Relationship Id="rId195" Type="http://schemas.openxmlformats.org/officeDocument/2006/relationships/image" Target="media/image175.emf"/><Relationship Id="rId209" Type="http://schemas.openxmlformats.org/officeDocument/2006/relationships/image" Target="media/image189.emf"/><Relationship Id="rId220" Type="http://schemas.openxmlformats.org/officeDocument/2006/relationships/image" Target="media/image200.emf"/><Relationship Id="rId241" Type="http://schemas.openxmlformats.org/officeDocument/2006/relationships/image" Target="media/image221.emf"/><Relationship Id="rId15" Type="http://schemas.openxmlformats.org/officeDocument/2006/relationships/footer" Target="footer3.xml"/><Relationship Id="rId36" Type="http://schemas.openxmlformats.org/officeDocument/2006/relationships/image" Target="media/image18.png"/><Relationship Id="rId57" Type="http://schemas.openxmlformats.org/officeDocument/2006/relationships/image" Target="media/image37.emf"/><Relationship Id="rId262" Type="http://schemas.openxmlformats.org/officeDocument/2006/relationships/image" Target="media/image242.emf"/><Relationship Id="rId78" Type="http://schemas.openxmlformats.org/officeDocument/2006/relationships/image" Target="media/image58.jpeg"/><Relationship Id="rId99" Type="http://schemas.openxmlformats.org/officeDocument/2006/relationships/image" Target="media/image79.emf"/><Relationship Id="rId101" Type="http://schemas.openxmlformats.org/officeDocument/2006/relationships/image" Target="media/image81.emf"/><Relationship Id="rId122" Type="http://schemas.openxmlformats.org/officeDocument/2006/relationships/image" Target="media/image102.emf"/><Relationship Id="rId143" Type="http://schemas.openxmlformats.org/officeDocument/2006/relationships/image" Target="media/image123.jpeg"/><Relationship Id="rId164" Type="http://schemas.openxmlformats.org/officeDocument/2006/relationships/image" Target="media/image144.emf"/><Relationship Id="rId185" Type="http://schemas.openxmlformats.org/officeDocument/2006/relationships/image" Target="media/image165.wmf"/><Relationship Id="rId9" Type="http://schemas.openxmlformats.org/officeDocument/2006/relationships/footer" Target="footer1.xml"/><Relationship Id="rId210" Type="http://schemas.openxmlformats.org/officeDocument/2006/relationships/image" Target="media/image190.emf"/><Relationship Id="rId26" Type="http://schemas.openxmlformats.org/officeDocument/2006/relationships/hyperlink" Target="http://en.wikipedia.org/wiki/Isotopic_signature" TargetMode="External"/><Relationship Id="rId231" Type="http://schemas.openxmlformats.org/officeDocument/2006/relationships/image" Target="media/image211.emf"/><Relationship Id="rId252" Type="http://schemas.openxmlformats.org/officeDocument/2006/relationships/image" Target="media/image232.emf"/><Relationship Id="rId47" Type="http://schemas.openxmlformats.org/officeDocument/2006/relationships/image" Target="media/image27.png"/><Relationship Id="rId68" Type="http://schemas.openxmlformats.org/officeDocument/2006/relationships/image" Target="media/image48.emf"/><Relationship Id="rId89" Type="http://schemas.openxmlformats.org/officeDocument/2006/relationships/image" Target="media/image69.png"/><Relationship Id="rId112" Type="http://schemas.openxmlformats.org/officeDocument/2006/relationships/image" Target="media/image92.emf"/><Relationship Id="rId133" Type="http://schemas.openxmlformats.org/officeDocument/2006/relationships/image" Target="media/image113.emf"/><Relationship Id="rId154" Type="http://schemas.openxmlformats.org/officeDocument/2006/relationships/image" Target="media/image134.emf"/><Relationship Id="rId175" Type="http://schemas.openxmlformats.org/officeDocument/2006/relationships/image" Target="media/image155.emf"/><Relationship Id="rId196" Type="http://schemas.openxmlformats.org/officeDocument/2006/relationships/image" Target="media/image176.emf"/><Relationship Id="rId200" Type="http://schemas.openxmlformats.org/officeDocument/2006/relationships/image" Target="media/image180.emf"/><Relationship Id="rId16" Type="http://schemas.openxmlformats.org/officeDocument/2006/relationships/image" Target="media/image6.png"/><Relationship Id="rId221" Type="http://schemas.openxmlformats.org/officeDocument/2006/relationships/image" Target="media/image201.wmf"/><Relationship Id="rId242" Type="http://schemas.openxmlformats.org/officeDocument/2006/relationships/image" Target="media/image222.emf"/><Relationship Id="rId263" Type="http://schemas.openxmlformats.org/officeDocument/2006/relationships/image" Target="media/image243.emf"/><Relationship Id="rId37" Type="http://schemas.openxmlformats.org/officeDocument/2006/relationships/image" Target="media/image19.wmf"/><Relationship Id="rId58" Type="http://schemas.openxmlformats.org/officeDocument/2006/relationships/image" Target="media/image38.emf"/><Relationship Id="rId79" Type="http://schemas.openxmlformats.org/officeDocument/2006/relationships/image" Target="media/image59.jpeg"/><Relationship Id="rId102" Type="http://schemas.openxmlformats.org/officeDocument/2006/relationships/image" Target="media/image82.emf"/><Relationship Id="rId123" Type="http://schemas.openxmlformats.org/officeDocument/2006/relationships/image" Target="media/image103.emf"/><Relationship Id="rId144" Type="http://schemas.openxmlformats.org/officeDocument/2006/relationships/image" Target="media/image124.emf"/><Relationship Id="rId90" Type="http://schemas.openxmlformats.org/officeDocument/2006/relationships/image" Target="media/image70.emf"/><Relationship Id="rId165" Type="http://schemas.openxmlformats.org/officeDocument/2006/relationships/image" Target="media/image145.emf"/><Relationship Id="rId186" Type="http://schemas.openxmlformats.org/officeDocument/2006/relationships/image" Target="media/image166.emf"/><Relationship Id="rId211" Type="http://schemas.openxmlformats.org/officeDocument/2006/relationships/image" Target="media/image191.jpeg"/><Relationship Id="rId232" Type="http://schemas.openxmlformats.org/officeDocument/2006/relationships/image" Target="media/image212.emf"/><Relationship Id="rId253" Type="http://schemas.openxmlformats.org/officeDocument/2006/relationships/image" Target="media/image233.emf"/><Relationship Id="rId27" Type="http://schemas.openxmlformats.org/officeDocument/2006/relationships/image" Target="media/image10.wmf"/><Relationship Id="rId48" Type="http://schemas.openxmlformats.org/officeDocument/2006/relationships/image" Target="media/image28.wmf"/><Relationship Id="rId69" Type="http://schemas.openxmlformats.org/officeDocument/2006/relationships/image" Target="media/image49.emf"/><Relationship Id="rId113" Type="http://schemas.openxmlformats.org/officeDocument/2006/relationships/image" Target="media/image93.emf"/><Relationship Id="rId134" Type="http://schemas.openxmlformats.org/officeDocument/2006/relationships/image" Target="media/image114.emf"/><Relationship Id="rId80" Type="http://schemas.openxmlformats.org/officeDocument/2006/relationships/image" Target="media/image60.emf"/><Relationship Id="rId155" Type="http://schemas.openxmlformats.org/officeDocument/2006/relationships/image" Target="media/image135.emf"/><Relationship Id="rId176" Type="http://schemas.openxmlformats.org/officeDocument/2006/relationships/image" Target="media/image156.emf"/><Relationship Id="rId197" Type="http://schemas.openxmlformats.org/officeDocument/2006/relationships/image" Target="media/image177.emf"/><Relationship Id="rId201" Type="http://schemas.openxmlformats.org/officeDocument/2006/relationships/image" Target="media/image181.emf"/><Relationship Id="rId222" Type="http://schemas.openxmlformats.org/officeDocument/2006/relationships/image" Target="media/image202.emf"/><Relationship Id="rId243" Type="http://schemas.openxmlformats.org/officeDocument/2006/relationships/image" Target="media/image223.emf"/><Relationship Id="rId264" Type="http://schemas.openxmlformats.org/officeDocument/2006/relationships/image" Target="media/image244.emf"/><Relationship Id="rId17" Type="http://schemas.openxmlformats.org/officeDocument/2006/relationships/image" Target="media/image7.jpeg"/><Relationship Id="rId38" Type="http://schemas.openxmlformats.org/officeDocument/2006/relationships/oleObject" Target="embeddings/oleObject3.bin"/><Relationship Id="rId59" Type="http://schemas.openxmlformats.org/officeDocument/2006/relationships/image" Target="media/image39.png"/><Relationship Id="rId103" Type="http://schemas.openxmlformats.org/officeDocument/2006/relationships/image" Target="media/image83.emf"/><Relationship Id="rId124" Type="http://schemas.openxmlformats.org/officeDocument/2006/relationships/image" Target="media/image104.emf"/><Relationship Id="rId70" Type="http://schemas.openxmlformats.org/officeDocument/2006/relationships/image" Target="media/image50.emf"/><Relationship Id="rId91" Type="http://schemas.openxmlformats.org/officeDocument/2006/relationships/image" Target="media/image71.emf"/><Relationship Id="rId145" Type="http://schemas.openxmlformats.org/officeDocument/2006/relationships/image" Target="media/image125.jpeg"/><Relationship Id="rId166" Type="http://schemas.openxmlformats.org/officeDocument/2006/relationships/image" Target="media/image146.emf"/><Relationship Id="rId187" Type="http://schemas.openxmlformats.org/officeDocument/2006/relationships/image" Target="media/image167.wmf"/><Relationship Id="rId1" Type="http://schemas.openxmlformats.org/officeDocument/2006/relationships/numbering" Target="numbering.xml"/><Relationship Id="rId212" Type="http://schemas.openxmlformats.org/officeDocument/2006/relationships/image" Target="media/image192.emf"/><Relationship Id="rId233" Type="http://schemas.openxmlformats.org/officeDocument/2006/relationships/image" Target="media/image213.emf"/><Relationship Id="rId254" Type="http://schemas.openxmlformats.org/officeDocument/2006/relationships/image" Target="media/image234.emf"/><Relationship Id="rId28" Type="http://schemas.openxmlformats.org/officeDocument/2006/relationships/oleObject" Target="embeddings/oleObject2.bin"/><Relationship Id="rId49" Type="http://schemas.openxmlformats.org/officeDocument/2006/relationships/image" Target="media/image29.wmf"/><Relationship Id="rId114" Type="http://schemas.openxmlformats.org/officeDocument/2006/relationships/image" Target="media/image94.emf"/><Relationship Id="rId60" Type="http://schemas.openxmlformats.org/officeDocument/2006/relationships/image" Target="media/image40.png"/><Relationship Id="rId81" Type="http://schemas.openxmlformats.org/officeDocument/2006/relationships/image" Target="media/image61.jpeg"/><Relationship Id="rId135" Type="http://schemas.openxmlformats.org/officeDocument/2006/relationships/image" Target="media/image115.emf"/><Relationship Id="rId156" Type="http://schemas.openxmlformats.org/officeDocument/2006/relationships/image" Target="media/image136.emf"/><Relationship Id="rId177" Type="http://schemas.openxmlformats.org/officeDocument/2006/relationships/image" Target="media/image157.jpeg"/><Relationship Id="rId198" Type="http://schemas.openxmlformats.org/officeDocument/2006/relationships/image" Target="media/image178.emf"/><Relationship Id="rId202" Type="http://schemas.openxmlformats.org/officeDocument/2006/relationships/image" Target="media/image182.emf"/><Relationship Id="rId223" Type="http://schemas.openxmlformats.org/officeDocument/2006/relationships/image" Target="media/image203.emf"/><Relationship Id="rId244" Type="http://schemas.openxmlformats.org/officeDocument/2006/relationships/image" Target="media/image224.emf"/><Relationship Id="rId18" Type="http://schemas.openxmlformats.org/officeDocument/2006/relationships/image" Target="media/image8.jpeg"/><Relationship Id="rId39" Type="http://schemas.openxmlformats.org/officeDocument/2006/relationships/image" Target="media/image20.wmf"/><Relationship Id="rId265" Type="http://schemas.openxmlformats.org/officeDocument/2006/relationships/image" Target="media/image245.emf"/><Relationship Id="rId50" Type="http://schemas.openxmlformats.org/officeDocument/2006/relationships/image" Target="media/image30.png"/><Relationship Id="rId104" Type="http://schemas.openxmlformats.org/officeDocument/2006/relationships/image" Target="media/image84.emf"/><Relationship Id="rId125" Type="http://schemas.openxmlformats.org/officeDocument/2006/relationships/image" Target="media/image105.emf"/><Relationship Id="rId146" Type="http://schemas.openxmlformats.org/officeDocument/2006/relationships/image" Target="media/image126.png"/><Relationship Id="rId167" Type="http://schemas.openxmlformats.org/officeDocument/2006/relationships/image" Target="media/image147.emf"/><Relationship Id="rId188" Type="http://schemas.openxmlformats.org/officeDocument/2006/relationships/image" Target="media/image168.emf"/><Relationship Id="rId71" Type="http://schemas.openxmlformats.org/officeDocument/2006/relationships/image" Target="media/image51.emf"/><Relationship Id="rId92" Type="http://schemas.openxmlformats.org/officeDocument/2006/relationships/image" Target="media/image72.wmf"/><Relationship Id="rId213" Type="http://schemas.openxmlformats.org/officeDocument/2006/relationships/image" Target="media/image193.png"/><Relationship Id="rId234" Type="http://schemas.openxmlformats.org/officeDocument/2006/relationships/image" Target="media/image214.emf"/><Relationship Id="rId2" Type="http://schemas.openxmlformats.org/officeDocument/2006/relationships/styles" Target="styles.xml"/><Relationship Id="rId29" Type="http://schemas.openxmlformats.org/officeDocument/2006/relationships/image" Target="media/image11.jpeg"/><Relationship Id="rId255" Type="http://schemas.openxmlformats.org/officeDocument/2006/relationships/image" Target="media/image235.emf"/><Relationship Id="rId40" Type="http://schemas.openxmlformats.org/officeDocument/2006/relationships/oleObject" Target="embeddings/oleObject4.bin"/><Relationship Id="rId115" Type="http://schemas.openxmlformats.org/officeDocument/2006/relationships/image" Target="media/image95.emf"/><Relationship Id="rId136" Type="http://schemas.openxmlformats.org/officeDocument/2006/relationships/image" Target="media/image116.emf"/><Relationship Id="rId157" Type="http://schemas.openxmlformats.org/officeDocument/2006/relationships/image" Target="media/image137.emf"/><Relationship Id="rId178" Type="http://schemas.openxmlformats.org/officeDocument/2006/relationships/image" Target="media/image158.png"/><Relationship Id="rId61" Type="http://schemas.openxmlformats.org/officeDocument/2006/relationships/image" Target="media/image41.jpeg"/><Relationship Id="rId82" Type="http://schemas.openxmlformats.org/officeDocument/2006/relationships/image" Target="media/image62.png"/><Relationship Id="rId199" Type="http://schemas.openxmlformats.org/officeDocument/2006/relationships/image" Target="media/image179.emf"/><Relationship Id="rId203" Type="http://schemas.openxmlformats.org/officeDocument/2006/relationships/image" Target="media/image183.emf"/><Relationship Id="rId19" Type="http://schemas.openxmlformats.org/officeDocument/2006/relationships/header" Target="header1.xml"/><Relationship Id="rId224" Type="http://schemas.openxmlformats.org/officeDocument/2006/relationships/image" Target="media/image204.emf"/><Relationship Id="rId245" Type="http://schemas.openxmlformats.org/officeDocument/2006/relationships/image" Target="media/image225.jpeg"/><Relationship Id="rId266" Type="http://schemas.openxmlformats.org/officeDocument/2006/relationships/image" Target="media/image246.emf"/><Relationship Id="rId30" Type="http://schemas.openxmlformats.org/officeDocument/2006/relationships/image" Target="media/image12.jpeg"/><Relationship Id="rId105" Type="http://schemas.openxmlformats.org/officeDocument/2006/relationships/image" Target="media/image85.emf"/><Relationship Id="rId126" Type="http://schemas.openxmlformats.org/officeDocument/2006/relationships/image" Target="media/image106.emf"/><Relationship Id="rId147" Type="http://schemas.openxmlformats.org/officeDocument/2006/relationships/image" Target="media/image127.wmf"/><Relationship Id="rId168" Type="http://schemas.openxmlformats.org/officeDocument/2006/relationships/image" Target="media/image148.emf"/><Relationship Id="rId51" Type="http://schemas.openxmlformats.org/officeDocument/2006/relationships/image" Target="media/image31.emf"/><Relationship Id="rId72" Type="http://schemas.openxmlformats.org/officeDocument/2006/relationships/image" Target="media/image52.emf"/><Relationship Id="rId93" Type="http://schemas.openxmlformats.org/officeDocument/2006/relationships/image" Target="media/image73.jpeg"/><Relationship Id="rId189" Type="http://schemas.openxmlformats.org/officeDocument/2006/relationships/image" Target="media/image169.emf"/><Relationship Id="rId3" Type="http://schemas.microsoft.com/office/2007/relationships/stylesWithEffects" Target="stylesWithEffects.xml"/><Relationship Id="rId214" Type="http://schemas.openxmlformats.org/officeDocument/2006/relationships/image" Target="media/image194.png"/><Relationship Id="rId235" Type="http://schemas.openxmlformats.org/officeDocument/2006/relationships/image" Target="media/image215.emf"/><Relationship Id="rId256" Type="http://schemas.openxmlformats.org/officeDocument/2006/relationships/image" Target="media/image236.emf"/><Relationship Id="rId116" Type="http://schemas.openxmlformats.org/officeDocument/2006/relationships/image" Target="media/image96.emf"/><Relationship Id="rId137" Type="http://schemas.openxmlformats.org/officeDocument/2006/relationships/image" Target="media/image117.emf"/><Relationship Id="rId158" Type="http://schemas.openxmlformats.org/officeDocument/2006/relationships/image" Target="media/image138.emf"/><Relationship Id="rId20" Type="http://schemas.openxmlformats.org/officeDocument/2006/relationships/footer" Target="footer4.xml"/><Relationship Id="rId41" Type="http://schemas.openxmlformats.org/officeDocument/2006/relationships/image" Target="media/image21.jpeg"/><Relationship Id="rId62" Type="http://schemas.openxmlformats.org/officeDocument/2006/relationships/image" Target="media/image42.jpeg"/><Relationship Id="rId83" Type="http://schemas.openxmlformats.org/officeDocument/2006/relationships/image" Target="media/image63.wmf"/><Relationship Id="rId179" Type="http://schemas.openxmlformats.org/officeDocument/2006/relationships/image" Target="media/image159.emf"/><Relationship Id="rId190" Type="http://schemas.openxmlformats.org/officeDocument/2006/relationships/image" Target="media/image170.emf"/><Relationship Id="rId204" Type="http://schemas.openxmlformats.org/officeDocument/2006/relationships/image" Target="media/image184.emf"/><Relationship Id="rId225" Type="http://schemas.openxmlformats.org/officeDocument/2006/relationships/image" Target="media/image205.emf"/><Relationship Id="rId246" Type="http://schemas.openxmlformats.org/officeDocument/2006/relationships/image" Target="media/image226.png"/><Relationship Id="rId267" Type="http://schemas.openxmlformats.org/officeDocument/2006/relationships/image" Target="media/image247.png"/><Relationship Id="rId106" Type="http://schemas.openxmlformats.org/officeDocument/2006/relationships/image" Target="media/image86.emf"/><Relationship Id="rId127" Type="http://schemas.openxmlformats.org/officeDocument/2006/relationships/image" Target="media/image107.emf"/><Relationship Id="rId10" Type="http://schemas.openxmlformats.org/officeDocument/2006/relationships/image" Target="media/image2.wmf"/><Relationship Id="rId31" Type="http://schemas.openxmlformats.org/officeDocument/2006/relationships/image" Target="media/image13.png"/><Relationship Id="rId52" Type="http://schemas.openxmlformats.org/officeDocument/2006/relationships/image" Target="media/image32.emf"/><Relationship Id="rId73" Type="http://schemas.openxmlformats.org/officeDocument/2006/relationships/image" Target="media/image53.emf"/><Relationship Id="rId94" Type="http://schemas.openxmlformats.org/officeDocument/2006/relationships/image" Target="media/image74.emf"/><Relationship Id="rId148" Type="http://schemas.openxmlformats.org/officeDocument/2006/relationships/image" Target="media/image128.emf"/><Relationship Id="rId169" Type="http://schemas.openxmlformats.org/officeDocument/2006/relationships/image" Target="media/image149.emf"/><Relationship Id="rId4" Type="http://schemas.openxmlformats.org/officeDocument/2006/relationships/settings" Target="settings.xml"/><Relationship Id="rId180" Type="http://schemas.openxmlformats.org/officeDocument/2006/relationships/image" Target="media/image160.jpeg"/><Relationship Id="rId215" Type="http://schemas.openxmlformats.org/officeDocument/2006/relationships/image" Target="media/image195.png"/><Relationship Id="rId236" Type="http://schemas.openxmlformats.org/officeDocument/2006/relationships/image" Target="media/image216.emf"/><Relationship Id="rId257" Type="http://schemas.openxmlformats.org/officeDocument/2006/relationships/image" Target="media/image237.emf"/><Relationship Id="rId42" Type="http://schemas.openxmlformats.org/officeDocument/2006/relationships/image" Target="media/image22.png"/><Relationship Id="rId84" Type="http://schemas.openxmlformats.org/officeDocument/2006/relationships/image" Target="media/image64.wmf"/><Relationship Id="rId138" Type="http://schemas.openxmlformats.org/officeDocument/2006/relationships/image" Target="media/image118.emf"/><Relationship Id="rId191" Type="http://schemas.openxmlformats.org/officeDocument/2006/relationships/image" Target="media/image171.emf"/><Relationship Id="rId205" Type="http://schemas.openxmlformats.org/officeDocument/2006/relationships/image" Target="media/image185.emf"/><Relationship Id="rId247" Type="http://schemas.openxmlformats.org/officeDocument/2006/relationships/image" Target="media/image227.emf"/><Relationship Id="rId107" Type="http://schemas.openxmlformats.org/officeDocument/2006/relationships/image" Target="media/image8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194</Pages>
  <Words>59655</Words>
  <Characters>646689</Characters>
  <Application>Microsoft Office Word</Application>
  <DocSecurity>0</DocSecurity>
  <Lines>5389</Lines>
  <Paragraphs>1409</Paragraphs>
  <ScaleCrop>false</ScaleCrop>
  <HeadingPairs>
    <vt:vector size="2" baseType="variant">
      <vt:variant>
        <vt:lpstr>Title</vt:lpstr>
      </vt:variant>
      <vt:variant>
        <vt:i4>1</vt:i4>
      </vt:variant>
    </vt:vector>
  </HeadingPairs>
  <TitlesOfParts>
    <vt:vector size="1" baseType="lpstr">
      <vt:lpstr>Reef Rescue MMP inshore seagrass</vt:lpstr>
    </vt:vector>
  </TitlesOfParts>
  <Company>James Cook University</Company>
  <LinksUpToDate>false</LinksUpToDate>
  <CharactersWithSpaces>704935</CharactersWithSpaces>
  <SharedDoc>false</SharedDoc>
  <HLinks>
    <vt:vector size="3930" baseType="variant">
      <vt:variant>
        <vt:i4>4587531</vt:i4>
      </vt:variant>
      <vt:variant>
        <vt:i4>5504</vt:i4>
      </vt:variant>
      <vt:variant>
        <vt:i4>0</vt:i4>
      </vt:variant>
      <vt:variant>
        <vt:i4>5</vt:i4>
      </vt:variant>
      <vt:variant>
        <vt:lpwstr/>
      </vt:variant>
      <vt:variant>
        <vt:lpwstr>_ENREF_75</vt:lpwstr>
      </vt:variant>
      <vt:variant>
        <vt:i4>4521995</vt:i4>
      </vt:variant>
      <vt:variant>
        <vt:i4>5498</vt:i4>
      </vt:variant>
      <vt:variant>
        <vt:i4>0</vt:i4>
      </vt:variant>
      <vt:variant>
        <vt:i4>5</vt:i4>
      </vt:variant>
      <vt:variant>
        <vt:lpwstr/>
      </vt:variant>
      <vt:variant>
        <vt:lpwstr>_ENREF_45</vt:lpwstr>
      </vt:variant>
      <vt:variant>
        <vt:i4>4325387</vt:i4>
      </vt:variant>
      <vt:variant>
        <vt:i4>5456</vt:i4>
      </vt:variant>
      <vt:variant>
        <vt:i4>0</vt:i4>
      </vt:variant>
      <vt:variant>
        <vt:i4>5</vt:i4>
      </vt:variant>
      <vt:variant>
        <vt:lpwstr/>
      </vt:variant>
      <vt:variant>
        <vt:lpwstr>_ENREF_33</vt:lpwstr>
      </vt:variant>
      <vt:variant>
        <vt:i4>4587531</vt:i4>
      </vt:variant>
      <vt:variant>
        <vt:i4>5425</vt:i4>
      </vt:variant>
      <vt:variant>
        <vt:i4>0</vt:i4>
      </vt:variant>
      <vt:variant>
        <vt:i4>5</vt:i4>
      </vt:variant>
      <vt:variant>
        <vt:lpwstr/>
      </vt:variant>
      <vt:variant>
        <vt:lpwstr>_ENREF_77</vt:lpwstr>
      </vt:variant>
      <vt:variant>
        <vt:i4>4718603</vt:i4>
      </vt:variant>
      <vt:variant>
        <vt:i4>5422</vt:i4>
      </vt:variant>
      <vt:variant>
        <vt:i4>0</vt:i4>
      </vt:variant>
      <vt:variant>
        <vt:i4>5</vt:i4>
      </vt:variant>
      <vt:variant>
        <vt:lpwstr/>
      </vt:variant>
      <vt:variant>
        <vt:lpwstr>_ENREF_93</vt:lpwstr>
      </vt:variant>
      <vt:variant>
        <vt:i4>4587531</vt:i4>
      </vt:variant>
      <vt:variant>
        <vt:i4>5405</vt:i4>
      </vt:variant>
      <vt:variant>
        <vt:i4>0</vt:i4>
      </vt:variant>
      <vt:variant>
        <vt:i4>5</vt:i4>
      </vt:variant>
      <vt:variant>
        <vt:lpwstr/>
      </vt:variant>
      <vt:variant>
        <vt:lpwstr>_ENREF_76</vt:lpwstr>
      </vt:variant>
      <vt:variant>
        <vt:i4>4784139</vt:i4>
      </vt:variant>
      <vt:variant>
        <vt:i4>5402</vt:i4>
      </vt:variant>
      <vt:variant>
        <vt:i4>0</vt:i4>
      </vt:variant>
      <vt:variant>
        <vt:i4>5</vt:i4>
      </vt:variant>
      <vt:variant>
        <vt:lpwstr/>
      </vt:variant>
      <vt:variant>
        <vt:lpwstr>_ENREF_80</vt:lpwstr>
      </vt:variant>
      <vt:variant>
        <vt:i4>4653067</vt:i4>
      </vt:variant>
      <vt:variant>
        <vt:i4>5399</vt:i4>
      </vt:variant>
      <vt:variant>
        <vt:i4>0</vt:i4>
      </vt:variant>
      <vt:variant>
        <vt:i4>5</vt:i4>
      </vt:variant>
      <vt:variant>
        <vt:lpwstr/>
      </vt:variant>
      <vt:variant>
        <vt:lpwstr>_ENREF_66</vt:lpwstr>
      </vt:variant>
      <vt:variant>
        <vt:i4>4718603</vt:i4>
      </vt:variant>
      <vt:variant>
        <vt:i4>5396</vt:i4>
      </vt:variant>
      <vt:variant>
        <vt:i4>0</vt:i4>
      </vt:variant>
      <vt:variant>
        <vt:i4>5</vt:i4>
      </vt:variant>
      <vt:variant>
        <vt:lpwstr/>
      </vt:variant>
      <vt:variant>
        <vt:lpwstr>_ENREF_9</vt:lpwstr>
      </vt:variant>
      <vt:variant>
        <vt:i4>4718603</vt:i4>
      </vt:variant>
      <vt:variant>
        <vt:i4>5376</vt:i4>
      </vt:variant>
      <vt:variant>
        <vt:i4>0</vt:i4>
      </vt:variant>
      <vt:variant>
        <vt:i4>5</vt:i4>
      </vt:variant>
      <vt:variant>
        <vt:lpwstr/>
      </vt:variant>
      <vt:variant>
        <vt:lpwstr>_ENREF_93</vt:lpwstr>
      </vt:variant>
      <vt:variant>
        <vt:i4>4325387</vt:i4>
      </vt:variant>
      <vt:variant>
        <vt:i4>5373</vt:i4>
      </vt:variant>
      <vt:variant>
        <vt:i4>0</vt:i4>
      </vt:variant>
      <vt:variant>
        <vt:i4>5</vt:i4>
      </vt:variant>
      <vt:variant>
        <vt:lpwstr/>
      </vt:variant>
      <vt:variant>
        <vt:lpwstr>_ENREF_3</vt:lpwstr>
      </vt:variant>
      <vt:variant>
        <vt:i4>4521995</vt:i4>
      </vt:variant>
      <vt:variant>
        <vt:i4>5276</vt:i4>
      </vt:variant>
      <vt:variant>
        <vt:i4>0</vt:i4>
      </vt:variant>
      <vt:variant>
        <vt:i4>5</vt:i4>
      </vt:variant>
      <vt:variant>
        <vt:lpwstr/>
      </vt:variant>
      <vt:variant>
        <vt:lpwstr>_ENREF_47</vt:lpwstr>
      </vt:variant>
      <vt:variant>
        <vt:i4>4325387</vt:i4>
      </vt:variant>
      <vt:variant>
        <vt:i4>5210</vt:i4>
      </vt:variant>
      <vt:variant>
        <vt:i4>0</vt:i4>
      </vt:variant>
      <vt:variant>
        <vt:i4>5</vt:i4>
      </vt:variant>
      <vt:variant>
        <vt:lpwstr/>
      </vt:variant>
      <vt:variant>
        <vt:lpwstr>_ENREF_33</vt:lpwstr>
      </vt:variant>
      <vt:variant>
        <vt:i4>4325387</vt:i4>
      </vt:variant>
      <vt:variant>
        <vt:i4>5201</vt:i4>
      </vt:variant>
      <vt:variant>
        <vt:i4>0</vt:i4>
      </vt:variant>
      <vt:variant>
        <vt:i4>5</vt:i4>
      </vt:variant>
      <vt:variant>
        <vt:lpwstr/>
      </vt:variant>
      <vt:variant>
        <vt:lpwstr>_ENREF_33</vt:lpwstr>
      </vt:variant>
      <vt:variant>
        <vt:i4>4587531</vt:i4>
      </vt:variant>
      <vt:variant>
        <vt:i4>5146</vt:i4>
      </vt:variant>
      <vt:variant>
        <vt:i4>0</vt:i4>
      </vt:variant>
      <vt:variant>
        <vt:i4>5</vt:i4>
      </vt:variant>
      <vt:variant>
        <vt:lpwstr/>
      </vt:variant>
      <vt:variant>
        <vt:lpwstr>_ENREF_77</vt:lpwstr>
      </vt:variant>
      <vt:variant>
        <vt:i4>4718603</vt:i4>
      </vt:variant>
      <vt:variant>
        <vt:i4>5143</vt:i4>
      </vt:variant>
      <vt:variant>
        <vt:i4>0</vt:i4>
      </vt:variant>
      <vt:variant>
        <vt:i4>5</vt:i4>
      </vt:variant>
      <vt:variant>
        <vt:lpwstr/>
      </vt:variant>
      <vt:variant>
        <vt:lpwstr>_ENREF_93</vt:lpwstr>
      </vt:variant>
      <vt:variant>
        <vt:i4>4587531</vt:i4>
      </vt:variant>
      <vt:variant>
        <vt:i4>5126</vt:i4>
      </vt:variant>
      <vt:variant>
        <vt:i4>0</vt:i4>
      </vt:variant>
      <vt:variant>
        <vt:i4>5</vt:i4>
      </vt:variant>
      <vt:variant>
        <vt:lpwstr/>
      </vt:variant>
      <vt:variant>
        <vt:lpwstr>_ENREF_76</vt:lpwstr>
      </vt:variant>
      <vt:variant>
        <vt:i4>4784139</vt:i4>
      </vt:variant>
      <vt:variant>
        <vt:i4>5123</vt:i4>
      </vt:variant>
      <vt:variant>
        <vt:i4>0</vt:i4>
      </vt:variant>
      <vt:variant>
        <vt:i4>5</vt:i4>
      </vt:variant>
      <vt:variant>
        <vt:lpwstr/>
      </vt:variant>
      <vt:variant>
        <vt:lpwstr>_ENREF_80</vt:lpwstr>
      </vt:variant>
      <vt:variant>
        <vt:i4>4653067</vt:i4>
      </vt:variant>
      <vt:variant>
        <vt:i4>5120</vt:i4>
      </vt:variant>
      <vt:variant>
        <vt:i4>0</vt:i4>
      </vt:variant>
      <vt:variant>
        <vt:i4>5</vt:i4>
      </vt:variant>
      <vt:variant>
        <vt:lpwstr/>
      </vt:variant>
      <vt:variant>
        <vt:lpwstr>_ENREF_66</vt:lpwstr>
      </vt:variant>
      <vt:variant>
        <vt:i4>4718603</vt:i4>
      </vt:variant>
      <vt:variant>
        <vt:i4>5117</vt:i4>
      </vt:variant>
      <vt:variant>
        <vt:i4>0</vt:i4>
      </vt:variant>
      <vt:variant>
        <vt:i4>5</vt:i4>
      </vt:variant>
      <vt:variant>
        <vt:lpwstr/>
      </vt:variant>
      <vt:variant>
        <vt:lpwstr>_ENREF_9</vt:lpwstr>
      </vt:variant>
      <vt:variant>
        <vt:i4>4718603</vt:i4>
      </vt:variant>
      <vt:variant>
        <vt:i4>5091</vt:i4>
      </vt:variant>
      <vt:variant>
        <vt:i4>0</vt:i4>
      </vt:variant>
      <vt:variant>
        <vt:i4>5</vt:i4>
      </vt:variant>
      <vt:variant>
        <vt:lpwstr/>
      </vt:variant>
      <vt:variant>
        <vt:lpwstr>_ENREF_93</vt:lpwstr>
      </vt:variant>
      <vt:variant>
        <vt:i4>4325387</vt:i4>
      </vt:variant>
      <vt:variant>
        <vt:i4>5088</vt:i4>
      </vt:variant>
      <vt:variant>
        <vt:i4>0</vt:i4>
      </vt:variant>
      <vt:variant>
        <vt:i4>5</vt:i4>
      </vt:variant>
      <vt:variant>
        <vt:lpwstr/>
      </vt:variant>
      <vt:variant>
        <vt:lpwstr>_ENREF_3</vt:lpwstr>
      </vt:variant>
      <vt:variant>
        <vt:i4>4325387</vt:i4>
      </vt:variant>
      <vt:variant>
        <vt:i4>4940</vt:i4>
      </vt:variant>
      <vt:variant>
        <vt:i4>0</vt:i4>
      </vt:variant>
      <vt:variant>
        <vt:i4>5</vt:i4>
      </vt:variant>
      <vt:variant>
        <vt:lpwstr/>
      </vt:variant>
      <vt:variant>
        <vt:lpwstr>_ENREF_35</vt:lpwstr>
      </vt:variant>
      <vt:variant>
        <vt:i4>4521995</vt:i4>
      </vt:variant>
      <vt:variant>
        <vt:i4>4934</vt:i4>
      </vt:variant>
      <vt:variant>
        <vt:i4>0</vt:i4>
      </vt:variant>
      <vt:variant>
        <vt:i4>5</vt:i4>
      </vt:variant>
      <vt:variant>
        <vt:lpwstr/>
      </vt:variant>
      <vt:variant>
        <vt:lpwstr>_ENREF_48</vt:lpwstr>
      </vt:variant>
      <vt:variant>
        <vt:i4>4521995</vt:i4>
      </vt:variant>
      <vt:variant>
        <vt:i4>4874</vt:i4>
      </vt:variant>
      <vt:variant>
        <vt:i4>0</vt:i4>
      </vt:variant>
      <vt:variant>
        <vt:i4>5</vt:i4>
      </vt:variant>
      <vt:variant>
        <vt:lpwstr/>
      </vt:variant>
      <vt:variant>
        <vt:lpwstr>_ENREF_45</vt:lpwstr>
      </vt:variant>
      <vt:variant>
        <vt:i4>4587531</vt:i4>
      </vt:variant>
      <vt:variant>
        <vt:i4>4807</vt:i4>
      </vt:variant>
      <vt:variant>
        <vt:i4>0</vt:i4>
      </vt:variant>
      <vt:variant>
        <vt:i4>5</vt:i4>
      </vt:variant>
      <vt:variant>
        <vt:lpwstr/>
      </vt:variant>
      <vt:variant>
        <vt:lpwstr>_ENREF_77</vt:lpwstr>
      </vt:variant>
      <vt:variant>
        <vt:i4>4718603</vt:i4>
      </vt:variant>
      <vt:variant>
        <vt:i4>4804</vt:i4>
      </vt:variant>
      <vt:variant>
        <vt:i4>0</vt:i4>
      </vt:variant>
      <vt:variant>
        <vt:i4>5</vt:i4>
      </vt:variant>
      <vt:variant>
        <vt:lpwstr/>
      </vt:variant>
      <vt:variant>
        <vt:lpwstr>_ENREF_93</vt:lpwstr>
      </vt:variant>
      <vt:variant>
        <vt:i4>4587531</vt:i4>
      </vt:variant>
      <vt:variant>
        <vt:i4>4784</vt:i4>
      </vt:variant>
      <vt:variant>
        <vt:i4>0</vt:i4>
      </vt:variant>
      <vt:variant>
        <vt:i4>5</vt:i4>
      </vt:variant>
      <vt:variant>
        <vt:lpwstr/>
      </vt:variant>
      <vt:variant>
        <vt:lpwstr>_ENREF_76</vt:lpwstr>
      </vt:variant>
      <vt:variant>
        <vt:i4>4784139</vt:i4>
      </vt:variant>
      <vt:variant>
        <vt:i4>4781</vt:i4>
      </vt:variant>
      <vt:variant>
        <vt:i4>0</vt:i4>
      </vt:variant>
      <vt:variant>
        <vt:i4>5</vt:i4>
      </vt:variant>
      <vt:variant>
        <vt:lpwstr/>
      </vt:variant>
      <vt:variant>
        <vt:lpwstr>_ENREF_80</vt:lpwstr>
      </vt:variant>
      <vt:variant>
        <vt:i4>4653067</vt:i4>
      </vt:variant>
      <vt:variant>
        <vt:i4>4778</vt:i4>
      </vt:variant>
      <vt:variant>
        <vt:i4>0</vt:i4>
      </vt:variant>
      <vt:variant>
        <vt:i4>5</vt:i4>
      </vt:variant>
      <vt:variant>
        <vt:lpwstr/>
      </vt:variant>
      <vt:variant>
        <vt:lpwstr>_ENREF_66</vt:lpwstr>
      </vt:variant>
      <vt:variant>
        <vt:i4>4718603</vt:i4>
      </vt:variant>
      <vt:variant>
        <vt:i4>4775</vt:i4>
      </vt:variant>
      <vt:variant>
        <vt:i4>0</vt:i4>
      </vt:variant>
      <vt:variant>
        <vt:i4>5</vt:i4>
      </vt:variant>
      <vt:variant>
        <vt:lpwstr/>
      </vt:variant>
      <vt:variant>
        <vt:lpwstr>_ENREF_9</vt:lpwstr>
      </vt:variant>
      <vt:variant>
        <vt:i4>4718603</vt:i4>
      </vt:variant>
      <vt:variant>
        <vt:i4>4758</vt:i4>
      </vt:variant>
      <vt:variant>
        <vt:i4>0</vt:i4>
      </vt:variant>
      <vt:variant>
        <vt:i4>5</vt:i4>
      </vt:variant>
      <vt:variant>
        <vt:lpwstr/>
      </vt:variant>
      <vt:variant>
        <vt:lpwstr>_ENREF_93</vt:lpwstr>
      </vt:variant>
      <vt:variant>
        <vt:i4>4325387</vt:i4>
      </vt:variant>
      <vt:variant>
        <vt:i4>4755</vt:i4>
      </vt:variant>
      <vt:variant>
        <vt:i4>0</vt:i4>
      </vt:variant>
      <vt:variant>
        <vt:i4>5</vt:i4>
      </vt:variant>
      <vt:variant>
        <vt:lpwstr/>
      </vt:variant>
      <vt:variant>
        <vt:lpwstr>_ENREF_3</vt:lpwstr>
      </vt:variant>
      <vt:variant>
        <vt:i4>4390923</vt:i4>
      </vt:variant>
      <vt:variant>
        <vt:i4>4607</vt:i4>
      </vt:variant>
      <vt:variant>
        <vt:i4>0</vt:i4>
      </vt:variant>
      <vt:variant>
        <vt:i4>5</vt:i4>
      </vt:variant>
      <vt:variant>
        <vt:lpwstr/>
      </vt:variant>
      <vt:variant>
        <vt:lpwstr>_ENREF_21</vt:lpwstr>
      </vt:variant>
      <vt:variant>
        <vt:i4>7733305</vt:i4>
      </vt:variant>
      <vt:variant>
        <vt:i4>4601</vt:i4>
      </vt:variant>
      <vt:variant>
        <vt:i4>0</vt:i4>
      </vt:variant>
      <vt:variant>
        <vt:i4>5</vt:i4>
      </vt:variant>
      <vt:variant>
        <vt:lpwstr/>
      </vt:variant>
      <vt:variant>
        <vt:lpwstr>_ENREF_126</vt:lpwstr>
      </vt:variant>
      <vt:variant>
        <vt:i4>4521995</vt:i4>
      </vt:variant>
      <vt:variant>
        <vt:i4>4595</vt:i4>
      </vt:variant>
      <vt:variant>
        <vt:i4>0</vt:i4>
      </vt:variant>
      <vt:variant>
        <vt:i4>5</vt:i4>
      </vt:variant>
      <vt:variant>
        <vt:lpwstr/>
      </vt:variant>
      <vt:variant>
        <vt:lpwstr>_ENREF_49</vt:lpwstr>
      </vt:variant>
      <vt:variant>
        <vt:i4>7798841</vt:i4>
      </vt:variant>
      <vt:variant>
        <vt:i4>4577</vt:i4>
      </vt:variant>
      <vt:variant>
        <vt:i4>0</vt:i4>
      </vt:variant>
      <vt:variant>
        <vt:i4>5</vt:i4>
      </vt:variant>
      <vt:variant>
        <vt:lpwstr/>
      </vt:variant>
      <vt:variant>
        <vt:lpwstr>_ENREF_127</vt:lpwstr>
      </vt:variant>
      <vt:variant>
        <vt:i4>4390923</vt:i4>
      </vt:variant>
      <vt:variant>
        <vt:i4>4571</vt:i4>
      </vt:variant>
      <vt:variant>
        <vt:i4>0</vt:i4>
      </vt:variant>
      <vt:variant>
        <vt:i4>5</vt:i4>
      </vt:variant>
      <vt:variant>
        <vt:lpwstr/>
      </vt:variant>
      <vt:variant>
        <vt:lpwstr>_ENREF_22</vt:lpwstr>
      </vt:variant>
      <vt:variant>
        <vt:i4>7798841</vt:i4>
      </vt:variant>
      <vt:variant>
        <vt:i4>4567</vt:i4>
      </vt:variant>
      <vt:variant>
        <vt:i4>0</vt:i4>
      </vt:variant>
      <vt:variant>
        <vt:i4>5</vt:i4>
      </vt:variant>
      <vt:variant>
        <vt:lpwstr/>
      </vt:variant>
      <vt:variant>
        <vt:lpwstr>_ENREF_127</vt:lpwstr>
      </vt:variant>
      <vt:variant>
        <vt:i4>7929906</vt:i4>
      </vt:variant>
      <vt:variant>
        <vt:i4>4564</vt:i4>
      </vt:variant>
      <vt:variant>
        <vt:i4>0</vt:i4>
      </vt:variant>
      <vt:variant>
        <vt:i4>5</vt:i4>
      </vt:variant>
      <vt:variant>
        <vt:lpwstr/>
      </vt:variant>
      <vt:variant>
        <vt:lpwstr>_ENREF_199</vt:lpwstr>
      </vt:variant>
      <vt:variant>
        <vt:i4>7340092</vt:i4>
      </vt:variant>
      <vt:variant>
        <vt:i4>4541</vt:i4>
      </vt:variant>
      <vt:variant>
        <vt:i4>0</vt:i4>
      </vt:variant>
      <vt:variant>
        <vt:i4>5</vt:i4>
      </vt:variant>
      <vt:variant>
        <vt:lpwstr/>
      </vt:variant>
      <vt:variant>
        <vt:lpwstr>_ENREF_170</vt:lpwstr>
      </vt:variant>
      <vt:variant>
        <vt:i4>4784139</vt:i4>
      </vt:variant>
      <vt:variant>
        <vt:i4>4535</vt:i4>
      </vt:variant>
      <vt:variant>
        <vt:i4>0</vt:i4>
      </vt:variant>
      <vt:variant>
        <vt:i4>5</vt:i4>
      </vt:variant>
      <vt:variant>
        <vt:lpwstr/>
      </vt:variant>
      <vt:variant>
        <vt:lpwstr>_ENREF_89</vt:lpwstr>
      </vt:variant>
      <vt:variant>
        <vt:i4>4521995</vt:i4>
      </vt:variant>
      <vt:variant>
        <vt:i4>4523</vt:i4>
      </vt:variant>
      <vt:variant>
        <vt:i4>0</vt:i4>
      </vt:variant>
      <vt:variant>
        <vt:i4>5</vt:i4>
      </vt:variant>
      <vt:variant>
        <vt:lpwstr/>
      </vt:variant>
      <vt:variant>
        <vt:lpwstr>_ENREF_45</vt:lpwstr>
      </vt:variant>
      <vt:variant>
        <vt:i4>4521995</vt:i4>
      </vt:variant>
      <vt:variant>
        <vt:i4>4514</vt:i4>
      </vt:variant>
      <vt:variant>
        <vt:i4>0</vt:i4>
      </vt:variant>
      <vt:variant>
        <vt:i4>5</vt:i4>
      </vt:variant>
      <vt:variant>
        <vt:lpwstr/>
      </vt:variant>
      <vt:variant>
        <vt:lpwstr>_ENREF_45</vt:lpwstr>
      </vt:variant>
      <vt:variant>
        <vt:i4>4521995</vt:i4>
      </vt:variant>
      <vt:variant>
        <vt:i4>4505</vt:i4>
      </vt:variant>
      <vt:variant>
        <vt:i4>0</vt:i4>
      </vt:variant>
      <vt:variant>
        <vt:i4>5</vt:i4>
      </vt:variant>
      <vt:variant>
        <vt:lpwstr/>
      </vt:variant>
      <vt:variant>
        <vt:lpwstr>_ENREF_45</vt:lpwstr>
      </vt:variant>
      <vt:variant>
        <vt:i4>4587531</vt:i4>
      </vt:variant>
      <vt:variant>
        <vt:i4>4496</vt:i4>
      </vt:variant>
      <vt:variant>
        <vt:i4>0</vt:i4>
      </vt:variant>
      <vt:variant>
        <vt:i4>5</vt:i4>
      </vt:variant>
      <vt:variant>
        <vt:lpwstr/>
      </vt:variant>
      <vt:variant>
        <vt:lpwstr>_ENREF_74</vt:lpwstr>
      </vt:variant>
      <vt:variant>
        <vt:i4>4521995</vt:i4>
      </vt:variant>
      <vt:variant>
        <vt:i4>4490</vt:i4>
      </vt:variant>
      <vt:variant>
        <vt:i4>0</vt:i4>
      </vt:variant>
      <vt:variant>
        <vt:i4>5</vt:i4>
      </vt:variant>
      <vt:variant>
        <vt:lpwstr/>
      </vt:variant>
      <vt:variant>
        <vt:lpwstr>_ENREF_45</vt:lpwstr>
      </vt:variant>
      <vt:variant>
        <vt:i4>4587531</vt:i4>
      </vt:variant>
      <vt:variant>
        <vt:i4>4444</vt:i4>
      </vt:variant>
      <vt:variant>
        <vt:i4>0</vt:i4>
      </vt:variant>
      <vt:variant>
        <vt:i4>5</vt:i4>
      </vt:variant>
      <vt:variant>
        <vt:lpwstr/>
      </vt:variant>
      <vt:variant>
        <vt:lpwstr>_ENREF_77</vt:lpwstr>
      </vt:variant>
      <vt:variant>
        <vt:i4>4718603</vt:i4>
      </vt:variant>
      <vt:variant>
        <vt:i4>4441</vt:i4>
      </vt:variant>
      <vt:variant>
        <vt:i4>0</vt:i4>
      </vt:variant>
      <vt:variant>
        <vt:i4>5</vt:i4>
      </vt:variant>
      <vt:variant>
        <vt:lpwstr/>
      </vt:variant>
      <vt:variant>
        <vt:lpwstr>_ENREF_93</vt:lpwstr>
      </vt:variant>
      <vt:variant>
        <vt:i4>4587531</vt:i4>
      </vt:variant>
      <vt:variant>
        <vt:i4>4421</vt:i4>
      </vt:variant>
      <vt:variant>
        <vt:i4>0</vt:i4>
      </vt:variant>
      <vt:variant>
        <vt:i4>5</vt:i4>
      </vt:variant>
      <vt:variant>
        <vt:lpwstr/>
      </vt:variant>
      <vt:variant>
        <vt:lpwstr>_ENREF_76</vt:lpwstr>
      </vt:variant>
      <vt:variant>
        <vt:i4>4784139</vt:i4>
      </vt:variant>
      <vt:variant>
        <vt:i4>4418</vt:i4>
      </vt:variant>
      <vt:variant>
        <vt:i4>0</vt:i4>
      </vt:variant>
      <vt:variant>
        <vt:i4>5</vt:i4>
      </vt:variant>
      <vt:variant>
        <vt:lpwstr/>
      </vt:variant>
      <vt:variant>
        <vt:lpwstr>_ENREF_80</vt:lpwstr>
      </vt:variant>
      <vt:variant>
        <vt:i4>4653067</vt:i4>
      </vt:variant>
      <vt:variant>
        <vt:i4>4415</vt:i4>
      </vt:variant>
      <vt:variant>
        <vt:i4>0</vt:i4>
      </vt:variant>
      <vt:variant>
        <vt:i4>5</vt:i4>
      </vt:variant>
      <vt:variant>
        <vt:lpwstr/>
      </vt:variant>
      <vt:variant>
        <vt:lpwstr>_ENREF_66</vt:lpwstr>
      </vt:variant>
      <vt:variant>
        <vt:i4>4718603</vt:i4>
      </vt:variant>
      <vt:variant>
        <vt:i4>4412</vt:i4>
      </vt:variant>
      <vt:variant>
        <vt:i4>0</vt:i4>
      </vt:variant>
      <vt:variant>
        <vt:i4>5</vt:i4>
      </vt:variant>
      <vt:variant>
        <vt:lpwstr/>
      </vt:variant>
      <vt:variant>
        <vt:lpwstr>_ENREF_9</vt:lpwstr>
      </vt:variant>
      <vt:variant>
        <vt:i4>4718603</vt:i4>
      </vt:variant>
      <vt:variant>
        <vt:i4>4395</vt:i4>
      </vt:variant>
      <vt:variant>
        <vt:i4>0</vt:i4>
      </vt:variant>
      <vt:variant>
        <vt:i4>5</vt:i4>
      </vt:variant>
      <vt:variant>
        <vt:lpwstr/>
      </vt:variant>
      <vt:variant>
        <vt:lpwstr>_ENREF_93</vt:lpwstr>
      </vt:variant>
      <vt:variant>
        <vt:i4>4325387</vt:i4>
      </vt:variant>
      <vt:variant>
        <vt:i4>4392</vt:i4>
      </vt:variant>
      <vt:variant>
        <vt:i4>0</vt:i4>
      </vt:variant>
      <vt:variant>
        <vt:i4>5</vt:i4>
      </vt:variant>
      <vt:variant>
        <vt:lpwstr/>
      </vt:variant>
      <vt:variant>
        <vt:lpwstr>_ENREF_3</vt:lpwstr>
      </vt:variant>
      <vt:variant>
        <vt:i4>4521995</vt:i4>
      </vt:variant>
      <vt:variant>
        <vt:i4>4337</vt:i4>
      </vt:variant>
      <vt:variant>
        <vt:i4>0</vt:i4>
      </vt:variant>
      <vt:variant>
        <vt:i4>5</vt:i4>
      </vt:variant>
      <vt:variant>
        <vt:lpwstr/>
      </vt:variant>
      <vt:variant>
        <vt:lpwstr>_ENREF_45</vt:lpwstr>
      </vt:variant>
      <vt:variant>
        <vt:i4>7602239</vt:i4>
      </vt:variant>
      <vt:variant>
        <vt:i4>4289</vt:i4>
      </vt:variant>
      <vt:variant>
        <vt:i4>0</vt:i4>
      </vt:variant>
      <vt:variant>
        <vt:i4>5</vt:i4>
      </vt:variant>
      <vt:variant>
        <vt:lpwstr/>
      </vt:variant>
      <vt:variant>
        <vt:lpwstr>_ENREF_144</vt:lpwstr>
      </vt:variant>
      <vt:variant>
        <vt:i4>4784139</vt:i4>
      </vt:variant>
      <vt:variant>
        <vt:i4>4283</vt:i4>
      </vt:variant>
      <vt:variant>
        <vt:i4>0</vt:i4>
      </vt:variant>
      <vt:variant>
        <vt:i4>5</vt:i4>
      </vt:variant>
      <vt:variant>
        <vt:lpwstr/>
      </vt:variant>
      <vt:variant>
        <vt:lpwstr>_ENREF_80</vt:lpwstr>
      </vt:variant>
      <vt:variant>
        <vt:i4>7798844</vt:i4>
      </vt:variant>
      <vt:variant>
        <vt:i4>4277</vt:i4>
      </vt:variant>
      <vt:variant>
        <vt:i4>0</vt:i4>
      </vt:variant>
      <vt:variant>
        <vt:i4>5</vt:i4>
      </vt:variant>
      <vt:variant>
        <vt:lpwstr/>
      </vt:variant>
      <vt:variant>
        <vt:lpwstr>_ENREF_177</vt:lpwstr>
      </vt:variant>
      <vt:variant>
        <vt:i4>4718603</vt:i4>
      </vt:variant>
      <vt:variant>
        <vt:i4>4253</vt:i4>
      </vt:variant>
      <vt:variant>
        <vt:i4>0</vt:i4>
      </vt:variant>
      <vt:variant>
        <vt:i4>5</vt:i4>
      </vt:variant>
      <vt:variant>
        <vt:lpwstr/>
      </vt:variant>
      <vt:variant>
        <vt:lpwstr>_ENREF_96</vt:lpwstr>
      </vt:variant>
      <vt:variant>
        <vt:i4>7405628</vt:i4>
      </vt:variant>
      <vt:variant>
        <vt:i4>4247</vt:i4>
      </vt:variant>
      <vt:variant>
        <vt:i4>0</vt:i4>
      </vt:variant>
      <vt:variant>
        <vt:i4>5</vt:i4>
      </vt:variant>
      <vt:variant>
        <vt:lpwstr/>
      </vt:variant>
      <vt:variant>
        <vt:lpwstr>_ENREF_171</vt:lpwstr>
      </vt:variant>
      <vt:variant>
        <vt:i4>7405628</vt:i4>
      </vt:variant>
      <vt:variant>
        <vt:i4>4241</vt:i4>
      </vt:variant>
      <vt:variant>
        <vt:i4>0</vt:i4>
      </vt:variant>
      <vt:variant>
        <vt:i4>5</vt:i4>
      </vt:variant>
      <vt:variant>
        <vt:lpwstr/>
      </vt:variant>
      <vt:variant>
        <vt:lpwstr>_ENREF_171</vt:lpwstr>
      </vt:variant>
      <vt:variant>
        <vt:i4>4521995</vt:i4>
      </vt:variant>
      <vt:variant>
        <vt:i4>4235</vt:i4>
      </vt:variant>
      <vt:variant>
        <vt:i4>0</vt:i4>
      </vt:variant>
      <vt:variant>
        <vt:i4>5</vt:i4>
      </vt:variant>
      <vt:variant>
        <vt:lpwstr/>
      </vt:variant>
      <vt:variant>
        <vt:lpwstr>_ENREF_46</vt:lpwstr>
      </vt:variant>
      <vt:variant>
        <vt:i4>4653067</vt:i4>
      </vt:variant>
      <vt:variant>
        <vt:i4>4217</vt:i4>
      </vt:variant>
      <vt:variant>
        <vt:i4>0</vt:i4>
      </vt:variant>
      <vt:variant>
        <vt:i4>5</vt:i4>
      </vt:variant>
      <vt:variant>
        <vt:lpwstr/>
      </vt:variant>
      <vt:variant>
        <vt:lpwstr>_ENREF_64</vt:lpwstr>
      </vt:variant>
      <vt:variant>
        <vt:i4>4390923</vt:i4>
      </vt:variant>
      <vt:variant>
        <vt:i4>4211</vt:i4>
      </vt:variant>
      <vt:variant>
        <vt:i4>0</vt:i4>
      </vt:variant>
      <vt:variant>
        <vt:i4>5</vt:i4>
      </vt:variant>
      <vt:variant>
        <vt:lpwstr/>
      </vt:variant>
      <vt:variant>
        <vt:lpwstr>_ENREF_22</vt:lpwstr>
      </vt:variant>
      <vt:variant>
        <vt:i4>4390923</vt:i4>
      </vt:variant>
      <vt:variant>
        <vt:i4>4205</vt:i4>
      </vt:variant>
      <vt:variant>
        <vt:i4>0</vt:i4>
      </vt:variant>
      <vt:variant>
        <vt:i4>5</vt:i4>
      </vt:variant>
      <vt:variant>
        <vt:lpwstr/>
      </vt:variant>
      <vt:variant>
        <vt:lpwstr>_ENREF_22</vt:lpwstr>
      </vt:variant>
      <vt:variant>
        <vt:i4>4390923</vt:i4>
      </vt:variant>
      <vt:variant>
        <vt:i4>4199</vt:i4>
      </vt:variant>
      <vt:variant>
        <vt:i4>0</vt:i4>
      </vt:variant>
      <vt:variant>
        <vt:i4>5</vt:i4>
      </vt:variant>
      <vt:variant>
        <vt:lpwstr/>
      </vt:variant>
      <vt:variant>
        <vt:lpwstr>_ENREF_22</vt:lpwstr>
      </vt:variant>
      <vt:variant>
        <vt:i4>4784139</vt:i4>
      </vt:variant>
      <vt:variant>
        <vt:i4>4193</vt:i4>
      </vt:variant>
      <vt:variant>
        <vt:i4>0</vt:i4>
      </vt:variant>
      <vt:variant>
        <vt:i4>5</vt:i4>
      </vt:variant>
      <vt:variant>
        <vt:lpwstr/>
      </vt:variant>
      <vt:variant>
        <vt:lpwstr>_ENREF_88</vt:lpwstr>
      </vt:variant>
      <vt:variant>
        <vt:i4>4653067</vt:i4>
      </vt:variant>
      <vt:variant>
        <vt:i4>4187</vt:i4>
      </vt:variant>
      <vt:variant>
        <vt:i4>0</vt:i4>
      </vt:variant>
      <vt:variant>
        <vt:i4>5</vt:i4>
      </vt:variant>
      <vt:variant>
        <vt:lpwstr/>
      </vt:variant>
      <vt:variant>
        <vt:lpwstr>_ENREF_64</vt:lpwstr>
      </vt:variant>
      <vt:variant>
        <vt:i4>4390923</vt:i4>
      </vt:variant>
      <vt:variant>
        <vt:i4>4181</vt:i4>
      </vt:variant>
      <vt:variant>
        <vt:i4>0</vt:i4>
      </vt:variant>
      <vt:variant>
        <vt:i4>5</vt:i4>
      </vt:variant>
      <vt:variant>
        <vt:lpwstr/>
      </vt:variant>
      <vt:variant>
        <vt:lpwstr>_ENREF_22</vt:lpwstr>
      </vt:variant>
      <vt:variant>
        <vt:i4>4390923</vt:i4>
      </vt:variant>
      <vt:variant>
        <vt:i4>4175</vt:i4>
      </vt:variant>
      <vt:variant>
        <vt:i4>0</vt:i4>
      </vt:variant>
      <vt:variant>
        <vt:i4>5</vt:i4>
      </vt:variant>
      <vt:variant>
        <vt:lpwstr/>
      </vt:variant>
      <vt:variant>
        <vt:lpwstr>_ENREF_22</vt:lpwstr>
      </vt:variant>
      <vt:variant>
        <vt:i4>4390923</vt:i4>
      </vt:variant>
      <vt:variant>
        <vt:i4>4169</vt:i4>
      </vt:variant>
      <vt:variant>
        <vt:i4>0</vt:i4>
      </vt:variant>
      <vt:variant>
        <vt:i4>5</vt:i4>
      </vt:variant>
      <vt:variant>
        <vt:lpwstr/>
      </vt:variant>
      <vt:variant>
        <vt:lpwstr>_ENREF_22</vt:lpwstr>
      </vt:variant>
      <vt:variant>
        <vt:i4>4653067</vt:i4>
      </vt:variant>
      <vt:variant>
        <vt:i4>4163</vt:i4>
      </vt:variant>
      <vt:variant>
        <vt:i4>0</vt:i4>
      </vt:variant>
      <vt:variant>
        <vt:i4>5</vt:i4>
      </vt:variant>
      <vt:variant>
        <vt:lpwstr/>
      </vt:variant>
      <vt:variant>
        <vt:lpwstr>_ENREF_65</vt:lpwstr>
      </vt:variant>
      <vt:variant>
        <vt:i4>4653067</vt:i4>
      </vt:variant>
      <vt:variant>
        <vt:i4>4157</vt:i4>
      </vt:variant>
      <vt:variant>
        <vt:i4>0</vt:i4>
      </vt:variant>
      <vt:variant>
        <vt:i4>5</vt:i4>
      </vt:variant>
      <vt:variant>
        <vt:lpwstr/>
      </vt:variant>
      <vt:variant>
        <vt:lpwstr>_ENREF_65</vt:lpwstr>
      </vt:variant>
      <vt:variant>
        <vt:i4>4784139</vt:i4>
      </vt:variant>
      <vt:variant>
        <vt:i4>4151</vt:i4>
      </vt:variant>
      <vt:variant>
        <vt:i4>0</vt:i4>
      </vt:variant>
      <vt:variant>
        <vt:i4>5</vt:i4>
      </vt:variant>
      <vt:variant>
        <vt:lpwstr/>
      </vt:variant>
      <vt:variant>
        <vt:lpwstr>_ENREF_83</vt:lpwstr>
      </vt:variant>
      <vt:variant>
        <vt:i4>7340092</vt:i4>
      </vt:variant>
      <vt:variant>
        <vt:i4>4103</vt:i4>
      </vt:variant>
      <vt:variant>
        <vt:i4>0</vt:i4>
      </vt:variant>
      <vt:variant>
        <vt:i4>5</vt:i4>
      </vt:variant>
      <vt:variant>
        <vt:lpwstr/>
      </vt:variant>
      <vt:variant>
        <vt:lpwstr>_ENREF_170</vt:lpwstr>
      </vt:variant>
      <vt:variant>
        <vt:i4>4784139</vt:i4>
      </vt:variant>
      <vt:variant>
        <vt:i4>4097</vt:i4>
      </vt:variant>
      <vt:variant>
        <vt:i4>0</vt:i4>
      </vt:variant>
      <vt:variant>
        <vt:i4>5</vt:i4>
      </vt:variant>
      <vt:variant>
        <vt:lpwstr/>
      </vt:variant>
      <vt:variant>
        <vt:lpwstr>_ENREF_89</vt:lpwstr>
      </vt:variant>
      <vt:variant>
        <vt:i4>7340092</vt:i4>
      </vt:variant>
      <vt:variant>
        <vt:i4>4088</vt:i4>
      </vt:variant>
      <vt:variant>
        <vt:i4>0</vt:i4>
      </vt:variant>
      <vt:variant>
        <vt:i4>5</vt:i4>
      </vt:variant>
      <vt:variant>
        <vt:lpwstr/>
      </vt:variant>
      <vt:variant>
        <vt:lpwstr>_ENREF_170</vt:lpwstr>
      </vt:variant>
      <vt:variant>
        <vt:i4>4784139</vt:i4>
      </vt:variant>
      <vt:variant>
        <vt:i4>4082</vt:i4>
      </vt:variant>
      <vt:variant>
        <vt:i4>0</vt:i4>
      </vt:variant>
      <vt:variant>
        <vt:i4>5</vt:i4>
      </vt:variant>
      <vt:variant>
        <vt:lpwstr/>
      </vt:variant>
      <vt:variant>
        <vt:lpwstr>_ENREF_89</vt:lpwstr>
      </vt:variant>
      <vt:variant>
        <vt:i4>4456459</vt:i4>
      </vt:variant>
      <vt:variant>
        <vt:i4>4070</vt:i4>
      </vt:variant>
      <vt:variant>
        <vt:i4>0</vt:i4>
      </vt:variant>
      <vt:variant>
        <vt:i4>5</vt:i4>
      </vt:variant>
      <vt:variant>
        <vt:lpwstr/>
      </vt:variant>
      <vt:variant>
        <vt:lpwstr>_ENREF_5</vt:lpwstr>
      </vt:variant>
      <vt:variant>
        <vt:i4>4587531</vt:i4>
      </vt:variant>
      <vt:variant>
        <vt:i4>4061</vt:i4>
      </vt:variant>
      <vt:variant>
        <vt:i4>0</vt:i4>
      </vt:variant>
      <vt:variant>
        <vt:i4>5</vt:i4>
      </vt:variant>
      <vt:variant>
        <vt:lpwstr/>
      </vt:variant>
      <vt:variant>
        <vt:lpwstr>_ENREF_75</vt:lpwstr>
      </vt:variant>
      <vt:variant>
        <vt:i4>4521995</vt:i4>
      </vt:variant>
      <vt:variant>
        <vt:i4>4055</vt:i4>
      </vt:variant>
      <vt:variant>
        <vt:i4>0</vt:i4>
      </vt:variant>
      <vt:variant>
        <vt:i4>5</vt:i4>
      </vt:variant>
      <vt:variant>
        <vt:lpwstr/>
      </vt:variant>
      <vt:variant>
        <vt:lpwstr>_ENREF_45</vt:lpwstr>
      </vt:variant>
      <vt:variant>
        <vt:i4>4521995</vt:i4>
      </vt:variant>
      <vt:variant>
        <vt:i4>4046</vt:i4>
      </vt:variant>
      <vt:variant>
        <vt:i4>0</vt:i4>
      </vt:variant>
      <vt:variant>
        <vt:i4>5</vt:i4>
      </vt:variant>
      <vt:variant>
        <vt:lpwstr/>
      </vt:variant>
      <vt:variant>
        <vt:lpwstr>_ENREF_45</vt:lpwstr>
      </vt:variant>
      <vt:variant>
        <vt:i4>4521995</vt:i4>
      </vt:variant>
      <vt:variant>
        <vt:i4>4037</vt:i4>
      </vt:variant>
      <vt:variant>
        <vt:i4>0</vt:i4>
      </vt:variant>
      <vt:variant>
        <vt:i4>5</vt:i4>
      </vt:variant>
      <vt:variant>
        <vt:lpwstr/>
      </vt:variant>
      <vt:variant>
        <vt:lpwstr>_ENREF_45</vt:lpwstr>
      </vt:variant>
      <vt:variant>
        <vt:i4>4521995</vt:i4>
      </vt:variant>
      <vt:variant>
        <vt:i4>4028</vt:i4>
      </vt:variant>
      <vt:variant>
        <vt:i4>0</vt:i4>
      </vt:variant>
      <vt:variant>
        <vt:i4>5</vt:i4>
      </vt:variant>
      <vt:variant>
        <vt:lpwstr/>
      </vt:variant>
      <vt:variant>
        <vt:lpwstr>_ENREF_45</vt:lpwstr>
      </vt:variant>
      <vt:variant>
        <vt:i4>7602233</vt:i4>
      </vt:variant>
      <vt:variant>
        <vt:i4>4016</vt:i4>
      </vt:variant>
      <vt:variant>
        <vt:i4>0</vt:i4>
      </vt:variant>
      <vt:variant>
        <vt:i4>5</vt:i4>
      </vt:variant>
      <vt:variant>
        <vt:lpwstr/>
      </vt:variant>
      <vt:variant>
        <vt:lpwstr>_ENREF_124</vt:lpwstr>
      </vt:variant>
      <vt:variant>
        <vt:i4>4587531</vt:i4>
      </vt:variant>
      <vt:variant>
        <vt:i4>3916</vt:i4>
      </vt:variant>
      <vt:variant>
        <vt:i4>0</vt:i4>
      </vt:variant>
      <vt:variant>
        <vt:i4>5</vt:i4>
      </vt:variant>
      <vt:variant>
        <vt:lpwstr/>
      </vt:variant>
      <vt:variant>
        <vt:lpwstr>_ENREF_76</vt:lpwstr>
      </vt:variant>
      <vt:variant>
        <vt:i4>4784139</vt:i4>
      </vt:variant>
      <vt:variant>
        <vt:i4>3913</vt:i4>
      </vt:variant>
      <vt:variant>
        <vt:i4>0</vt:i4>
      </vt:variant>
      <vt:variant>
        <vt:i4>5</vt:i4>
      </vt:variant>
      <vt:variant>
        <vt:lpwstr/>
      </vt:variant>
      <vt:variant>
        <vt:lpwstr>_ENREF_80</vt:lpwstr>
      </vt:variant>
      <vt:variant>
        <vt:i4>4653067</vt:i4>
      </vt:variant>
      <vt:variant>
        <vt:i4>3910</vt:i4>
      </vt:variant>
      <vt:variant>
        <vt:i4>0</vt:i4>
      </vt:variant>
      <vt:variant>
        <vt:i4>5</vt:i4>
      </vt:variant>
      <vt:variant>
        <vt:lpwstr/>
      </vt:variant>
      <vt:variant>
        <vt:lpwstr>_ENREF_66</vt:lpwstr>
      </vt:variant>
      <vt:variant>
        <vt:i4>4718603</vt:i4>
      </vt:variant>
      <vt:variant>
        <vt:i4>3907</vt:i4>
      </vt:variant>
      <vt:variant>
        <vt:i4>0</vt:i4>
      </vt:variant>
      <vt:variant>
        <vt:i4>5</vt:i4>
      </vt:variant>
      <vt:variant>
        <vt:lpwstr/>
      </vt:variant>
      <vt:variant>
        <vt:lpwstr>_ENREF_9</vt:lpwstr>
      </vt:variant>
      <vt:variant>
        <vt:i4>4718603</vt:i4>
      </vt:variant>
      <vt:variant>
        <vt:i4>3890</vt:i4>
      </vt:variant>
      <vt:variant>
        <vt:i4>0</vt:i4>
      </vt:variant>
      <vt:variant>
        <vt:i4>5</vt:i4>
      </vt:variant>
      <vt:variant>
        <vt:lpwstr/>
      </vt:variant>
      <vt:variant>
        <vt:lpwstr>_ENREF_93</vt:lpwstr>
      </vt:variant>
      <vt:variant>
        <vt:i4>4325387</vt:i4>
      </vt:variant>
      <vt:variant>
        <vt:i4>3887</vt:i4>
      </vt:variant>
      <vt:variant>
        <vt:i4>0</vt:i4>
      </vt:variant>
      <vt:variant>
        <vt:i4>5</vt:i4>
      </vt:variant>
      <vt:variant>
        <vt:lpwstr/>
      </vt:variant>
      <vt:variant>
        <vt:lpwstr>_ENREF_3</vt:lpwstr>
      </vt:variant>
      <vt:variant>
        <vt:i4>7929907</vt:i4>
      </vt:variant>
      <vt:variant>
        <vt:i4>3730</vt:i4>
      </vt:variant>
      <vt:variant>
        <vt:i4>0</vt:i4>
      </vt:variant>
      <vt:variant>
        <vt:i4>5</vt:i4>
      </vt:variant>
      <vt:variant>
        <vt:lpwstr/>
      </vt:variant>
      <vt:variant>
        <vt:lpwstr>_ENREF_189</vt:lpwstr>
      </vt:variant>
      <vt:variant>
        <vt:i4>4587531</vt:i4>
      </vt:variant>
      <vt:variant>
        <vt:i4>3726</vt:i4>
      </vt:variant>
      <vt:variant>
        <vt:i4>0</vt:i4>
      </vt:variant>
      <vt:variant>
        <vt:i4>5</vt:i4>
      </vt:variant>
      <vt:variant>
        <vt:lpwstr/>
      </vt:variant>
      <vt:variant>
        <vt:lpwstr>_ENREF_73</vt:lpwstr>
      </vt:variant>
      <vt:variant>
        <vt:i4>4587531</vt:i4>
      </vt:variant>
      <vt:variant>
        <vt:i4>3723</vt:i4>
      </vt:variant>
      <vt:variant>
        <vt:i4>0</vt:i4>
      </vt:variant>
      <vt:variant>
        <vt:i4>5</vt:i4>
      </vt:variant>
      <vt:variant>
        <vt:lpwstr/>
      </vt:variant>
      <vt:variant>
        <vt:lpwstr>_ENREF_79</vt:lpwstr>
      </vt:variant>
      <vt:variant>
        <vt:i4>7798844</vt:i4>
      </vt:variant>
      <vt:variant>
        <vt:i4>3720</vt:i4>
      </vt:variant>
      <vt:variant>
        <vt:i4>0</vt:i4>
      </vt:variant>
      <vt:variant>
        <vt:i4>5</vt:i4>
      </vt:variant>
      <vt:variant>
        <vt:lpwstr/>
      </vt:variant>
      <vt:variant>
        <vt:lpwstr>_ENREF_177</vt:lpwstr>
      </vt:variant>
      <vt:variant>
        <vt:i4>4456459</vt:i4>
      </vt:variant>
      <vt:variant>
        <vt:i4>3686</vt:i4>
      </vt:variant>
      <vt:variant>
        <vt:i4>0</vt:i4>
      </vt:variant>
      <vt:variant>
        <vt:i4>5</vt:i4>
      </vt:variant>
      <vt:variant>
        <vt:lpwstr/>
      </vt:variant>
      <vt:variant>
        <vt:lpwstr>_ENREF_50</vt:lpwstr>
      </vt:variant>
      <vt:variant>
        <vt:i4>4587531</vt:i4>
      </vt:variant>
      <vt:variant>
        <vt:i4>3614</vt:i4>
      </vt:variant>
      <vt:variant>
        <vt:i4>0</vt:i4>
      </vt:variant>
      <vt:variant>
        <vt:i4>5</vt:i4>
      </vt:variant>
      <vt:variant>
        <vt:lpwstr/>
      </vt:variant>
      <vt:variant>
        <vt:lpwstr>_ENREF_76</vt:lpwstr>
      </vt:variant>
      <vt:variant>
        <vt:i4>4784139</vt:i4>
      </vt:variant>
      <vt:variant>
        <vt:i4>3610</vt:i4>
      </vt:variant>
      <vt:variant>
        <vt:i4>0</vt:i4>
      </vt:variant>
      <vt:variant>
        <vt:i4>5</vt:i4>
      </vt:variant>
      <vt:variant>
        <vt:lpwstr/>
      </vt:variant>
      <vt:variant>
        <vt:lpwstr>_ENREF_80</vt:lpwstr>
      </vt:variant>
      <vt:variant>
        <vt:i4>4653067</vt:i4>
      </vt:variant>
      <vt:variant>
        <vt:i4>3607</vt:i4>
      </vt:variant>
      <vt:variant>
        <vt:i4>0</vt:i4>
      </vt:variant>
      <vt:variant>
        <vt:i4>5</vt:i4>
      </vt:variant>
      <vt:variant>
        <vt:lpwstr/>
      </vt:variant>
      <vt:variant>
        <vt:lpwstr>_ENREF_66</vt:lpwstr>
      </vt:variant>
      <vt:variant>
        <vt:i4>4718603</vt:i4>
      </vt:variant>
      <vt:variant>
        <vt:i4>3604</vt:i4>
      </vt:variant>
      <vt:variant>
        <vt:i4>0</vt:i4>
      </vt:variant>
      <vt:variant>
        <vt:i4>5</vt:i4>
      </vt:variant>
      <vt:variant>
        <vt:lpwstr/>
      </vt:variant>
      <vt:variant>
        <vt:lpwstr>_ENREF_9</vt:lpwstr>
      </vt:variant>
      <vt:variant>
        <vt:i4>4718603</vt:i4>
      </vt:variant>
      <vt:variant>
        <vt:i4>3587</vt:i4>
      </vt:variant>
      <vt:variant>
        <vt:i4>0</vt:i4>
      </vt:variant>
      <vt:variant>
        <vt:i4>5</vt:i4>
      </vt:variant>
      <vt:variant>
        <vt:lpwstr/>
      </vt:variant>
      <vt:variant>
        <vt:lpwstr>_ENREF_93</vt:lpwstr>
      </vt:variant>
      <vt:variant>
        <vt:i4>4325387</vt:i4>
      </vt:variant>
      <vt:variant>
        <vt:i4>3584</vt:i4>
      </vt:variant>
      <vt:variant>
        <vt:i4>0</vt:i4>
      </vt:variant>
      <vt:variant>
        <vt:i4>5</vt:i4>
      </vt:variant>
      <vt:variant>
        <vt:lpwstr/>
      </vt:variant>
      <vt:variant>
        <vt:lpwstr>_ENREF_3</vt:lpwstr>
      </vt:variant>
      <vt:variant>
        <vt:i4>7471163</vt:i4>
      </vt:variant>
      <vt:variant>
        <vt:i4>3514</vt:i4>
      </vt:variant>
      <vt:variant>
        <vt:i4>0</vt:i4>
      </vt:variant>
      <vt:variant>
        <vt:i4>5</vt:i4>
      </vt:variant>
      <vt:variant>
        <vt:lpwstr/>
      </vt:variant>
      <vt:variant>
        <vt:lpwstr>_ENREF_102</vt:lpwstr>
      </vt:variant>
      <vt:variant>
        <vt:i4>4653067</vt:i4>
      </vt:variant>
      <vt:variant>
        <vt:i4>3490</vt:i4>
      </vt:variant>
      <vt:variant>
        <vt:i4>0</vt:i4>
      </vt:variant>
      <vt:variant>
        <vt:i4>5</vt:i4>
      </vt:variant>
      <vt:variant>
        <vt:lpwstr/>
      </vt:variant>
      <vt:variant>
        <vt:lpwstr>_ENREF_68</vt:lpwstr>
      </vt:variant>
      <vt:variant>
        <vt:i4>4521995</vt:i4>
      </vt:variant>
      <vt:variant>
        <vt:i4>3475</vt:i4>
      </vt:variant>
      <vt:variant>
        <vt:i4>0</vt:i4>
      </vt:variant>
      <vt:variant>
        <vt:i4>5</vt:i4>
      </vt:variant>
      <vt:variant>
        <vt:lpwstr/>
      </vt:variant>
      <vt:variant>
        <vt:lpwstr>_ENREF_45</vt:lpwstr>
      </vt:variant>
      <vt:variant>
        <vt:i4>4325387</vt:i4>
      </vt:variant>
      <vt:variant>
        <vt:i4>3466</vt:i4>
      </vt:variant>
      <vt:variant>
        <vt:i4>0</vt:i4>
      </vt:variant>
      <vt:variant>
        <vt:i4>5</vt:i4>
      </vt:variant>
      <vt:variant>
        <vt:lpwstr/>
      </vt:variant>
      <vt:variant>
        <vt:lpwstr>_ENREF_33</vt:lpwstr>
      </vt:variant>
      <vt:variant>
        <vt:i4>7667774</vt:i4>
      </vt:variant>
      <vt:variant>
        <vt:i4>3460</vt:i4>
      </vt:variant>
      <vt:variant>
        <vt:i4>0</vt:i4>
      </vt:variant>
      <vt:variant>
        <vt:i4>5</vt:i4>
      </vt:variant>
      <vt:variant>
        <vt:lpwstr/>
      </vt:variant>
      <vt:variant>
        <vt:lpwstr>_ENREF_155</vt:lpwstr>
      </vt:variant>
      <vt:variant>
        <vt:i4>4521995</vt:i4>
      </vt:variant>
      <vt:variant>
        <vt:i4>3448</vt:i4>
      </vt:variant>
      <vt:variant>
        <vt:i4>0</vt:i4>
      </vt:variant>
      <vt:variant>
        <vt:i4>5</vt:i4>
      </vt:variant>
      <vt:variant>
        <vt:lpwstr/>
      </vt:variant>
      <vt:variant>
        <vt:lpwstr>_ENREF_45</vt:lpwstr>
      </vt:variant>
      <vt:variant>
        <vt:i4>7340092</vt:i4>
      </vt:variant>
      <vt:variant>
        <vt:i4>3442</vt:i4>
      </vt:variant>
      <vt:variant>
        <vt:i4>0</vt:i4>
      </vt:variant>
      <vt:variant>
        <vt:i4>5</vt:i4>
      </vt:variant>
      <vt:variant>
        <vt:lpwstr/>
      </vt:variant>
      <vt:variant>
        <vt:lpwstr>_ENREF_170</vt:lpwstr>
      </vt:variant>
      <vt:variant>
        <vt:i4>4325387</vt:i4>
      </vt:variant>
      <vt:variant>
        <vt:i4>3433</vt:i4>
      </vt:variant>
      <vt:variant>
        <vt:i4>0</vt:i4>
      </vt:variant>
      <vt:variant>
        <vt:i4>5</vt:i4>
      </vt:variant>
      <vt:variant>
        <vt:lpwstr/>
      </vt:variant>
      <vt:variant>
        <vt:lpwstr>_ENREF_33</vt:lpwstr>
      </vt:variant>
      <vt:variant>
        <vt:i4>4521995</vt:i4>
      </vt:variant>
      <vt:variant>
        <vt:i4>3427</vt:i4>
      </vt:variant>
      <vt:variant>
        <vt:i4>0</vt:i4>
      </vt:variant>
      <vt:variant>
        <vt:i4>5</vt:i4>
      </vt:variant>
      <vt:variant>
        <vt:lpwstr/>
      </vt:variant>
      <vt:variant>
        <vt:lpwstr>_ENREF_45</vt:lpwstr>
      </vt:variant>
      <vt:variant>
        <vt:i4>4325387</vt:i4>
      </vt:variant>
      <vt:variant>
        <vt:i4>3418</vt:i4>
      </vt:variant>
      <vt:variant>
        <vt:i4>0</vt:i4>
      </vt:variant>
      <vt:variant>
        <vt:i4>5</vt:i4>
      </vt:variant>
      <vt:variant>
        <vt:lpwstr/>
      </vt:variant>
      <vt:variant>
        <vt:lpwstr>_ENREF_33</vt:lpwstr>
      </vt:variant>
      <vt:variant>
        <vt:i4>4521995</vt:i4>
      </vt:variant>
      <vt:variant>
        <vt:i4>3412</vt:i4>
      </vt:variant>
      <vt:variant>
        <vt:i4>0</vt:i4>
      </vt:variant>
      <vt:variant>
        <vt:i4>5</vt:i4>
      </vt:variant>
      <vt:variant>
        <vt:lpwstr/>
      </vt:variant>
      <vt:variant>
        <vt:lpwstr>_ENREF_45</vt:lpwstr>
      </vt:variant>
      <vt:variant>
        <vt:i4>7864381</vt:i4>
      </vt:variant>
      <vt:variant>
        <vt:i4>3400</vt:i4>
      </vt:variant>
      <vt:variant>
        <vt:i4>0</vt:i4>
      </vt:variant>
      <vt:variant>
        <vt:i4>5</vt:i4>
      </vt:variant>
      <vt:variant>
        <vt:lpwstr/>
      </vt:variant>
      <vt:variant>
        <vt:lpwstr>_ENREF_168</vt:lpwstr>
      </vt:variant>
      <vt:variant>
        <vt:i4>4653067</vt:i4>
      </vt:variant>
      <vt:variant>
        <vt:i4>3394</vt:i4>
      </vt:variant>
      <vt:variant>
        <vt:i4>0</vt:i4>
      </vt:variant>
      <vt:variant>
        <vt:i4>5</vt:i4>
      </vt:variant>
      <vt:variant>
        <vt:lpwstr/>
      </vt:variant>
      <vt:variant>
        <vt:lpwstr>_ENREF_63</vt:lpwstr>
      </vt:variant>
      <vt:variant>
        <vt:i4>4587531</vt:i4>
      </vt:variant>
      <vt:variant>
        <vt:i4>3390</vt:i4>
      </vt:variant>
      <vt:variant>
        <vt:i4>0</vt:i4>
      </vt:variant>
      <vt:variant>
        <vt:i4>5</vt:i4>
      </vt:variant>
      <vt:variant>
        <vt:lpwstr/>
      </vt:variant>
      <vt:variant>
        <vt:lpwstr>_ENREF_75</vt:lpwstr>
      </vt:variant>
      <vt:variant>
        <vt:i4>4456459</vt:i4>
      </vt:variant>
      <vt:variant>
        <vt:i4>3387</vt:i4>
      </vt:variant>
      <vt:variant>
        <vt:i4>0</vt:i4>
      </vt:variant>
      <vt:variant>
        <vt:i4>5</vt:i4>
      </vt:variant>
      <vt:variant>
        <vt:lpwstr/>
      </vt:variant>
      <vt:variant>
        <vt:lpwstr>_ENREF_5</vt:lpwstr>
      </vt:variant>
      <vt:variant>
        <vt:i4>4587531</vt:i4>
      </vt:variant>
      <vt:variant>
        <vt:i4>3367</vt:i4>
      </vt:variant>
      <vt:variant>
        <vt:i4>0</vt:i4>
      </vt:variant>
      <vt:variant>
        <vt:i4>5</vt:i4>
      </vt:variant>
      <vt:variant>
        <vt:lpwstr/>
      </vt:variant>
      <vt:variant>
        <vt:lpwstr>_ENREF_76</vt:lpwstr>
      </vt:variant>
      <vt:variant>
        <vt:i4>4784139</vt:i4>
      </vt:variant>
      <vt:variant>
        <vt:i4>3363</vt:i4>
      </vt:variant>
      <vt:variant>
        <vt:i4>0</vt:i4>
      </vt:variant>
      <vt:variant>
        <vt:i4>5</vt:i4>
      </vt:variant>
      <vt:variant>
        <vt:lpwstr/>
      </vt:variant>
      <vt:variant>
        <vt:lpwstr>_ENREF_80</vt:lpwstr>
      </vt:variant>
      <vt:variant>
        <vt:i4>4653067</vt:i4>
      </vt:variant>
      <vt:variant>
        <vt:i4>3360</vt:i4>
      </vt:variant>
      <vt:variant>
        <vt:i4>0</vt:i4>
      </vt:variant>
      <vt:variant>
        <vt:i4>5</vt:i4>
      </vt:variant>
      <vt:variant>
        <vt:lpwstr/>
      </vt:variant>
      <vt:variant>
        <vt:lpwstr>_ENREF_66</vt:lpwstr>
      </vt:variant>
      <vt:variant>
        <vt:i4>4718603</vt:i4>
      </vt:variant>
      <vt:variant>
        <vt:i4>3357</vt:i4>
      </vt:variant>
      <vt:variant>
        <vt:i4>0</vt:i4>
      </vt:variant>
      <vt:variant>
        <vt:i4>5</vt:i4>
      </vt:variant>
      <vt:variant>
        <vt:lpwstr/>
      </vt:variant>
      <vt:variant>
        <vt:lpwstr>_ENREF_9</vt:lpwstr>
      </vt:variant>
      <vt:variant>
        <vt:i4>4718603</vt:i4>
      </vt:variant>
      <vt:variant>
        <vt:i4>3334</vt:i4>
      </vt:variant>
      <vt:variant>
        <vt:i4>0</vt:i4>
      </vt:variant>
      <vt:variant>
        <vt:i4>5</vt:i4>
      </vt:variant>
      <vt:variant>
        <vt:lpwstr/>
      </vt:variant>
      <vt:variant>
        <vt:lpwstr>_ENREF_93</vt:lpwstr>
      </vt:variant>
      <vt:variant>
        <vt:i4>4325387</vt:i4>
      </vt:variant>
      <vt:variant>
        <vt:i4>3331</vt:i4>
      </vt:variant>
      <vt:variant>
        <vt:i4>0</vt:i4>
      </vt:variant>
      <vt:variant>
        <vt:i4>5</vt:i4>
      </vt:variant>
      <vt:variant>
        <vt:lpwstr/>
      </vt:variant>
      <vt:variant>
        <vt:lpwstr>_ENREF_3</vt:lpwstr>
      </vt:variant>
      <vt:variant>
        <vt:i4>4784139</vt:i4>
      </vt:variant>
      <vt:variant>
        <vt:i4>3314</vt:i4>
      </vt:variant>
      <vt:variant>
        <vt:i4>0</vt:i4>
      </vt:variant>
      <vt:variant>
        <vt:i4>5</vt:i4>
      </vt:variant>
      <vt:variant>
        <vt:lpwstr/>
      </vt:variant>
      <vt:variant>
        <vt:lpwstr>_ENREF_80</vt:lpwstr>
      </vt:variant>
      <vt:variant>
        <vt:i4>4718603</vt:i4>
      </vt:variant>
      <vt:variant>
        <vt:i4>3311</vt:i4>
      </vt:variant>
      <vt:variant>
        <vt:i4>0</vt:i4>
      </vt:variant>
      <vt:variant>
        <vt:i4>5</vt:i4>
      </vt:variant>
      <vt:variant>
        <vt:lpwstr/>
      </vt:variant>
      <vt:variant>
        <vt:lpwstr>_ENREF_9</vt:lpwstr>
      </vt:variant>
      <vt:variant>
        <vt:i4>4718603</vt:i4>
      </vt:variant>
      <vt:variant>
        <vt:i4>3305</vt:i4>
      </vt:variant>
      <vt:variant>
        <vt:i4>0</vt:i4>
      </vt:variant>
      <vt:variant>
        <vt:i4>5</vt:i4>
      </vt:variant>
      <vt:variant>
        <vt:lpwstr/>
      </vt:variant>
      <vt:variant>
        <vt:lpwstr>_ENREF_93</vt:lpwstr>
      </vt:variant>
      <vt:variant>
        <vt:i4>4325387</vt:i4>
      </vt:variant>
      <vt:variant>
        <vt:i4>3302</vt:i4>
      </vt:variant>
      <vt:variant>
        <vt:i4>0</vt:i4>
      </vt:variant>
      <vt:variant>
        <vt:i4>5</vt:i4>
      </vt:variant>
      <vt:variant>
        <vt:lpwstr/>
      </vt:variant>
      <vt:variant>
        <vt:lpwstr>_ENREF_3</vt:lpwstr>
      </vt:variant>
      <vt:variant>
        <vt:i4>7471161</vt:i4>
      </vt:variant>
      <vt:variant>
        <vt:i4>3283</vt:i4>
      </vt:variant>
      <vt:variant>
        <vt:i4>0</vt:i4>
      </vt:variant>
      <vt:variant>
        <vt:i4>5</vt:i4>
      </vt:variant>
      <vt:variant>
        <vt:lpwstr/>
      </vt:variant>
      <vt:variant>
        <vt:lpwstr>_ENREF_122</vt:lpwstr>
      </vt:variant>
      <vt:variant>
        <vt:i4>7929917</vt:i4>
      </vt:variant>
      <vt:variant>
        <vt:i4>3271</vt:i4>
      </vt:variant>
      <vt:variant>
        <vt:i4>0</vt:i4>
      </vt:variant>
      <vt:variant>
        <vt:i4>5</vt:i4>
      </vt:variant>
      <vt:variant>
        <vt:lpwstr/>
      </vt:variant>
      <vt:variant>
        <vt:lpwstr>_ENREF_169</vt:lpwstr>
      </vt:variant>
      <vt:variant>
        <vt:i4>4653067</vt:i4>
      </vt:variant>
      <vt:variant>
        <vt:i4>3265</vt:i4>
      </vt:variant>
      <vt:variant>
        <vt:i4>0</vt:i4>
      </vt:variant>
      <vt:variant>
        <vt:i4>5</vt:i4>
      </vt:variant>
      <vt:variant>
        <vt:lpwstr/>
      </vt:variant>
      <vt:variant>
        <vt:lpwstr>_ENREF_66</vt:lpwstr>
      </vt:variant>
      <vt:variant>
        <vt:i4>7929917</vt:i4>
      </vt:variant>
      <vt:variant>
        <vt:i4>3256</vt:i4>
      </vt:variant>
      <vt:variant>
        <vt:i4>0</vt:i4>
      </vt:variant>
      <vt:variant>
        <vt:i4>5</vt:i4>
      </vt:variant>
      <vt:variant>
        <vt:lpwstr/>
      </vt:variant>
      <vt:variant>
        <vt:lpwstr>_ENREF_169</vt:lpwstr>
      </vt:variant>
      <vt:variant>
        <vt:i4>4653067</vt:i4>
      </vt:variant>
      <vt:variant>
        <vt:i4>3250</vt:i4>
      </vt:variant>
      <vt:variant>
        <vt:i4>0</vt:i4>
      </vt:variant>
      <vt:variant>
        <vt:i4>5</vt:i4>
      </vt:variant>
      <vt:variant>
        <vt:lpwstr/>
      </vt:variant>
      <vt:variant>
        <vt:lpwstr>_ENREF_66</vt:lpwstr>
      </vt:variant>
      <vt:variant>
        <vt:i4>7929917</vt:i4>
      </vt:variant>
      <vt:variant>
        <vt:i4>3241</vt:i4>
      </vt:variant>
      <vt:variant>
        <vt:i4>0</vt:i4>
      </vt:variant>
      <vt:variant>
        <vt:i4>5</vt:i4>
      </vt:variant>
      <vt:variant>
        <vt:lpwstr/>
      </vt:variant>
      <vt:variant>
        <vt:lpwstr>_ENREF_169</vt:lpwstr>
      </vt:variant>
      <vt:variant>
        <vt:i4>4653067</vt:i4>
      </vt:variant>
      <vt:variant>
        <vt:i4>3235</vt:i4>
      </vt:variant>
      <vt:variant>
        <vt:i4>0</vt:i4>
      </vt:variant>
      <vt:variant>
        <vt:i4>5</vt:i4>
      </vt:variant>
      <vt:variant>
        <vt:lpwstr/>
      </vt:variant>
      <vt:variant>
        <vt:lpwstr>_ENREF_66</vt:lpwstr>
      </vt:variant>
      <vt:variant>
        <vt:i4>4653067</vt:i4>
      </vt:variant>
      <vt:variant>
        <vt:i4>3229</vt:i4>
      </vt:variant>
      <vt:variant>
        <vt:i4>0</vt:i4>
      </vt:variant>
      <vt:variant>
        <vt:i4>5</vt:i4>
      </vt:variant>
      <vt:variant>
        <vt:lpwstr/>
      </vt:variant>
      <vt:variant>
        <vt:lpwstr>_ENREF_66</vt:lpwstr>
      </vt:variant>
      <vt:variant>
        <vt:i4>7864376</vt:i4>
      </vt:variant>
      <vt:variant>
        <vt:i4>3220</vt:i4>
      </vt:variant>
      <vt:variant>
        <vt:i4>0</vt:i4>
      </vt:variant>
      <vt:variant>
        <vt:i4>5</vt:i4>
      </vt:variant>
      <vt:variant>
        <vt:lpwstr/>
      </vt:variant>
      <vt:variant>
        <vt:lpwstr>_ENREF_138</vt:lpwstr>
      </vt:variant>
      <vt:variant>
        <vt:i4>7602232</vt:i4>
      </vt:variant>
      <vt:variant>
        <vt:i4>3211</vt:i4>
      </vt:variant>
      <vt:variant>
        <vt:i4>0</vt:i4>
      </vt:variant>
      <vt:variant>
        <vt:i4>5</vt:i4>
      </vt:variant>
      <vt:variant>
        <vt:lpwstr/>
      </vt:variant>
      <vt:variant>
        <vt:lpwstr>_ENREF_134</vt:lpwstr>
      </vt:variant>
      <vt:variant>
        <vt:i4>7602234</vt:i4>
      </vt:variant>
      <vt:variant>
        <vt:i4>3138</vt:i4>
      </vt:variant>
      <vt:variant>
        <vt:i4>0</vt:i4>
      </vt:variant>
      <vt:variant>
        <vt:i4>5</vt:i4>
      </vt:variant>
      <vt:variant>
        <vt:lpwstr/>
      </vt:variant>
      <vt:variant>
        <vt:lpwstr>_ENREF_114</vt:lpwstr>
      </vt:variant>
      <vt:variant>
        <vt:i4>7405631</vt:i4>
      </vt:variant>
      <vt:variant>
        <vt:i4>3135</vt:i4>
      </vt:variant>
      <vt:variant>
        <vt:i4>0</vt:i4>
      </vt:variant>
      <vt:variant>
        <vt:i4>5</vt:i4>
      </vt:variant>
      <vt:variant>
        <vt:lpwstr/>
      </vt:variant>
      <vt:variant>
        <vt:lpwstr>_ENREF_141</vt:lpwstr>
      </vt:variant>
      <vt:variant>
        <vt:i4>7536698</vt:i4>
      </vt:variant>
      <vt:variant>
        <vt:i4>3132</vt:i4>
      </vt:variant>
      <vt:variant>
        <vt:i4>0</vt:i4>
      </vt:variant>
      <vt:variant>
        <vt:i4>5</vt:i4>
      </vt:variant>
      <vt:variant>
        <vt:lpwstr/>
      </vt:variant>
      <vt:variant>
        <vt:lpwstr>_ENREF_113</vt:lpwstr>
      </vt:variant>
      <vt:variant>
        <vt:i4>7602236</vt:i4>
      </vt:variant>
      <vt:variant>
        <vt:i4>3122</vt:i4>
      </vt:variant>
      <vt:variant>
        <vt:i4>0</vt:i4>
      </vt:variant>
      <vt:variant>
        <vt:i4>5</vt:i4>
      </vt:variant>
      <vt:variant>
        <vt:lpwstr/>
      </vt:variant>
      <vt:variant>
        <vt:lpwstr>_ENREF_174</vt:lpwstr>
      </vt:variant>
      <vt:variant>
        <vt:i4>7405631</vt:i4>
      </vt:variant>
      <vt:variant>
        <vt:i4>3116</vt:i4>
      </vt:variant>
      <vt:variant>
        <vt:i4>0</vt:i4>
      </vt:variant>
      <vt:variant>
        <vt:i4>5</vt:i4>
      </vt:variant>
      <vt:variant>
        <vt:lpwstr/>
      </vt:variant>
      <vt:variant>
        <vt:lpwstr>_ENREF_141</vt:lpwstr>
      </vt:variant>
      <vt:variant>
        <vt:i4>4325387</vt:i4>
      </vt:variant>
      <vt:variant>
        <vt:i4>3110</vt:i4>
      </vt:variant>
      <vt:variant>
        <vt:i4>0</vt:i4>
      </vt:variant>
      <vt:variant>
        <vt:i4>5</vt:i4>
      </vt:variant>
      <vt:variant>
        <vt:lpwstr/>
      </vt:variant>
      <vt:variant>
        <vt:lpwstr>_ENREF_36</vt:lpwstr>
      </vt:variant>
      <vt:variant>
        <vt:i4>7733298</vt:i4>
      </vt:variant>
      <vt:variant>
        <vt:i4>3104</vt:i4>
      </vt:variant>
      <vt:variant>
        <vt:i4>0</vt:i4>
      </vt:variant>
      <vt:variant>
        <vt:i4>5</vt:i4>
      </vt:variant>
      <vt:variant>
        <vt:lpwstr/>
      </vt:variant>
      <vt:variant>
        <vt:lpwstr>_ENREF_196</vt:lpwstr>
      </vt:variant>
      <vt:variant>
        <vt:i4>7929912</vt:i4>
      </vt:variant>
      <vt:variant>
        <vt:i4>3080</vt:i4>
      </vt:variant>
      <vt:variant>
        <vt:i4>0</vt:i4>
      </vt:variant>
      <vt:variant>
        <vt:i4>5</vt:i4>
      </vt:variant>
      <vt:variant>
        <vt:lpwstr/>
      </vt:variant>
      <vt:variant>
        <vt:lpwstr>_ENREF_139</vt:lpwstr>
      </vt:variant>
      <vt:variant>
        <vt:i4>4784139</vt:i4>
      </vt:variant>
      <vt:variant>
        <vt:i4>3076</vt:i4>
      </vt:variant>
      <vt:variant>
        <vt:i4>0</vt:i4>
      </vt:variant>
      <vt:variant>
        <vt:i4>5</vt:i4>
      </vt:variant>
      <vt:variant>
        <vt:lpwstr/>
      </vt:variant>
      <vt:variant>
        <vt:lpwstr>_ENREF_80</vt:lpwstr>
      </vt:variant>
      <vt:variant>
        <vt:i4>4718603</vt:i4>
      </vt:variant>
      <vt:variant>
        <vt:i4>3073</vt:i4>
      </vt:variant>
      <vt:variant>
        <vt:i4>0</vt:i4>
      </vt:variant>
      <vt:variant>
        <vt:i4>5</vt:i4>
      </vt:variant>
      <vt:variant>
        <vt:lpwstr/>
      </vt:variant>
      <vt:variant>
        <vt:lpwstr>_ENREF_9</vt:lpwstr>
      </vt:variant>
      <vt:variant>
        <vt:i4>7405627</vt:i4>
      </vt:variant>
      <vt:variant>
        <vt:i4>3068</vt:i4>
      </vt:variant>
      <vt:variant>
        <vt:i4>0</vt:i4>
      </vt:variant>
      <vt:variant>
        <vt:i4>5</vt:i4>
      </vt:variant>
      <vt:variant>
        <vt:lpwstr/>
      </vt:variant>
      <vt:variant>
        <vt:lpwstr>_ENREF_101</vt:lpwstr>
      </vt:variant>
      <vt:variant>
        <vt:i4>4325387</vt:i4>
      </vt:variant>
      <vt:variant>
        <vt:i4>3062</vt:i4>
      </vt:variant>
      <vt:variant>
        <vt:i4>0</vt:i4>
      </vt:variant>
      <vt:variant>
        <vt:i4>5</vt:i4>
      </vt:variant>
      <vt:variant>
        <vt:lpwstr/>
      </vt:variant>
      <vt:variant>
        <vt:lpwstr>_ENREF_3</vt:lpwstr>
      </vt:variant>
      <vt:variant>
        <vt:i4>4521995</vt:i4>
      </vt:variant>
      <vt:variant>
        <vt:i4>3058</vt:i4>
      </vt:variant>
      <vt:variant>
        <vt:i4>0</vt:i4>
      </vt:variant>
      <vt:variant>
        <vt:i4>5</vt:i4>
      </vt:variant>
      <vt:variant>
        <vt:lpwstr/>
      </vt:variant>
      <vt:variant>
        <vt:lpwstr>_ENREF_43</vt:lpwstr>
      </vt:variant>
      <vt:variant>
        <vt:i4>4390923</vt:i4>
      </vt:variant>
      <vt:variant>
        <vt:i4>3055</vt:i4>
      </vt:variant>
      <vt:variant>
        <vt:i4>0</vt:i4>
      </vt:variant>
      <vt:variant>
        <vt:i4>5</vt:i4>
      </vt:variant>
      <vt:variant>
        <vt:lpwstr/>
      </vt:variant>
      <vt:variant>
        <vt:lpwstr>_ENREF_25</vt:lpwstr>
      </vt:variant>
      <vt:variant>
        <vt:i4>4718603</vt:i4>
      </vt:variant>
      <vt:variant>
        <vt:i4>3052</vt:i4>
      </vt:variant>
      <vt:variant>
        <vt:i4>0</vt:i4>
      </vt:variant>
      <vt:variant>
        <vt:i4>5</vt:i4>
      </vt:variant>
      <vt:variant>
        <vt:lpwstr/>
      </vt:variant>
      <vt:variant>
        <vt:lpwstr>_ENREF_93</vt:lpwstr>
      </vt:variant>
      <vt:variant>
        <vt:i4>4325387</vt:i4>
      </vt:variant>
      <vt:variant>
        <vt:i4>3049</vt:i4>
      </vt:variant>
      <vt:variant>
        <vt:i4>0</vt:i4>
      </vt:variant>
      <vt:variant>
        <vt:i4>5</vt:i4>
      </vt:variant>
      <vt:variant>
        <vt:lpwstr/>
      </vt:variant>
      <vt:variant>
        <vt:lpwstr>_ENREF_3</vt:lpwstr>
      </vt:variant>
      <vt:variant>
        <vt:i4>4521995</vt:i4>
      </vt:variant>
      <vt:variant>
        <vt:i4>3033</vt:i4>
      </vt:variant>
      <vt:variant>
        <vt:i4>0</vt:i4>
      </vt:variant>
      <vt:variant>
        <vt:i4>5</vt:i4>
      </vt:variant>
      <vt:variant>
        <vt:lpwstr/>
      </vt:variant>
      <vt:variant>
        <vt:lpwstr>_ENREF_42</vt:lpwstr>
      </vt:variant>
      <vt:variant>
        <vt:i4>4521995</vt:i4>
      </vt:variant>
      <vt:variant>
        <vt:i4>3027</vt:i4>
      </vt:variant>
      <vt:variant>
        <vt:i4>0</vt:i4>
      </vt:variant>
      <vt:variant>
        <vt:i4>5</vt:i4>
      </vt:variant>
      <vt:variant>
        <vt:lpwstr/>
      </vt:variant>
      <vt:variant>
        <vt:lpwstr>_ENREF_42</vt:lpwstr>
      </vt:variant>
      <vt:variant>
        <vt:i4>7536702</vt:i4>
      </vt:variant>
      <vt:variant>
        <vt:i4>3021</vt:i4>
      </vt:variant>
      <vt:variant>
        <vt:i4>0</vt:i4>
      </vt:variant>
      <vt:variant>
        <vt:i4>5</vt:i4>
      </vt:variant>
      <vt:variant>
        <vt:lpwstr/>
      </vt:variant>
      <vt:variant>
        <vt:lpwstr>_ENREF_153</vt:lpwstr>
      </vt:variant>
      <vt:variant>
        <vt:i4>7471154</vt:i4>
      </vt:variant>
      <vt:variant>
        <vt:i4>3015</vt:i4>
      </vt:variant>
      <vt:variant>
        <vt:i4>0</vt:i4>
      </vt:variant>
      <vt:variant>
        <vt:i4>5</vt:i4>
      </vt:variant>
      <vt:variant>
        <vt:lpwstr/>
      </vt:variant>
      <vt:variant>
        <vt:lpwstr>_ENREF_192</vt:lpwstr>
      </vt:variant>
      <vt:variant>
        <vt:i4>4521995</vt:i4>
      </vt:variant>
      <vt:variant>
        <vt:i4>3009</vt:i4>
      </vt:variant>
      <vt:variant>
        <vt:i4>0</vt:i4>
      </vt:variant>
      <vt:variant>
        <vt:i4>5</vt:i4>
      </vt:variant>
      <vt:variant>
        <vt:lpwstr/>
      </vt:variant>
      <vt:variant>
        <vt:lpwstr>_ENREF_42</vt:lpwstr>
      </vt:variant>
      <vt:variant>
        <vt:i4>4653067</vt:i4>
      </vt:variant>
      <vt:variant>
        <vt:i4>2973</vt:i4>
      </vt:variant>
      <vt:variant>
        <vt:i4>0</vt:i4>
      </vt:variant>
      <vt:variant>
        <vt:i4>5</vt:i4>
      </vt:variant>
      <vt:variant>
        <vt:lpwstr/>
      </vt:variant>
      <vt:variant>
        <vt:lpwstr>_ENREF_6</vt:lpwstr>
      </vt:variant>
      <vt:variant>
        <vt:i4>4653067</vt:i4>
      </vt:variant>
      <vt:variant>
        <vt:i4>2964</vt:i4>
      </vt:variant>
      <vt:variant>
        <vt:i4>0</vt:i4>
      </vt:variant>
      <vt:variant>
        <vt:i4>5</vt:i4>
      </vt:variant>
      <vt:variant>
        <vt:lpwstr/>
      </vt:variant>
      <vt:variant>
        <vt:lpwstr>_ENREF_62</vt:lpwstr>
      </vt:variant>
      <vt:variant>
        <vt:i4>4325387</vt:i4>
      </vt:variant>
      <vt:variant>
        <vt:i4>2958</vt:i4>
      </vt:variant>
      <vt:variant>
        <vt:i4>0</vt:i4>
      </vt:variant>
      <vt:variant>
        <vt:i4>5</vt:i4>
      </vt:variant>
      <vt:variant>
        <vt:lpwstr/>
      </vt:variant>
      <vt:variant>
        <vt:lpwstr>_ENREF_31</vt:lpwstr>
      </vt:variant>
      <vt:variant>
        <vt:i4>4390923</vt:i4>
      </vt:variant>
      <vt:variant>
        <vt:i4>2954</vt:i4>
      </vt:variant>
      <vt:variant>
        <vt:i4>0</vt:i4>
      </vt:variant>
      <vt:variant>
        <vt:i4>5</vt:i4>
      </vt:variant>
      <vt:variant>
        <vt:lpwstr/>
      </vt:variant>
      <vt:variant>
        <vt:lpwstr>_ENREF_23</vt:lpwstr>
      </vt:variant>
      <vt:variant>
        <vt:i4>4194315</vt:i4>
      </vt:variant>
      <vt:variant>
        <vt:i4>2951</vt:i4>
      </vt:variant>
      <vt:variant>
        <vt:i4>0</vt:i4>
      </vt:variant>
      <vt:variant>
        <vt:i4>5</vt:i4>
      </vt:variant>
      <vt:variant>
        <vt:lpwstr/>
      </vt:variant>
      <vt:variant>
        <vt:lpwstr>_ENREF_12</vt:lpwstr>
      </vt:variant>
      <vt:variant>
        <vt:i4>7864370</vt:i4>
      </vt:variant>
      <vt:variant>
        <vt:i4>2948</vt:i4>
      </vt:variant>
      <vt:variant>
        <vt:i4>0</vt:i4>
      </vt:variant>
      <vt:variant>
        <vt:i4>5</vt:i4>
      </vt:variant>
      <vt:variant>
        <vt:lpwstr/>
      </vt:variant>
      <vt:variant>
        <vt:lpwstr>_ENREF_198</vt:lpwstr>
      </vt:variant>
      <vt:variant>
        <vt:i4>7864377</vt:i4>
      </vt:variant>
      <vt:variant>
        <vt:i4>2945</vt:i4>
      </vt:variant>
      <vt:variant>
        <vt:i4>0</vt:i4>
      </vt:variant>
      <vt:variant>
        <vt:i4>5</vt:i4>
      </vt:variant>
      <vt:variant>
        <vt:lpwstr/>
      </vt:variant>
      <vt:variant>
        <vt:lpwstr>_ENREF_128</vt:lpwstr>
      </vt:variant>
      <vt:variant>
        <vt:i4>7864383</vt:i4>
      </vt:variant>
      <vt:variant>
        <vt:i4>2935</vt:i4>
      </vt:variant>
      <vt:variant>
        <vt:i4>0</vt:i4>
      </vt:variant>
      <vt:variant>
        <vt:i4>5</vt:i4>
      </vt:variant>
      <vt:variant>
        <vt:lpwstr/>
      </vt:variant>
      <vt:variant>
        <vt:lpwstr>_ENREF_148</vt:lpwstr>
      </vt:variant>
      <vt:variant>
        <vt:i4>7864383</vt:i4>
      </vt:variant>
      <vt:variant>
        <vt:i4>2929</vt:i4>
      </vt:variant>
      <vt:variant>
        <vt:i4>0</vt:i4>
      </vt:variant>
      <vt:variant>
        <vt:i4>5</vt:i4>
      </vt:variant>
      <vt:variant>
        <vt:lpwstr/>
      </vt:variant>
      <vt:variant>
        <vt:lpwstr>_ENREF_148</vt:lpwstr>
      </vt:variant>
      <vt:variant>
        <vt:i4>4390923</vt:i4>
      </vt:variant>
      <vt:variant>
        <vt:i4>2923</vt:i4>
      </vt:variant>
      <vt:variant>
        <vt:i4>0</vt:i4>
      </vt:variant>
      <vt:variant>
        <vt:i4>5</vt:i4>
      </vt:variant>
      <vt:variant>
        <vt:lpwstr/>
      </vt:variant>
      <vt:variant>
        <vt:lpwstr>_ENREF_28</vt:lpwstr>
      </vt:variant>
      <vt:variant>
        <vt:i4>7471160</vt:i4>
      </vt:variant>
      <vt:variant>
        <vt:i4>2917</vt:i4>
      </vt:variant>
      <vt:variant>
        <vt:i4>0</vt:i4>
      </vt:variant>
      <vt:variant>
        <vt:i4>5</vt:i4>
      </vt:variant>
      <vt:variant>
        <vt:lpwstr/>
      </vt:variant>
      <vt:variant>
        <vt:lpwstr>_ENREF_132</vt:lpwstr>
      </vt:variant>
      <vt:variant>
        <vt:i4>7471160</vt:i4>
      </vt:variant>
      <vt:variant>
        <vt:i4>2911</vt:i4>
      </vt:variant>
      <vt:variant>
        <vt:i4>0</vt:i4>
      </vt:variant>
      <vt:variant>
        <vt:i4>5</vt:i4>
      </vt:variant>
      <vt:variant>
        <vt:lpwstr/>
      </vt:variant>
      <vt:variant>
        <vt:lpwstr>_ENREF_132</vt:lpwstr>
      </vt:variant>
      <vt:variant>
        <vt:i4>4784139</vt:i4>
      </vt:variant>
      <vt:variant>
        <vt:i4>2905</vt:i4>
      </vt:variant>
      <vt:variant>
        <vt:i4>0</vt:i4>
      </vt:variant>
      <vt:variant>
        <vt:i4>5</vt:i4>
      </vt:variant>
      <vt:variant>
        <vt:lpwstr/>
      </vt:variant>
      <vt:variant>
        <vt:lpwstr>_ENREF_84</vt:lpwstr>
      </vt:variant>
      <vt:variant>
        <vt:i4>7929916</vt:i4>
      </vt:variant>
      <vt:variant>
        <vt:i4>2899</vt:i4>
      </vt:variant>
      <vt:variant>
        <vt:i4>0</vt:i4>
      </vt:variant>
      <vt:variant>
        <vt:i4>5</vt:i4>
      </vt:variant>
      <vt:variant>
        <vt:lpwstr/>
      </vt:variant>
      <vt:variant>
        <vt:lpwstr>_ENREF_179</vt:lpwstr>
      </vt:variant>
      <vt:variant>
        <vt:i4>4456459</vt:i4>
      </vt:variant>
      <vt:variant>
        <vt:i4>2893</vt:i4>
      </vt:variant>
      <vt:variant>
        <vt:i4>0</vt:i4>
      </vt:variant>
      <vt:variant>
        <vt:i4>5</vt:i4>
      </vt:variant>
      <vt:variant>
        <vt:lpwstr/>
      </vt:variant>
      <vt:variant>
        <vt:lpwstr>_ENREF_53</vt:lpwstr>
      </vt:variant>
      <vt:variant>
        <vt:i4>4456459</vt:i4>
      </vt:variant>
      <vt:variant>
        <vt:i4>2887</vt:i4>
      </vt:variant>
      <vt:variant>
        <vt:i4>0</vt:i4>
      </vt:variant>
      <vt:variant>
        <vt:i4>5</vt:i4>
      </vt:variant>
      <vt:variant>
        <vt:lpwstr/>
      </vt:variant>
      <vt:variant>
        <vt:lpwstr>_ENREF_59</vt:lpwstr>
      </vt:variant>
      <vt:variant>
        <vt:i4>4325387</vt:i4>
      </vt:variant>
      <vt:variant>
        <vt:i4>2881</vt:i4>
      </vt:variant>
      <vt:variant>
        <vt:i4>0</vt:i4>
      </vt:variant>
      <vt:variant>
        <vt:i4>5</vt:i4>
      </vt:variant>
      <vt:variant>
        <vt:lpwstr/>
      </vt:variant>
      <vt:variant>
        <vt:lpwstr>_ENREF_32</vt:lpwstr>
      </vt:variant>
      <vt:variant>
        <vt:i4>7536700</vt:i4>
      </vt:variant>
      <vt:variant>
        <vt:i4>2875</vt:i4>
      </vt:variant>
      <vt:variant>
        <vt:i4>0</vt:i4>
      </vt:variant>
      <vt:variant>
        <vt:i4>5</vt:i4>
      </vt:variant>
      <vt:variant>
        <vt:lpwstr/>
      </vt:variant>
      <vt:variant>
        <vt:lpwstr>_ENREF_173</vt:lpwstr>
      </vt:variant>
      <vt:variant>
        <vt:i4>7340093</vt:i4>
      </vt:variant>
      <vt:variant>
        <vt:i4>2869</vt:i4>
      </vt:variant>
      <vt:variant>
        <vt:i4>0</vt:i4>
      </vt:variant>
      <vt:variant>
        <vt:i4>5</vt:i4>
      </vt:variant>
      <vt:variant>
        <vt:lpwstr/>
      </vt:variant>
      <vt:variant>
        <vt:lpwstr>_ENREF_160</vt:lpwstr>
      </vt:variant>
      <vt:variant>
        <vt:i4>4456459</vt:i4>
      </vt:variant>
      <vt:variant>
        <vt:i4>2863</vt:i4>
      </vt:variant>
      <vt:variant>
        <vt:i4>0</vt:i4>
      </vt:variant>
      <vt:variant>
        <vt:i4>5</vt:i4>
      </vt:variant>
      <vt:variant>
        <vt:lpwstr/>
      </vt:variant>
      <vt:variant>
        <vt:lpwstr>_ENREF_51</vt:lpwstr>
      </vt:variant>
      <vt:variant>
        <vt:i4>7405619</vt:i4>
      </vt:variant>
      <vt:variant>
        <vt:i4>2857</vt:i4>
      </vt:variant>
      <vt:variant>
        <vt:i4>0</vt:i4>
      </vt:variant>
      <vt:variant>
        <vt:i4>5</vt:i4>
      </vt:variant>
      <vt:variant>
        <vt:lpwstr/>
      </vt:variant>
      <vt:variant>
        <vt:lpwstr>_ENREF_181</vt:lpwstr>
      </vt:variant>
      <vt:variant>
        <vt:i4>7667763</vt:i4>
      </vt:variant>
      <vt:variant>
        <vt:i4>2851</vt:i4>
      </vt:variant>
      <vt:variant>
        <vt:i4>0</vt:i4>
      </vt:variant>
      <vt:variant>
        <vt:i4>5</vt:i4>
      </vt:variant>
      <vt:variant>
        <vt:lpwstr/>
      </vt:variant>
      <vt:variant>
        <vt:lpwstr>_ENREF_185</vt:lpwstr>
      </vt:variant>
      <vt:variant>
        <vt:i4>4194315</vt:i4>
      </vt:variant>
      <vt:variant>
        <vt:i4>2845</vt:i4>
      </vt:variant>
      <vt:variant>
        <vt:i4>0</vt:i4>
      </vt:variant>
      <vt:variant>
        <vt:i4>5</vt:i4>
      </vt:variant>
      <vt:variant>
        <vt:lpwstr/>
      </vt:variant>
      <vt:variant>
        <vt:lpwstr>_ENREF_1</vt:lpwstr>
      </vt:variant>
      <vt:variant>
        <vt:i4>4390923</vt:i4>
      </vt:variant>
      <vt:variant>
        <vt:i4>2839</vt:i4>
      </vt:variant>
      <vt:variant>
        <vt:i4>0</vt:i4>
      </vt:variant>
      <vt:variant>
        <vt:i4>5</vt:i4>
      </vt:variant>
      <vt:variant>
        <vt:lpwstr/>
      </vt:variant>
      <vt:variant>
        <vt:lpwstr>_ENREF_29</vt:lpwstr>
      </vt:variant>
      <vt:variant>
        <vt:i4>7471164</vt:i4>
      </vt:variant>
      <vt:variant>
        <vt:i4>2833</vt:i4>
      </vt:variant>
      <vt:variant>
        <vt:i4>0</vt:i4>
      </vt:variant>
      <vt:variant>
        <vt:i4>5</vt:i4>
      </vt:variant>
      <vt:variant>
        <vt:lpwstr/>
      </vt:variant>
      <vt:variant>
        <vt:lpwstr>_ENREF_172</vt:lpwstr>
      </vt:variant>
      <vt:variant>
        <vt:i4>4784139</vt:i4>
      </vt:variant>
      <vt:variant>
        <vt:i4>2827</vt:i4>
      </vt:variant>
      <vt:variant>
        <vt:i4>0</vt:i4>
      </vt:variant>
      <vt:variant>
        <vt:i4>5</vt:i4>
      </vt:variant>
      <vt:variant>
        <vt:lpwstr/>
      </vt:variant>
      <vt:variant>
        <vt:lpwstr>_ENREF_85</vt:lpwstr>
      </vt:variant>
      <vt:variant>
        <vt:i4>4718603</vt:i4>
      </vt:variant>
      <vt:variant>
        <vt:i4>2821</vt:i4>
      </vt:variant>
      <vt:variant>
        <vt:i4>0</vt:i4>
      </vt:variant>
      <vt:variant>
        <vt:i4>5</vt:i4>
      </vt:variant>
      <vt:variant>
        <vt:lpwstr/>
      </vt:variant>
      <vt:variant>
        <vt:lpwstr>_ENREF_94</vt:lpwstr>
      </vt:variant>
      <vt:variant>
        <vt:i4>7929913</vt:i4>
      </vt:variant>
      <vt:variant>
        <vt:i4>2815</vt:i4>
      </vt:variant>
      <vt:variant>
        <vt:i4>0</vt:i4>
      </vt:variant>
      <vt:variant>
        <vt:i4>5</vt:i4>
      </vt:variant>
      <vt:variant>
        <vt:lpwstr/>
      </vt:variant>
      <vt:variant>
        <vt:lpwstr>_ENREF_129</vt:lpwstr>
      </vt:variant>
      <vt:variant>
        <vt:i4>7798846</vt:i4>
      </vt:variant>
      <vt:variant>
        <vt:i4>2809</vt:i4>
      </vt:variant>
      <vt:variant>
        <vt:i4>0</vt:i4>
      </vt:variant>
      <vt:variant>
        <vt:i4>5</vt:i4>
      </vt:variant>
      <vt:variant>
        <vt:lpwstr/>
      </vt:variant>
      <vt:variant>
        <vt:lpwstr>_ENREF_157</vt:lpwstr>
      </vt:variant>
      <vt:variant>
        <vt:i4>4194315</vt:i4>
      </vt:variant>
      <vt:variant>
        <vt:i4>2803</vt:i4>
      </vt:variant>
      <vt:variant>
        <vt:i4>0</vt:i4>
      </vt:variant>
      <vt:variant>
        <vt:i4>5</vt:i4>
      </vt:variant>
      <vt:variant>
        <vt:lpwstr/>
      </vt:variant>
      <vt:variant>
        <vt:lpwstr>_ENREF_16</vt:lpwstr>
      </vt:variant>
      <vt:variant>
        <vt:i4>7536698</vt:i4>
      </vt:variant>
      <vt:variant>
        <vt:i4>2797</vt:i4>
      </vt:variant>
      <vt:variant>
        <vt:i4>0</vt:i4>
      </vt:variant>
      <vt:variant>
        <vt:i4>5</vt:i4>
      </vt:variant>
      <vt:variant>
        <vt:lpwstr/>
      </vt:variant>
      <vt:variant>
        <vt:lpwstr>_ENREF_113</vt:lpwstr>
      </vt:variant>
      <vt:variant>
        <vt:i4>4587531</vt:i4>
      </vt:variant>
      <vt:variant>
        <vt:i4>2791</vt:i4>
      </vt:variant>
      <vt:variant>
        <vt:i4>0</vt:i4>
      </vt:variant>
      <vt:variant>
        <vt:i4>5</vt:i4>
      </vt:variant>
      <vt:variant>
        <vt:lpwstr/>
      </vt:variant>
      <vt:variant>
        <vt:lpwstr>_ENREF_7</vt:lpwstr>
      </vt:variant>
      <vt:variant>
        <vt:i4>7733310</vt:i4>
      </vt:variant>
      <vt:variant>
        <vt:i4>2785</vt:i4>
      </vt:variant>
      <vt:variant>
        <vt:i4>0</vt:i4>
      </vt:variant>
      <vt:variant>
        <vt:i4>5</vt:i4>
      </vt:variant>
      <vt:variant>
        <vt:lpwstr/>
      </vt:variant>
      <vt:variant>
        <vt:lpwstr>_ENREF_156</vt:lpwstr>
      </vt:variant>
      <vt:variant>
        <vt:i4>7405630</vt:i4>
      </vt:variant>
      <vt:variant>
        <vt:i4>2779</vt:i4>
      </vt:variant>
      <vt:variant>
        <vt:i4>0</vt:i4>
      </vt:variant>
      <vt:variant>
        <vt:i4>5</vt:i4>
      </vt:variant>
      <vt:variant>
        <vt:lpwstr/>
      </vt:variant>
      <vt:variant>
        <vt:lpwstr>_ENREF_151</vt:lpwstr>
      </vt:variant>
      <vt:variant>
        <vt:i4>7602235</vt:i4>
      </vt:variant>
      <vt:variant>
        <vt:i4>2773</vt:i4>
      </vt:variant>
      <vt:variant>
        <vt:i4>0</vt:i4>
      </vt:variant>
      <vt:variant>
        <vt:i4>5</vt:i4>
      </vt:variant>
      <vt:variant>
        <vt:lpwstr/>
      </vt:variant>
      <vt:variant>
        <vt:lpwstr>_ENREF_104</vt:lpwstr>
      </vt:variant>
      <vt:variant>
        <vt:i4>4587531</vt:i4>
      </vt:variant>
      <vt:variant>
        <vt:i4>2767</vt:i4>
      </vt:variant>
      <vt:variant>
        <vt:i4>0</vt:i4>
      </vt:variant>
      <vt:variant>
        <vt:i4>5</vt:i4>
      </vt:variant>
      <vt:variant>
        <vt:lpwstr/>
      </vt:variant>
      <vt:variant>
        <vt:lpwstr>_ENREF_70</vt:lpwstr>
      </vt:variant>
      <vt:variant>
        <vt:i4>4784139</vt:i4>
      </vt:variant>
      <vt:variant>
        <vt:i4>2761</vt:i4>
      </vt:variant>
      <vt:variant>
        <vt:i4>0</vt:i4>
      </vt:variant>
      <vt:variant>
        <vt:i4>5</vt:i4>
      </vt:variant>
      <vt:variant>
        <vt:lpwstr/>
      </vt:variant>
      <vt:variant>
        <vt:lpwstr>_ENREF_8</vt:lpwstr>
      </vt:variant>
      <vt:variant>
        <vt:i4>7340082</vt:i4>
      </vt:variant>
      <vt:variant>
        <vt:i4>2755</vt:i4>
      </vt:variant>
      <vt:variant>
        <vt:i4>0</vt:i4>
      </vt:variant>
      <vt:variant>
        <vt:i4>5</vt:i4>
      </vt:variant>
      <vt:variant>
        <vt:lpwstr/>
      </vt:variant>
      <vt:variant>
        <vt:lpwstr>_ENREF_190</vt:lpwstr>
      </vt:variant>
      <vt:variant>
        <vt:i4>7667771</vt:i4>
      </vt:variant>
      <vt:variant>
        <vt:i4>2749</vt:i4>
      </vt:variant>
      <vt:variant>
        <vt:i4>0</vt:i4>
      </vt:variant>
      <vt:variant>
        <vt:i4>5</vt:i4>
      </vt:variant>
      <vt:variant>
        <vt:lpwstr/>
      </vt:variant>
      <vt:variant>
        <vt:lpwstr>_ENREF_105</vt:lpwstr>
      </vt:variant>
      <vt:variant>
        <vt:i4>7733311</vt:i4>
      </vt:variant>
      <vt:variant>
        <vt:i4>2743</vt:i4>
      </vt:variant>
      <vt:variant>
        <vt:i4>0</vt:i4>
      </vt:variant>
      <vt:variant>
        <vt:i4>5</vt:i4>
      </vt:variant>
      <vt:variant>
        <vt:lpwstr/>
      </vt:variant>
      <vt:variant>
        <vt:lpwstr>_ENREF_146</vt:lpwstr>
      </vt:variant>
      <vt:variant>
        <vt:i4>4456459</vt:i4>
      </vt:variant>
      <vt:variant>
        <vt:i4>2737</vt:i4>
      </vt:variant>
      <vt:variant>
        <vt:i4>0</vt:i4>
      </vt:variant>
      <vt:variant>
        <vt:i4>5</vt:i4>
      </vt:variant>
      <vt:variant>
        <vt:lpwstr/>
      </vt:variant>
      <vt:variant>
        <vt:lpwstr>_ENREF_55</vt:lpwstr>
      </vt:variant>
      <vt:variant>
        <vt:i4>4325387</vt:i4>
      </vt:variant>
      <vt:variant>
        <vt:i4>2731</vt:i4>
      </vt:variant>
      <vt:variant>
        <vt:i4>0</vt:i4>
      </vt:variant>
      <vt:variant>
        <vt:i4>5</vt:i4>
      </vt:variant>
      <vt:variant>
        <vt:lpwstr/>
      </vt:variant>
      <vt:variant>
        <vt:lpwstr>_ENREF_37</vt:lpwstr>
      </vt:variant>
      <vt:variant>
        <vt:i4>7340083</vt:i4>
      </vt:variant>
      <vt:variant>
        <vt:i4>2725</vt:i4>
      </vt:variant>
      <vt:variant>
        <vt:i4>0</vt:i4>
      </vt:variant>
      <vt:variant>
        <vt:i4>5</vt:i4>
      </vt:variant>
      <vt:variant>
        <vt:lpwstr/>
      </vt:variant>
      <vt:variant>
        <vt:lpwstr>_ENREF_180</vt:lpwstr>
      </vt:variant>
      <vt:variant>
        <vt:i4>7929918</vt:i4>
      </vt:variant>
      <vt:variant>
        <vt:i4>2719</vt:i4>
      </vt:variant>
      <vt:variant>
        <vt:i4>0</vt:i4>
      </vt:variant>
      <vt:variant>
        <vt:i4>5</vt:i4>
      </vt:variant>
      <vt:variant>
        <vt:lpwstr/>
      </vt:variant>
      <vt:variant>
        <vt:lpwstr>_ENREF_159</vt:lpwstr>
      </vt:variant>
      <vt:variant>
        <vt:i4>4194315</vt:i4>
      </vt:variant>
      <vt:variant>
        <vt:i4>2713</vt:i4>
      </vt:variant>
      <vt:variant>
        <vt:i4>0</vt:i4>
      </vt:variant>
      <vt:variant>
        <vt:i4>5</vt:i4>
      </vt:variant>
      <vt:variant>
        <vt:lpwstr/>
      </vt:variant>
      <vt:variant>
        <vt:lpwstr>_ENREF_10</vt:lpwstr>
      </vt:variant>
      <vt:variant>
        <vt:i4>7733307</vt:i4>
      </vt:variant>
      <vt:variant>
        <vt:i4>2707</vt:i4>
      </vt:variant>
      <vt:variant>
        <vt:i4>0</vt:i4>
      </vt:variant>
      <vt:variant>
        <vt:i4>5</vt:i4>
      </vt:variant>
      <vt:variant>
        <vt:lpwstr/>
      </vt:variant>
      <vt:variant>
        <vt:lpwstr>_ENREF_106</vt:lpwstr>
      </vt:variant>
      <vt:variant>
        <vt:i4>7536699</vt:i4>
      </vt:variant>
      <vt:variant>
        <vt:i4>2701</vt:i4>
      </vt:variant>
      <vt:variant>
        <vt:i4>0</vt:i4>
      </vt:variant>
      <vt:variant>
        <vt:i4>5</vt:i4>
      </vt:variant>
      <vt:variant>
        <vt:lpwstr/>
      </vt:variant>
      <vt:variant>
        <vt:lpwstr>_ENREF_200</vt:lpwstr>
      </vt:variant>
      <vt:variant>
        <vt:i4>7798843</vt:i4>
      </vt:variant>
      <vt:variant>
        <vt:i4>2695</vt:i4>
      </vt:variant>
      <vt:variant>
        <vt:i4>0</vt:i4>
      </vt:variant>
      <vt:variant>
        <vt:i4>5</vt:i4>
      </vt:variant>
      <vt:variant>
        <vt:lpwstr/>
      </vt:variant>
      <vt:variant>
        <vt:lpwstr>_ENREF_107</vt:lpwstr>
      </vt:variant>
      <vt:variant>
        <vt:i4>7864382</vt:i4>
      </vt:variant>
      <vt:variant>
        <vt:i4>2689</vt:i4>
      </vt:variant>
      <vt:variant>
        <vt:i4>0</vt:i4>
      </vt:variant>
      <vt:variant>
        <vt:i4>5</vt:i4>
      </vt:variant>
      <vt:variant>
        <vt:lpwstr/>
      </vt:variant>
      <vt:variant>
        <vt:lpwstr>_ENREF_158</vt:lpwstr>
      </vt:variant>
      <vt:variant>
        <vt:i4>4194315</vt:i4>
      </vt:variant>
      <vt:variant>
        <vt:i4>2683</vt:i4>
      </vt:variant>
      <vt:variant>
        <vt:i4>0</vt:i4>
      </vt:variant>
      <vt:variant>
        <vt:i4>5</vt:i4>
      </vt:variant>
      <vt:variant>
        <vt:lpwstr/>
      </vt:variant>
      <vt:variant>
        <vt:lpwstr>_ENREF_14</vt:lpwstr>
      </vt:variant>
      <vt:variant>
        <vt:i4>4456459</vt:i4>
      </vt:variant>
      <vt:variant>
        <vt:i4>2677</vt:i4>
      </vt:variant>
      <vt:variant>
        <vt:i4>0</vt:i4>
      </vt:variant>
      <vt:variant>
        <vt:i4>5</vt:i4>
      </vt:variant>
      <vt:variant>
        <vt:lpwstr/>
      </vt:variant>
      <vt:variant>
        <vt:lpwstr>_ENREF_57</vt:lpwstr>
      </vt:variant>
      <vt:variant>
        <vt:i4>7733308</vt:i4>
      </vt:variant>
      <vt:variant>
        <vt:i4>2671</vt:i4>
      </vt:variant>
      <vt:variant>
        <vt:i4>0</vt:i4>
      </vt:variant>
      <vt:variant>
        <vt:i4>5</vt:i4>
      </vt:variant>
      <vt:variant>
        <vt:lpwstr/>
      </vt:variant>
      <vt:variant>
        <vt:lpwstr>_ENREF_176</vt:lpwstr>
      </vt:variant>
      <vt:variant>
        <vt:i4>7536691</vt:i4>
      </vt:variant>
      <vt:variant>
        <vt:i4>2665</vt:i4>
      </vt:variant>
      <vt:variant>
        <vt:i4>0</vt:i4>
      </vt:variant>
      <vt:variant>
        <vt:i4>5</vt:i4>
      </vt:variant>
      <vt:variant>
        <vt:lpwstr/>
      </vt:variant>
      <vt:variant>
        <vt:lpwstr>_ENREF_183</vt:lpwstr>
      </vt:variant>
      <vt:variant>
        <vt:i4>7667772</vt:i4>
      </vt:variant>
      <vt:variant>
        <vt:i4>2659</vt:i4>
      </vt:variant>
      <vt:variant>
        <vt:i4>0</vt:i4>
      </vt:variant>
      <vt:variant>
        <vt:i4>5</vt:i4>
      </vt:variant>
      <vt:variant>
        <vt:lpwstr/>
      </vt:variant>
      <vt:variant>
        <vt:lpwstr>_ENREF_175</vt:lpwstr>
      </vt:variant>
      <vt:variant>
        <vt:i4>4784139</vt:i4>
      </vt:variant>
      <vt:variant>
        <vt:i4>2653</vt:i4>
      </vt:variant>
      <vt:variant>
        <vt:i4>0</vt:i4>
      </vt:variant>
      <vt:variant>
        <vt:i4>5</vt:i4>
      </vt:variant>
      <vt:variant>
        <vt:lpwstr/>
      </vt:variant>
      <vt:variant>
        <vt:lpwstr>_ENREF_82</vt:lpwstr>
      </vt:variant>
      <vt:variant>
        <vt:i4>7536699</vt:i4>
      </vt:variant>
      <vt:variant>
        <vt:i4>2647</vt:i4>
      </vt:variant>
      <vt:variant>
        <vt:i4>0</vt:i4>
      </vt:variant>
      <vt:variant>
        <vt:i4>5</vt:i4>
      </vt:variant>
      <vt:variant>
        <vt:lpwstr/>
      </vt:variant>
      <vt:variant>
        <vt:lpwstr>_ENREF_103</vt:lpwstr>
      </vt:variant>
      <vt:variant>
        <vt:i4>4784139</vt:i4>
      </vt:variant>
      <vt:variant>
        <vt:i4>2641</vt:i4>
      </vt:variant>
      <vt:variant>
        <vt:i4>0</vt:i4>
      </vt:variant>
      <vt:variant>
        <vt:i4>5</vt:i4>
      </vt:variant>
      <vt:variant>
        <vt:lpwstr/>
      </vt:variant>
      <vt:variant>
        <vt:lpwstr>_ENREF_87</vt:lpwstr>
      </vt:variant>
      <vt:variant>
        <vt:i4>7340089</vt:i4>
      </vt:variant>
      <vt:variant>
        <vt:i4>2635</vt:i4>
      </vt:variant>
      <vt:variant>
        <vt:i4>0</vt:i4>
      </vt:variant>
      <vt:variant>
        <vt:i4>5</vt:i4>
      </vt:variant>
      <vt:variant>
        <vt:lpwstr/>
      </vt:variant>
      <vt:variant>
        <vt:lpwstr>_ENREF_120</vt:lpwstr>
      </vt:variant>
      <vt:variant>
        <vt:i4>4194315</vt:i4>
      </vt:variant>
      <vt:variant>
        <vt:i4>2629</vt:i4>
      </vt:variant>
      <vt:variant>
        <vt:i4>0</vt:i4>
      </vt:variant>
      <vt:variant>
        <vt:i4>5</vt:i4>
      </vt:variant>
      <vt:variant>
        <vt:lpwstr/>
      </vt:variant>
      <vt:variant>
        <vt:lpwstr>_ENREF_11</vt:lpwstr>
      </vt:variant>
      <vt:variant>
        <vt:i4>7667773</vt:i4>
      </vt:variant>
      <vt:variant>
        <vt:i4>2623</vt:i4>
      </vt:variant>
      <vt:variant>
        <vt:i4>0</vt:i4>
      </vt:variant>
      <vt:variant>
        <vt:i4>5</vt:i4>
      </vt:variant>
      <vt:variant>
        <vt:lpwstr/>
      </vt:variant>
      <vt:variant>
        <vt:lpwstr>_ENREF_165</vt:lpwstr>
      </vt:variant>
      <vt:variant>
        <vt:i4>4587531</vt:i4>
      </vt:variant>
      <vt:variant>
        <vt:i4>2617</vt:i4>
      </vt:variant>
      <vt:variant>
        <vt:i4>0</vt:i4>
      </vt:variant>
      <vt:variant>
        <vt:i4>5</vt:i4>
      </vt:variant>
      <vt:variant>
        <vt:lpwstr/>
      </vt:variant>
      <vt:variant>
        <vt:lpwstr>_ENREF_72</vt:lpwstr>
      </vt:variant>
      <vt:variant>
        <vt:i4>7667769</vt:i4>
      </vt:variant>
      <vt:variant>
        <vt:i4>2611</vt:i4>
      </vt:variant>
      <vt:variant>
        <vt:i4>0</vt:i4>
      </vt:variant>
      <vt:variant>
        <vt:i4>5</vt:i4>
      </vt:variant>
      <vt:variant>
        <vt:lpwstr/>
      </vt:variant>
      <vt:variant>
        <vt:lpwstr>_ENREF_125</vt:lpwstr>
      </vt:variant>
      <vt:variant>
        <vt:i4>4325387</vt:i4>
      </vt:variant>
      <vt:variant>
        <vt:i4>2605</vt:i4>
      </vt:variant>
      <vt:variant>
        <vt:i4>0</vt:i4>
      </vt:variant>
      <vt:variant>
        <vt:i4>5</vt:i4>
      </vt:variant>
      <vt:variant>
        <vt:lpwstr/>
      </vt:variant>
      <vt:variant>
        <vt:lpwstr>_ENREF_34</vt:lpwstr>
      </vt:variant>
      <vt:variant>
        <vt:i4>4194315</vt:i4>
      </vt:variant>
      <vt:variant>
        <vt:i4>2599</vt:i4>
      </vt:variant>
      <vt:variant>
        <vt:i4>0</vt:i4>
      </vt:variant>
      <vt:variant>
        <vt:i4>5</vt:i4>
      </vt:variant>
      <vt:variant>
        <vt:lpwstr/>
      </vt:variant>
      <vt:variant>
        <vt:lpwstr>_ENREF_15</vt:lpwstr>
      </vt:variant>
      <vt:variant>
        <vt:i4>7733299</vt:i4>
      </vt:variant>
      <vt:variant>
        <vt:i4>2593</vt:i4>
      </vt:variant>
      <vt:variant>
        <vt:i4>0</vt:i4>
      </vt:variant>
      <vt:variant>
        <vt:i4>5</vt:i4>
      </vt:variant>
      <vt:variant>
        <vt:lpwstr/>
      </vt:variant>
      <vt:variant>
        <vt:lpwstr>_ENREF_186</vt:lpwstr>
      </vt:variant>
      <vt:variant>
        <vt:i4>7929919</vt:i4>
      </vt:variant>
      <vt:variant>
        <vt:i4>2587</vt:i4>
      </vt:variant>
      <vt:variant>
        <vt:i4>0</vt:i4>
      </vt:variant>
      <vt:variant>
        <vt:i4>5</vt:i4>
      </vt:variant>
      <vt:variant>
        <vt:lpwstr/>
      </vt:variant>
      <vt:variant>
        <vt:lpwstr>_ENREF_149</vt:lpwstr>
      </vt:variant>
      <vt:variant>
        <vt:i4>4718603</vt:i4>
      </vt:variant>
      <vt:variant>
        <vt:i4>2581</vt:i4>
      </vt:variant>
      <vt:variant>
        <vt:i4>0</vt:i4>
      </vt:variant>
      <vt:variant>
        <vt:i4>5</vt:i4>
      </vt:variant>
      <vt:variant>
        <vt:lpwstr/>
      </vt:variant>
      <vt:variant>
        <vt:lpwstr>_ENREF_95</vt:lpwstr>
      </vt:variant>
      <vt:variant>
        <vt:i4>7798847</vt:i4>
      </vt:variant>
      <vt:variant>
        <vt:i4>2575</vt:i4>
      </vt:variant>
      <vt:variant>
        <vt:i4>0</vt:i4>
      </vt:variant>
      <vt:variant>
        <vt:i4>5</vt:i4>
      </vt:variant>
      <vt:variant>
        <vt:lpwstr/>
      </vt:variant>
      <vt:variant>
        <vt:lpwstr>_ENREF_147</vt:lpwstr>
      </vt:variant>
      <vt:variant>
        <vt:i4>4587531</vt:i4>
      </vt:variant>
      <vt:variant>
        <vt:i4>2569</vt:i4>
      </vt:variant>
      <vt:variant>
        <vt:i4>0</vt:i4>
      </vt:variant>
      <vt:variant>
        <vt:i4>5</vt:i4>
      </vt:variant>
      <vt:variant>
        <vt:lpwstr/>
      </vt:variant>
      <vt:variant>
        <vt:lpwstr>_ENREF_71</vt:lpwstr>
      </vt:variant>
      <vt:variant>
        <vt:i4>7798845</vt:i4>
      </vt:variant>
      <vt:variant>
        <vt:i4>2563</vt:i4>
      </vt:variant>
      <vt:variant>
        <vt:i4>0</vt:i4>
      </vt:variant>
      <vt:variant>
        <vt:i4>5</vt:i4>
      </vt:variant>
      <vt:variant>
        <vt:lpwstr/>
      </vt:variant>
      <vt:variant>
        <vt:lpwstr>_ENREF_167</vt:lpwstr>
      </vt:variant>
      <vt:variant>
        <vt:i4>4194315</vt:i4>
      </vt:variant>
      <vt:variant>
        <vt:i4>2557</vt:i4>
      </vt:variant>
      <vt:variant>
        <vt:i4>0</vt:i4>
      </vt:variant>
      <vt:variant>
        <vt:i4>5</vt:i4>
      </vt:variant>
      <vt:variant>
        <vt:lpwstr/>
      </vt:variant>
      <vt:variant>
        <vt:lpwstr>_ENREF_17</vt:lpwstr>
      </vt:variant>
      <vt:variant>
        <vt:i4>7471167</vt:i4>
      </vt:variant>
      <vt:variant>
        <vt:i4>2551</vt:i4>
      </vt:variant>
      <vt:variant>
        <vt:i4>0</vt:i4>
      </vt:variant>
      <vt:variant>
        <vt:i4>5</vt:i4>
      </vt:variant>
      <vt:variant>
        <vt:lpwstr/>
      </vt:variant>
      <vt:variant>
        <vt:lpwstr>_ENREF_142</vt:lpwstr>
      </vt:variant>
      <vt:variant>
        <vt:i4>4718603</vt:i4>
      </vt:variant>
      <vt:variant>
        <vt:i4>2545</vt:i4>
      </vt:variant>
      <vt:variant>
        <vt:i4>0</vt:i4>
      </vt:variant>
      <vt:variant>
        <vt:i4>5</vt:i4>
      </vt:variant>
      <vt:variant>
        <vt:lpwstr/>
      </vt:variant>
      <vt:variant>
        <vt:lpwstr>_ENREF_98</vt:lpwstr>
      </vt:variant>
      <vt:variant>
        <vt:i4>4718603</vt:i4>
      </vt:variant>
      <vt:variant>
        <vt:i4>2539</vt:i4>
      </vt:variant>
      <vt:variant>
        <vt:i4>0</vt:i4>
      </vt:variant>
      <vt:variant>
        <vt:i4>5</vt:i4>
      </vt:variant>
      <vt:variant>
        <vt:lpwstr/>
      </vt:variant>
      <vt:variant>
        <vt:lpwstr>_ENREF_97</vt:lpwstr>
      </vt:variant>
      <vt:variant>
        <vt:i4>7929907</vt:i4>
      </vt:variant>
      <vt:variant>
        <vt:i4>2533</vt:i4>
      </vt:variant>
      <vt:variant>
        <vt:i4>0</vt:i4>
      </vt:variant>
      <vt:variant>
        <vt:i4>5</vt:i4>
      </vt:variant>
      <vt:variant>
        <vt:lpwstr/>
      </vt:variant>
      <vt:variant>
        <vt:lpwstr>_ENREF_189</vt:lpwstr>
      </vt:variant>
      <vt:variant>
        <vt:i4>7798840</vt:i4>
      </vt:variant>
      <vt:variant>
        <vt:i4>2521</vt:i4>
      </vt:variant>
      <vt:variant>
        <vt:i4>0</vt:i4>
      </vt:variant>
      <vt:variant>
        <vt:i4>5</vt:i4>
      </vt:variant>
      <vt:variant>
        <vt:lpwstr/>
      </vt:variant>
      <vt:variant>
        <vt:lpwstr>_ENREF_137</vt:lpwstr>
      </vt:variant>
      <vt:variant>
        <vt:i4>7536697</vt:i4>
      </vt:variant>
      <vt:variant>
        <vt:i4>2509</vt:i4>
      </vt:variant>
      <vt:variant>
        <vt:i4>0</vt:i4>
      </vt:variant>
      <vt:variant>
        <vt:i4>5</vt:i4>
      </vt:variant>
      <vt:variant>
        <vt:lpwstr/>
      </vt:variant>
      <vt:variant>
        <vt:lpwstr>_ENREF_123</vt:lpwstr>
      </vt:variant>
      <vt:variant>
        <vt:i4>7667770</vt:i4>
      </vt:variant>
      <vt:variant>
        <vt:i4>2503</vt:i4>
      </vt:variant>
      <vt:variant>
        <vt:i4>0</vt:i4>
      </vt:variant>
      <vt:variant>
        <vt:i4>5</vt:i4>
      </vt:variant>
      <vt:variant>
        <vt:lpwstr/>
      </vt:variant>
      <vt:variant>
        <vt:lpwstr>_ENREF_115</vt:lpwstr>
      </vt:variant>
      <vt:variant>
        <vt:i4>4456459</vt:i4>
      </vt:variant>
      <vt:variant>
        <vt:i4>2494</vt:i4>
      </vt:variant>
      <vt:variant>
        <vt:i4>0</vt:i4>
      </vt:variant>
      <vt:variant>
        <vt:i4>5</vt:i4>
      </vt:variant>
      <vt:variant>
        <vt:lpwstr/>
      </vt:variant>
      <vt:variant>
        <vt:lpwstr>_ENREF_58</vt:lpwstr>
      </vt:variant>
      <vt:variant>
        <vt:i4>4325387</vt:i4>
      </vt:variant>
      <vt:variant>
        <vt:i4>2488</vt:i4>
      </vt:variant>
      <vt:variant>
        <vt:i4>0</vt:i4>
      </vt:variant>
      <vt:variant>
        <vt:i4>5</vt:i4>
      </vt:variant>
      <vt:variant>
        <vt:lpwstr/>
      </vt:variant>
      <vt:variant>
        <vt:lpwstr>_ENREF_33</vt:lpwstr>
      </vt:variant>
      <vt:variant>
        <vt:i4>4521995</vt:i4>
      </vt:variant>
      <vt:variant>
        <vt:i4>2482</vt:i4>
      </vt:variant>
      <vt:variant>
        <vt:i4>0</vt:i4>
      </vt:variant>
      <vt:variant>
        <vt:i4>5</vt:i4>
      </vt:variant>
      <vt:variant>
        <vt:lpwstr/>
      </vt:variant>
      <vt:variant>
        <vt:lpwstr>_ENREF_45</vt:lpwstr>
      </vt:variant>
      <vt:variant>
        <vt:i4>4521995</vt:i4>
      </vt:variant>
      <vt:variant>
        <vt:i4>2476</vt:i4>
      </vt:variant>
      <vt:variant>
        <vt:i4>0</vt:i4>
      </vt:variant>
      <vt:variant>
        <vt:i4>5</vt:i4>
      </vt:variant>
      <vt:variant>
        <vt:lpwstr/>
      </vt:variant>
      <vt:variant>
        <vt:lpwstr>_ENREF_44</vt:lpwstr>
      </vt:variant>
      <vt:variant>
        <vt:i4>4456459</vt:i4>
      </vt:variant>
      <vt:variant>
        <vt:i4>2470</vt:i4>
      </vt:variant>
      <vt:variant>
        <vt:i4>0</vt:i4>
      </vt:variant>
      <vt:variant>
        <vt:i4>5</vt:i4>
      </vt:variant>
      <vt:variant>
        <vt:lpwstr/>
      </vt:variant>
      <vt:variant>
        <vt:lpwstr>_ENREF_5</vt:lpwstr>
      </vt:variant>
      <vt:variant>
        <vt:i4>7405624</vt:i4>
      </vt:variant>
      <vt:variant>
        <vt:i4>2458</vt:i4>
      </vt:variant>
      <vt:variant>
        <vt:i4>0</vt:i4>
      </vt:variant>
      <vt:variant>
        <vt:i4>5</vt:i4>
      </vt:variant>
      <vt:variant>
        <vt:lpwstr/>
      </vt:variant>
      <vt:variant>
        <vt:lpwstr>_ENREF_131</vt:lpwstr>
      </vt:variant>
      <vt:variant>
        <vt:i4>4390923</vt:i4>
      </vt:variant>
      <vt:variant>
        <vt:i4>2454</vt:i4>
      </vt:variant>
      <vt:variant>
        <vt:i4>0</vt:i4>
      </vt:variant>
      <vt:variant>
        <vt:i4>5</vt:i4>
      </vt:variant>
      <vt:variant>
        <vt:lpwstr/>
      </vt:variant>
      <vt:variant>
        <vt:lpwstr>_ENREF_26</vt:lpwstr>
      </vt:variant>
      <vt:variant>
        <vt:i4>7602238</vt:i4>
      </vt:variant>
      <vt:variant>
        <vt:i4>2451</vt:i4>
      </vt:variant>
      <vt:variant>
        <vt:i4>0</vt:i4>
      </vt:variant>
      <vt:variant>
        <vt:i4>5</vt:i4>
      </vt:variant>
      <vt:variant>
        <vt:lpwstr/>
      </vt:variant>
      <vt:variant>
        <vt:lpwstr>_ENREF_154</vt:lpwstr>
      </vt:variant>
      <vt:variant>
        <vt:i4>4194315</vt:i4>
      </vt:variant>
      <vt:variant>
        <vt:i4>2445</vt:i4>
      </vt:variant>
      <vt:variant>
        <vt:i4>0</vt:i4>
      </vt:variant>
      <vt:variant>
        <vt:i4>5</vt:i4>
      </vt:variant>
      <vt:variant>
        <vt:lpwstr/>
      </vt:variant>
      <vt:variant>
        <vt:lpwstr>_ENREF_13</vt:lpwstr>
      </vt:variant>
      <vt:variant>
        <vt:i4>7340094</vt:i4>
      </vt:variant>
      <vt:variant>
        <vt:i4>2442</vt:i4>
      </vt:variant>
      <vt:variant>
        <vt:i4>0</vt:i4>
      </vt:variant>
      <vt:variant>
        <vt:i4>5</vt:i4>
      </vt:variant>
      <vt:variant>
        <vt:lpwstr/>
      </vt:variant>
      <vt:variant>
        <vt:lpwstr>_ENREF_150</vt:lpwstr>
      </vt:variant>
      <vt:variant>
        <vt:i4>7864380</vt:i4>
      </vt:variant>
      <vt:variant>
        <vt:i4>2439</vt:i4>
      </vt:variant>
      <vt:variant>
        <vt:i4>0</vt:i4>
      </vt:variant>
      <vt:variant>
        <vt:i4>5</vt:i4>
      </vt:variant>
      <vt:variant>
        <vt:lpwstr/>
      </vt:variant>
      <vt:variant>
        <vt:lpwstr>_ENREF_178</vt:lpwstr>
      </vt:variant>
      <vt:variant>
        <vt:i4>4194315</vt:i4>
      </vt:variant>
      <vt:variant>
        <vt:i4>2436</vt:i4>
      </vt:variant>
      <vt:variant>
        <vt:i4>0</vt:i4>
      </vt:variant>
      <vt:variant>
        <vt:i4>5</vt:i4>
      </vt:variant>
      <vt:variant>
        <vt:lpwstr/>
      </vt:variant>
      <vt:variant>
        <vt:lpwstr>_ENREF_19</vt:lpwstr>
      </vt:variant>
      <vt:variant>
        <vt:i4>7667763</vt:i4>
      </vt:variant>
      <vt:variant>
        <vt:i4>2428</vt:i4>
      </vt:variant>
      <vt:variant>
        <vt:i4>0</vt:i4>
      </vt:variant>
      <vt:variant>
        <vt:i4>5</vt:i4>
      </vt:variant>
      <vt:variant>
        <vt:lpwstr/>
      </vt:variant>
      <vt:variant>
        <vt:lpwstr>_ENREF_185</vt:lpwstr>
      </vt:variant>
      <vt:variant>
        <vt:i4>7405629</vt:i4>
      </vt:variant>
      <vt:variant>
        <vt:i4>2425</vt:i4>
      </vt:variant>
      <vt:variant>
        <vt:i4>0</vt:i4>
      </vt:variant>
      <vt:variant>
        <vt:i4>5</vt:i4>
      </vt:variant>
      <vt:variant>
        <vt:lpwstr/>
      </vt:variant>
      <vt:variant>
        <vt:lpwstr>_ENREF_161</vt:lpwstr>
      </vt:variant>
      <vt:variant>
        <vt:i4>4784139</vt:i4>
      </vt:variant>
      <vt:variant>
        <vt:i4>2422</vt:i4>
      </vt:variant>
      <vt:variant>
        <vt:i4>0</vt:i4>
      </vt:variant>
      <vt:variant>
        <vt:i4>5</vt:i4>
      </vt:variant>
      <vt:variant>
        <vt:lpwstr/>
      </vt:variant>
      <vt:variant>
        <vt:lpwstr>_ENREF_81</vt:lpwstr>
      </vt:variant>
      <vt:variant>
        <vt:i4>7536691</vt:i4>
      </vt:variant>
      <vt:variant>
        <vt:i4>2419</vt:i4>
      </vt:variant>
      <vt:variant>
        <vt:i4>0</vt:i4>
      </vt:variant>
      <vt:variant>
        <vt:i4>5</vt:i4>
      </vt:variant>
      <vt:variant>
        <vt:lpwstr/>
      </vt:variant>
      <vt:variant>
        <vt:lpwstr>_ENREF_183</vt:lpwstr>
      </vt:variant>
      <vt:variant>
        <vt:i4>7405618</vt:i4>
      </vt:variant>
      <vt:variant>
        <vt:i4>2416</vt:i4>
      </vt:variant>
      <vt:variant>
        <vt:i4>0</vt:i4>
      </vt:variant>
      <vt:variant>
        <vt:i4>5</vt:i4>
      </vt:variant>
      <vt:variant>
        <vt:lpwstr/>
      </vt:variant>
      <vt:variant>
        <vt:lpwstr>_ENREF_191</vt:lpwstr>
      </vt:variant>
      <vt:variant>
        <vt:i4>7602227</vt:i4>
      </vt:variant>
      <vt:variant>
        <vt:i4>2413</vt:i4>
      </vt:variant>
      <vt:variant>
        <vt:i4>0</vt:i4>
      </vt:variant>
      <vt:variant>
        <vt:i4>5</vt:i4>
      </vt:variant>
      <vt:variant>
        <vt:lpwstr/>
      </vt:variant>
      <vt:variant>
        <vt:lpwstr>_ENREF_184</vt:lpwstr>
      </vt:variant>
      <vt:variant>
        <vt:i4>7733309</vt:i4>
      </vt:variant>
      <vt:variant>
        <vt:i4>2410</vt:i4>
      </vt:variant>
      <vt:variant>
        <vt:i4>0</vt:i4>
      </vt:variant>
      <vt:variant>
        <vt:i4>5</vt:i4>
      </vt:variant>
      <vt:variant>
        <vt:lpwstr/>
      </vt:variant>
      <vt:variant>
        <vt:lpwstr>_ENREF_166</vt:lpwstr>
      </vt:variant>
      <vt:variant>
        <vt:i4>4194315</vt:i4>
      </vt:variant>
      <vt:variant>
        <vt:i4>2400</vt:i4>
      </vt:variant>
      <vt:variant>
        <vt:i4>0</vt:i4>
      </vt:variant>
      <vt:variant>
        <vt:i4>5</vt:i4>
      </vt:variant>
      <vt:variant>
        <vt:lpwstr/>
      </vt:variant>
      <vt:variant>
        <vt:lpwstr>_ENREF_18</vt:lpwstr>
      </vt:variant>
      <vt:variant>
        <vt:i4>7798840</vt:i4>
      </vt:variant>
      <vt:variant>
        <vt:i4>2394</vt:i4>
      </vt:variant>
      <vt:variant>
        <vt:i4>0</vt:i4>
      </vt:variant>
      <vt:variant>
        <vt:i4>5</vt:i4>
      </vt:variant>
      <vt:variant>
        <vt:lpwstr/>
      </vt:variant>
      <vt:variant>
        <vt:lpwstr>_ENREF_137</vt:lpwstr>
      </vt:variant>
      <vt:variant>
        <vt:i4>4587531</vt:i4>
      </vt:variant>
      <vt:variant>
        <vt:i4>2390</vt:i4>
      </vt:variant>
      <vt:variant>
        <vt:i4>0</vt:i4>
      </vt:variant>
      <vt:variant>
        <vt:i4>5</vt:i4>
      </vt:variant>
      <vt:variant>
        <vt:lpwstr/>
      </vt:variant>
      <vt:variant>
        <vt:lpwstr>_ENREF_77</vt:lpwstr>
      </vt:variant>
      <vt:variant>
        <vt:i4>4718603</vt:i4>
      </vt:variant>
      <vt:variant>
        <vt:i4>2387</vt:i4>
      </vt:variant>
      <vt:variant>
        <vt:i4>0</vt:i4>
      </vt:variant>
      <vt:variant>
        <vt:i4>5</vt:i4>
      </vt:variant>
      <vt:variant>
        <vt:lpwstr/>
      </vt:variant>
      <vt:variant>
        <vt:lpwstr>_ENREF_93</vt:lpwstr>
      </vt:variant>
      <vt:variant>
        <vt:i4>4259873</vt:i4>
      </vt:variant>
      <vt:variant>
        <vt:i4>2377</vt:i4>
      </vt:variant>
      <vt:variant>
        <vt:i4>0</vt:i4>
      </vt:variant>
      <vt:variant>
        <vt:i4>5</vt:i4>
      </vt:variant>
      <vt:variant>
        <vt:lpwstr>http://en.wikipedia.org/wiki/Isotopic_signature</vt:lpwstr>
      </vt:variant>
      <vt:variant>
        <vt:lpwstr/>
      </vt:variant>
      <vt:variant>
        <vt:i4>4784175</vt:i4>
      </vt:variant>
      <vt:variant>
        <vt:i4>2374</vt:i4>
      </vt:variant>
      <vt:variant>
        <vt:i4>0</vt:i4>
      </vt:variant>
      <vt:variant>
        <vt:i4>5</vt:i4>
      </vt:variant>
      <vt:variant>
        <vt:lpwstr>http://en.wikipedia.org/wiki/Stable_isotope</vt:lpwstr>
      </vt:variant>
      <vt:variant>
        <vt:lpwstr/>
      </vt:variant>
      <vt:variant>
        <vt:i4>7340090</vt:i4>
      </vt:variant>
      <vt:variant>
        <vt:i4>2368</vt:i4>
      </vt:variant>
      <vt:variant>
        <vt:i4>0</vt:i4>
      </vt:variant>
      <vt:variant>
        <vt:i4>5</vt:i4>
      </vt:variant>
      <vt:variant>
        <vt:lpwstr/>
      </vt:variant>
      <vt:variant>
        <vt:lpwstr>_ENREF_110</vt:lpwstr>
      </vt:variant>
      <vt:variant>
        <vt:i4>4456459</vt:i4>
      </vt:variant>
      <vt:variant>
        <vt:i4>2364</vt:i4>
      </vt:variant>
      <vt:variant>
        <vt:i4>0</vt:i4>
      </vt:variant>
      <vt:variant>
        <vt:i4>5</vt:i4>
      </vt:variant>
      <vt:variant>
        <vt:lpwstr/>
      </vt:variant>
      <vt:variant>
        <vt:lpwstr>_ENREF_54</vt:lpwstr>
      </vt:variant>
      <vt:variant>
        <vt:i4>4390923</vt:i4>
      </vt:variant>
      <vt:variant>
        <vt:i4>2361</vt:i4>
      </vt:variant>
      <vt:variant>
        <vt:i4>0</vt:i4>
      </vt:variant>
      <vt:variant>
        <vt:i4>5</vt:i4>
      </vt:variant>
      <vt:variant>
        <vt:lpwstr/>
      </vt:variant>
      <vt:variant>
        <vt:lpwstr>_ENREF_2</vt:lpwstr>
      </vt:variant>
      <vt:variant>
        <vt:i4>4456459</vt:i4>
      </vt:variant>
      <vt:variant>
        <vt:i4>2358</vt:i4>
      </vt:variant>
      <vt:variant>
        <vt:i4>0</vt:i4>
      </vt:variant>
      <vt:variant>
        <vt:i4>5</vt:i4>
      </vt:variant>
      <vt:variant>
        <vt:lpwstr/>
      </vt:variant>
      <vt:variant>
        <vt:lpwstr>_ENREF_59</vt:lpwstr>
      </vt:variant>
      <vt:variant>
        <vt:i4>7864371</vt:i4>
      </vt:variant>
      <vt:variant>
        <vt:i4>2355</vt:i4>
      </vt:variant>
      <vt:variant>
        <vt:i4>0</vt:i4>
      </vt:variant>
      <vt:variant>
        <vt:i4>5</vt:i4>
      </vt:variant>
      <vt:variant>
        <vt:lpwstr/>
      </vt:variant>
      <vt:variant>
        <vt:lpwstr>_ENREF_188</vt:lpwstr>
      </vt:variant>
      <vt:variant>
        <vt:i4>7471162</vt:i4>
      </vt:variant>
      <vt:variant>
        <vt:i4>2352</vt:i4>
      </vt:variant>
      <vt:variant>
        <vt:i4>0</vt:i4>
      </vt:variant>
      <vt:variant>
        <vt:i4>5</vt:i4>
      </vt:variant>
      <vt:variant>
        <vt:lpwstr/>
      </vt:variant>
      <vt:variant>
        <vt:lpwstr>_ENREF_112</vt:lpwstr>
      </vt:variant>
      <vt:variant>
        <vt:i4>7798835</vt:i4>
      </vt:variant>
      <vt:variant>
        <vt:i4>2342</vt:i4>
      </vt:variant>
      <vt:variant>
        <vt:i4>0</vt:i4>
      </vt:variant>
      <vt:variant>
        <vt:i4>5</vt:i4>
      </vt:variant>
      <vt:variant>
        <vt:lpwstr/>
      </vt:variant>
      <vt:variant>
        <vt:lpwstr>_ENREF_187</vt:lpwstr>
      </vt:variant>
      <vt:variant>
        <vt:i4>4456459</vt:i4>
      </vt:variant>
      <vt:variant>
        <vt:i4>2336</vt:i4>
      </vt:variant>
      <vt:variant>
        <vt:i4>0</vt:i4>
      </vt:variant>
      <vt:variant>
        <vt:i4>5</vt:i4>
      </vt:variant>
      <vt:variant>
        <vt:lpwstr/>
      </vt:variant>
      <vt:variant>
        <vt:lpwstr>_ENREF_52</vt:lpwstr>
      </vt:variant>
      <vt:variant>
        <vt:i4>4718603</vt:i4>
      </vt:variant>
      <vt:variant>
        <vt:i4>2330</vt:i4>
      </vt:variant>
      <vt:variant>
        <vt:i4>0</vt:i4>
      </vt:variant>
      <vt:variant>
        <vt:i4>5</vt:i4>
      </vt:variant>
      <vt:variant>
        <vt:lpwstr/>
      </vt:variant>
      <vt:variant>
        <vt:lpwstr>_ENREF_99</vt:lpwstr>
      </vt:variant>
      <vt:variant>
        <vt:i4>7929912</vt:i4>
      </vt:variant>
      <vt:variant>
        <vt:i4>2321</vt:i4>
      </vt:variant>
      <vt:variant>
        <vt:i4>0</vt:i4>
      </vt:variant>
      <vt:variant>
        <vt:i4>5</vt:i4>
      </vt:variant>
      <vt:variant>
        <vt:lpwstr/>
      </vt:variant>
      <vt:variant>
        <vt:lpwstr>_ENREF_139</vt:lpwstr>
      </vt:variant>
      <vt:variant>
        <vt:i4>7929912</vt:i4>
      </vt:variant>
      <vt:variant>
        <vt:i4>2315</vt:i4>
      </vt:variant>
      <vt:variant>
        <vt:i4>0</vt:i4>
      </vt:variant>
      <vt:variant>
        <vt:i4>5</vt:i4>
      </vt:variant>
      <vt:variant>
        <vt:lpwstr/>
      </vt:variant>
      <vt:variant>
        <vt:lpwstr>_ENREF_139</vt:lpwstr>
      </vt:variant>
      <vt:variant>
        <vt:i4>4718603</vt:i4>
      </vt:variant>
      <vt:variant>
        <vt:i4>2309</vt:i4>
      </vt:variant>
      <vt:variant>
        <vt:i4>0</vt:i4>
      </vt:variant>
      <vt:variant>
        <vt:i4>5</vt:i4>
      </vt:variant>
      <vt:variant>
        <vt:lpwstr/>
      </vt:variant>
      <vt:variant>
        <vt:lpwstr>_ENREF_9</vt:lpwstr>
      </vt:variant>
      <vt:variant>
        <vt:i4>4587531</vt:i4>
      </vt:variant>
      <vt:variant>
        <vt:i4>2303</vt:i4>
      </vt:variant>
      <vt:variant>
        <vt:i4>0</vt:i4>
      </vt:variant>
      <vt:variant>
        <vt:i4>5</vt:i4>
      </vt:variant>
      <vt:variant>
        <vt:lpwstr/>
      </vt:variant>
      <vt:variant>
        <vt:lpwstr>_ENREF_76</vt:lpwstr>
      </vt:variant>
      <vt:variant>
        <vt:i4>4784139</vt:i4>
      </vt:variant>
      <vt:variant>
        <vt:i4>2297</vt:i4>
      </vt:variant>
      <vt:variant>
        <vt:i4>0</vt:i4>
      </vt:variant>
      <vt:variant>
        <vt:i4>5</vt:i4>
      </vt:variant>
      <vt:variant>
        <vt:lpwstr/>
      </vt:variant>
      <vt:variant>
        <vt:lpwstr>_ENREF_80</vt:lpwstr>
      </vt:variant>
      <vt:variant>
        <vt:i4>4653067</vt:i4>
      </vt:variant>
      <vt:variant>
        <vt:i4>2291</vt:i4>
      </vt:variant>
      <vt:variant>
        <vt:i4>0</vt:i4>
      </vt:variant>
      <vt:variant>
        <vt:i4>5</vt:i4>
      </vt:variant>
      <vt:variant>
        <vt:lpwstr/>
      </vt:variant>
      <vt:variant>
        <vt:lpwstr>_ENREF_66</vt:lpwstr>
      </vt:variant>
      <vt:variant>
        <vt:i4>4718603</vt:i4>
      </vt:variant>
      <vt:variant>
        <vt:i4>2285</vt:i4>
      </vt:variant>
      <vt:variant>
        <vt:i4>0</vt:i4>
      </vt:variant>
      <vt:variant>
        <vt:i4>5</vt:i4>
      </vt:variant>
      <vt:variant>
        <vt:lpwstr/>
      </vt:variant>
      <vt:variant>
        <vt:lpwstr>_ENREF_9</vt:lpwstr>
      </vt:variant>
      <vt:variant>
        <vt:i4>4587531</vt:i4>
      </vt:variant>
      <vt:variant>
        <vt:i4>2279</vt:i4>
      </vt:variant>
      <vt:variant>
        <vt:i4>0</vt:i4>
      </vt:variant>
      <vt:variant>
        <vt:i4>5</vt:i4>
      </vt:variant>
      <vt:variant>
        <vt:lpwstr/>
      </vt:variant>
      <vt:variant>
        <vt:lpwstr>_ENREF_76</vt:lpwstr>
      </vt:variant>
      <vt:variant>
        <vt:i4>4587531</vt:i4>
      </vt:variant>
      <vt:variant>
        <vt:i4>2273</vt:i4>
      </vt:variant>
      <vt:variant>
        <vt:i4>0</vt:i4>
      </vt:variant>
      <vt:variant>
        <vt:i4>5</vt:i4>
      </vt:variant>
      <vt:variant>
        <vt:lpwstr/>
      </vt:variant>
      <vt:variant>
        <vt:lpwstr>_ENREF_78</vt:lpwstr>
      </vt:variant>
      <vt:variant>
        <vt:i4>4718603</vt:i4>
      </vt:variant>
      <vt:variant>
        <vt:i4>2267</vt:i4>
      </vt:variant>
      <vt:variant>
        <vt:i4>0</vt:i4>
      </vt:variant>
      <vt:variant>
        <vt:i4>5</vt:i4>
      </vt:variant>
      <vt:variant>
        <vt:lpwstr/>
      </vt:variant>
      <vt:variant>
        <vt:lpwstr>_ENREF_9</vt:lpwstr>
      </vt:variant>
      <vt:variant>
        <vt:i4>7602237</vt:i4>
      </vt:variant>
      <vt:variant>
        <vt:i4>2261</vt:i4>
      </vt:variant>
      <vt:variant>
        <vt:i4>0</vt:i4>
      </vt:variant>
      <vt:variant>
        <vt:i4>5</vt:i4>
      </vt:variant>
      <vt:variant>
        <vt:lpwstr/>
      </vt:variant>
      <vt:variant>
        <vt:lpwstr>_ENREF_164</vt:lpwstr>
      </vt:variant>
      <vt:variant>
        <vt:i4>4521995</vt:i4>
      </vt:variant>
      <vt:variant>
        <vt:i4>2255</vt:i4>
      </vt:variant>
      <vt:variant>
        <vt:i4>0</vt:i4>
      </vt:variant>
      <vt:variant>
        <vt:i4>5</vt:i4>
      </vt:variant>
      <vt:variant>
        <vt:lpwstr/>
      </vt:variant>
      <vt:variant>
        <vt:lpwstr>_ENREF_43</vt:lpwstr>
      </vt:variant>
      <vt:variant>
        <vt:i4>4390923</vt:i4>
      </vt:variant>
      <vt:variant>
        <vt:i4>2249</vt:i4>
      </vt:variant>
      <vt:variant>
        <vt:i4>0</vt:i4>
      </vt:variant>
      <vt:variant>
        <vt:i4>5</vt:i4>
      </vt:variant>
      <vt:variant>
        <vt:lpwstr/>
      </vt:variant>
      <vt:variant>
        <vt:lpwstr>_ENREF_25</vt:lpwstr>
      </vt:variant>
      <vt:variant>
        <vt:i4>7340091</vt:i4>
      </vt:variant>
      <vt:variant>
        <vt:i4>2246</vt:i4>
      </vt:variant>
      <vt:variant>
        <vt:i4>0</vt:i4>
      </vt:variant>
      <vt:variant>
        <vt:i4>5</vt:i4>
      </vt:variant>
      <vt:variant>
        <vt:lpwstr/>
      </vt:variant>
      <vt:variant>
        <vt:lpwstr>_ENREF_100</vt:lpwstr>
      </vt:variant>
      <vt:variant>
        <vt:i4>4718603</vt:i4>
      </vt:variant>
      <vt:variant>
        <vt:i4>2242</vt:i4>
      </vt:variant>
      <vt:variant>
        <vt:i4>0</vt:i4>
      </vt:variant>
      <vt:variant>
        <vt:i4>5</vt:i4>
      </vt:variant>
      <vt:variant>
        <vt:lpwstr/>
      </vt:variant>
      <vt:variant>
        <vt:lpwstr>_ENREF_93</vt:lpwstr>
      </vt:variant>
      <vt:variant>
        <vt:i4>4325387</vt:i4>
      </vt:variant>
      <vt:variant>
        <vt:i4>2239</vt:i4>
      </vt:variant>
      <vt:variant>
        <vt:i4>0</vt:i4>
      </vt:variant>
      <vt:variant>
        <vt:i4>5</vt:i4>
      </vt:variant>
      <vt:variant>
        <vt:lpwstr/>
      </vt:variant>
      <vt:variant>
        <vt:lpwstr>_ENREF_3</vt:lpwstr>
      </vt:variant>
      <vt:variant>
        <vt:i4>4653067</vt:i4>
      </vt:variant>
      <vt:variant>
        <vt:i4>2229</vt:i4>
      </vt:variant>
      <vt:variant>
        <vt:i4>0</vt:i4>
      </vt:variant>
      <vt:variant>
        <vt:i4>5</vt:i4>
      </vt:variant>
      <vt:variant>
        <vt:lpwstr/>
      </vt:variant>
      <vt:variant>
        <vt:lpwstr>_ENREF_66</vt:lpwstr>
      </vt:variant>
      <vt:variant>
        <vt:i4>4718603</vt:i4>
      </vt:variant>
      <vt:variant>
        <vt:i4>2223</vt:i4>
      </vt:variant>
      <vt:variant>
        <vt:i4>0</vt:i4>
      </vt:variant>
      <vt:variant>
        <vt:i4>5</vt:i4>
      </vt:variant>
      <vt:variant>
        <vt:lpwstr/>
      </vt:variant>
      <vt:variant>
        <vt:lpwstr>_ENREF_9</vt:lpwstr>
      </vt:variant>
      <vt:variant>
        <vt:i4>4653067</vt:i4>
      </vt:variant>
      <vt:variant>
        <vt:i4>2217</vt:i4>
      </vt:variant>
      <vt:variant>
        <vt:i4>0</vt:i4>
      </vt:variant>
      <vt:variant>
        <vt:i4>5</vt:i4>
      </vt:variant>
      <vt:variant>
        <vt:lpwstr/>
      </vt:variant>
      <vt:variant>
        <vt:lpwstr>_ENREF_66</vt:lpwstr>
      </vt:variant>
      <vt:variant>
        <vt:i4>4653067</vt:i4>
      </vt:variant>
      <vt:variant>
        <vt:i4>2211</vt:i4>
      </vt:variant>
      <vt:variant>
        <vt:i4>0</vt:i4>
      </vt:variant>
      <vt:variant>
        <vt:i4>5</vt:i4>
      </vt:variant>
      <vt:variant>
        <vt:lpwstr/>
      </vt:variant>
      <vt:variant>
        <vt:lpwstr>_ENREF_66</vt:lpwstr>
      </vt:variant>
      <vt:variant>
        <vt:i4>4718603</vt:i4>
      </vt:variant>
      <vt:variant>
        <vt:i4>2205</vt:i4>
      </vt:variant>
      <vt:variant>
        <vt:i4>0</vt:i4>
      </vt:variant>
      <vt:variant>
        <vt:i4>5</vt:i4>
      </vt:variant>
      <vt:variant>
        <vt:lpwstr/>
      </vt:variant>
      <vt:variant>
        <vt:lpwstr>_ENREF_9</vt:lpwstr>
      </vt:variant>
      <vt:variant>
        <vt:i4>7602237</vt:i4>
      </vt:variant>
      <vt:variant>
        <vt:i4>2199</vt:i4>
      </vt:variant>
      <vt:variant>
        <vt:i4>0</vt:i4>
      </vt:variant>
      <vt:variant>
        <vt:i4>5</vt:i4>
      </vt:variant>
      <vt:variant>
        <vt:lpwstr/>
      </vt:variant>
      <vt:variant>
        <vt:lpwstr>_ENREF_164</vt:lpwstr>
      </vt:variant>
      <vt:variant>
        <vt:i4>7798840</vt:i4>
      </vt:variant>
      <vt:variant>
        <vt:i4>2193</vt:i4>
      </vt:variant>
      <vt:variant>
        <vt:i4>0</vt:i4>
      </vt:variant>
      <vt:variant>
        <vt:i4>5</vt:i4>
      </vt:variant>
      <vt:variant>
        <vt:lpwstr/>
      </vt:variant>
      <vt:variant>
        <vt:lpwstr>_ENREF_137</vt:lpwstr>
      </vt:variant>
      <vt:variant>
        <vt:i4>4390923</vt:i4>
      </vt:variant>
      <vt:variant>
        <vt:i4>2187</vt:i4>
      </vt:variant>
      <vt:variant>
        <vt:i4>0</vt:i4>
      </vt:variant>
      <vt:variant>
        <vt:i4>5</vt:i4>
      </vt:variant>
      <vt:variant>
        <vt:lpwstr/>
      </vt:variant>
      <vt:variant>
        <vt:lpwstr>_ENREF_20</vt:lpwstr>
      </vt:variant>
      <vt:variant>
        <vt:i4>7536703</vt:i4>
      </vt:variant>
      <vt:variant>
        <vt:i4>2181</vt:i4>
      </vt:variant>
      <vt:variant>
        <vt:i4>0</vt:i4>
      </vt:variant>
      <vt:variant>
        <vt:i4>5</vt:i4>
      </vt:variant>
      <vt:variant>
        <vt:lpwstr/>
      </vt:variant>
      <vt:variant>
        <vt:lpwstr>_ENREF_143</vt:lpwstr>
      </vt:variant>
      <vt:variant>
        <vt:i4>7798840</vt:i4>
      </vt:variant>
      <vt:variant>
        <vt:i4>2169</vt:i4>
      </vt:variant>
      <vt:variant>
        <vt:i4>0</vt:i4>
      </vt:variant>
      <vt:variant>
        <vt:i4>5</vt:i4>
      </vt:variant>
      <vt:variant>
        <vt:lpwstr/>
      </vt:variant>
      <vt:variant>
        <vt:lpwstr>_ENREF_137</vt:lpwstr>
      </vt:variant>
      <vt:variant>
        <vt:i4>7798840</vt:i4>
      </vt:variant>
      <vt:variant>
        <vt:i4>2163</vt:i4>
      </vt:variant>
      <vt:variant>
        <vt:i4>0</vt:i4>
      </vt:variant>
      <vt:variant>
        <vt:i4>5</vt:i4>
      </vt:variant>
      <vt:variant>
        <vt:lpwstr/>
      </vt:variant>
      <vt:variant>
        <vt:lpwstr>_ENREF_137</vt:lpwstr>
      </vt:variant>
      <vt:variant>
        <vt:i4>7864379</vt:i4>
      </vt:variant>
      <vt:variant>
        <vt:i4>2154</vt:i4>
      </vt:variant>
      <vt:variant>
        <vt:i4>0</vt:i4>
      </vt:variant>
      <vt:variant>
        <vt:i4>5</vt:i4>
      </vt:variant>
      <vt:variant>
        <vt:lpwstr/>
      </vt:variant>
      <vt:variant>
        <vt:lpwstr>_ENREF_108</vt:lpwstr>
      </vt:variant>
      <vt:variant>
        <vt:i4>7405626</vt:i4>
      </vt:variant>
      <vt:variant>
        <vt:i4>2139</vt:i4>
      </vt:variant>
      <vt:variant>
        <vt:i4>0</vt:i4>
      </vt:variant>
      <vt:variant>
        <vt:i4>5</vt:i4>
      </vt:variant>
      <vt:variant>
        <vt:lpwstr/>
      </vt:variant>
      <vt:variant>
        <vt:lpwstr>_ENREF_111</vt:lpwstr>
      </vt:variant>
      <vt:variant>
        <vt:i4>7340088</vt:i4>
      </vt:variant>
      <vt:variant>
        <vt:i4>2133</vt:i4>
      </vt:variant>
      <vt:variant>
        <vt:i4>0</vt:i4>
      </vt:variant>
      <vt:variant>
        <vt:i4>5</vt:i4>
      </vt:variant>
      <vt:variant>
        <vt:lpwstr/>
      </vt:variant>
      <vt:variant>
        <vt:lpwstr>_ENREF_130</vt:lpwstr>
      </vt:variant>
      <vt:variant>
        <vt:i4>7798834</vt:i4>
      </vt:variant>
      <vt:variant>
        <vt:i4>2127</vt:i4>
      </vt:variant>
      <vt:variant>
        <vt:i4>0</vt:i4>
      </vt:variant>
      <vt:variant>
        <vt:i4>5</vt:i4>
      </vt:variant>
      <vt:variant>
        <vt:lpwstr/>
      </vt:variant>
      <vt:variant>
        <vt:lpwstr>_ENREF_197</vt:lpwstr>
      </vt:variant>
      <vt:variant>
        <vt:i4>7405627</vt:i4>
      </vt:variant>
      <vt:variant>
        <vt:i4>2121</vt:i4>
      </vt:variant>
      <vt:variant>
        <vt:i4>0</vt:i4>
      </vt:variant>
      <vt:variant>
        <vt:i4>5</vt:i4>
      </vt:variant>
      <vt:variant>
        <vt:lpwstr/>
      </vt:variant>
      <vt:variant>
        <vt:lpwstr>_ENREF_101</vt:lpwstr>
      </vt:variant>
      <vt:variant>
        <vt:i4>7471165</vt:i4>
      </vt:variant>
      <vt:variant>
        <vt:i4>2103</vt:i4>
      </vt:variant>
      <vt:variant>
        <vt:i4>0</vt:i4>
      </vt:variant>
      <vt:variant>
        <vt:i4>5</vt:i4>
      </vt:variant>
      <vt:variant>
        <vt:lpwstr/>
      </vt:variant>
      <vt:variant>
        <vt:lpwstr>_ENREF_162</vt:lpwstr>
      </vt:variant>
      <vt:variant>
        <vt:i4>7798846</vt:i4>
      </vt:variant>
      <vt:variant>
        <vt:i4>2097</vt:i4>
      </vt:variant>
      <vt:variant>
        <vt:i4>0</vt:i4>
      </vt:variant>
      <vt:variant>
        <vt:i4>5</vt:i4>
      </vt:variant>
      <vt:variant>
        <vt:lpwstr/>
      </vt:variant>
      <vt:variant>
        <vt:lpwstr>_ENREF_157</vt:lpwstr>
      </vt:variant>
      <vt:variant>
        <vt:i4>7536696</vt:i4>
      </vt:variant>
      <vt:variant>
        <vt:i4>2091</vt:i4>
      </vt:variant>
      <vt:variant>
        <vt:i4>0</vt:i4>
      </vt:variant>
      <vt:variant>
        <vt:i4>5</vt:i4>
      </vt:variant>
      <vt:variant>
        <vt:lpwstr/>
      </vt:variant>
      <vt:variant>
        <vt:lpwstr>_ENREF_133</vt:lpwstr>
      </vt:variant>
      <vt:variant>
        <vt:i4>4194315</vt:i4>
      </vt:variant>
      <vt:variant>
        <vt:i4>2085</vt:i4>
      </vt:variant>
      <vt:variant>
        <vt:i4>0</vt:i4>
      </vt:variant>
      <vt:variant>
        <vt:i4>5</vt:i4>
      </vt:variant>
      <vt:variant>
        <vt:lpwstr/>
      </vt:variant>
      <vt:variant>
        <vt:lpwstr>_ENREF_16</vt:lpwstr>
      </vt:variant>
      <vt:variant>
        <vt:i4>7340095</vt:i4>
      </vt:variant>
      <vt:variant>
        <vt:i4>2079</vt:i4>
      </vt:variant>
      <vt:variant>
        <vt:i4>0</vt:i4>
      </vt:variant>
      <vt:variant>
        <vt:i4>5</vt:i4>
      </vt:variant>
      <vt:variant>
        <vt:lpwstr/>
      </vt:variant>
      <vt:variant>
        <vt:lpwstr>_ENREF_140</vt:lpwstr>
      </vt:variant>
      <vt:variant>
        <vt:i4>4390923</vt:i4>
      </vt:variant>
      <vt:variant>
        <vt:i4>2073</vt:i4>
      </vt:variant>
      <vt:variant>
        <vt:i4>0</vt:i4>
      </vt:variant>
      <vt:variant>
        <vt:i4>5</vt:i4>
      </vt:variant>
      <vt:variant>
        <vt:lpwstr/>
      </vt:variant>
      <vt:variant>
        <vt:lpwstr>_ENREF_28</vt:lpwstr>
      </vt:variant>
      <vt:variant>
        <vt:i4>7602232</vt:i4>
      </vt:variant>
      <vt:variant>
        <vt:i4>2067</vt:i4>
      </vt:variant>
      <vt:variant>
        <vt:i4>0</vt:i4>
      </vt:variant>
      <vt:variant>
        <vt:i4>5</vt:i4>
      </vt:variant>
      <vt:variant>
        <vt:lpwstr/>
      </vt:variant>
      <vt:variant>
        <vt:lpwstr>_ENREF_134</vt:lpwstr>
      </vt:variant>
      <vt:variant>
        <vt:i4>4521995</vt:i4>
      </vt:variant>
      <vt:variant>
        <vt:i4>2055</vt:i4>
      </vt:variant>
      <vt:variant>
        <vt:i4>0</vt:i4>
      </vt:variant>
      <vt:variant>
        <vt:i4>5</vt:i4>
      </vt:variant>
      <vt:variant>
        <vt:lpwstr/>
      </vt:variant>
      <vt:variant>
        <vt:lpwstr>_ENREF_4</vt:lpwstr>
      </vt:variant>
      <vt:variant>
        <vt:i4>7733304</vt:i4>
      </vt:variant>
      <vt:variant>
        <vt:i4>2049</vt:i4>
      </vt:variant>
      <vt:variant>
        <vt:i4>0</vt:i4>
      </vt:variant>
      <vt:variant>
        <vt:i4>5</vt:i4>
      </vt:variant>
      <vt:variant>
        <vt:lpwstr/>
      </vt:variant>
      <vt:variant>
        <vt:lpwstr>_ENREF_136</vt:lpwstr>
      </vt:variant>
      <vt:variant>
        <vt:i4>7733306</vt:i4>
      </vt:variant>
      <vt:variant>
        <vt:i4>2043</vt:i4>
      </vt:variant>
      <vt:variant>
        <vt:i4>0</vt:i4>
      </vt:variant>
      <vt:variant>
        <vt:i4>5</vt:i4>
      </vt:variant>
      <vt:variant>
        <vt:lpwstr/>
      </vt:variant>
      <vt:variant>
        <vt:lpwstr>_ENREF_116</vt:lpwstr>
      </vt:variant>
      <vt:variant>
        <vt:i4>4325387</vt:i4>
      </vt:variant>
      <vt:variant>
        <vt:i4>2037</vt:i4>
      </vt:variant>
      <vt:variant>
        <vt:i4>0</vt:i4>
      </vt:variant>
      <vt:variant>
        <vt:i4>5</vt:i4>
      </vt:variant>
      <vt:variant>
        <vt:lpwstr/>
      </vt:variant>
      <vt:variant>
        <vt:lpwstr>_ENREF_31</vt:lpwstr>
      </vt:variant>
      <vt:variant>
        <vt:i4>4653067</vt:i4>
      </vt:variant>
      <vt:variant>
        <vt:i4>2031</vt:i4>
      </vt:variant>
      <vt:variant>
        <vt:i4>0</vt:i4>
      </vt:variant>
      <vt:variant>
        <vt:i4>5</vt:i4>
      </vt:variant>
      <vt:variant>
        <vt:lpwstr/>
      </vt:variant>
      <vt:variant>
        <vt:lpwstr>_ENREF_69</vt:lpwstr>
      </vt:variant>
      <vt:variant>
        <vt:i4>4390923</vt:i4>
      </vt:variant>
      <vt:variant>
        <vt:i4>2025</vt:i4>
      </vt:variant>
      <vt:variant>
        <vt:i4>0</vt:i4>
      </vt:variant>
      <vt:variant>
        <vt:i4>5</vt:i4>
      </vt:variant>
      <vt:variant>
        <vt:lpwstr/>
      </vt:variant>
      <vt:variant>
        <vt:lpwstr>_ENREF_24</vt:lpwstr>
      </vt:variant>
      <vt:variant>
        <vt:i4>4521995</vt:i4>
      </vt:variant>
      <vt:variant>
        <vt:i4>2021</vt:i4>
      </vt:variant>
      <vt:variant>
        <vt:i4>0</vt:i4>
      </vt:variant>
      <vt:variant>
        <vt:i4>5</vt:i4>
      </vt:variant>
      <vt:variant>
        <vt:lpwstr/>
      </vt:variant>
      <vt:variant>
        <vt:lpwstr>_ENREF_41</vt:lpwstr>
      </vt:variant>
      <vt:variant>
        <vt:i4>4325387</vt:i4>
      </vt:variant>
      <vt:variant>
        <vt:i4>2018</vt:i4>
      </vt:variant>
      <vt:variant>
        <vt:i4>0</vt:i4>
      </vt:variant>
      <vt:variant>
        <vt:i4>5</vt:i4>
      </vt:variant>
      <vt:variant>
        <vt:lpwstr/>
      </vt:variant>
      <vt:variant>
        <vt:lpwstr>_ENREF_39</vt:lpwstr>
      </vt:variant>
      <vt:variant>
        <vt:i4>4521995</vt:i4>
      </vt:variant>
      <vt:variant>
        <vt:i4>2015</vt:i4>
      </vt:variant>
      <vt:variant>
        <vt:i4>0</vt:i4>
      </vt:variant>
      <vt:variant>
        <vt:i4>5</vt:i4>
      </vt:variant>
      <vt:variant>
        <vt:lpwstr/>
      </vt:variant>
      <vt:variant>
        <vt:lpwstr>_ENREF_40</vt:lpwstr>
      </vt:variant>
      <vt:variant>
        <vt:i4>4325387</vt:i4>
      </vt:variant>
      <vt:variant>
        <vt:i4>2012</vt:i4>
      </vt:variant>
      <vt:variant>
        <vt:i4>0</vt:i4>
      </vt:variant>
      <vt:variant>
        <vt:i4>5</vt:i4>
      </vt:variant>
      <vt:variant>
        <vt:lpwstr/>
      </vt:variant>
      <vt:variant>
        <vt:lpwstr>_ENREF_38</vt:lpwstr>
      </vt:variant>
      <vt:variant>
        <vt:i4>7471161</vt:i4>
      </vt:variant>
      <vt:variant>
        <vt:i4>2004</vt:i4>
      </vt:variant>
      <vt:variant>
        <vt:i4>0</vt:i4>
      </vt:variant>
      <vt:variant>
        <vt:i4>5</vt:i4>
      </vt:variant>
      <vt:variant>
        <vt:lpwstr/>
      </vt:variant>
      <vt:variant>
        <vt:lpwstr>_ENREF_122</vt:lpwstr>
      </vt:variant>
      <vt:variant>
        <vt:i4>7471167</vt:i4>
      </vt:variant>
      <vt:variant>
        <vt:i4>2001</vt:i4>
      </vt:variant>
      <vt:variant>
        <vt:i4>0</vt:i4>
      </vt:variant>
      <vt:variant>
        <vt:i4>5</vt:i4>
      </vt:variant>
      <vt:variant>
        <vt:lpwstr/>
      </vt:variant>
      <vt:variant>
        <vt:lpwstr>_ENREF_142</vt:lpwstr>
      </vt:variant>
      <vt:variant>
        <vt:i4>7405625</vt:i4>
      </vt:variant>
      <vt:variant>
        <vt:i4>1998</vt:i4>
      </vt:variant>
      <vt:variant>
        <vt:i4>0</vt:i4>
      </vt:variant>
      <vt:variant>
        <vt:i4>5</vt:i4>
      </vt:variant>
      <vt:variant>
        <vt:lpwstr/>
      </vt:variant>
      <vt:variant>
        <vt:lpwstr>_ENREF_121</vt:lpwstr>
      </vt:variant>
      <vt:variant>
        <vt:i4>7667775</vt:i4>
      </vt:variant>
      <vt:variant>
        <vt:i4>1995</vt:i4>
      </vt:variant>
      <vt:variant>
        <vt:i4>0</vt:i4>
      </vt:variant>
      <vt:variant>
        <vt:i4>5</vt:i4>
      </vt:variant>
      <vt:variant>
        <vt:lpwstr/>
      </vt:variant>
      <vt:variant>
        <vt:lpwstr>_ENREF_145</vt:lpwstr>
      </vt:variant>
      <vt:variant>
        <vt:i4>4390923</vt:i4>
      </vt:variant>
      <vt:variant>
        <vt:i4>1992</vt:i4>
      </vt:variant>
      <vt:variant>
        <vt:i4>0</vt:i4>
      </vt:variant>
      <vt:variant>
        <vt:i4>5</vt:i4>
      </vt:variant>
      <vt:variant>
        <vt:lpwstr/>
      </vt:variant>
      <vt:variant>
        <vt:lpwstr>_ENREF_28</vt:lpwstr>
      </vt:variant>
      <vt:variant>
        <vt:i4>7602239</vt:i4>
      </vt:variant>
      <vt:variant>
        <vt:i4>1989</vt:i4>
      </vt:variant>
      <vt:variant>
        <vt:i4>0</vt:i4>
      </vt:variant>
      <vt:variant>
        <vt:i4>5</vt:i4>
      </vt:variant>
      <vt:variant>
        <vt:lpwstr/>
      </vt:variant>
      <vt:variant>
        <vt:lpwstr>_ENREF_144</vt:lpwstr>
      </vt:variant>
      <vt:variant>
        <vt:i4>4390923</vt:i4>
      </vt:variant>
      <vt:variant>
        <vt:i4>1986</vt:i4>
      </vt:variant>
      <vt:variant>
        <vt:i4>0</vt:i4>
      </vt:variant>
      <vt:variant>
        <vt:i4>5</vt:i4>
      </vt:variant>
      <vt:variant>
        <vt:lpwstr/>
      </vt:variant>
      <vt:variant>
        <vt:lpwstr>_ENREF_27</vt:lpwstr>
      </vt:variant>
      <vt:variant>
        <vt:i4>7667771</vt:i4>
      </vt:variant>
      <vt:variant>
        <vt:i4>1983</vt:i4>
      </vt:variant>
      <vt:variant>
        <vt:i4>0</vt:i4>
      </vt:variant>
      <vt:variant>
        <vt:i4>5</vt:i4>
      </vt:variant>
      <vt:variant>
        <vt:lpwstr/>
      </vt:variant>
      <vt:variant>
        <vt:lpwstr>_ENREF_105</vt:lpwstr>
      </vt:variant>
      <vt:variant>
        <vt:i4>4718603</vt:i4>
      </vt:variant>
      <vt:variant>
        <vt:i4>1980</vt:i4>
      </vt:variant>
      <vt:variant>
        <vt:i4>0</vt:i4>
      </vt:variant>
      <vt:variant>
        <vt:i4>5</vt:i4>
      </vt:variant>
      <vt:variant>
        <vt:lpwstr/>
      </vt:variant>
      <vt:variant>
        <vt:lpwstr>_ENREF_97</vt:lpwstr>
      </vt:variant>
      <vt:variant>
        <vt:i4>7929907</vt:i4>
      </vt:variant>
      <vt:variant>
        <vt:i4>1977</vt:i4>
      </vt:variant>
      <vt:variant>
        <vt:i4>0</vt:i4>
      </vt:variant>
      <vt:variant>
        <vt:i4>5</vt:i4>
      </vt:variant>
      <vt:variant>
        <vt:lpwstr/>
      </vt:variant>
      <vt:variant>
        <vt:lpwstr>_ENREF_189</vt:lpwstr>
      </vt:variant>
      <vt:variant>
        <vt:i4>7471155</vt:i4>
      </vt:variant>
      <vt:variant>
        <vt:i4>1974</vt:i4>
      </vt:variant>
      <vt:variant>
        <vt:i4>0</vt:i4>
      </vt:variant>
      <vt:variant>
        <vt:i4>5</vt:i4>
      </vt:variant>
      <vt:variant>
        <vt:lpwstr/>
      </vt:variant>
      <vt:variant>
        <vt:lpwstr>_ENREF_182</vt:lpwstr>
      </vt:variant>
      <vt:variant>
        <vt:i4>4653067</vt:i4>
      </vt:variant>
      <vt:variant>
        <vt:i4>1971</vt:i4>
      </vt:variant>
      <vt:variant>
        <vt:i4>0</vt:i4>
      </vt:variant>
      <vt:variant>
        <vt:i4>5</vt:i4>
      </vt:variant>
      <vt:variant>
        <vt:lpwstr/>
      </vt:variant>
      <vt:variant>
        <vt:lpwstr>_ENREF_61</vt:lpwstr>
      </vt:variant>
      <vt:variant>
        <vt:i4>4784139</vt:i4>
      </vt:variant>
      <vt:variant>
        <vt:i4>1961</vt:i4>
      </vt:variant>
      <vt:variant>
        <vt:i4>0</vt:i4>
      </vt:variant>
      <vt:variant>
        <vt:i4>5</vt:i4>
      </vt:variant>
      <vt:variant>
        <vt:lpwstr/>
      </vt:variant>
      <vt:variant>
        <vt:lpwstr>_ENREF_86</vt:lpwstr>
      </vt:variant>
      <vt:variant>
        <vt:i4>4325387</vt:i4>
      </vt:variant>
      <vt:variant>
        <vt:i4>1955</vt:i4>
      </vt:variant>
      <vt:variant>
        <vt:i4>0</vt:i4>
      </vt:variant>
      <vt:variant>
        <vt:i4>5</vt:i4>
      </vt:variant>
      <vt:variant>
        <vt:lpwstr/>
      </vt:variant>
      <vt:variant>
        <vt:lpwstr>_ENREF_30</vt:lpwstr>
      </vt:variant>
      <vt:variant>
        <vt:i4>7536701</vt:i4>
      </vt:variant>
      <vt:variant>
        <vt:i4>1949</vt:i4>
      </vt:variant>
      <vt:variant>
        <vt:i4>0</vt:i4>
      </vt:variant>
      <vt:variant>
        <vt:i4>5</vt:i4>
      </vt:variant>
      <vt:variant>
        <vt:lpwstr/>
      </vt:variant>
      <vt:variant>
        <vt:lpwstr>_ENREF_163</vt:lpwstr>
      </vt:variant>
      <vt:variant>
        <vt:i4>7667768</vt:i4>
      </vt:variant>
      <vt:variant>
        <vt:i4>1943</vt:i4>
      </vt:variant>
      <vt:variant>
        <vt:i4>0</vt:i4>
      </vt:variant>
      <vt:variant>
        <vt:i4>5</vt:i4>
      </vt:variant>
      <vt:variant>
        <vt:lpwstr/>
      </vt:variant>
      <vt:variant>
        <vt:lpwstr>_ENREF_135</vt:lpwstr>
      </vt:variant>
      <vt:variant>
        <vt:i4>7864378</vt:i4>
      </vt:variant>
      <vt:variant>
        <vt:i4>1937</vt:i4>
      </vt:variant>
      <vt:variant>
        <vt:i4>0</vt:i4>
      </vt:variant>
      <vt:variant>
        <vt:i4>5</vt:i4>
      </vt:variant>
      <vt:variant>
        <vt:lpwstr/>
      </vt:variant>
      <vt:variant>
        <vt:lpwstr>_ENREF_118</vt:lpwstr>
      </vt:variant>
      <vt:variant>
        <vt:i4>7798842</vt:i4>
      </vt:variant>
      <vt:variant>
        <vt:i4>1931</vt:i4>
      </vt:variant>
      <vt:variant>
        <vt:i4>0</vt:i4>
      </vt:variant>
      <vt:variant>
        <vt:i4>5</vt:i4>
      </vt:variant>
      <vt:variant>
        <vt:lpwstr/>
      </vt:variant>
      <vt:variant>
        <vt:lpwstr>_ENREF_117</vt:lpwstr>
      </vt:variant>
      <vt:variant>
        <vt:i4>7929914</vt:i4>
      </vt:variant>
      <vt:variant>
        <vt:i4>1925</vt:i4>
      </vt:variant>
      <vt:variant>
        <vt:i4>0</vt:i4>
      </vt:variant>
      <vt:variant>
        <vt:i4>5</vt:i4>
      </vt:variant>
      <vt:variant>
        <vt:lpwstr/>
      </vt:variant>
      <vt:variant>
        <vt:lpwstr>_ENREF_119</vt:lpwstr>
      </vt:variant>
      <vt:variant>
        <vt:i4>4456459</vt:i4>
      </vt:variant>
      <vt:variant>
        <vt:i4>1919</vt:i4>
      </vt:variant>
      <vt:variant>
        <vt:i4>0</vt:i4>
      </vt:variant>
      <vt:variant>
        <vt:i4>5</vt:i4>
      </vt:variant>
      <vt:variant>
        <vt:lpwstr/>
      </vt:variant>
      <vt:variant>
        <vt:lpwstr>_ENREF_56</vt:lpwstr>
      </vt:variant>
      <vt:variant>
        <vt:i4>7798840</vt:i4>
      </vt:variant>
      <vt:variant>
        <vt:i4>1913</vt:i4>
      </vt:variant>
      <vt:variant>
        <vt:i4>0</vt:i4>
      </vt:variant>
      <vt:variant>
        <vt:i4>5</vt:i4>
      </vt:variant>
      <vt:variant>
        <vt:lpwstr/>
      </vt:variant>
      <vt:variant>
        <vt:lpwstr>_ENREF_137</vt:lpwstr>
      </vt:variant>
      <vt:variant>
        <vt:i4>7602226</vt:i4>
      </vt:variant>
      <vt:variant>
        <vt:i4>1907</vt:i4>
      </vt:variant>
      <vt:variant>
        <vt:i4>0</vt:i4>
      </vt:variant>
      <vt:variant>
        <vt:i4>5</vt:i4>
      </vt:variant>
      <vt:variant>
        <vt:lpwstr/>
      </vt:variant>
      <vt:variant>
        <vt:lpwstr>_ENREF_194</vt:lpwstr>
      </vt:variant>
      <vt:variant>
        <vt:i4>4325387</vt:i4>
      </vt:variant>
      <vt:variant>
        <vt:i4>1901</vt:i4>
      </vt:variant>
      <vt:variant>
        <vt:i4>0</vt:i4>
      </vt:variant>
      <vt:variant>
        <vt:i4>5</vt:i4>
      </vt:variant>
      <vt:variant>
        <vt:lpwstr/>
      </vt:variant>
      <vt:variant>
        <vt:lpwstr>_ENREF_31</vt:lpwstr>
      </vt:variant>
      <vt:variant>
        <vt:i4>4325387</vt:i4>
      </vt:variant>
      <vt:variant>
        <vt:i4>1889</vt:i4>
      </vt:variant>
      <vt:variant>
        <vt:i4>0</vt:i4>
      </vt:variant>
      <vt:variant>
        <vt:i4>5</vt:i4>
      </vt:variant>
      <vt:variant>
        <vt:lpwstr/>
      </vt:variant>
      <vt:variant>
        <vt:lpwstr>_ENREF_31</vt:lpwstr>
      </vt:variant>
      <vt:variant>
        <vt:i4>7471154</vt:i4>
      </vt:variant>
      <vt:variant>
        <vt:i4>1883</vt:i4>
      </vt:variant>
      <vt:variant>
        <vt:i4>0</vt:i4>
      </vt:variant>
      <vt:variant>
        <vt:i4>5</vt:i4>
      </vt:variant>
      <vt:variant>
        <vt:lpwstr/>
      </vt:variant>
      <vt:variant>
        <vt:lpwstr>_ENREF_192</vt:lpwstr>
      </vt:variant>
      <vt:variant>
        <vt:i4>4653067</vt:i4>
      </vt:variant>
      <vt:variant>
        <vt:i4>1877</vt:i4>
      </vt:variant>
      <vt:variant>
        <vt:i4>0</vt:i4>
      </vt:variant>
      <vt:variant>
        <vt:i4>5</vt:i4>
      </vt:variant>
      <vt:variant>
        <vt:lpwstr/>
      </vt:variant>
      <vt:variant>
        <vt:lpwstr>_ENREF_67</vt:lpwstr>
      </vt:variant>
      <vt:variant>
        <vt:i4>4718603</vt:i4>
      </vt:variant>
      <vt:variant>
        <vt:i4>1871</vt:i4>
      </vt:variant>
      <vt:variant>
        <vt:i4>0</vt:i4>
      </vt:variant>
      <vt:variant>
        <vt:i4>5</vt:i4>
      </vt:variant>
      <vt:variant>
        <vt:lpwstr/>
      </vt:variant>
      <vt:variant>
        <vt:lpwstr>_ENREF_92</vt:lpwstr>
      </vt:variant>
      <vt:variant>
        <vt:i4>4325387</vt:i4>
      </vt:variant>
      <vt:variant>
        <vt:i4>1865</vt:i4>
      </vt:variant>
      <vt:variant>
        <vt:i4>0</vt:i4>
      </vt:variant>
      <vt:variant>
        <vt:i4>5</vt:i4>
      </vt:variant>
      <vt:variant>
        <vt:lpwstr/>
      </vt:variant>
      <vt:variant>
        <vt:lpwstr>_ENREF_36</vt:lpwstr>
      </vt:variant>
      <vt:variant>
        <vt:i4>7340095</vt:i4>
      </vt:variant>
      <vt:variant>
        <vt:i4>1859</vt:i4>
      </vt:variant>
      <vt:variant>
        <vt:i4>0</vt:i4>
      </vt:variant>
      <vt:variant>
        <vt:i4>5</vt:i4>
      </vt:variant>
      <vt:variant>
        <vt:lpwstr/>
      </vt:variant>
      <vt:variant>
        <vt:lpwstr>_ENREF_140</vt:lpwstr>
      </vt:variant>
      <vt:variant>
        <vt:i4>7340091</vt:i4>
      </vt:variant>
      <vt:variant>
        <vt:i4>1851</vt:i4>
      </vt:variant>
      <vt:variant>
        <vt:i4>0</vt:i4>
      </vt:variant>
      <vt:variant>
        <vt:i4>5</vt:i4>
      </vt:variant>
      <vt:variant>
        <vt:lpwstr/>
      </vt:variant>
      <vt:variant>
        <vt:lpwstr>_ENREF_100</vt:lpwstr>
      </vt:variant>
      <vt:variant>
        <vt:i4>7667762</vt:i4>
      </vt:variant>
      <vt:variant>
        <vt:i4>1845</vt:i4>
      </vt:variant>
      <vt:variant>
        <vt:i4>0</vt:i4>
      </vt:variant>
      <vt:variant>
        <vt:i4>5</vt:i4>
      </vt:variant>
      <vt:variant>
        <vt:lpwstr/>
      </vt:variant>
      <vt:variant>
        <vt:lpwstr>_ENREF_195</vt:lpwstr>
      </vt:variant>
      <vt:variant>
        <vt:i4>4325387</vt:i4>
      </vt:variant>
      <vt:variant>
        <vt:i4>1839</vt:i4>
      </vt:variant>
      <vt:variant>
        <vt:i4>0</vt:i4>
      </vt:variant>
      <vt:variant>
        <vt:i4>5</vt:i4>
      </vt:variant>
      <vt:variant>
        <vt:lpwstr/>
      </vt:variant>
      <vt:variant>
        <vt:lpwstr>_ENREF_31</vt:lpwstr>
      </vt:variant>
      <vt:variant>
        <vt:i4>7536690</vt:i4>
      </vt:variant>
      <vt:variant>
        <vt:i4>1835</vt:i4>
      </vt:variant>
      <vt:variant>
        <vt:i4>0</vt:i4>
      </vt:variant>
      <vt:variant>
        <vt:i4>5</vt:i4>
      </vt:variant>
      <vt:variant>
        <vt:lpwstr/>
      </vt:variant>
      <vt:variant>
        <vt:lpwstr>_ENREF_193</vt:lpwstr>
      </vt:variant>
      <vt:variant>
        <vt:i4>7471166</vt:i4>
      </vt:variant>
      <vt:variant>
        <vt:i4>1832</vt:i4>
      </vt:variant>
      <vt:variant>
        <vt:i4>0</vt:i4>
      </vt:variant>
      <vt:variant>
        <vt:i4>5</vt:i4>
      </vt:variant>
      <vt:variant>
        <vt:lpwstr/>
      </vt:variant>
      <vt:variant>
        <vt:lpwstr>_ENREF_152</vt:lpwstr>
      </vt:variant>
      <vt:variant>
        <vt:i4>4521995</vt:i4>
      </vt:variant>
      <vt:variant>
        <vt:i4>1824</vt:i4>
      </vt:variant>
      <vt:variant>
        <vt:i4>0</vt:i4>
      </vt:variant>
      <vt:variant>
        <vt:i4>5</vt:i4>
      </vt:variant>
      <vt:variant>
        <vt:lpwstr/>
      </vt:variant>
      <vt:variant>
        <vt:lpwstr>_ENREF_42</vt:lpwstr>
      </vt:variant>
      <vt:variant>
        <vt:i4>7471154</vt:i4>
      </vt:variant>
      <vt:variant>
        <vt:i4>1821</vt:i4>
      </vt:variant>
      <vt:variant>
        <vt:i4>0</vt:i4>
      </vt:variant>
      <vt:variant>
        <vt:i4>5</vt:i4>
      </vt:variant>
      <vt:variant>
        <vt:lpwstr/>
      </vt:variant>
      <vt:variant>
        <vt:lpwstr>_ENREF_192</vt:lpwstr>
      </vt:variant>
      <vt:variant>
        <vt:i4>4325387</vt:i4>
      </vt:variant>
      <vt:variant>
        <vt:i4>1818</vt:i4>
      </vt:variant>
      <vt:variant>
        <vt:i4>0</vt:i4>
      </vt:variant>
      <vt:variant>
        <vt:i4>5</vt:i4>
      </vt:variant>
      <vt:variant>
        <vt:lpwstr/>
      </vt:variant>
      <vt:variant>
        <vt:lpwstr>_ENREF_31</vt:lpwstr>
      </vt:variant>
      <vt:variant>
        <vt:i4>7471154</vt:i4>
      </vt:variant>
      <vt:variant>
        <vt:i4>1810</vt:i4>
      </vt:variant>
      <vt:variant>
        <vt:i4>0</vt:i4>
      </vt:variant>
      <vt:variant>
        <vt:i4>5</vt:i4>
      </vt:variant>
      <vt:variant>
        <vt:lpwstr/>
      </vt:variant>
      <vt:variant>
        <vt:lpwstr>_ENREF_192</vt:lpwstr>
      </vt:variant>
      <vt:variant>
        <vt:i4>4325387</vt:i4>
      </vt:variant>
      <vt:variant>
        <vt:i4>1807</vt:i4>
      </vt:variant>
      <vt:variant>
        <vt:i4>0</vt:i4>
      </vt:variant>
      <vt:variant>
        <vt:i4>5</vt:i4>
      </vt:variant>
      <vt:variant>
        <vt:lpwstr/>
      </vt:variant>
      <vt:variant>
        <vt:lpwstr>_ENREF_31</vt:lpwstr>
      </vt:variant>
      <vt:variant>
        <vt:i4>4325387</vt:i4>
      </vt:variant>
      <vt:variant>
        <vt:i4>1797</vt:i4>
      </vt:variant>
      <vt:variant>
        <vt:i4>0</vt:i4>
      </vt:variant>
      <vt:variant>
        <vt:i4>5</vt:i4>
      </vt:variant>
      <vt:variant>
        <vt:lpwstr/>
      </vt:variant>
      <vt:variant>
        <vt:lpwstr>_ENREF_31</vt:lpwstr>
      </vt:variant>
      <vt:variant>
        <vt:i4>7602226</vt:i4>
      </vt:variant>
      <vt:variant>
        <vt:i4>1791</vt:i4>
      </vt:variant>
      <vt:variant>
        <vt:i4>0</vt:i4>
      </vt:variant>
      <vt:variant>
        <vt:i4>5</vt:i4>
      </vt:variant>
      <vt:variant>
        <vt:lpwstr/>
      </vt:variant>
      <vt:variant>
        <vt:lpwstr>_ENREF_194</vt:lpwstr>
      </vt:variant>
      <vt:variant>
        <vt:i4>7602226</vt:i4>
      </vt:variant>
      <vt:variant>
        <vt:i4>1779</vt:i4>
      </vt:variant>
      <vt:variant>
        <vt:i4>0</vt:i4>
      </vt:variant>
      <vt:variant>
        <vt:i4>5</vt:i4>
      </vt:variant>
      <vt:variant>
        <vt:lpwstr/>
      </vt:variant>
      <vt:variant>
        <vt:lpwstr>_ENREF_194</vt:lpwstr>
      </vt:variant>
      <vt:variant>
        <vt:i4>7602226</vt:i4>
      </vt:variant>
      <vt:variant>
        <vt:i4>1773</vt:i4>
      </vt:variant>
      <vt:variant>
        <vt:i4>0</vt:i4>
      </vt:variant>
      <vt:variant>
        <vt:i4>5</vt:i4>
      </vt:variant>
      <vt:variant>
        <vt:lpwstr/>
      </vt:variant>
      <vt:variant>
        <vt:lpwstr>_ENREF_194</vt:lpwstr>
      </vt:variant>
      <vt:variant>
        <vt:i4>7929915</vt:i4>
      </vt:variant>
      <vt:variant>
        <vt:i4>1767</vt:i4>
      </vt:variant>
      <vt:variant>
        <vt:i4>0</vt:i4>
      </vt:variant>
      <vt:variant>
        <vt:i4>5</vt:i4>
      </vt:variant>
      <vt:variant>
        <vt:lpwstr/>
      </vt:variant>
      <vt:variant>
        <vt:lpwstr>_ENREF_109</vt:lpwstr>
      </vt:variant>
      <vt:variant>
        <vt:i4>7929915</vt:i4>
      </vt:variant>
      <vt:variant>
        <vt:i4>1761</vt:i4>
      </vt:variant>
      <vt:variant>
        <vt:i4>0</vt:i4>
      </vt:variant>
      <vt:variant>
        <vt:i4>5</vt:i4>
      </vt:variant>
      <vt:variant>
        <vt:lpwstr/>
      </vt:variant>
      <vt:variant>
        <vt:lpwstr>_ENREF_109</vt:lpwstr>
      </vt:variant>
      <vt:variant>
        <vt:i4>4653067</vt:i4>
      </vt:variant>
      <vt:variant>
        <vt:i4>1755</vt:i4>
      </vt:variant>
      <vt:variant>
        <vt:i4>0</vt:i4>
      </vt:variant>
      <vt:variant>
        <vt:i4>5</vt:i4>
      </vt:variant>
      <vt:variant>
        <vt:lpwstr/>
      </vt:variant>
      <vt:variant>
        <vt:lpwstr>_ENREF_60</vt:lpwstr>
      </vt:variant>
      <vt:variant>
        <vt:i4>4718603</vt:i4>
      </vt:variant>
      <vt:variant>
        <vt:i4>1746</vt:i4>
      </vt:variant>
      <vt:variant>
        <vt:i4>0</vt:i4>
      </vt:variant>
      <vt:variant>
        <vt:i4>5</vt:i4>
      </vt:variant>
      <vt:variant>
        <vt:lpwstr/>
      </vt:variant>
      <vt:variant>
        <vt:lpwstr>_ENREF_90</vt:lpwstr>
      </vt:variant>
      <vt:variant>
        <vt:i4>4718603</vt:i4>
      </vt:variant>
      <vt:variant>
        <vt:i4>1737</vt:i4>
      </vt:variant>
      <vt:variant>
        <vt:i4>0</vt:i4>
      </vt:variant>
      <vt:variant>
        <vt:i4>5</vt:i4>
      </vt:variant>
      <vt:variant>
        <vt:lpwstr/>
      </vt:variant>
      <vt:variant>
        <vt:lpwstr>_ENREF_91</vt:lpwstr>
      </vt:variant>
      <vt:variant>
        <vt:i4>7602226</vt:i4>
      </vt:variant>
      <vt:variant>
        <vt:i4>1731</vt:i4>
      </vt:variant>
      <vt:variant>
        <vt:i4>0</vt:i4>
      </vt:variant>
      <vt:variant>
        <vt:i4>5</vt:i4>
      </vt:variant>
      <vt:variant>
        <vt:lpwstr/>
      </vt:variant>
      <vt:variant>
        <vt:lpwstr>_ENREF_194</vt:lpwstr>
      </vt:variant>
      <vt:variant>
        <vt:i4>7536690</vt:i4>
      </vt:variant>
      <vt:variant>
        <vt:i4>1725</vt:i4>
      </vt:variant>
      <vt:variant>
        <vt:i4>0</vt:i4>
      </vt:variant>
      <vt:variant>
        <vt:i4>5</vt:i4>
      </vt:variant>
      <vt:variant>
        <vt:lpwstr/>
      </vt:variant>
      <vt:variant>
        <vt:lpwstr>_ENREF_193</vt:lpwstr>
      </vt:variant>
      <vt:variant>
        <vt:i4>7471166</vt:i4>
      </vt:variant>
      <vt:variant>
        <vt:i4>1719</vt:i4>
      </vt:variant>
      <vt:variant>
        <vt:i4>0</vt:i4>
      </vt:variant>
      <vt:variant>
        <vt:i4>5</vt:i4>
      </vt:variant>
      <vt:variant>
        <vt:lpwstr/>
      </vt:variant>
      <vt:variant>
        <vt:lpwstr>_ENREF_152</vt:lpwstr>
      </vt:variant>
      <vt:variant>
        <vt:i4>2031675</vt:i4>
      </vt:variant>
      <vt:variant>
        <vt:i4>1706</vt:i4>
      </vt:variant>
      <vt:variant>
        <vt:i4>0</vt:i4>
      </vt:variant>
      <vt:variant>
        <vt:i4>5</vt:i4>
      </vt:variant>
      <vt:variant>
        <vt:lpwstr/>
      </vt:variant>
      <vt:variant>
        <vt:lpwstr>_Toc384196573</vt:lpwstr>
      </vt:variant>
      <vt:variant>
        <vt:i4>2031675</vt:i4>
      </vt:variant>
      <vt:variant>
        <vt:i4>1700</vt:i4>
      </vt:variant>
      <vt:variant>
        <vt:i4>0</vt:i4>
      </vt:variant>
      <vt:variant>
        <vt:i4>5</vt:i4>
      </vt:variant>
      <vt:variant>
        <vt:lpwstr/>
      </vt:variant>
      <vt:variant>
        <vt:lpwstr>_Toc384196572</vt:lpwstr>
      </vt:variant>
      <vt:variant>
        <vt:i4>2031675</vt:i4>
      </vt:variant>
      <vt:variant>
        <vt:i4>1694</vt:i4>
      </vt:variant>
      <vt:variant>
        <vt:i4>0</vt:i4>
      </vt:variant>
      <vt:variant>
        <vt:i4>5</vt:i4>
      </vt:variant>
      <vt:variant>
        <vt:lpwstr/>
      </vt:variant>
      <vt:variant>
        <vt:lpwstr>_Toc384196571</vt:lpwstr>
      </vt:variant>
      <vt:variant>
        <vt:i4>2031675</vt:i4>
      </vt:variant>
      <vt:variant>
        <vt:i4>1688</vt:i4>
      </vt:variant>
      <vt:variant>
        <vt:i4>0</vt:i4>
      </vt:variant>
      <vt:variant>
        <vt:i4>5</vt:i4>
      </vt:variant>
      <vt:variant>
        <vt:lpwstr/>
      </vt:variant>
      <vt:variant>
        <vt:lpwstr>_Toc384196570</vt:lpwstr>
      </vt:variant>
      <vt:variant>
        <vt:i4>1966139</vt:i4>
      </vt:variant>
      <vt:variant>
        <vt:i4>1682</vt:i4>
      </vt:variant>
      <vt:variant>
        <vt:i4>0</vt:i4>
      </vt:variant>
      <vt:variant>
        <vt:i4>5</vt:i4>
      </vt:variant>
      <vt:variant>
        <vt:lpwstr/>
      </vt:variant>
      <vt:variant>
        <vt:lpwstr>_Toc384196569</vt:lpwstr>
      </vt:variant>
      <vt:variant>
        <vt:i4>1966139</vt:i4>
      </vt:variant>
      <vt:variant>
        <vt:i4>1676</vt:i4>
      </vt:variant>
      <vt:variant>
        <vt:i4>0</vt:i4>
      </vt:variant>
      <vt:variant>
        <vt:i4>5</vt:i4>
      </vt:variant>
      <vt:variant>
        <vt:lpwstr/>
      </vt:variant>
      <vt:variant>
        <vt:lpwstr>_Toc384196568</vt:lpwstr>
      </vt:variant>
      <vt:variant>
        <vt:i4>1966139</vt:i4>
      </vt:variant>
      <vt:variant>
        <vt:i4>1670</vt:i4>
      </vt:variant>
      <vt:variant>
        <vt:i4>0</vt:i4>
      </vt:variant>
      <vt:variant>
        <vt:i4>5</vt:i4>
      </vt:variant>
      <vt:variant>
        <vt:lpwstr/>
      </vt:variant>
      <vt:variant>
        <vt:lpwstr>_Toc384196567</vt:lpwstr>
      </vt:variant>
      <vt:variant>
        <vt:i4>1966139</vt:i4>
      </vt:variant>
      <vt:variant>
        <vt:i4>1664</vt:i4>
      </vt:variant>
      <vt:variant>
        <vt:i4>0</vt:i4>
      </vt:variant>
      <vt:variant>
        <vt:i4>5</vt:i4>
      </vt:variant>
      <vt:variant>
        <vt:lpwstr/>
      </vt:variant>
      <vt:variant>
        <vt:lpwstr>_Toc384196566</vt:lpwstr>
      </vt:variant>
      <vt:variant>
        <vt:i4>1966139</vt:i4>
      </vt:variant>
      <vt:variant>
        <vt:i4>1658</vt:i4>
      </vt:variant>
      <vt:variant>
        <vt:i4>0</vt:i4>
      </vt:variant>
      <vt:variant>
        <vt:i4>5</vt:i4>
      </vt:variant>
      <vt:variant>
        <vt:lpwstr/>
      </vt:variant>
      <vt:variant>
        <vt:lpwstr>_Toc384196565</vt:lpwstr>
      </vt:variant>
      <vt:variant>
        <vt:i4>1966139</vt:i4>
      </vt:variant>
      <vt:variant>
        <vt:i4>1652</vt:i4>
      </vt:variant>
      <vt:variant>
        <vt:i4>0</vt:i4>
      </vt:variant>
      <vt:variant>
        <vt:i4>5</vt:i4>
      </vt:variant>
      <vt:variant>
        <vt:lpwstr/>
      </vt:variant>
      <vt:variant>
        <vt:lpwstr>_Toc384196564</vt:lpwstr>
      </vt:variant>
      <vt:variant>
        <vt:i4>1966139</vt:i4>
      </vt:variant>
      <vt:variant>
        <vt:i4>1646</vt:i4>
      </vt:variant>
      <vt:variant>
        <vt:i4>0</vt:i4>
      </vt:variant>
      <vt:variant>
        <vt:i4>5</vt:i4>
      </vt:variant>
      <vt:variant>
        <vt:lpwstr/>
      </vt:variant>
      <vt:variant>
        <vt:lpwstr>_Toc384196563</vt:lpwstr>
      </vt:variant>
      <vt:variant>
        <vt:i4>1966139</vt:i4>
      </vt:variant>
      <vt:variant>
        <vt:i4>1640</vt:i4>
      </vt:variant>
      <vt:variant>
        <vt:i4>0</vt:i4>
      </vt:variant>
      <vt:variant>
        <vt:i4>5</vt:i4>
      </vt:variant>
      <vt:variant>
        <vt:lpwstr/>
      </vt:variant>
      <vt:variant>
        <vt:lpwstr>_Toc384196562</vt:lpwstr>
      </vt:variant>
      <vt:variant>
        <vt:i4>1966139</vt:i4>
      </vt:variant>
      <vt:variant>
        <vt:i4>1634</vt:i4>
      </vt:variant>
      <vt:variant>
        <vt:i4>0</vt:i4>
      </vt:variant>
      <vt:variant>
        <vt:i4>5</vt:i4>
      </vt:variant>
      <vt:variant>
        <vt:lpwstr/>
      </vt:variant>
      <vt:variant>
        <vt:lpwstr>_Toc384196561</vt:lpwstr>
      </vt:variant>
      <vt:variant>
        <vt:i4>1966139</vt:i4>
      </vt:variant>
      <vt:variant>
        <vt:i4>1628</vt:i4>
      </vt:variant>
      <vt:variant>
        <vt:i4>0</vt:i4>
      </vt:variant>
      <vt:variant>
        <vt:i4>5</vt:i4>
      </vt:variant>
      <vt:variant>
        <vt:lpwstr/>
      </vt:variant>
      <vt:variant>
        <vt:lpwstr>_Toc384196560</vt:lpwstr>
      </vt:variant>
      <vt:variant>
        <vt:i4>1900603</vt:i4>
      </vt:variant>
      <vt:variant>
        <vt:i4>1622</vt:i4>
      </vt:variant>
      <vt:variant>
        <vt:i4>0</vt:i4>
      </vt:variant>
      <vt:variant>
        <vt:i4>5</vt:i4>
      </vt:variant>
      <vt:variant>
        <vt:lpwstr/>
      </vt:variant>
      <vt:variant>
        <vt:lpwstr>_Toc384196559</vt:lpwstr>
      </vt:variant>
      <vt:variant>
        <vt:i4>1900603</vt:i4>
      </vt:variant>
      <vt:variant>
        <vt:i4>1616</vt:i4>
      </vt:variant>
      <vt:variant>
        <vt:i4>0</vt:i4>
      </vt:variant>
      <vt:variant>
        <vt:i4>5</vt:i4>
      </vt:variant>
      <vt:variant>
        <vt:lpwstr/>
      </vt:variant>
      <vt:variant>
        <vt:lpwstr>_Toc384196558</vt:lpwstr>
      </vt:variant>
      <vt:variant>
        <vt:i4>1900603</vt:i4>
      </vt:variant>
      <vt:variant>
        <vt:i4>1610</vt:i4>
      </vt:variant>
      <vt:variant>
        <vt:i4>0</vt:i4>
      </vt:variant>
      <vt:variant>
        <vt:i4>5</vt:i4>
      </vt:variant>
      <vt:variant>
        <vt:lpwstr/>
      </vt:variant>
      <vt:variant>
        <vt:lpwstr>_Toc384196557</vt:lpwstr>
      </vt:variant>
      <vt:variant>
        <vt:i4>1900603</vt:i4>
      </vt:variant>
      <vt:variant>
        <vt:i4>1604</vt:i4>
      </vt:variant>
      <vt:variant>
        <vt:i4>0</vt:i4>
      </vt:variant>
      <vt:variant>
        <vt:i4>5</vt:i4>
      </vt:variant>
      <vt:variant>
        <vt:lpwstr/>
      </vt:variant>
      <vt:variant>
        <vt:lpwstr>_Toc384196556</vt:lpwstr>
      </vt:variant>
      <vt:variant>
        <vt:i4>1900603</vt:i4>
      </vt:variant>
      <vt:variant>
        <vt:i4>1598</vt:i4>
      </vt:variant>
      <vt:variant>
        <vt:i4>0</vt:i4>
      </vt:variant>
      <vt:variant>
        <vt:i4>5</vt:i4>
      </vt:variant>
      <vt:variant>
        <vt:lpwstr/>
      </vt:variant>
      <vt:variant>
        <vt:lpwstr>_Toc384196555</vt:lpwstr>
      </vt:variant>
      <vt:variant>
        <vt:i4>1900603</vt:i4>
      </vt:variant>
      <vt:variant>
        <vt:i4>1592</vt:i4>
      </vt:variant>
      <vt:variant>
        <vt:i4>0</vt:i4>
      </vt:variant>
      <vt:variant>
        <vt:i4>5</vt:i4>
      </vt:variant>
      <vt:variant>
        <vt:lpwstr/>
      </vt:variant>
      <vt:variant>
        <vt:lpwstr>_Toc384196554</vt:lpwstr>
      </vt:variant>
      <vt:variant>
        <vt:i4>1900603</vt:i4>
      </vt:variant>
      <vt:variant>
        <vt:i4>1586</vt:i4>
      </vt:variant>
      <vt:variant>
        <vt:i4>0</vt:i4>
      </vt:variant>
      <vt:variant>
        <vt:i4>5</vt:i4>
      </vt:variant>
      <vt:variant>
        <vt:lpwstr/>
      </vt:variant>
      <vt:variant>
        <vt:lpwstr>_Toc384196553</vt:lpwstr>
      </vt:variant>
      <vt:variant>
        <vt:i4>1900603</vt:i4>
      </vt:variant>
      <vt:variant>
        <vt:i4>1580</vt:i4>
      </vt:variant>
      <vt:variant>
        <vt:i4>0</vt:i4>
      </vt:variant>
      <vt:variant>
        <vt:i4>5</vt:i4>
      </vt:variant>
      <vt:variant>
        <vt:lpwstr/>
      </vt:variant>
      <vt:variant>
        <vt:lpwstr>_Toc384196552</vt:lpwstr>
      </vt:variant>
      <vt:variant>
        <vt:i4>1900603</vt:i4>
      </vt:variant>
      <vt:variant>
        <vt:i4>1574</vt:i4>
      </vt:variant>
      <vt:variant>
        <vt:i4>0</vt:i4>
      </vt:variant>
      <vt:variant>
        <vt:i4>5</vt:i4>
      </vt:variant>
      <vt:variant>
        <vt:lpwstr/>
      </vt:variant>
      <vt:variant>
        <vt:lpwstr>_Toc384196551</vt:lpwstr>
      </vt:variant>
      <vt:variant>
        <vt:i4>1900603</vt:i4>
      </vt:variant>
      <vt:variant>
        <vt:i4>1568</vt:i4>
      </vt:variant>
      <vt:variant>
        <vt:i4>0</vt:i4>
      </vt:variant>
      <vt:variant>
        <vt:i4>5</vt:i4>
      </vt:variant>
      <vt:variant>
        <vt:lpwstr/>
      </vt:variant>
      <vt:variant>
        <vt:lpwstr>_Toc384196550</vt:lpwstr>
      </vt:variant>
      <vt:variant>
        <vt:i4>1835067</vt:i4>
      </vt:variant>
      <vt:variant>
        <vt:i4>1562</vt:i4>
      </vt:variant>
      <vt:variant>
        <vt:i4>0</vt:i4>
      </vt:variant>
      <vt:variant>
        <vt:i4>5</vt:i4>
      </vt:variant>
      <vt:variant>
        <vt:lpwstr/>
      </vt:variant>
      <vt:variant>
        <vt:lpwstr>_Toc384196549</vt:lpwstr>
      </vt:variant>
      <vt:variant>
        <vt:i4>1835067</vt:i4>
      </vt:variant>
      <vt:variant>
        <vt:i4>1556</vt:i4>
      </vt:variant>
      <vt:variant>
        <vt:i4>0</vt:i4>
      </vt:variant>
      <vt:variant>
        <vt:i4>5</vt:i4>
      </vt:variant>
      <vt:variant>
        <vt:lpwstr/>
      </vt:variant>
      <vt:variant>
        <vt:lpwstr>_Toc384196548</vt:lpwstr>
      </vt:variant>
      <vt:variant>
        <vt:i4>1835067</vt:i4>
      </vt:variant>
      <vt:variant>
        <vt:i4>1550</vt:i4>
      </vt:variant>
      <vt:variant>
        <vt:i4>0</vt:i4>
      </vt:variant>
      <vt:variant>
        <vt:i4>5</vt:i4>
      </vt:variant>
      <vt:variant>
        <vt:lpwstr/>
      </vt:variant>
      <vt:variant>
        <vt:lpwstr>_Toc384196547</vt:lpwstr>
      </vt:variant>
      <vt:variant>
        <vt:i4>1835067</vt:i4>
      </vt:variant>
      <vt:variant>
        <vt:i4>1544</vt:i4>
      </vt:variant>
      <vt:variant>
        <vt:i4>0</vt:i4>
      </vt:variant>
      <vt:variant>
        <vt:i4>5</vt:i4>
      </vt:variant>
      <vt:variant>
        <vt:lpwstr/>
      </vt:variant>
      <vt:variant>
        <vt:lpwstr>_Toc384196546</vt:lpwstr>
      </vt:variant>
      <vt:variant>
        <vt:i4>1835067</vt:i4>
      </vt:variant>
      <vt:variant>
        <vt:i4>1538</vt:i4>
      </vt:variant>
      <vt:variant>
        <vt:i4>0</vt:i4>
      </vt:variant>
      <vt:variant>
        <vt:i4>5</vt:i4>
      </vt:variant>
      <vt:variant>
        <vt:lpwstr/>
      </vt:variant>
      <vt:variant>
        <vt:lpwstr>_Toc384196545</vt:lpwstr>
      </vt:variant>
      <vt:variant>
        <vt:i4>1835067</vt:i4>
      </vt:variant>
      <vt:variant>
        <vt:i4>1532</vt:i4>
      </vt:variant>
      <vt:variant>
        <vt:i4>0</vt:i4>
      </vt:variant>
      <vt:variant>
        <vt:i4>5</vt:i4>
      </vt:variant>
      <vt:variant>
        <vt:lpwstr/>
      </vt:variant>
      <vt:variant>
        <vt:lpwstr>_Toc384196544</vt:lpwstr>
      </vt:variant>
      <vt:variant>
        <vt:i4>1835067</vt:i4>
      </vt:variant>
      <vt:variant>
        <vt:i4>1526</vt:i4>
      </vt:variant>
      <vt:variant>
        <vt:i4>0</vt:i4>
      </vt:variant>
      <vt:variant>
        <vt:i4>5</vt:i4>
      </vt:variant>
      <vt:variant>
        <vt:lpwstr/>
      </vt:variant>
      <vt:variant>
        <vt:lpwstr>_Toc384196543</vt:lpwstr>
      </vt:variant>
      <vt:variant>
        <vt:i4>1835067</vt:i4>
      </vt:variant>
      <vt:variant>
        <vt:i4>1520</vt:i4>
      </vt:variant>
      <vt:variant>
        <vt:i4>0</vt:i4>
      </vt:variant>
      <vt:variant>
        <vt:i4>5</vt:i4>
      </vt:variant>
      <vt:variant>
        <vt:lpwstr/>
      </vt:variant>
      <vt:variant>
        <vt:lpwstr>_Toc384196542</vt:lpwstr>
      </vt:variant>
      <vt:variant>
        <vt:i4>1835067</vt:i4>
      </vt:variant>
      <vt:variant>
        <vt:i4>1514</vt:i4>
      </vt:variant>
      <vt:variant>
        <vt:i4>0</vt:i4>
      </vt:variant>
      <vt:variant>
        <vt:i4>5</vt:i4>
      </vt:variant>
      <vt:variant>
        <vt:lpwstr/>
      </vt:variant>
      <vt:variant>
        <vt:lpwstr>_Toc384196541</vt:lpwstr>
      </vt:variant>
      <vt:variant>
        <vt:i4>1835067</vt:i4>
      </vt:variant>
      <vt:variant>
        <vt:i4>1508</vt:i4>
      </vt:variant>
      <vt:variant>
        <vt:i4>0</vt:i4>
      </vt:variant>
      <vt:variant>
        <vt:i4>5</vt:i4>
      </vt:variant>
      <vt:variant>
        <vt:lpwstr/>
      </vt:variant>
      <vt:variant>
        <vt:lpwstr>_Toc384196540</vt:lpwstr>
      </vt:variant>
      <vt:variant>
        <vt:i4>1769531</vt:i4>
      </vt:variant>
      <vt:variant>
        <vt:i4>1502</vt:i4>
      </vt:variant>
      <vt:variant>
        <vt:i4>0</vt:i4>
      </vt:variant>
      <vt:variant>
        <vt:i4>5</vt:i4>
      </vt:variant>
      <vt:variant>
        <vt:lpwstr/>
      </vt:variant>
      <vt:variant>
        <vt:lpwstr>_Toc384196539</vt:lpwstr>
      </vt:variant>
      <vt:variant>
        <vt:i4>1769531</vt:i4>
      </vt:variant>
      <vt:variant>
        <vt:i4>1496</vt:i4>
      </vt:variant>
      <vt:variant>
        <vt:i4>0</vt:i4>
      </vt:variant>
      <vt:variant>
        <vt:i4>5</vt:i4>
      </vt:variant>
      <vt:variant>
        <vt:lpwstr/>
      </vt:variant>
      <vt:variant>
        <vt:lpwstr>_Toc384196538</vt:lpwstr>
      </vt:variant>
      <vt:variant>
        <vt:i4>1769531</vt:i4>
      </vt:variant>
      <vt:variant>
        <vt:i4>1490</vt:i4>
      </vt:variant>
      <vt:variant>
        <vt:i4>0</vt:i4>
      </vt:variant>
      <vt:variant>
        <vt:i4>5</vt:i4>
      </vt:variant>
      <vt:variant>
        <vt:lpwstr/>
      </vt:variant>
      <vt:variant>
        <vt:lpwstr>_Toc384196537</vt:lpwstr>
      </vt:variant>
      <vt:variant>
        <vt:i4>1769531</vt:i4>
      </vt:variant>
      <vt:variant>
        <vt:i4>1481</vt:i4>
      </vt:variant>
      <vt:variant>
        <vt:i4>0</vt:i4>
      </vt:variant>
      <vt:variant>
        <vt:i4>5</vt:i4>
      </vt:variant>
      <vt:variant>
        <vt:lpwstr/>
      </vt:variant>
      <vt:variant>
        <vt:lpwstr>_Toc384196536</vt:lpwstr>
      </vt:variant>
      <vt:variant>
        <vt:i4>1769531</vt:i4>
      </vt:variant>
      <vt:variant>
        <vt:i4>1475</vt:i4>
      </vt:variant>
      <vt:variant>
        <vt:i4>0</vt:i4>
      </vt:variant>
      <vt:variant>
        <vt:i4>5</vt:i4>
      </vt:variant>
      <vt:variant>
        <vt:lpwstr/>
      </vt:variant>
      <vt:variant>
        <vt:lpwstr>_Toc384196535</vt:lpwstr>
      </vt:variant>
      <vt:variant>
        <vt:i4>1769531</vt:i4>
      </vt:variant>
      <vt:variant>
        <vt:i4>1469</vt:i4>
      </vt:variant>
      <vt:variant>
        <vt:i4>0</vt:i4>
      </vt:variant>
      <vt:variant>
        <vt:i4>5</vt:i4>
      </vt:variant>
      <vt:variant>
        <vt:lpwstr/>
      </vt:variant>
      <vt:variant>
        <vt:lpwstr>_Toc384196534</vt:lpwstr>
      </vt:variant>
      <vt:variant>
        <vt:i4>1769531</vt:i4>
      </vt:variant>
      <vt:variant>
        <vt:i4>1463</vt:i4>
      </vt:variant>
      <vt:variant>
        <vt:i4>0</vt:i4>
      </vt:variant>
      <vt:variant>
        <vt:i4>5</vt:i4>
      </vt:variant>
      <vt:variant>
        <vt:lpwstr/>
      </vt:variant>
      <vt:variant>
        <vt:lpwstr>_Toc384196533</vt:lpwstr>
      </vt:variant>
      <vt:variant>
        <vt:i4>1769531</vt:i4>
      </vt:variant>
      <vt:variant>
        <vt:i4>1457</vt:i4>
      </vt:variant>
      <vt:variant>
        <vt:i4>0</vt:i4>
      </vt:variant>
      <vt:variant>
        <vt:i4>5</vt:i4>
      </vt:variant>
      <vt:variant>
        <vt:lpwstr/>
      </vt:variant>
      <vt:variant>
        <vt:lpwstr>_Toc384196532</vt:lpwstr>
      </vt:variant>
      <vt:variant>
        <vt:i4>1769531</vt:i4>
      </vt:variant>
      <vt:variant>
        <vt:i4>1451</vt:i4>
      </vt:variant>
      <vt:variant>
        <vt:i4>0</vt:i4>
      </vt:variant>
      <vt:variant>
        <vt:i4>5</vt:i4>
      </vt:variant>
      <vt:variant>
        <vt:lpwstr/>
      </vt:variant>
      <vt:variant>
        <vt:lpwstr>_Toc384196531</vt:lpwstr>
      </vt:variant>
      <vt:variant>
        <vt:i4>1769531</vt:i4>
      </vt:variant>
      <vt:variant>
        <vt:i4>1445</vt:i4>
      </vt:variant>
      <vt:variant>
        <vt:i4>0</vt:i4>
      </vt:variant>
      <vt:variant>
        <vt:i4>5</vt:i4>
      </vt:variant>
      <vt:variant>
        <vt:lpwstr/>
      </vt:variant>
      <vt:variant>
        <vt:lpwstr>_Toc384196530</vt:lpwstr>
      </vt:variant>
      <vt:variant>
        <vt:i4>1703995</vt:i4>
      </vt:variant>
      <vt:variant>
        <vt:i4>1439</vt:i4>
      </vt:variant>
      <vt:variant>
        <vt:i4>0</vt:i4>
      </vt:variant>
      <vt:variant>
        <vt:i4>5</vt:i4>
      </vt:variant>
      <vt:variant>
        <vt:lpwstr/>
      </vt:variant>
      <vt:variant>
        <vt:lpwstr>_Toc384196529</vt:lpwstr>
      </vt:variant>
      <vt:variant>
        <vt:i4>1703995</vt:i4>
      </vt:variant>
      <vt:variant>
        <vt:i4>1433</vt:i4>
      </vt:variant>
      <vt:variant>
        <vt:i4>0</vt:i4>
      </vt:variant>
      <vt:variant>
        <vt:i4>5</vt:i4>
      </vt:variant>
      <vt:variant>
        <vt:lpwstr/>
      </vt:variant>
      <vt:variant>
        <vt:lpwstr>_Toc384196528</vt:lpwstr>
      </vt:variant>
      <vt:variant>
        <vt:i4>1703995</vt:i4>
      </vt:variant>
      <vt:variant>
        <vt:i4>1427</vt:i4>
      </vt:variant>
      <vt:variant>
        <vt:i4>0</vt:i4>
      </vt:variant>
      <vt:variant>
        <vt:i4>5</vt:i4>
      </vt:variant>
      <vt:variant>
        <vt:lpwstr/>
      </vt:variant>
      <vt:variant>
        <vt:lpwstr>_Toc384196527</vt:lpwstr>
      </vt:variant>
      <vt:variant>
        <vt:i4>1703995</vt:i4>
      </vt:variant>
      <vt:variant>
        <vt:i4>1421</vt:i4>
      </vt:variant>
      <vt:variant>
        <vt:i4>0</vt:i4>
      </vt:variant>
      <vt:variant>
        <vt:i4>5</vt:i4>
      </vt:variant>
      <vt:variant>
        <vt:lpwstr/>
      </vt:variant>
      <vt:variant>
        <vt:lpwstr>_Toc384196526</vt:lpwstr>
      </vt:variant>
      <vt:variant>
        <vt:i4>1703995</vt:i4>
      </vt:variant>
      <vt:variant>
        <vt:i4>1415</vt:i4>
      </vt:variant>
      <vt:variant>
        <vt:i4>0</vt:i4>
      </vt:variant>
      <vt:variant>
        <vt:i4>5</vt:i4>
      </vt:variant>
      <vt:variant>
        <vt:lpwstr/>
      </vt:variant>
      <vt:variant>
        <vt:lpwstr>_Toc384196525</vt:lpwstr>
      </vt:variant>
      <vt:variant>
        <vt:i4>1703995</vt:i4>
      </vt:variant>
      <vt:variant>
        <vt:i4>1409</vt:i4>
      </vt:variant>
      <vt:variant>
        <vt:i4>0</vt:i4>
      </vt:variant>
      <vt:variant>
        <vt:i4>5</vt:i4>
      </vt:variant>
      <vt:variant>
        <vt:lpwstr/>
      </vt:variant>
      <vt:variant>
        <vt:lpwstr>_Toc384196524</vt:lpwstr>
      </vt:variant>
      <vt:variant>
        <vt:i4>1703995</vt:i4>
      </vt:variant>
      <vt:variant>
        <vt:i4>1403</vt:i4>
      </vt:variant>
      <vt:variant>
        <vt:i4>0</vt:i4>
      </vt:variant>
      <vt:variant>
        <vt:i4>5</vt:i4>
      </vt:variant>
      <vt:variant>
        <vt:lpwstr/>
      </vt:variant>
      <vt:variant>
        <vt:lpwstr>_Toc384196523</vt:lpwstr>
      </vt:variant>
      <vt:variant>
        <vt:i4>1703995</vt:i4>
      </vt:variant>
      <vt:variant>
        <vt:i4>1397</vt:i4>
      </vt:variant>
      <vt:variant>
        <vt:i4>0</vt:i4>
      </vt:variant>
      <vt:variant>
        <vt:i4>5</vt:i4>
      </vt:variant>
      <vt:variant>
        <vt:lpwstr/>
      </vt:variant>
      <vt:variant>
        <vt:lpwstr>_Toc384196522</vt:lpwstr>
      </vt:variant>
      <vt:variant>
        <vt:i4>1703995</vt:i4>
      </vt:variant>
      <vt:variant>
        <vt:i4>1391</vt:i4>
      </vt:variant>
      <vt:variant>
        <vt:i4>0</vt:i4>
      </vt:variant>
      <vt:variant>
        <vt:i4>5</vt:i4>
      </vt:variant>
      <vt:variant>
        <vt:lpwstr/>
      </vt:variant>
      <vt:variant>
        <vt:lpwstr>_Toc384196521</vt:lpwstr>
      </vt:variant>
      <vt:variant>
        <vt:i4>1703995</vt:i4>
      </vt:variant>
      <vt:variant>
        <vt:i4>1385</vt:i4>
      </vt:variant>
      <vt:variant>
        <vt:i4>0</vt:i4>
      </vt:variant>
      <vt:variant>
        <vt:i4>5</vt:i4>
      </vt:variant>
      <vt:variant>
        <vt:lpwstr/>
      </vt:variant>
      <vt:variant>
        <vt:lpwstr>_Toc384196520</vt:lpwstr>
      </vt:variant>
      <vt:variant>
        <vt:i4>1638459</vt:i4>
      </vt:variant>
      <vt:variant>
        <vt:i4>1379</vt:i4>
      </vt:variant>
      <vt:variant>
        <vt:i4>0</vt:i4>
      </vt:variant>
      <vt:variant>
        <vt:i4>5</vt:i4>
      </vt:variant>
      <vt:variant>
        <vt:lpwstr/>
      </vt:variant>
      <vt:variant>
        <vt:lpwstr>_Toc384196519</vt:lpwstr>
      </vt:variant>
      <vt:variant>
        <vt:i4>1638459</vt:i4>
      </vt:variant>
      <vt:variant>
        <vt:i4>1373</vt:i4>
      </vt:variant>
      <vt:variant>
        <vt:i4>0</vt:i4>
      </vt:variant>
      <vt:variant>
        <vt:i4>5</vt:i4>
      </vt:variant>
      <vt:variant>
        <vt:lpwstr/>
      </vt:variant>
      <vt:variant>
        <vt:lpwstr>_Toc384196518</vt:lpwstr>
      </vt:variant>
      <vt:variant>
        <vt:i4>1638459</vt:i4>
      </vt:variant>
      <vt:variant>
        <vt:i4>1367</vt:i4>
      </vt:variant>
      <vt:variant>
        <vt:i4>0</vt:i4>
      </vt:variant>
      <vt:variant>
        <vt:i4>5</vt:i4>
      </vt:variant>
      <vt:variant>
        <vt:lpwstr/>
      </vt:variant>
      <vt:variant>
        <vt:lpwstr>_Toc384196517</vt:lpwstr>
      </vt:variant>
      <vt:variant>
        <vt:i4>1638459</vt:i4>
      </vt:variant>
      <vt:variant>
        <vt:i4>1361</vt:i4>
      </vt:variant>
      <vt:variant>
        <vt:i4>0</vt:i4>
      </vt:variant>
      <vt:variant>
        <vt:i4>5</vt:i4>
      </vt:variant>
      <vt:variant>
        <vt:lpwstr/>
      </vt:variant>
      <vt:variant>
        <vt:lpwstr>_Toc384196516</vt:lpwstr>
      </vt:variant>
      <vt:variant>
        <vt:i4>1638459</vt:i4>
      </vt:variant>
      <vt:variant>
        <vt:i4>1355</vt:i4>
      </vt:variant>
      <vt:variant>
        <vt:i4>0</vt:i4>
      </vt:variant>
      <vt:variant>
        <vt:i4>5</vt:i4>
      </vt:variant>
      <vt:variant>
        <vt:lpwstr/>
      </vt:variant>
      <vt:variant>
        <vt:lpwstr>_Toc384196515</vt:lpwstr>
      </vt:variant>
      <vt:variant>
        <vt:i4>1638459</vt:i4>
      </vt:variant>
      <vt:variant>
        <vt:i4>1349</vt:i4>
      </vt:variant>
      <vt:variant>
        <vt:i4>0</vt:i4>
      </vt:variant>
      <vt:variant>
        <vt:i4>5</vt:i4>
      </vt:variant>
      <vt:variant>
        <vt:lpwstr/>
      </vt:variant>
      <vt:variant>
        <vt:lpwstr>_Toc384196514</vt:lpwstr>
      </vt:variant>
      <vt:variant>
        <vt:i4>1638459</vt:i4>
      </vt:variant>
      <vt:variant>
        <vt:i4>1343</vt:i4>
      </vt:variant>
      <vt:variant>
        <vt:i4>0</vt:i4>
      </vt:variant>
      <vt:variant>
        <vt:i4>5</vt:i4>
      </vt:variant>
      <vt:variant>
        <vt:lpwstr/>
      </vt:variant>
      <vt:variant>
        <vt:lpwstr>_Toc384196513</vt:lpwstr>
      </vt:variant>
      <vt:variant>
        <vt:i4>1638459</vt:i4>
      </vt:variant>
      <vt:variant>
        <vt:i4>1337</vt:i4>
      </vt:variant>
      <vt:variant>
        <vt:i4>0</vt:i4>
      </vt:variant>
      <vt:variant>
        <vt:i4>5</vt:i4>
      </vt:variant>
      <vt:variant>
        <vt:lpwstr/>
      </vt:variant>
      <vt:variant>
        <vt:lpwstr>_Toc384196512</vt:lpwstr>
      </vt:variant>
      <vt:variant>
        <vt:i4>1638459</vt:i4>
      </vt:variant>
      <vt:variant>
        <vt:i4>1331</vt:i4>
      </vt:variant>
      <vt:variant>
        <vt:i4>0</vt:i4>
      </vt:variant>
      <vt:variant>
        <vt:i4>5</vt:i4>
      </vt:variant>
      <vt:variant>
        <vt:lpwstr/>
      </vt:variant>
      <vt:variant>
        <vt:lpwstr>_Toc384196511</vt:lpwstr>
      </vt:variant>
      <vt:variant>
        <vt:i4>1638459</vt:i4>
      </vt:variant>
      <vt:variant>
        <vt:i4>1325</vt:i4>
      </vt:variant>
      <vt:variant>
        <vt:i4>0</vt:i4>
      </vt:variant>
      <vt:variant>
        <vt:i4>5</vt:i4>
      </vt:variant>
      <vt:variant>
        <vt:lpwstr/>
      </vt:variant>
      <vt:variant>
        <vt:lpwstr>_Toc384196510</vt:lpwstr>
      </vt:variant>
      <vt:variant>
        <vt:i4>1572923</vt:i4>
      </vt:variant>
      <vt:variant>
        <vt:i4>1319</vt:i4>
      </vt:variant>
      <vt:variant>
        <vt:i4>0</vt:i4>
      </vt:variant>
      <vt:variant>
        <vt:i4>5</vt:i4>
      </vt:variant>
      <vt:variant>
        <vt:lpwstr/>
      </vt:variant>
      <vt:variant>
        <vt:lpwstr>_Toc384196509</vt:lpwstr>
      </vt:variant>
      <vt:variant>
        <vt:i4>1572923</vt:i4>
      </vt:variant>
      <vt:variant>
        <vt:i4>1313</vt:i4>
      </vt:variant>
      <vt:variant>
        <vt:i4>0</vt:i4>
      </vt:variant>
      <vt:variant>
        <vt:i4>5</vt:i4>
      </vt:variant>
      <vt:variant>
        <vt:lpwstr/>
      </vt:variant>
      <vt:variant>
        <vt:lpwstr>_Toc384196508</vt:lpwstr>
      </vt:variant>
      <vt:variant>
        <vt:i4>1572923</vt:i4>
      </vt:variant>
      <vt:variant>
        <vt:i4>1307</vt:i4>
      </vt:variant>
      <vt:variant>
        <vt:i4>0</vt:i4>
      </vt:variant>
      <vt:variant>
        <vt:i4>5</vt:i4>
      </vt:variant>
      <vt:variant>
        <vt:lpwstr/>
      </vt:variant>
      <vt:variant>
        <vt:lpwstr>_Toc384196507</vt:lpwstr>
      </vt:variant>
      <vt:variant>
        <vt:i4>1572923</vt:i4>
      </vt:variant>
      <vt:variant>
        <vt:i4>1301</vt:i4>
      </vt:variant>
      <vt:variant>
        <vt:i4>0</vt:i4>
      </vt:variant>
      <vt:variant>
        <vt:i4>5</vt:i4>
      </vt:variant>
      <vt:variant>
        <vt:lpwstr/>
      </vt:variant>
      <vt:variant>
        <vt:lpwstr>_Toc384196506</vt:lpwstr>
      </vt:variant>
      <vt:variant>
        <vt:i4>1572923</vt:i4>
      </vt:variant>
      <vt:variant>
        <vt:i4>1295</vt:i4>
      </vt:variant>
      <vt:variant>
        <vt:i4>0</vt:i4>
      </vt:variant>
      <vt:variant>
        <vt:i4>5</vt:i4>
      </vt:variant>
      <vt:variant>
        <vt:lpwstr/>
      </vt:variant>
      <vt:variant>
        <vt:lpwstr>_Toc384196505</vt:lpwstr>
      </vt:variant>
      <vt:variant>
        <vt:i4>1572923</vt:i4>
      </vt:variant>
      <vt:variant>
        <vt:i4>1289</vt:i4>
      </vt:variant>
      <vt:variant>
        <vt:i4>0</vt:i4>
      </vt:variant>
      <vt:variant>
        <vt:i4>5</vt:i4>
      </vt:variant>
      <vt:variant>
        <vt:lpwstr/>
      </vt:variant>
      <vt:variant>
        <vt:lpwstr>_Toc384196504</vt:lpwstr>
      </vt:variant>
      <vt:variant>
        <vt:i4>1572923</vt:i4>
      </vt:variant>
      <vt:variant>
        <vt:i4>1283</vt:i4>
      </vt:variant>
      <vt:variant>
        <vt:i4>0</vt:i4>
      </vt:variant>
      <vt:variant>
        <vt:i4>5</vt:i4>
      </vt:variant>
      <vt:variant>
        <vt:lpwstr/>
      </vt:variant>
      <vt:variant>
        <vt:lpwstr>_Toc384196503</vt:lpwstr>
      </vt:variant>
      <vt:variant>
        <vt:i4>1572923</vt:i4>
      </vt:variant>
      <vt:variant>
        <vt:i4>1277</vt:i4>
      </vt:variant>
      <vt:variant>
        <vt:i4>0</vt:i4>
      </vt:variant>
      <vt:variant>
        <vt:i4>5</vt:i4>
      </vt:variant>
      <vt:variant>
        <vt:lpwstr/>
      </vt:variant>
      <vt:variant>
        <vt:lpwstr>_Toc384196502</vt:lpwstr>
      </vt:variant>
      <vt:variant>
        <vt:i4>1572923</vt:i4>
      </vt:variant>
      <vt:variant>
        <vt:i4>1271</vt:i4>
      </vt:variant>
      <vt:variant>
        <vt:i4>0</vt:i4>
      </vt:variant>
      <vt:variant>
        <vt:i4>5</vt:i4>
      </vt:variant>
      <vt:variant>
        <vt:lpwstr/>
      </vt:variant>
      <vt:variant>
        <vt:lpwstr>_Toc384196501</vt:lpwstr>
      </vt:variant>
      <vt:variant>
        <vt:i4>1572923</vt:i4>
      </vt:variant>
      <vt:variant>
        <vt:i4>1265</vt:i4>
      </vt:variant>
      <vt:variant>
        <vt:i4>0</vt:i4>
      </vt:variant>
      <vt:variant>
        <vt:i4>5</vt:i4>
      </vt:variant>
      <vt:variant>
        <vt:lpwstr/>
      </vt:variant>
      <vt:variant>
        <vt:lpwstr>_Toc384196500</vt:lpwstr>
      </vt:variant>
      <vt:variant>
        <vt:i4>1114170</vt:i4>
      </vt:variant>
      <vt:variant>
        <vt:i4>1259</vt:i4>
      </vt:variant>
      <vt:variant>
        <vt:i4>0</vt:i4>
      </vt:variant>
      <vt:variant>
        <vt:i4>5</vt:i4>
      </vt:variant>
      <vt:variant>
        <vt:lpwstr/>
      </vt:variant>
      <vt:variant>
        <vt:lpwstr>_Toc384196499</vt:lpwstr>
      </vt:variant>
      <vt:variant>
        <vt:i4>1114170</vt:i4>
      </vt:variant>
      <vt:variant>
        <vt:i4>1253</vt:i4>
      </vt:variant>
      <vt:variant>
        <vt:i4>0</vt:i4>
      </vt:variant>
      <vt:variant>
        <vt:i4>5</vt:i4>
      </vt:variant>
      <vt:variant>
        <vt:lpwstr/>
      </vt:variant>
      <vt:variant>
        <vt:lpwstr>_Toc384196498</vt:lpwstr>
      </vt:variant>
      <vt:variant>
        <vt:i4>1114170</vt:i4>
      </vt:variant>
      <vt:variant>
        <vt:i4>1247</vt:i4>
      </vt:variant>
      <vt:variant>
        <vt:i4>0</vt:i4>
      </vt:variant>
      <vt:variant>
        <vt:i4>5</vt:i4>
      </vt:variant>
      <vt:variant>
        <vt:lpwstr/>
      </vt:variant>
      <vt:variant>
        <vt:lpwstr>_Toc384196497</vt:lpwstr>
      </vt:variant>
      <vt:variant>
        <vt:i4>1114170</vt:i4>
      </vt:variant>
      <vt:variant>
        <vt:i4>1241</vt:i4>
      </vt:variant>
      <vt:variant>
        <vt:i4>0</vt:i4>
      </vt:variant>
      <vt:variant>
        <vt:i4>5</vt:i4>
      </vt:variant>
      <vt:variant>
        <vt:lpwstr/>
      </vt:variant>
      <vt:variant>
        <vt:lpwstr>_Toc384196496</vt:lpwstr>
      </vt:variant>
      <vt:variant>
        <vt:i4>1114170</vt:i4>
      </vt:variant>
      <vt:variant>
        <vt:i4>1235</vt:i4>
      </vt:variant>
      <vt:variant>
        <vt:i4>0</vt:i4>
      </vt:variant>
      <vt:variant>
        <vt:i4>5</vt:i4>
      </vt:variant>
      <vt:variant>
        <vt:lpwstr/>
      </vt:variant>
      <vt:variant>
        <vt:lpwstr>_Toc384196495</vt:lpwstr>
      </vt:variant>
      <vt:variant>
        <vt:i4>1114170</vt:i4>
      </vt:variant>
      <vt:variant>
        <vt:i4>1229</vt:i4>
      </vt:variant>
      <vt:variant>
        <vt:i4>0</vt:i4>
      </vt:variant>
      <vt:variant>
        <vt:i4>5</vt:i4>
      </vt:variant>
      <vt:variant>
        <vt:lpwstr/>
      </vt:variant>
      <vt:variant>
        <vt:lpwstr>_Toc384196494</vt:lpwstr>
      </vt:variant>
      <vt:variant>
        <vt:i4>1114170</vt:i4>
      </vt:variant>
      <vt:variant>
        <vt:i4>1223</vt:i4>
      </vt:variant>
      <vt:variant>
        <vt:i4>0</vt:i4>
      </vt:variant>
      <vt:variant>
        <vt:i4>5</vt:i4>
      </vt:variant>
      <vt:variant>
        <vt:lpwstr/>
      </vt:variant>
      <vt:variant>
        <vt:lpwstr>_Toc384196493</vt:lpwstr>
      </vt:variant>
      <vt:variant>
        <vt:i4>1114170</vt:i4>
      </vt:variant>
      <vt:variant>
        <vt:i4>1217</vt:i4>
      </vt:variant>
      <vt:variant>
        <vt:i4>0</vt:i4>
      </vt:variant>
      <vt:variant>
        <vt:i4>5</vt:i4>
      </vt:variant>
      <vt:variant>
        <vt:lpwstr/>
      </vt:variant>
      <vt:variant>
        <vt:lpwstr>_Toc384196492</vt:lpwstr>
      </vt:variant>
      <vt:variant>
        <vt:i4>1114170</vt:i4>
      </vt:variant>
      <vt:variant>
        <vt:i4>1211</vt:i4>
      </vt:variant>
      <vt:variant>
        <vt:i4>0</vt:i4>
      </vt:variant>
      <vt:variant>
        <vt:i4>5</vt:i4>
      </vt:variant>
      <vt:variant>
        <vt:lpwstr/>
      </vt:variant>
      <vt:variant>
        <vt:lpwstr>_Toc384196491</vt:lpwstr>
      </vt:variant>
      <vt:variant>
        <vt:i4>1114170</vt:i4>
      </vt:variant>
      <vt:variant>
        <vt:i4>1205</vt:i4>
      </vt:variant>
      <vt:variant>
        <vt:i4>0</vt:i4>
      </vt:variant>
      <vt:variant>
        <vt:i4>5</vt:i4>
      </vt:variant>
      <vt:variant>
        <vt:lpwstr/>
      </vt:variant>
      <vt:variant>
        <vt:lpwstr>_Toc384196490</vt:lpwstr>
      </vt:variant>
      <vt:variant>
        <vt:i4>1048634</vt:i4>
      </vt:variant>
      <vt:variant>
        <vt:i4>1199</vt:i4>
      </vt:variant>
      <vt:variant>
        <vt:i4>0</vt:i4>
      </vt:variant>
      <vt:variant>
        <vt:i4>5</vt:i4>
      </vt:variant>
      <vt:variant>
        <vt:lpwstr/>
      </vt:variant>
      <vt:variant>
        <vt:lpwstr>_Toc384196489</vt:lpwstr>
      </vt:variant>
      <vt:variant>
        <vt:i4>1048634</vt:i4>
      </vt:variant>
      <vt:variant>
        <vt:i4>1193</vt:i4>
      </vt:variant>
      <vt:variant>
        <vt:i4>0</vt:i4>
      </vt:variant>
      <vt:variant>
        <vt:i4>5</vt:i4>
      </vt:variant>
      <vt:variant>
        <vt:lpwstr/>
      </vt:variant>
      <vt:variant>
        <vt:lpwstr>_Toc384196488</vt:lpwstr>
      </vt:variant>
      <vt:variant>
        <vt:i4>1048634</vt:i4>
      </vt:variant>
      <vt:variant>
        <vt:i4>1187</vt:i4>
      </vt:variant>
      <vt:variant>
        <vt:i4>0</vt:i4>
      </vt:variant>
      <vt:variant>
        <vt:i4>5</vt:i4>
      </vt:variant>
      <vt:variant>
        <vt:lpwstr/>
      </vt:variant>
      <vt:variant>
        <vt:lpwstr>_Toc384196487</vt:lpwstr>
      </vt:variant>
      <vt:variant>
        <vt:i4>1048634</vt:i4>
      </vt:variant>
      <vt:variant>
        <vt:i4>1181</vt:i4>
      </vt:variant>
      <vt:variant>
        <vt:i4>0</vt:i4>
      </vt:variant>
      <vt:variant>
        <vt:i4>5</vt:i4>
      </vt:variant>
      <vt:variant>
        <vt:lpwstr/>
      </vt:variant>
      <vt:variant>
        <vt:lpwstr>_Toc384196486</vt:lpwstr>
      </vt:variant>
      <vt:variant>
        <vt:i4>1048634</vt:i4>
      </vt:variant>
      <vt:variant>
        <vt:i4>1175</vt:i4>
      </vt:variant>
      <vt:variant>
        <vt:i4>0</vt:i4>
      </vt:variant>
      <vt:variant>
        <vt:i4>5</vt:i4>
      </vt:variant>
      <vt:variant>
        <vt:lpwstr/>
      </vt:variant>
      <vt:variant>
        <vt:lpwstr>_Toc384196485</vt:lpwstr>
      </vt:variant>
      <vt:variant>
        <vt:i4>1048634</vt:i4>
      </vt:variant>
      <vt:variant>
        <vt:i4>1169</vt:i4>
      </vt:variant>
      <vt:variant>
        <vt:i4>0</vt:i4>
      </vt:variant>
      <vt:variant>
        <vt:i4>5</vt:i4>
      </vt:variant>
      <vt:variant>
        <vt:lpwstr/>
      </vt:variant>
      <vt:variant>
        <vt:lpwstr>_Toc384196484</vt:lpwstr>
      </vt:variant>
      <vt:variant>
        <vt:i4>1048634</vt:i4>
      </vt:variant>
      <vt:variant>
        <vt:i4>1163</vt:i4>
      </vt:variant>
      <vt:variant>
        <vt:i4>0</vt:i4>
      </vt:variant>
      <vt:variant>
        <vt:i4>5</vt:i4>
      </vt:variant>
      <vt:variant>
        <vt:lpwstr/>
      </vt:variant>
      <vt:variant>
        <vt:lpwstr>_Toc384196483</vt:lpwstr>
      </vt:variant>
      <vt:variant>
        <vt:i4>1048634</vt:i4>
      </vt:variant>
      <vt:variant>
        <vt:i4>1157</vt:i4>
      </vt:variant>
      <vt:variant>
        <vt:i4>0</vt:i4>
      </vt:variant>
      <vt:variant>
        <vt:i4>5</vt:i4>
      </vt:variant>
      <vt:variant>
        <vt:lpwstr/>
      </vt:variant>
      <vt:variant>
        <vt:lpwstr>_Toc384196482</vt:lpwstr>
      </vt:variant>
      <vt:variant>
        <vt:i4>1048634</vt:i4>
      </vt:variant>
      <vt:variant>
        <vt:i4>1151</vt:i4>
      </vt:variant>
      <vt:variant>
        <vt:i4>0</vt:i4>
      </vt:variant>
      <vt:variant>
        <vt:i4>5</vt:i4>
      </vt:variant>
      <vt:variant>
        <vt:lpwstr/>
      </vt:variant>
      <vt:variant>
        <vt:lpwstr>_Toc384196481</vt:lpwstr>
      </vt:variant>
      <vt:variant>
        <vt:i4>1048634</vt:i4>
      </vt:variant>
      <vt:variant>
        <vt:i4>1145</vt:i4>
      </vt:variant>
      <vt:variant>
        <vt:i4>0</vt:i4>
      </vt:variant>
      <vt:variant>
        <vt:i4>5</vt:i4>
      </vt:variant>
      <vt:variant>
        <vt:lpwstr/>
      </vt:variant>
      <vt:variant>
        <vt:lpwstr>_Toc384196480</vt:lpwstr>
      </vt:variant>
      <vt:variant>
        <vt:i4>2031674</vt:i4>
      </vt:variant>
      <vt:variant>
        <vt:i4>1139</vt:i4>
      </vt:variant>
      <vt:variant>
        <vt:i4>0</vt:i4>
      </vt:variant>
      <vt:variant>
        <vt:i4>5</vt:i4>
      </vt:variant>
      <vt:variant>
        <vt:lpwstr/>
      </vt:variant>
      <vt:variant>
        <vt:lpwstr>_Toc384196479</vt:lpwstr>
      </vt:variant>
      <vt:variant>
        <vt:i4>2031674</vt:i4>
      </vt:variant>
      <vt:variant>
        <vt:i4>1133</vt:i4>
      </vt:variant>
      <vt:variant>
        <vt:i4>0</vt:i4>
      </vt:variant>
      <vt:variant>
        <vt:i4>5</vt:i4>
      </vt:variant>
      <vt:variant>
        <vt:lpwstr/>
      </vt:variant>
      <vt:variant>
        <vt:lpwstr>_Toc384196478</vt:lpwstr>
      </vt:variant>
      <vt:variant>
        <vt:i4>2031674</vt:i4>
      </vt:variant>
      <vt:variant>
        <vt:i4>1127</vt:i4>
      </vt:variant>
      <vt:variant>
        <vt:i4>0</vt:i4>
      </vt:variant>
      <vt:variant>
        <vt:i4>5</vt:i4>
      </vt:variant>
      <vt:variant>
        <vt:lpwstr/>
      </vt:variant>
      <vt:variant>
        <vt:lpwstr>_Toc384196477</vt:lpwstr>
      </vt:variant>
      <vt:variant>
        <vt:i4>2031674</vt:i4>
      </vt:variant>
      <vt:variant>
        <vt:i4>1121</vt:i4>
      </vt:variant>
      <vt:variant>
        <vt:i4>0</vt:i4>
      </vt:variant>
      <vt:variant>
        <vt:i4>5</vt:i4>
      </vt:variant>
      <vt:variant>
        <vt:lpwstr/>
      </vt:variant>
      <vt:variant>
        <vt:lpwstr>_Toc384196476</vt:lpwstr>
      </vt:variant>
      <vt:variant>
        <vt:i4>2031674</vt:i4>
      </vt:variant>
      <vt:variant>
        <vt:i4>1115</vt:i4>
      </vt:variant>
      <vt:variant>
        <vt:i4>0</vt:i4>
      </vt:variant>
      <vt:variant>
        <vt:i4>5</vt:i4>
      </vt:variant>
      <vt:variant>
        <vt:lpwstr/>
      </vt:variant>
      <vt:variant>
        <vt:lpwstr>_Toc384196475</vt:lpwstr>
      </vt:variant>
      <vt:variant>
        <vt:i4>2031674</vt:i4>
      </vt:variant>
      <vt:variant>
        <vt:i4>1109</vt:i4>
      </vt:variant>
      <vt:variant>
        <vt:i4>0</vt:i4>
      </vt:variant>
      <vt:variant>
        <vt:i4>5</vt:i4>
      </vt:variant>
      <vt:variant>
        <vt:lpwstr/>
      </vt:variant>
      <vt:variant>
        <vt:lpwstr>_Toc384196474</vt:lpwstr>
      </vt:variant>
      <vt:variant>
        <vt:i4>2031674</vt:i4>
      </vt:variant>
      <vt:variant>
        <vt:i4>1103</vt:i4>
      </vt:variant>
      <vt:variant>
        <vt:i4>0</vt:i4>
      </vt:variant>
      <vt:variant>
        <vt:i4>5</vt:i4>
      </vt:variant>
      <vt:variant>
        <vt:lpwstr/>
      </vt:variant>
      <vt:variant>
        <vt:lpwstr>_Toc384196473</vt:lpwstr>
      </vt:variant>
      <vt:variant>
        <vt:i4>2031674</vt:i4>
      </vt:variant>
      <vt:variant>
        <vt:i4>1097</vt:i4>
      </vt:variant>
      <vt:variant>
        <vt:i4>0</vt:i4>
      </vt:variant>
      <vt:variant>
        <vt:i4>5</vt:i4>
      </vt:variant>
      <vt:variant>
        <vt:lpwstr/>
      </vt:variant>
      <vt:variant>
        <vt:lpwstr>_Toc384196472</vt:lpwstr>
      </vt:variant>
      <vt:variant>
        <vt:i4>2031674</vt:i4>
      </vt:variant>
      <vt:variant>
        <vt:i4>1091</vt:i4>
      </vt:variant>
      <vt:variant>
        <vt:i4>0</vt:i4>
      </vt:variant>
      <vt:variant>
        <vt:i4>5</vt:i4>
      </vt:variant>
      <vt:variant>
        <vt:lpwstr/>
      </vt:variant>
      <vt:variant>
        <vt:lpwstr>_Toc384196471</vt:lpwstr>
      </vt:variant>
      <vt:variant>
        <vt:i4>2031674</vt:i4>
      </vt:variant>
      <vt:variant>
        <vt:i4>1085</vt:i4>
      </vt:variant>
      <vt:variant>
        <vt:i4>0</vt:i4>
      </vt:variant>
      <vt:variant>
        <vt:i4>5</vt:i4>
      </vt:variant>
      <vt:variant>
        <vt:lpwstr/>
      </vt:variant>
      <vt:variant>
        <vt:lpwstr>_Toc384196470</vt:lpwstr>
      </vt:variant>
      <vt:variant>
        <vt:i4>1966138</vt:i4>
      </vt:variant>
      <vt:variant>
        <vt:i4>1079</vt:i4>
      </vt:variant>
      <vt:variant>
        <vt:i4>0</vt:i4>
      </vt:variant>
      <vt:variant>
        <vt:i4>5</vt:i4>
      </vt:variant>
      <vt:variant>
        <vt:lpwstr/>
      </vt:variant>
      <vt:variant>
        <vt:lpwstr>_Toc384196469</vt:lpwstr>
      </vt:variant>
      <vt:variant>
        <vt:i4>1966138</vt:i4>
      </vt:variant>
      <vt:variant>
        <vt:i4>1073</vt:i4>
      </vt:variant>
      <vt:variant>
        <vt:i4>0</vt:i4>
      </vt:variant>
      <vt:variant>
        <vt:i4>5</vt:i4>
      </vt:variant>
      <vt:variant>
        <vt:lpwstr/>
      </vt:variant>
      <vt:variant>
        <vt:lpwstr>_Toc384196468</vt:lpwstr>
      </vt:variant>
      <vt:variant>
        <vt:i4>1966138</vt:i4>
      </vt:variant>
      <vt:variant>
        <vt:i4>1067</vt:i4>
      </vt:variant>
      <vt:variant>
        <vt:i4>0</vt:i4>
      </vt:variant>
      <vt:variant>
        <vt:i4>5</vt:i4>
      </vt:variant>
      <vt:variant>
        <vt:lpwstr/>
      </vt:variant>
      <vt:variant>
        <vt:lpwstr>_Toc384196467</vt:lpwstr>
      </vt:variant>
      <vt:variant>
        <vt:i4>1966138</vt:i4>
      </vt:variant>
      <vt:variant>
        <vt:i4>1061</vt:i4>
      </vt:variant>
      <vt:variant>
        <vt:i4>0</vt:i4>
      </vt:variant>
      <vt:variant>
        <vt:i4>5</vt:i4>
      </vt:variant>
      <vt:variant>
        <vt:lpwstr/>
      </vt:variant>
      <vt:variant>
        <vt:lpwstr>_Toc384196466</vt:lpwstr>
      </vt:variant>
      <vt:variant>
        <vt:i4>1966138</vt:i4>
      </vt:variant>
      <vt:variant>
        <vt:i4>1055</vt:i4>
      </vt:variant>
      <vt:variant>
        <vt:i4>0</vt:i4>
      </vt:variant>
      <vt:variant>
        <vt:i4>5</vt:i4>
      </vt:variant>
      <vt:variant>
        <vt:lpwstr/>
      </vt:variant>
      <vt:variant>
        <vt:lpwstr>_Toc384196465</vt:lpwstr>
      </vt:variant>
      <vt:variant>
        <vt:i4>1966138</vt:i4>
      </vt:variant>
      <vt:variant>
        <vt:i4>1049</vt:i4>
      </vt:variant>
      <vt:variant>
        <vt:i4>0</vt:i4>
      </vt:variant>
      <vt:variant>
        <vt:i4>5</vt:i4>
      </vt:variant>
      <vt:variant>
        <vt:lpwstr/>
      </vt:variant>
      <vt:variant>
        <vt:lpwstr>_Toc384196464</vt:lpwstr>
      </vt:variant>
      <vt:variant>
        <vt:i4>1966138</vt:i4>
      </vt:variant>
      <vt:variant>
        <vt:i4>1043</vt:i4>
      </vt:variant>
      <vt:variant>
        <vt:i4>0</vt:i4>
      </vt:variant>
      <vt:variant>
        <vt:i4>5</vt:i4>
      </vt:variant>
      <vt:variant>
        <vt:lpwstr/>
      </vt:variant>
      <vt:variant>
        <vt:lpwstr>_Toc384196463</vt:lpwstr>
      </vt:variant>
      <vt:variant>
        <vt:i4>1966138</vt:i4>
      </vt:variant>
      <vt:variant>
        <vt:i4>1037</vt:i4>
      </vt:variant>
      <vt:variant>
        <vt:i4>0</vt:i4>
      </vt:variant>
      <vt:variant>
        <vt:i4>5</vt:i4>
      </vt:variant>
      <vt:variant>
        <vt:lpwstr/>
      </vt:variant>
      <vt:variant>
        <vt:lpwstr>_Toc384196462</vt:lpwstr>
      </vt:variant>
      <vt:variant>
        <vt:i4>1966138</vt:i4>
      </vt:variant>
      <vt:variant>
        <vt:i4>1031</vt:i4>
      </vt:variant>
      <vt:variant>
        <vt:i4>0</vt:i4>
      </vt:variant>
      <vt:variant>
        <vt:i4>5</vt:i4>
      </vt:variant>
      <vt:variant>
        <vt:lpwstr/>
      </vt:variant>
      <vt:variant>
        <vt:lpwstr>_Toc384196461</vt:lpwstr>
      </vt:variant>
      <vt:variant>
        <vt:i4>1966138</vt:i4>
      </vt:variant>
      <vt:variant>
        <vt:i4>1025</vt:i4>
      </vt:variant>
      <vt:variant>
        <vt:i4>0</vt:i4>
      </vt:variant>
      <vt:variant>
        <vt:i4>5</vt:i4>
      </vt:variant>
      <vt:variant>
        <vt:lpwstr/>
      </vt:variant>
      <vt:variant>
        <vt:lpwstr>_Toc384196460</vt:lpwstr>
      </vt:variant>
      <vt:variant>
        <vt:i4>1900602</vt:i4>
      </vt:variant>
      <vt:variant>
        <vt:i4>1019</vt:i4>
      </vt:variant>
      <vt:variant>
        <vt:i4>0</vt:i4>
      </vt:variant>
      <vt:variant>
        <vt:i4>5</vt:i4>
      </vt:variant>
      <vt:variant>
        <vt:lpwstr/>
      </vt:variant>
      <vt:variant>
        <vt:lpwstr>_Toc384196459</vt:lpwstr>
      </vt:variant>
      <vt:variant>
        <vt:i4>1900602</vt:i4>
      </vt:variant>
      <vt:variant>
        <vt:i4>1013</vt:i4>
      </vt:variant>
      <vt:variant>
        <vt:i4>0</vt:i4>
      </vt:variant>
      <vt:variant>
        <vt:i4>5</vt:i4>
      </vt:variant>
      <vt:variant>
        <vt:lpwstr/>
      </vt:variant>
      <vt:variant>
        <vt:lpwstr>_Toc384196458</vt:lpwstr>
      </vt:variant>
      <vt:variant>
        <vt:i4>1900602</vt:i4>
      </vt:variant>
      <vt:variant>
        <vt:i4>1007</vt:i4>
      </vt:variant>
      <vt:variant>
        <vt:i4>0</vt:i4>
      </vt:variant>
      <vt:variant>
        <vt:i4>5</vt:i4>
      </vt:variant>
      <vt:variant>
        <vt:lpwstr/>
      </vt:variant>
      <vt:variant>
        <vt:lpwstr>_Toc384196457</vt:lpwstr>
      </vt:variant>
      <vt:variant>
        <vt:i4>1900602</vt:i4>
      </vt:variant>
      <vt:variant>
        <vt:i4>1001</vt:i4>
      </vt:variant>
      <vt:variant>
        <vt:i4>0</vt:i4>
      </vt:variant>
      <vt:variant>
        <vt:i4>5</vt:i4>
      </vt:variant>
      <vt:variant>
        <vt:lpwstr/>
      </vt:variant>
      <vt:variant>
        <vt:lpwstr>_Toc384196456</vt:lpwstr>
      </vt:variant>
      <vt:variant>
        <vt:i4>1900602</vt:i4>
      </vt:variant>
      <vt:variant>
        <vt:i4>995</vt:i4>
      </vt:variant>
      <vt:variant>
        <vt:i4>0</vt:i4>
      </vt:variant>
      <vt:variant>
        <vt:i4>5</vt:i4>
      </vt:variant>
      <vt:variant>
        <vt:lpwstr/>
      </vt:variant>
      <vt:variant>
        <vt:lpwstr>_Toc384196455</vt:lpwstr>
      </vt:variant>
      <vt:variant>
        <vt:i4>1900602</vt:i4>
      </vt:variant>
      <vt:variant>
        <vt:i4>989</vt:i4>
      </vt:variant>
      <vt:variant>
        <vt:i4>0</vt:i4>
      </vt:variant>
      <vt:variant>
        <vt:i4>5</vt:i4>
      </vt:variant>
      <vt:variant>
        <vt:lpwstr/>
      </vt:variant>
      <vt:variant>
        <vt:lpwstr>_Toc384196454</vt:lpwstr>
      </vt:variant>
      <vt:variant>
        <vt:i4>1900602</vt:i4>
      </vt:variant>
      <vt:variant>
        <vt:i4>983</vt:i4>
      </vt:variant>
      <vt:variant>
        <vt:i4>0</vt:i4>
      </vt:variant>
      <vt:variant>
        <vt:i4>5</vt:i4>
      </vt:variant>
      <vt:variant>
        <vt:lpwstr/>
      </vt:variant>
      <vt:variant>
        <vt:lpwstr>_Toc384196453</vt:lpwstr>
      </vt:variant>
      <vt:variant>
        <vt:i4>1900602</vt:i4>
      </vt:variant>
      <vt:variant>
        <vt:i4>977</vt:i4>
      </vt:variant>
      <vt:variant>
        <vt:i4>0</vt:i4>
      </vt:variant>
      <vt:variant>
        <vt:i4>5</vt:i4>
      </vt:variant>
      <vt:variant>
        <vt:lpwstr/>
      </vt:variant>
      <vt:variant>
        <vt:lpwstr>_Toc384196452</vt:lpwstr>
      </vt:variant>
      <vt:variant>
        <vt:i4>1900602</vt:i4>
      </vt:variant>
      <vt:variant>
        <vt:i4>971</vt:i4>
      </vt:variant>
      <vt:variant>
        <vt:i4>0</vt:i4>
      </vt:variant>
      <vt:variant>
        <vt:i4>5</vt:i4>
      </vt:variant>
      <vt:variant>
        <vt:lpwstr/>
      </vt:variant>
      <vt:variant>
        <vt:lpwstr>_Toc384196451</vt:lpwstr>
      </vt:variant>
      <vt:variant>
        <vt:i4>1900602</vt:i4>
      </vt:variant>
      <vt:variant>
        <vt:i4>965</vt:i4>
      </vt:variant>
      <vt:variant>
        <vt:i4>0</vt:i4>
      </vt:variant>
      <vt:variant>
        <vt:i4>5</vt:i4>
      </vt:variant>
      <vt:variant>
        <vt:lpwstr/>
      </vt:variant>
      <vt:variant>
        <vt:lpwstr>_Toc384196450</vt:lpwstr>
      </vt:variant>
      <vt:variant>
        <vt:i4>1835066</vt:i4>
      </vt:variant>
      <vt:variant>
        <vt:i4>959</vt:i4>
      </vt:variant>
      <vt:variant>
        <vt:i4>0</vt:i4>
      </vt:variant>
      <vt:variant>
        <vt:i4>5</vt:i4>
      </vt:variant>
      <vt:variant>
        <vt:lpwstr/>
      </vt:variant>
      <vt:variant>
        <vt:lpwstr>_Toc384196449</vt:lpwstr>
      </vt:variant>
      <vt:variant>
        <vt:i4>1835066</vt:i4>
      </vt:variant>
      <vt:variant>
        <vt:i4>953</vt:i4>
      </vt:variant>
      <vt:variant>
        <vt:i4>0</vt:i4>
      </vt:variant>
      <vt:variant>
        <vt:i4>5</vt:i4>
      </vt:variant>
      <vt:variant>
        <vt:lpwstr/>
      </vt:variant>
      <vt:variant>
        <vt:lpwstr>_Toc384196448</vt:lpwstr>
      </vt:variant>
      <vt:variant>
        <vt:i4>1835066</vt:i4>
      </vt:variant>
      <vt:variant>
        <vt:i4>947</vt:i4>
      </vt:variant>
      <vt:variant>
        <vt:i4>0</vt:i4>
      </vt:variant>
      <vt:variant>
        <vt:i4>5</vt:i4>
      </vt:variant>
      <vt:variant>
        <vt:lpwstr/>
      </vt:variant>
      <vt:variant>
        <vt:lpwstr>_Toc384196447</vt:lpwstr>
      </vt:variant>
      <vt:variant>
        <vt:i4>1835066</vt:i4>
      </vt:variant>
      <vt:variant>
        <vt:i4>941</vt:i4>
      </vt:variant>
      <vt:variant>
        <vt:i4>0</vt:i4>
      </vt:variant>
      <vt:variant>
        <vt:i4>5</vt:i4>
      </vt:variant>
      <vt:variant>
        <vt:lpwstr/>
      </vt:variant>
      <vt:variant>
        <vt:lpwstr>_Toc384196446</vt:lpwstr>
      </vt:variant>
      <vt:variant>
        <vt:i4>1835066</vt:i4>
      </vt:variant>
      <vt:variant>
        <vt:i4>935</vt:i4>
      </vt:variant>
      <vt:variant>
        <vt:i4>0</vt:i4>
      </vt:variant>
      <vt:variant>
        <vt:i4>5</vt:i4>
      </vt:variant>
      <vt:variant>
        <vt:lpwstr/>
      </vt:variant>
      <vt:variant>
        <vt:lpwstr>_Toc384196445</vt:lpwstr>
      </vt:variant>
      <vt:variant>
        <vt:i4>1835066</vt:i4>
      </vt:variant>
      <vt:variant>
        <vt:i4>929</vt:i4>
      </vt:variant>
      <vt:variant>
        <vt:i4>0</vt:i4>
      </vt:variant>
      <vt:variant>
        <vt:i4>5</vt:i4>
      </vt:variant>
      <vt:variant>
        <vt:lpwstr/>
      </vt:variant>
      <vt:variant>
        <vt:lpwstr>_Toc384196444</vt:lpwstr>
      </vt:variant>
      <vt:variant>
        <vt:i4>1835066</vt:i4>
      </vt:variant>
      <vt:variant>
        <vt:i4>923</vt:i4>
      </vt:variant>
      <vt:variant>
        <vt:i4>0</vt:i4>
      </vt:variant>
      <vt:variant>
        <vt:i4>5</vt:i4>
      </vt:variant>
      <vt:variant>
        <vt:lpwstr/>
      </vt:variant>
      <vt:variant>
        <vt:lpwstr>_Toc384196443</vt:lpwstr>
      </vt:variant>
      <vt:variant>
        <vt:i4>1835066</vt:i4>
      </vt:variant>
      <vt:variant>
        <vt:i4>917</vt:i4>
      </vt:variant>
      <vt:variant>
        <vt:i4>0</vt:i4>
      </vt:variant>
      <vt:variant>
        <vt:i4>5</vt:i4>
      </vt:variant>
      <vt:variant>
        <vt:lpwstr/>
      </vt:variant>
      <vt:variant>
        <vt:lpwstr>_Toc384196442</vt:lpwstr>
      </vt:variant>
      <vt:variant>
        <vt:i4>1835066</vt:i4>
      </vt:variant>
      <vt:variant>
        <vt:i4>911</vt:i4>
      </vt:variant>
      <vt:variant>
        <vt:i4>0</vt:i4>
      </vt:variant>
      <vt:variant>
        <vt:i4>5</vt:i4>
      </vt:variant>
      <vt:variant>
        <vt:lpwstr/>
      </vt:variant>
      <vt:variant>
        <vt:lpwstr>_Toc384196441</vt:lpwstr>
      </vt:variant>
      <vt:variant>
        <vt:i4>1835066</vt:i4>
      </vt:variant>
      <vt:variant>
        <vt:i4>905</vt:i4>
      </vt:variant>
      <vt:variant>
        <vt:i4>0</vt:i4>
      </vt:variant>
      <vt:variant>
        <vt:i4>5</vt:i4>
      </vt:variant>
      <vt:variant>
        <vt:lpwstr/>
      </vt:variant>
      <vt:variant>
        <vt:lpwstr>_Toc384196440</vt:lpwstr>
      </vt:variant>
      <vt:variant>
        <vt:i4>1769530</vt:i4>
      </vt:variant>
      <vt:variant>
        <vt:i4>899</vt:i4>
      </vt:variant>
      <vt:variant>
        <vt:i4>0</vt:i4>
      </vt:variant>
      <vt:variant>
        <vt:i4>5</vt:i4>
      </vt:variant>
      <vt:variant>
        <vt:lpwstr/>
      </vt:variant>
      <vt:variant>
        <vt:lpwstr>_Toc384196439</vt:lpwstr>
      </vt:variant>
      <vt:variant>
        <vt:i4>1769530</vt:i4>
      </vt:variant>
      <vt:variant>
        <vt:i4>893</vt:i4>
      </vt:variant>
      <vt:variant>
        <vt:i4>0</vt:i4>
      </vt:variant>
      <vt:variant>
        <vt:i4>5</vt:i4>
      </vt:variant>
      <vt:variant>
        <vt:lpwstr/>
      </vt:variant>
      <vt:variant>
        <vt:lpwstr>_Toc384196438</vt:lpwstr>
      </vt:variant>
      <vt:variant>
        <vt:i4>1769530</vt:i4>
      </vt:variant>
      <vt:variant>
        <vt:i4>887</vt:i4>
      </vt:variant>
      <vt:variant>
        <vt:i4>0</vt:i4>
      </vt:variant>
      <vt:variant>
        <vt:i4>5</vt:i4>
      </vt:variant>
      <vt:variant>
        <vt:lpwstr/>
      </vt:variant>
      <vt:variant>
        <vt:lpwstr>_Toc384196437</vt:lpwstr>
      </vt:variant>
      <vt:variant>
        <vt:i4>1769530</vt:i4>
      </vt:variant>
      <vt:variant>
        <vt:i4>881</vt:i4>
      </vt:variant>
      <vt:variant>
        <vt:i4>0</vt:i4>
      </vt:variant>
      <vt:variant>
        <vt:i4>5</vt:i4>
      </vt:variant>
      <vt:variant>
        <vt:lpwstr/>
      </vt:variant>
      <vt:variant>
        <vt:lpwstr>_Toc384196436</vt:lpwstr>
      </vt:variant>
      <vt:variant>
        <vt:i4>1769530</vt:i4>
      </vt:variant>
      <vt:variant>
        <vt:i4>875</vt:i4>
      </vt:variant>
      <vt:variant>
        <vt:i4>0</vt:i4>
      </vt:variant>
      <vt:variant>
        <vt:i4>5</vt:i4>
      </vt:variant>
      <vt:variant>
        <vt:lpwstr/>
      </vt:variant>
      <vt:variant>
        <vt:lpwstr>_Toc384196435</vt:lpwstr>
      </vt:variant>
      <vt:variant>
        <vt:i4>1769530</vt:i4>
      </vt:variant>
      <vt:variant>
        <vt:i4>869</vt:i4>
      </vt:variant>
      <vt:variant>
        <vt:i4>0</vt:i4>
      </vt:variant>
      <vt:variant>
        <vt:i4>5</vt:i4>
      </vt:variant>
      <vt:variant>
        <vt:lpwstr/>
      </vt:variant>
      <vt:variant>
        <vt:lpwstr>_Toc384196434</vt:lpwstr>
      </vt:variant>
      <vt:variant>
        <vt:i4>1769530</vt:i4>
      </vt:variant>
      <vt:variant>
        <vt:i4>863</vt:i4>
      </vt:variant>
      <vt:variant>
        <vt:i4>0</vt:i4>
      </vt:variant>
      <vt:variant>
        <vt:i4>5</vt:i4>
      </vt:variant>
      <vt:variant>
        <vt:lpwstr/>
      </vt:variant>
      <vt:variant>
        <vt:lpwstr>_Toc384196433</vt:lpwstr>
      </vt:variant>
      <vt:variant>
        <vt:i4>1769530</vt:i4>
      </vt:variant>
      <vt:variant>
        <vt:i4>857</vt:i4>
      </vt:variant>
      <vt:variant>
        <vt:i4>0</vt:i4>
      </vt:variant>
      <vt:variant>
        <vt:i4>5</vt:i4>
      </vt:variant>
      <vt:variant>
        <vt:lpwstr/>
      </vt:variant>
      <vt:variant>
        <vt:lpwstr>_Toc384196432</vt:lpwstr>
      </vt:variant>
      <vt:variant>
        <vt:i4>1769530</vt:i4>
      </vt:variant>
      <vt:variant>
        <vt:i4>851</vt:i4>
      </vt:variant>
      <vt:variant>
        <vt:i4>0</vt:i4>
      </vt:variant>
      <vt:variant>
        <vt:i4>5</vt:i4>
      </vt:variant>
      <vt:variant>
        <vt:lpwstr/>
      </vt:variant>
      <vt:variant>
        <vt:lpwstr>_Toc384196431</vt:lpwstr>
      </vt:variant>
      <vt:variant>
        <vt:i4>1769530</vt:i4>
      </vt:variant>
      <vt:variant>
        <vt:i4>845</vt:i4>
      </vt:variant>
      <vt:variant>
        <vt:i4>0</vt:i4>
      </vt:variant>
      <vt:variant>
        <vt:i4>5</vt:i4>
      </vt:variant>
      <vt:variant>
        <vt:lpwstr/>
      </vt:variant>
      <vt:variant>
        <vt:lpwstr>_Toc384196430</vt:lpwstr>
      </vt:variant>
      <vt:variant>
        <vt:i4>1703994</vt:i4>
      </vt:variant>
      <vt:variant>
        <vt:i4>839</vt:i4>
      </vt:variant>
      <vt:variant>
        <vt:i4>0</vt:i4>
      </vt:variant>
      <vt:variant>
        <vt:i4>5</vt:i4>
      </vt:variant>
      <vt:variant>
        <vt:lpwstr/>
      </vt:variant>
      <vt:variant>
        <vt:lpwstr>_Toc384196429</vt:lpwstr>
      </vt:variant>
      <vt:variant>
        <vt:i4>1703994</vt:i4>
      </vt:variant>
      <vt:variant>
        <vt:i4>833</vt:i4>
      </vt:variant>
      <vt:variant>
        <vt:i4>0</vt:i4>
      </vt:variant>
      <vt:variant>
        <vt:i4>5</vt:i4>
      </vt:variant>
      <vt:variant>
        <vt:lpwstr/>
      </vt:variant>
      <vt:variant>
        <vt:lpwstr>_Toc384196428</vt:lpwstr>
      </vt:variant>
      <vt:variant>
        <vt:i4>1703994</vt:i4>
      </vt:variant>
      <vt:variant>
        <vt:i4>827</vt:i4>
      </vt:variant>
      <vt:variant>
        <vt:i4>0</vt:i4>
      </vt:variant>
      <vt:variant>
        <vt:i4>5</vt:i4>
      </vt:variant>
      <vt:variant>
        <vt:lpwstr/>
      </vt:variant>
      <vt:variant>
        <vt:lpwstr>_Toc384196427</vt:lpwstr>
      </vt:variant>
      <vt:variant>
        <vt:i4>1703994</vt:i4>
      </vt:variant>
      <vt:variant>
        <vt:i4>821</vt:i4>
      </vt:variant>
      <vt:variant>
        <vt:i4>0</vt:i4>
      </vt:variant>
      <vt:variant>
        <vt:i4>5</vt:i4>
      </vt:variant>
      <vt:variant>
        <vt:lpwstr/>
      </vt:variant>
      <vt:variant>
        <vt:lpwstr>_Toc384196426</vt:lpwstr>
      </vt:variant>
      <vt:variant>
        <vt:i4>1703994</vt:i4>
      </vt:variant>
      <vt:variant>
        <vt:i4>815</vt:i4>
      </vt:variant>
      <vt:variant>
        <vt:i4>0</vt:i4>
      </vt:variant>
      <vt:variant>
        <vt:i4>5</vt:i4>
      </vt:variant>
      <vt:variant>
        <vt:lpwstr/>
      </vt:variant>
      <vt:variant>
        <vt:lpwstr>_Toc384196425</vt:lpwstr>
      </vt:variant>
      <vt:variant>
        <vt:i4>1703994</vt:i4>
      </vt:variant>
      <vt:variant>
        <vt:i4>809</vt:i4>
      </vt:variant>
      <vt:variant>
        <vt:i4>0</vt:i4>
      </vt:variant>
      <vt:variant>
        <vt:i4>5</vt:i4>
      </vt:variant>
      <vt:variant>
        <vt:lpwstr/>
      </vt:variant>
      <vt:variant>
        <vt:lpwstr>_Toc384196424</vt:lpwstr>
      </vt:variant>
      <vt:variant>
        <vt:i4>1703994</vt:i4>
      </vt:variant>
      <vt:variant>
        <vt:i4>803</vt:i4>
      </vt:variant>
      <vt:variant>
        <vt:i4>0</vt:i4>
      </vt:variant>
      <vt:variant>
        <vt:i4>5</vt:i4>
      </vt:variant>
      <vt:variant>
        <vt:lpwstr/>
      </vt:variant>
      <vt:variant>
        <vt:lpwstr>_Toc384196423</vt:lpwstr>
      </vt:variant>
      <vt:variant>
        <vt:i4>1703994</vt:i4>
      </vt:variant>
      <vt:variant>
        <vt:i4>797</vt:i4>
      </vt:variant>
      <vt:variant>
        <vt:i4>0</vt:i4>
      </vt:variant>
      <vt:variant>
        <vt:i4>5</vt:i4>
      </vt:variant>
      <vt:variant>
        <vt:lpwstr/>
      </vt:variant>
      <vt:variant>
        <vt:lpwstr>_Toc384196422</vt:lpwstr>
      </vt:variant>
      <vt:variant>
        <vt:i4>1703994</vt:i4>
      </vt:variant>
      <vt:variant>
        <vt:i4>791</vt:i4>
      </vt:variant>
      <vt:variant>
        <vt:i4>0</vt:i4>
      </vt:variant>
      <vt:variant>
        <vt:i4>5</vt:i4>
      </vt:variant>
      <vt:variant>
        <vt:lpwstr/>
      </vt:variant>
      <vt:variant>
        <vt:lpwstr>_Toc384196421</vt:lpwstr>
      </vt:variant>
      <vt:variant>
        <vt:i4>1703994</vt:i4>
      </vt:variant>
      <vt:variant>
        <vt:i4>785</vt:i4>
      </vt:variant>
      <vt:variant>
        <vt:i4>0</vt:i4>
      </vt:variant>
      <vt:variant>
        <vt:i4>5</vt:i4>
      </vt:variant>
      <vt:variant>
        <vt:lpwstr/>
      </vt:variant>
      <vt:variant>
        <vt:lpwstr>_Toc384196420</vt:lpwstr>
      </vt:variant>
      <vt:variant>
        <vt:i4>1638458</vt:i4>
      </vt:variant>
      <vt:variant>
        <vt:i4>779</vt:i4>
      </vt:variant>
      <vt:variant>
        <vt:i4>0</vt:i4>
      </vt:variant>
      <vt:variant>
        <vt:i4>5</vt:i4>
      </vt:variant>
      <vt:variant>
        <vt:lpwstr/>
      </vt:variant>
      <vt:variant>
        <vt:lpwstr>_Toc384196419</vt:lpwstr>
      </vt:variant>
      <vt:variant>
        <vt:i4>1638458</vt:i4>
      </vt:variant>
      <vt:variant>
        <vt:i4>773</vt:i4>
      </vt:variant>
      <vt:variant>
        <vt:i4>0</vt:i4>
      </vt:variant>
      <vt:variant>
        <vt:i4>5</vt:i4>
      </vt:variant>
      <vt:variant>
        <vt:lpwstr/>
      </vt:variant>
      <vt:variant>
        <vt:lpwstr>_Toc384196418</vt:lpwstr>
      </vt:variant>
      <vt:variant>
        <vt:i4>1638458</vt:i4>
      </vt:variant>
      <vt:variant>
        <vt:i4>767</vt:i4>
      </vt:variant>
      <vt:variant>
        <vt:i4>0</vt:i4>
      </vt:variant>
      <vt:variant>
        <vt:i4>5</vt:i4>
      </vt:variant>
      <vt:variant>
        <vt:lpwstr/>
      </vt:variant>
      <vt:variant>
        <vt:lpwstr>_Toc384196417</vt:lpwstr>
      </vt:variant>
      <vt:variant>
        <vt:i4>1638458</vt:i4>
      </vt:variant>
      <vt:variant>
        <vt:i4>761</vt:i4>
      </vt:variant>
      <vt:variant>
        <vt:i4>0</vt:i4>
      </vt:variant>
      <vt:variant>
        <vt:i4>5</vt:i4>
      </vt:variant>
      <vt:variant>
        <vt:lpwstr/>
      </vt:variant>
      <vt:variant>
        <vt:lpwstr>_Toc384196416</vt:lpwstr>
      </vt:variant>
      <vt:variant>
        <vt:i4>1638458</vt:i4>
      </vt:variant>
      <vt:variant>
        <vt:i4>755</vt:i4>
      </vt:variant>
      <vt:variant>
        <vt:i4>0</vt:i4>
      </vt:variant>
      <vt:variant>
        <vt:i4>5</vt:i4>
      </vt:variant>
      <vt:variant>
        <vt:lpwstr/>
      </vt:variant>
      <vt:variant>
        <vt:lpwstr>_Toc384196415</vt:lpwstr>
      </vt:variant>
      <vt:variant>
        <vt:i4>1638458</vt:i4>
      </vt:variant>
      <vt:variant>
        <vt:i4>749</vt:i4>
      </vt:variant>
      <vt:variant>
        <vt:i4>0</vt:i4>
      </vt:variant>
      <vt:variant>
        <vt:i4>5</vt:i4>
      </vt:variant>
      <vt:variant>
        <vt:lpwstr/>
      </vt:variant>
      <vt:variant>
        <vt:lpwstr>_Toc384196414</vt:lpwstr>
      </vt:variant>
      <vt:variant>
        <vt:i4>1638458</vt:i4>
      </vt:variant>
      <vt:variant>
        <vt:i4>743</vt:i4>
      </vt:variant>
      <vt:variant>
        <vt:i4>0</vt:i4>
      </vt:variant>
      <vt:variant>
        <vt:i4>5</vt:i4>
      </vt:variant>
      <vt:variant>
        <vt:lpwstr/>
      </vt:variant>
      <vt:variant>
        <vt:lpwstr>_Toc384196413</vt:lpwstr>
      </vt:variant>
      <vt:variant>
        <vt:i4>1638458</vt:i4>
      </vt:variant>
      <vt:variant>
        <vt:i4>737</vt:i4>
      </vt:variant>
      <vt:variant>
        <vt:i4>0</vt:i4>
      </vt:variant>
      <vt:variant>
        <vt:i4>5</vt:i4>
      </vt:variant>
      <vt:variant>
        <vt:lpwstr/>
      </vt:variant>
      <vt:variant>
        <vt:lpwstr>_Toc384196412</vt:lpwstr>
      </vt:variant>
      <vt:variant>
        <vt:i4>1638458</vt:i4>
      </vt:variant>
      <vt:variant>
        <vt:i4>731</vt:i4>
      </vt:variant>
      <vt:variant>
        <vt:i4>0</vt:i4>
      </vt:variant>
      <vt:variant>
        <vt:i4>5</vt:i4>
      </vt:variant>
      <vt:variant>
        <vt:lpwstr/>
      </vt:variant>
      <vt:variant>
        <vt:lpwstr>_Toc384196411</vt:lpwstr>
      </vt:variant>
      <vt:variant>
        <vt:i4>1638458</vt:i4>
      </vt:variant>
      <vt:variant>
        <vt:i4>725</vt:i4>
      </vt:variant>
      <vt:variant>
        <vt:i4>0</vt:i4>
      </vt:variant>
      <vt:variant>
        <vt:i4>5</vt:i4>
      </vt:variant>
      <vt:variant>
        <vt:lpwstr/>
      </vt:variant>
      <vt:variant>
        <vt:lpwstr>_Toc384196410</vt:lpwstr>
      </vt:variant>
      <vt:variant>
        <vt:i4>1572922</vt:i4>
      </vt:variant>
      <vt:variant>
        <vt:i4>719</vt:i4>
      </vt:variant>
      <vt:variant>
        <vt:i4>0</vt:i4>
      </vt:variant>
      <vt:variant>
        <vt:i4>5</vt:i4>
      </vt:variant>
      <vt:variant>
        <vt:lpwstr/>
      </vt:variant>
      <vt:variant>
        <vt:lpwstr>_Toc384196409</vt:lpwstr>
      </vt:variant>
      <vt:variant>
        <vt:i4>1572922</vt:i4>
      </vt:variant>
      <vt:variant>
        <vt:i4>713</vt:i4>
      </vt:variant>
      <vt:variant>
        <vt:i4>0</vt:i4>
      </vt:variant>
      <vt:variant>
        <vt:i4>5</vt:i4>
      </vt:variant>
      <vt:variant>
        <vt:lpwstr/>
      </vt:variant>
      <vt:variant>
        <vt:lpwstr>_Toc384196408</vt:lpwstr>
      </vt:variant>
      <vt:variant>
        <vt:i4>1572922</vt:i4>
      </vt:variant>
      <vt:variant>
        <vt:i4>707</vt:i4>
      </vt:variant>
      <vt:variant>
        <vt:i4>0</vt:i4>
      </vt:variant>
      <vt:variant>
        <vt:i4>5</vt:i4>
      </vt:variant>
      <vt:variant>
        <vt:lpwstr/>
      </vt:variant>
      <vt:variant>
        <vt:lpwstr>_Toc384196407</vt:lpwstr>
      </vt:variant>
      <vt:variant>
        <vt:i4>1572922</vt:i4>
      </vt:variant>
      <vt:variant>
        <vt:i4>701</vt:i4>
      </vt:variant>
      <vt:variant>
        <vt:i4>0</vt:i4>
      </vt:variant>
      <vt:variant>
        <vt:i4>5</vt:i4>
      </vt:variant>
      <vt:variant>
        <vt:lpwstr/>
      </vt:variant>
      <vt:variant>
        <vt:lpwstr>_Toc384196406</vt:lpwstr>
      </vt:variant>
      <vt:variant>
        <vt:i4>1572922</vt:i4>
      </vt:variant>
      <vt:variant>
        <vt:i4>695</vt:i4>
      </vt:variant>
      <vt:variant>
        <vt:i4>0</vt:i4>
      </vt:variant>
      <vt:variant>
        <vt:i4>5</vt:i4>
      </vt:variant>
      <vt:variant>
        <vt:lpwstr/>
      </vt:variant>
      <vt:variant>
        <vt:lpwstr>_Toc384196405</vt:lpwstr>
      </vt:variant>
      <vt:variant>
        <vt:i4>1572922</vt:i4>
      </vt:variant>
      <vt:variant>
        <vt:i4>689</vt:i4>
      </vt:variant>
      <vt:variant>
        <vt:i4>0</vt:i4>
      </vt:variant>
      <vt:variant>
        <vt:i4>5</vt:i4>
      </vt:variant>
      <vt:variant>
        <vt:lpwstr/>
      </vt:variant>
      <vt:variant>
        <vt:lpwstr>_Toc384196404</vt:lpwstr>
      </vt:variant>
      <vt:variant>
        <vt:i4>1572922</vt:i4>
      </vt:variant>
      <vt:variant>
        <vt:i4>683</vt:i4>
      </vt:variant>
      <vt:variant>
        <vt:i4>0</vt:i4>
      </vt:variant>
      <vt:variant>
        <vt:i4>5</vt:i4>
      </vt:variant>
      <vt:variant>
        <vt:lpwstr/>
      </vt:variant>
      <vt:variant>
        <vt:lpwstr>_Toc384196403</vt:lpwstr>
      </vt:variant>
      <vt:variant>
        <vt:i4>1572922</vt:i4>
      </vt:variant>
      <vt:variant>
        <vt:i4>677</vt:i4>
      </vt:variant>
      <vt:variant>
        <vt:i4>0</vt:i4>
      </vt:variant>
      <vt:variant>
        <vt:i4>5</vt:i4>
      </vt:variant>
      <vt:variant>
        <vt:lpwstr/>
      </vt:variant>
      <vt:variant>
        <vt:lpwstr>_Toc384196402</vt:lpwstr>
      </vt:variant>
      <vt:variant>
        <vt:i4>1572922</vt:i4>
      </vt:variant>
      <vt:variant>
        <vt:i4>671</vt:i4>
      </vt:variant>
      <vt:variant>
        <vt:i4>0</vt:i4>
      </vt:variant>
      <vt:variant>
        <vt:i4>5</vt:i4>
      </vt:variant>
      <vt:variant>
        <vt:lpwstr/>
      </vt:variant>
      <vt:variant>
        <vt:lpwstr>_Toc384196401</vt:lpwstr>
      </vt:variant>
      <vt:variant>
        <vt:i4>1572922</vt:i4>
      </vt:variant>
      <vt:variant>
        <vt:i4>665</vt:i4>
      </vt:variant>
      <vt:variant>
        <vt:i4>0</vt:i4>
      </vt:variant>
      <vt:variant>
        <vt:i4>5</vt:i4>
      </vt:variant>
      <vt:variant>
        <vt:lpwstr/>
      </vt:variant>
      <vt:variant>
        <vt:lpwstr>_Toc384196400</vt:lpwstr>
      </vt:variant>
      <vt:variant>
        <vt:i4>1114173</vt:i4>
      </vt:variant>
      <vt:variant>
        <vt:i4>659</vt:i4>
      </vt:variant>
      <vt:variant>
        <vt:i4>0</vt:i4>
      </vt:variant>
      <vt:variant>
        <vt:i4>5</vt:i4>
      </vt:variant>
      <vt:variant>
        <vt:lpwstr/>
      </vt:variant>
      <vt:variant>
        <vt:lpwstr>_Toc384196399</vt:lpwstr>
      </vt:variant>
      <vt:variant>
        <vt:i4>1114173</vt:i4>
      </vt:variant>
      <vt:variant>
        <vt:i4>653</vt:i4>
      </vt:variant>
      <vt:variant>
        <vt:i4>0</vt:i4>
      </vt:variant>
      <vt:variant>
        <vt:i4>5</vt:i4>
      </vt:variant>
      <vt:variant>
        <vt:lpwstr/>
      </vt:variant>
      <vt:variant>
        <vt:lpwstr>_Toc384196398</vt:lpwstr>
      </vt:variant>
      <vt:variant>
        <vt:i4>1114173</vt:i4>
      </vt:variant>
      <vt:variant>
        <vt:i4>647</vt:i4>
      </vt:variant>
      <vt:variant>
        <vt:i4>0</vt:i4>
      </vt:variant>
      <vt:variant>
        <vt:i4>5</vt:i4>
      </vt:variant>
      <vt:variant>
        <vt:lpwstr/>
      </vt:variant>
      <vt:variant>
        <vt:lpwstr>_Toc384196397</vt:lpwstr>
      </vt:variant>
      <vt:variant>
        <vt:i4>1114173</vt:i4>
      </vt:variant>
      <vt:variant>
        <vt:i4>641</vt:i4>
      </vt:variant>
      <vt:variant>
        <vt:i4>0</vt:i4>
      </vt:variant>
      <vt:variant>
        <vt:i4>5</vt:i4>
      </vt:variant>
      <vt:variant>
        <vt:lpwstr/>
      </vt:variant>
      <vt:variant>
        <vt:lpwstr>_Toc384196396</vt:lpwstr>
      </vt:variant>
      <vt:variant>
        <vt:i4>1114173</vt:i4>
      </vt:variant>
      <vt:variant>
        <vt:i4>635</vt:i4>
      </vt:variant>
      <vt:variant>
        <vt:i4>0</vt:i4>
      </vt:variant>
      <vt:variant>
        <vt:i4>5</vt:i4>
      </vt:variant>
      <vt:variant>
        <vt:lpwstr/>
      </vt:variant>
      <vt:variant>
        <vt:lpwstr>_Toc384196395</vt:lpwstr>
      </vt:variant>
      <vt:variant>
        <vt:i4>1114173</vt:i4>
      </vt:variant>
      <vt:variant>
        <vt:i4>629</vt:i4>
      </vt:variant>
      <vt:variant>
        <vt:i4>0</vt:i4>
      </vt:variant>
      <vt:variant>
        <vt:i4>5</vt:i4>
      </vt:variant>
      <vt:variant>
        <vt:lpwstr/>
      </vt:variant>
      <vt:variant>
        <vt:lpwstr>_Toc384196394</vt:lpwstr>
      </vt:variant>
      <vt:variant>
        <vt:i4>1114173</vt:i4>
      </vt:variant>
      <vt:variant>
        <vt:i4>623</vt:i4>
      </vt:variant>
      <vt:variant>
        <vt:i4>0</vt:i4>
      </vt:variant>
      <vt:variant>
        <vt:i4>5</vt:i4>
      </vt:variant>
      <vt:variant>
        <vt:lpwstr/>
      </vt:variant>
      <vt:variant>
        <vt:lpwstr>_Toc384196393</vt:lpwstr>
      </vt:variant>
      <vt:variant>
        <vt:i4>1114173</vt:i4>
      </vt:variant>
      <vt:variant>
        <vt:i4>617</vt:i4>
      </vt:variant>
      <vt:variant>
        <vt:i4>0</vt:i4>
      </vt:variant>
      <vt:variant>
        <vt:i4>5</vt:i4>
      </vt:variant>
      <vt:variant>
        <vt:lpwstr/>
      </vt:variant>
      <vt:variant>
        <vt:lpwstr>_Toc384196392</vt:lpwstr>
      </vt:variant>
      <vt:variant>
        <vt:i4>1114173</vt:i4>
      </vt:variant>
      <vt:variant>
        <vt:i4>611</vt:i4>
      </vt:variant>
      <vt:variant>
        <vt:i4>0</vt:i4>
      </vt:variant>
      <vt:variant>
        <vt:i4>5</vt:i4>
      </vt:variant>
      <vt:variant>
        <vt:lpwstr/>
      </vt:variant>
      <vt:variant>
        <vt:lpwstr>_Toc384196391</vt:lpwstr>
      </vt:variant>
      <vt:variant>
        <vt:i4>1114173</vt:i4>
      </vt:variant>
      <vt:variant>
        <vt:i4>605</vt:i4>
      </vt:variant>
      <vt:variant>
        <vt:i4>0</vt:i4>
      </vt:variant>
      <vt:variant>
        <vt:i4>5</vt:i4>
      </vt:variant>
      <vt:variant>
        <vt:lpwstr/>
      </vt:variant>
      <vt:variant>
        <vt:lpwstr>_Toc384196390</vt:lpwstr>
      </vt:variant>
      <vt:variant>
        <vt:i4>1048637</vt:i4>
      </vt:variant>
      <vt:variant>
        <vt:i4>599</vt:i4>
      </vt:variant>
      <vt:variant>
        <vt:i4>0</vt:i4>
      </vt:variant>
      <vt:variant>
        <vt:i4>5</vt:i4>
      </vt:variant>
      <vt:variant>
        <vt:lpwstr/>
      </vt:variant>
      <vt:variant>
        <vt:lpwstr>_Toc384196389</vt:lpwstr>
      </vt:variant>
      <vt:variant>
        <vt:i4>1048637</vt:i4>
      </vt:variant>
      <vt:variant>
        <vt:i4>593</vt:i4>
      </vt:variant>
      <vt:variant>
        <vt:i4>0</vt:i4>
      </vt:variant>
      <vt:variant>
        <vt:i4>5</vt:i4>
      </vt:variant>
      <vt:variant>
        <vt:lpwstr/>
      </vt:variant>
      <vt:variant>
        <vt:lpwstr>_Toc384196388</vt:lpwstr>
      </vt:variant>
      <vt:variant>
        <vt:i4>1048637</vt:i4>
      </vt:variant>
      <vt:variant>
        <vt:i4>587</vt:i4>
      </vt:variant>
      <vt:variant>
        <vt:i4>0</vt:i4>
      </vt:variant>
      <vt:variant>
        <vt:i4>5</vt:i4>
      </vt:variant>
      <vt:variant>
        <vt:lpwstr/>
      </vt:variant>
      <vt:variant>
        <vt:lpwstr>_Toc384196387</vt:lpwstr>
      </vt:variant>
      <vt:variant>
        <vt:i4>1048637</vt:i4>
      </vt:variant>
      <vt:variant>
        <vt:i4>581</vt:i4>
      </vt:variant>
      <vt:variant>
        <vt:i4>0</vt:i4>
      </vt:variant>
      <vt:variant>
        <vt:i4>5</vt:i4>
      </vt:variant>
      <vt:variant>
        <vt:lpwstr/>
      </vt:variant>
      <vt:variant>
        <vt:lpwstr>_Toc384196386</vt:lpwstr>
      </vt:variant>
      <vt:variant>
        <vt:i4>1048637</vt:i4>
      </vt:variant>
      <vt:variant>
        <vt:i4>575</vt:i4>
      </vt:variant>
      <vt:variant>
        <vt:i4>0</vt:i4>
      </vt:variant>
      <vt:variant>
        <vt:i4>5</vt:i4>
      </vt:variant>
      <vt:variant>
        <vt:lpwstr/>
      </vt:variant>
      <vt:variant>
        <vt:lpwstr>_Toc384196385</vt:lpwstr>
      </vt:variant>
      <vt:variant>
        <vt:i4>1048637</vt:i4>
      </vt:variant>
      <vt:variant>
        <vt:i4>569</vt:i4>
      </vt:variant>
      <vt:variant>
        <vt:i4>0</vt:i4>
      </vt:variant>
      <vt:variant>
        <vt:i4>5</vt:i4>
      </vt:variant>
      <vt:variant>
        <vt:lpwstr/>
      </vt:variant>
      <vt:variant>
        <vt:lpwstr>_Toc384196384</vt:lpwstr>
      </vt:variant>
      <vt:variant>
        <vt:i4>1048637</vt:i4>
      </vt:variant>
      <vt:variant>
        <vt:i4>563</vt:i4>
      </vt:variant>
      <vt:variant>
        <vt:i4>0</vt:i4>
      </vt:variant>
      <vt:variant>
        <vt:i4>5</vt:i4>
      </vt:variant>
      <vt:variant>
        <vt:lpwstr/>
      </vt:variant>
      <vt:variant>
        <vt:lpwstr>_Toc384196383</vt:lpwstr>
      </vt:variant>
      <vt:variant>
        <vt:i4>1048637</vt:i4>
      </vt:variant>
      <vt:variant>
        <vt:i4>557</vt:i4>
      </vt:variant>
      <vt:variant>
        <vt:i4>0</vt:i4>
      </vt:variant>
      <vt:variant>
        <vt:i4>5</vt:i4>
      </vt:variant>
      <vt:variant>
        <vt:lpwstr/>
      </vt:variant>
      <vt:variant>
        <vt:lpwstr>_Toc384196382</vt:lpwstr>
      </vt:variant>
      <vt:variant>
        <vt:i4>1048637</vt:i4>
      </vt:variant>
      <vt:variant>
        <vt:i4>551</vt:i4>
      </vt:variant>
      <vt:variant>
        <vt:i4>0</vt:i4>
      </vt:variant>
      <vt:variant>
        <vt:i4>5</vt:i4>
      </vt:variant>
      <vt:variant>
        <vt:lpwstr/>
      </vt:variant>
      <vt:variant>
        <vt:lpwstr>_Toc384196381</vt:lpwstr>
      </vt:variant>
      <vt:variant>
        <vt:i4>1048637</vt:i4>
      </vt:variant>
      <vt:variant>
        <vt:i4>545</vt:i4>
      </vt:variant>
      <vt:variant>
        <vt:i4>0</vt:i4>
      </vt:variant>
      <vt:variant>
        <vt:i4>5</vt:i4>
      </vt:variant>
      <vt:variant>
        <vt:lpwstr/>
      </vt:variant>
      <vt:variant>
        <vt:lpwstr>_Toc384196380</vt:lpwstr>
      </vt:variant>
      <vt:variant>
        <vt:i4>2031677</vt:i4>
      </vt:variant>
      <vt:variant>
        <vt:i4>539</vt:i4>
      </vt:variant>
      <vt:variant>
        <vt:i4>0</vt:i4>
      </vt:variant>
      <vt:variant>
        <vt:i4>5</vt:i4>
      </vt:variant>
      <vt:variant>
        <vt:lpwstr/>
      </vt:variant>
      <vt:variant>
        <vt:lpwstr>_Toc384196379</vt:lpwstr>
      </vt:variant>
      <vt:variant>
        <vt:i4>2031677</vt:i4>
      </vt:variant>
      <vt:variant>
        <vt:i4>533</vt:i4>
      </vt:variant>
      <vt:variant>
        <vt:i4>0</vt:i4>
      </vt:variant>
      <vt:variant>
        <vt:i4>5</vt:i4>
      </vt:variant>
      <vt:variant>
        <vt:lpwstr/>
      </vt:variant>
      <vt:variant>
        <vt:lpwstr>_Toc384196378</vt:lpwstr>
      </vt:variant>
      <vt:variant>
        <vt:i4>2031677</vt:i4>
      </vt:variant>
      <vt:variant>
        <vt:i4>527</vt:i4>
      </vt:variant>
      <vt:variant>
        <vt:i4>0</vt:i4>
      </vt:variant>
      <vt:variant>
        <vt:i4>5</vt:i4>
      </vt:variant>
      <vt:variant>
        <vt:lpwstr/>
      </vt:variant>
      <vt:variant>
        <vt:lpwstr>_Toc384196377</vt:lpwstr>
      </vt:variant>
      <vt:variant>
        <vt:i4>2031677</vt:i4>
      </vt:variant>
      <vt:variant>
        <vt:i4>521</vt:i4>
      </vt:variant>
      <vt:variant>
        <vt:i4>0</vt:i4>
      </vt:variant>
      <vt:variant>
        <vt:i4>5</vt:i4>
      </vt:variant>
      <vt:variant>
        <vt:lpwstr/>
      </vt:variant>
      <vt:variant>
        <vt:lpwstr>_Toc384196376</vt:lpwstr>
      </vt:variant>
      <vt:variant>
        <vt:i4>2031677</vt:i4>
      </vt:variant>
      <vt:variant>
        <vt:i4>515</vt:i4>
      </vt:variant>
      <vt:variant>
        <vt:i4>0</vt:i4>
      </vt:variant>
      <vt:variant>
        <vt:i4>5</vt:i4>
      </vt:variant>
      <vt:variant>
        <vt:lpwstr/>
      </vt:variant>
      <vt:variant>
        <vt:lpwstr>_Toc384196375</vt:lpwstr>
      </vt:variant>
      <vt:variant>
        <vt:i4>2031677</vt:i4>
      </vt:variant>
      <vt:variant>
        <vt:i4>509</vt:i4>
      </vt:variant>
      <vt:variant>
        <vt:i4>0</vt:i4>
      </vt:variant>
      <vt:variant>
        <vt:i4>5</vt:i4>
      </vt:variant>
      <vt:variant>
        <vt:lpwstr/>
      </vt:variant>
      <vt:variant>
        <vt:lpwstr>_Toc384196374</vt:lpwstr>
      </vt:variant>
      <vt:variant>
        <vt:i4>2031677</vt:i4>
      </vt:variant>
      <vt:variant>
        <vt:i4>503</vt:i4>
      </vt:variant>
      <vt:variant>
        <vt:i4>0</vt:i4>
      </vt:variant>
      <vt:variant>
        <vt:i4>5</vt:i4>
      </vt:variant>
      <vt:variant>
        <vt:lpwstr/>
      </vt:variant>
      <vt:variant>
        <vt:lpwstr>_Toc384196373</vt:lpwstr>
      </vt:variant>
      <vt:variant>
        <vt:i4>2031677</vt:i4>
      </vt:variant>
      <vt:variant>
        <vt:i4>497</vt:i4>
      </vt:variant>
      <vt:variant>
        <vt:i4>0</vt:i4>
      </vt:variant>
      <vt:variant>
        <vt:i4>5</vt:i4>
      </vt:variant>
      <vt:variant>
        <vt:lpwstr/>
      </vt:variant>
      <vt:variant>
        <vt:lpwstr>_Toc384196372</vt:lpwstr>
      </vt:variant>
      <vt:variant>
        <vt:i4>2031677</vt:i4>
      </vt:variant>
      <vt:variant>
        <vt:i4>491</vt:i4>
      </vt:variant>
      <vt:variant>
        <vt:i4>0</vt:i4>
      </vt:variant>
      <vt:variant>
        <vt:i4>5</vt:i4>
      </vt:variant>
      <vt:variant>
        <vt:lpwstr/>
      </vt:variant>
      <vt:variant>
        <vt:lpwstr>_Toc384196371</vt:lpwstr>
      </vt:variant>
      <vt:variant>
        <vt:i4>2031677</vt:i4>
      </vt:variant>
      <vt:variant>
        <vt:i4>485</vt:i4>
      </vt:variant>
      <vt:variant>
        <vt:i4>0</vt:i4>
      </vt:variant>
      <vt:variant>
        <vt:i4>5</vt:i4>
      </vt:variant>
      <vt:variant>
        <vt:lpwstr/>
      </vt:variant>
      <vt:variant>
        <vt:lpwstr>_Toc384196370</vt:lpwstr>
      </vt:variant>
      <vt:variant>
        <vt:i4>1966141</vt:i4>
      </vt:variant>
      <vt:variant>
        <vt:i4>479</vt:i4>
      </vt:variant>
      <vt:variant>
        <vt:i4>0</vt:i4>
      </vt:variant>
      <vt:variant>
        <vt:i4>5</vt:i4>
      </vt:variant>
      <vt:variant>
        <vt:lpwstr/>
      </vt:variant>
      <vt:variant>
        <vt:lpwstr>_Toc384196369</vt:lpwstr>
      </vt:variant>
      <vt:variant>
        <vt:i4>1966141</vt:i4>
      </vt:variant>
      <vt:variant>
        <vt:i4>473</vt:i4>
      </vt:variant>
      <vt:variant>
        <vt:i4>0</vt:i4>
      </vt:variant>
      <vt:variant>
        <vt:i4>5</vt:i4>
      </vt:variant>
      <vt:variant>
        <vt:lpwstr/>
      </vt:variant>
      <vt:variant>
        <vt:lpwstr>_Toc384196368</vt:lpwstr>
      </vt:variant>
      <vt:variant>
        <vt:i4>1966141</vt:i4>
      </vt:variant>
      <vt:variant>
        <vt:i4>467</vt:i4>
      </vt:variant>
      <vt:variant>
        <vt:i4>0</vt:i4>
      </vt:variant>
      <vt:variant>
        <vt:i4>5</vt:i4>
      </vt:variant>
      <vt:variant>
        <vt:lpwstr/>
      </vt:variant>
      <vt:variant>
        <vt:lpwstr>_Toc384196367</vt:lpwstr>
      </vt:variant>
      <vt:variant>
        <vt:i4>1966141</vt:i4>
      </vt:variant>
      <vt:variant>
        <vt:i4>461</vt:i4>
      </vt:variant>
      <vt:variant>
        <vt:i4>0</vt:i4>
      </vt:variant>
      <vt:variant>
        <vt:i4>5</vt:i4>
      </vt:variant>
      <vt:variant>
        <vt:lpwstr/>
      </vt:variant>
      <vt:variant>
        <vt:lpwstr>_Toc384196366</vt:lpwstr>
      </vt:variant>
      <vt:variant>
        <vt:i4>1966141</vt:i4>
      </vt:variant>
      <vt:variant>
        <vt:i4>455</vt:i4>
      </vt:variant>
      <vt:variant>
        <vt:i4>0</vt:i4>
      </vt:variant>
      <vt:variant>
        <vt:i4>5</vt:i4>
      </vt:variant>
      <vt:variant>
        <vt:lpwstr/>
      </vt:variant>
      <vt:variant>
        <vt:lpwstr>_Toc384196365</vt:lpwstr>
      </vt:variant>
      <vt:variant>
        <vt:i4>1966141</vt:i4>
      </vt:variant>
      <vt:variant>
        <vt:i4>449</vt:i4>
      </vt:variant>
      <vt:variant>
        <vt:i4>0</vt:i4>
      </vt:variant>
      <vt:variant>
        <vt:i4>5</vt:i4>
      </vt:variant>
      <vt:variant>
        <vt:lpwstr/>
      </vt:variant>
      <vt:variant>
        <vt:lpwstr>_Toc384196364</vt:lpwstr>
      </vt:variant>
      <vt:variant>
        <vt:i4>1966141</vt:i4>
      </vt:variant>
      <vt:variant>
        <vt:i4>443</vt:i4>
      </vt:variant>
      <vt:variant>
        <vt:i4>0</vt:i4>
      </vt:variant>
      <vt:variant>
        <vt:i4>5</vt:i4>
      </vt:variant>
      <vt:variant>
        <vt:lpwstr/>
      </vt:variant>
      <vt:variant>
        <vt:lpwstr>_Toc384196363</vt:lpwstr>
      </vt:variant>
      <vt:variant>
        <vt:i4>1966141</vt:i4>
      </vt:variant>
      <vt:variant>
        <vt:i4>437</vt:i4>
      </vt:variant>
      <vt:variant>
        <vt:i4>0</vt:i4>
      </vt:variant>
      <vt:variant>
        <vt:i4>5</vt:i4>
      </vt:variant>
      <vt:variant>
        <vt:lpwstr/>
      </vt:variant>
      <vt:variant>
        <vt:lpwstr>_Toc384196362</vt:lpwstr>
      </vt:variant>
      <vt:variant>
        <vt:i4>1966141</vt:i4>
      </vt:variant>
      <vt:variant>
        <vt:i4>431</vt:i4>
      </vt:variant>
      <vt:variant>
        <vt:i4>0</vt:i4>
      </vt:variant>
      <vt:variant>
        <vt:i4>5</vt:i4>
      </vt:variant>
      <vt:variant>
        <vt:lpwstr/>
      </vt:variant>
      <vt:variant>
        <vt:lpwstr>_Toc384196361</vt:lpwstr>
      </vt:variant>
      <vt:variant>
        <vt:i4>1966141</vt:i4>
      </vt:variant>
      <vt:variant>
        <vt:i4>425</vt:i4>
      </vt:variant>
      <vt:variant>
        <vt:i4>0</vt:i4>
      </vt:variant>
      <vt:variant>
        <vt:i4>5</vt:i4>
      </vt:variant>
      <vt:variant>
        <vt:lpwstr/>
      </vt:variant>
      <vt:variant>
        <vt:lpwstr>_Toc384196360</vt:lpwstr>
      </vt:variant>
      <vt:variant>
        <vt:i4>1900605</vt:i4>
      </vt:variant>
      <vt:variant>
        <vt:i4>419</vt:i4>
      </vt:variant>
      <vt:variant>
        <vt:i4>0</vt:i4>
      </vt:variant>
      <vt:variant>
        <vt:i4>5</vt:i4>
      </vt:variant>
      <vt:variant>
        <vt:lpwstr/>
      </vt:variant>
      <vt:variant>
        <vt:lpwstr>_Toc384196359</vt:lpwstr>
      </vt:variant>
      <vt:variant>
        <vt:i4>1900605</vt:i4>
      </vt:variant>
      <vt:variant>
        <vt:i4>413</vt:i4>
      </vt:variant>
      <vt:variant>
        <vt:i4>0</vt:i4>
      </vt:variant>
      <vt:variant>
        <vt:i4>5</vt:i4>
      </vt:variant>
      <vt:variant>
        <vt:lpwstr/>
      </vt:variant>
      <vt:variant>
        <vt:lpwstr>_Toc384196358</vt:lpwstr>
      </vt:variant>
      <vt:variant>
        <vt:i4>1900605</vt:i4>
      </vt:variant>
      <vt:variant>
        <vt:i4>407</vt:i4>
      </vt:variant>
      <vt:variant>
        <vt:i4>0</vt:i4>
      </vt:variant>
      <vt:variant>
        <vt:i4>5</vt:i4>
      </vt:variant>
      <vt:variant>
        <vt:lpwstr/>
      </vt:variant>
      <vt:variant>
        <vt:lpwstr>_Toc384196357</vt:lpwstr>
      </vt:variant>
      <vt:variant>
        <vt:i4>1900605</vt:i4>
      </vt:variant>
      <vt:variant>
        <vt:i4>401</vt:i4>
      </vt:variant>
      <vt:variant>
        <vt:i4>0</vt:i4>
      </vt:variant>
      <vt:variant>
        <vt:i4>5</vt:i4>
      </vt:variant>
      <vt:variant>
        <vt:lpwstr/>
      </vt:variant>
      <vt:variant>
        <vt:lpwstr>_Toc384196356</vt:lpwstr>
      </vt:variant>
      <vt:variant>
        <vt:i4>1900605</vt:i4>
      </vt:variant>
      <vt:variant>
        <vt:i4>395</vt:i4>
      </vt:variant>
      <vt:variant>
        <vt:i4>0</vt:i4>
      </vt:variant>
      <vt:variant>
        <vt:i4>5</vt:i4>
      </vt:variant>
      <vt:variant>
        <vt:lpwstr/>
      </vt:variant>
      <vt:variant>
        <vt:lpwstr>_Toc384196355</vt:lpwstr>
      </vt:variant>
      <vt:variant>
        <vt:i4>1900605</vt:i4>
      </vt:variant>
      <vt:variant>
        <vt:i4>389</vt:i4>
      </vt:variant>
      <vt:variant>
        <vt:i4>0</vt:i4>
      </vt:variant>
      <vt:variant>
        <vt:i4>5</vt:i4>
      </vt:variant>
      <vt:variant>
        <vt:lpwstr/>
      </vt:variant>
      <vt:variant>
        <vt:lpwstr>_Toc384196354</vt:lpwstr>
      </vt:variant>
      <vt:variant>
        <vt:i4>1900605</vt:i4>
      </vt:variant>
      <vt:variant>
        <vt:i4>383</vt:i4>
      </vt:variant>
      <vt:variant>
        <vt:i4>0</vt:i4>
      </vt:variant>
      <vt:variant>
        <vt:i4>5</vt:i4>
      </vt:variant>
      <vt:variant>
        <vt:lpwstr/>
      </vt:variant>
      <vt:variant>
        <vt:lpwstr>_Toc384196353</vt:lpwstr>
      </vt:variant>
      <vt:variant>
        <vt:i4>1900605</vt:i4>
      </vt:variant>
      <vt:variant>
        <vt:i4>377</vt:i4>
      </vt:variant>
      <vt:variant>
        <vt:i4>0</vt:i4>
      </vt:variant>
      <vt:variant>
        <vt:i4>5</vt:i4>
      </vt:variant>
      <vt:variant>
        <vt:lpwstr/>
      </vt:variant>
      <vt:variant>
        <vt:lpwstr>_Toc384196352</vt:lpwstr>
      </vt:variant>
      <vt:variant>
        <vt:i4>1900605</vt:i4>
      </vt:variant>
      <vt:variant>
        <vt:i4>371</vt:i4>
      </vt:variant>
      <vt:variant>
        <vt:i4>0</vt:i4>
      </vt:variant>
      <vt:variant>
        <vt:i4>5</vt:i4>
      </vt:variant>
      <vt:variant>
        <vt:lpwstr/>
      </vt:variant>
      <vt:variant>
        <vt:lpwstr>_Toc384196351</vt:lpwstr>
      </vt:variant>
      <vt:variant>
        <vt:i4>1900605</vt:i4>
      </vt:variant>
      <vt:variant>
        <vt:i4>365</vt:i4>
      </vt:variant>
      <vt:variant>
        <vt:i4>0</vt:i4>
      </vt:variant>
      <vt:variant>
        <vt:i4>5</vt:i4>
      </vt:variant>
      <vt:variant>
        <vt:lpwstr/>
      </vt:variant>
      <vt:variant>
        <vt:lpwstr>_Toc384196350</vt:lpwstr>
      </vt:variant>
      <vt:variant>
        <vt:i4>1835069</vt:i4>
      </vt:variant>
      <vt:variant>
        <vt:i4>359</vt:i4>
      </vt:variant>
      <vt:variant>
        <vt:i4>0</vt:i4>
      </vt:variant>
      <vt:variant>
        <vt:i4>5</vt:i4>
      </vt:variant>
      <vt:variant>
        <vt:lpwstr/>
      </vt:variant>
      <vt:variant>
        <vt:lpwstr>_Toc384196349</vt:lpwstr>
      </vt:variant>
      <vt:variant>
        <vt:i4>1835069</vt:i4>
      </vt:variant>
      <vt:variant>
        <vt:i4>353</vt:i4>
      </vt:variant>
      <vt:variant>
        <vt:i4>0</vt:i4>
      </vt:variant>
      <vt:variant>
        <vt:i4>5</vt:i4>
      </vt:variant>
      <vt:variant>
        <vt:lpwstr/>
      </vt:variant>
      <vt:variant>
        <vt:lpwstr>_Toc384196348</vt:lpwstr>
      </vt:variant>
      <vt:variant>
        <vt:i4>1900607</vt:i4>
      </vt:variant>
      <vt:variant>
        <vt:i4>344</vt:i4>
      </vt:variant>
      <vt:variant>
        <vt:i4>0</vt:i4>
      </vt:variant>
      <vt:variant>
        <vt:i4>5</vt:i4>
      </vt:variant>
      <vt:variant>
        <vt:lpwstr/>
      </vt:variant>
      <vt:variant>
        <vt:lpwstr>_Toc384196158</vt:lpwstr>
      </vt:variant>
      <vt:variant>
        <vt:i4>1900607</vt:i4>
      </vt:variant>
      <vt:variant>
        <vt:i4>338</vt:i4>
      </vt:variant>
      <vt:variant>
        <vt:i4>0</vt:i4>
      </vt:variant>
      <vt:variant>
        <vt:i4>5</vt:i4>
      </vt:variant>
      <vt:variant>
        <vt:lpwstr/>
      </vt:variant>
      <vt:variant>
        <vt:lpwstr>_Toc384196157</vt:lpwstr>
      </vt:variant>
      <vt:variant>
        <vt:i4>1900607</vt:i4>
      </vt:variant>
      <vt:variant>
        <vt:i4>332</vt:i4>
      </vt:variant>
      <vt:variant>
        <vt:i4>0</vt:i4>
      </vt:variant>
      <vt:variant>
        <vt:i4>5</vt:i4>
      </vt:variant>
      <vt:variant>
        <vt:lpwstr/>
      </vt:variant>
      <vt:variant>
        <vt:lpwstr>_Toc384196156</vt:lpwstr>
      </vt:variant>
      <vt:variant>
        <vt:i4>1900607</vt:i4>
      </vt:variant>
      <vt:variant>
        <vt:i4>326</vt:i4>
      </vt:variant>
      <vt:variant>
        <vt:i4>0</vt:i4>
      </vt:variant>
      <vt:variant>
        <vt:i4>5</vt:i4>
      </vt:variant>
      <vt:variant>
        <vt:lpwstr/>
      </vt:variant>
      <vt:variant>
        <vt:lpwstr>_Toc384196155</vt:lpwstr>
      </vt:variant>
      <vt:variant>
        <vt:i4>1900607</vt:i4>
      </vt:variant>
      <vt:variant>
        <vt:i4>320</vt:i4>
      </vt:variant>
      <vt:variant>
        <vt:i4>0</vt:i4>
      </vt:variant>
      <vt:variant>
        <vt:i4>5</vt:i4>
      </vt:variant>
      <vt:variant>
        <vt:lpwstr/>
      </vt:variant>
      <vt:variant>
        <vt:lpwstr>_Toc384196154</vt:lpwstr>
      </vt:variant>
      <vt:variant>
        <vt:i4>1900607</vt:i4>
      </vt:variant>
      <vt:variant>
        <vt:i4>314</vt:i4>
      </vt:variant>
      <vt:variant>
        <vt:i4>0</vt:i4>
      </vt:variant>
      <vt:variant>
        <vt:i4>5</vt:i4>
      </vt:variant>
      <vt:variant>
        <vt:lpwstr/>
      </vt:variant>
      <vt:variant>
        <vt:lpwstr>_Toc384196153</vt:lpwstr>
      </vt:variant>
      <vt:variant>
        <vt:i4>1900607</vt:i4>
      </vt:variant>
      <vt:variant>
        <vt:i4>308</vt:i4>
      </vt:variant>
      <vt:variant>
        <vt:i4>0</vt:i4>
      </vt:variant>
      <vt:variant>
        <vt:i4>5</vt:i4>
      </vt:variant>
      <vt:variant>
        <vt:lpwstr/>
      </vt:variant>
      <vt:variant>
        <vt:lpwstr>_Toc384196152</vt:lpwstr>
      </vt:variant>
      <vt:variant>
        <vt:i4>1900607</vt:i4>
      </vt:variant>
      <vt:variant>
        <vt:i4>302</vt:i4>
      </vt:variant>
      <vt:variant>
        <vt:i4>0</vt:i4>
      </vt:variant>
      <vt:variant>
        <vt:i4>5</vt:i4>
      </vt:variant>
      <vt:variant>
        <vt:lpwstr/>
      </vt:variant>
      <vt:variant>
        <vt:lpwstr>_Toc384196151</vt:lpwstr>
      </vt:variant>
      <vt:variant>
        <vt:i4>1900607</vt:i4>
      </vt:variant>
      <vt:variant>
        <vt:i4>296</vt:i4>
      </vt:variant>
      <vt:variant>
        <vt:i4>0</vt:i4>
      </vt:variant>
      <vt:variant>
        <vt:i4>5</vt:i4>
      </vt:variant>
      <vt:variant>
        <vt:lpwstr/>
      </vt:variant>
      <vt:variant>
        <vt:lpwstr>_Toc384196150</vt:lpwstr>
      </vt:variant>
      <vt:variant>
        <vt:i4>1835071</vt:i4>
      </vt:variant>
      <vt:variant>
        <vt:i4>290</vt:i4>
      </vt:variant>
      <vt:variant>
        <vt:i4>0</vt:i4>
      </vt:variant>
      <vt:variant>
        <vt:i4>5</vt:i4>
      </vt:variant>
      <vt:variant>
        <vt:lpwstr/>
      </vt:variant>
      <vt:variant>
        <vt:lpwstr>_Toc384196149</vt:lpwstr>
      </vt:variant>
      <vt:variant>
        <vt:i4>1835071</vt:i4>
      </vt:variant>
      <vt:variant>
        <vt:i4>284</vt:i4>
      </vt:variant>
      <vt:variant>
        <vt:i4>0</vt:i4>
      </vt:variant>
      <vt:variant>
        <vt:i4>5</vt:i4>
      </vt:variant>
      <vt:variant>
        <vt:lpwstr/>
      </vt:variant>
      <vt:variant>
        <vt:lpwstr>_Toc384196148</vt:lpwstr>
      </vt:variant>
      <vt:variant>
        <vt:i4>1835071</vt:i4>
      </vt:variant>
      <vt:variant>
        <vt:i4>278</vt:i4>
      </vt:variant>
      <vt:variant>
        <vt:i4>0</vt:i4>
      </vt:variant>
      <vt:variant>
        <vt:i4>5</vt:i4>
      </vt:variant>
      <vt:variant>
        <vt:lpwstr/>
      </vt:variant>
      <vt:variant>
        <vt:lpwstr>_Toc384196147</vt:lpwstr>
      </vt:variant>
      <vt:variant>
        <vt:i4>1835071</vt:i4>
      </vt:variant>
      <vt:variant>
        <vt:i4>272</vt:i4>
      </vt:variant>
      <vt:variant>
        <vt:i4>0</vt:i4>
      </vt:variant>
      <vt:variant>
        <vt:i4>5</vt:i4>
      </vt:variant>
      <vt:variant>
        <vt:lpwstr/>
      </vt:variant>
      <vt:variant>
        <vt:lpwstr>_Toc384196146</vt:lpwstr>
      </vt:variant>
      <vt:variant>
        <vt:i4>1835071</vt:i4>
      </vt:variant>
      <vt:variant>
        <vt:i4>266</vt:i4>
      </vt:variant>
      <vt:variant>
        <vt:i4>0</vt:i4>
      </vt:variant>
      <vt:variant>
        <vt:i4>5</vt:i4>
      </vt:variant>
      <vt:variant>
        <vt:lpwstr/>
      </vt:variant>
      <vt:variant>
        <vt:lpwstr>_Toc384196145</vt:lpwstr>
      </vt:variant>
      <vt:variant>
        <vt:i4>1835071</vt:i4>
      </vt:variant>
      <vt:variant>
        <vt:i4>260</vt:i4>
      </vt:variant>
      <vt:variant>
        <vt:i4>0</vt:i4>
      </vt:variant>
      <vt:variant>
        <vt:i4>5</vt:i4>
      </vt:variant>
      <vt:variant>
        <vt:lpwstr/>
      </vt:variant>
      <vt:variant>
        <vt:lpwstr>_Toc384196144</vt:lpwstr>
      </vt:variant>
      <vt:variant>
        <vt:i4>1835071</vt:i4>
      </vt:variant>
      <vt:variant>
        <vt:i4>254</vt:i4>
      </vt:variant>
      <vt:variant>
        <vt:i4>0</vt:i4>
      </vt:variant>
      <vt:variant>
        <vt:i4>5</vt:i4>
      </vt:variant>
      <vt:variant>
        <vt:lpwstr/>
      </vt:variant>
      <vt:variant>
        <vt:lpwstr>_Toc384196143</vt:lpwstr>
      </vt:variant>
      <vt:variant>
        <vt:i4>1835071</vt:i4>
      </vt:variant>
      <vt:variant>
        <vt:i4>248</vt:i4>
      </vt:variant>
      <vt:variant>
        <vt:i4>0</vt:i4>
      </vt:variant>
      <vt:variant>
        <vt:i4>5</vt:i4>
      </vt:variant>
      <vt:variant>
        <vt:lpwstr/>
      </vt:variant>
      <vt:variant>
        <vt:lpwstr>_Toc384196142</vt:lpwstr>
      </vt:variant>
      <vt:variant>
        <vt:i4>1835071</vt:i4>
      </vt:variant>
      <vt:variant>
        <vt:i4>242</vt:i4>
      </vt:variant>
      <vt:variant>
        <vt:i4>0</vt:i4>
      </vt:variant>
      <vt:variant>
        <vt:i4>5</vt:i4>
      </vt:variant>
      <vt:variant>
        <vt:lpwstr/>
      </vt:variant>
      <vt:variant>
        <vt:lpwstr>_Toc384196141</vt:lpwstr>
      </vt:variant>
      <vt:variant>
        <vt:i4>1835071</vt:i4>
      </vt:variant>
      <vt:variant>
        <vt:i4>236</vt:i4>
      </vt:variant>
      <vt:variant>
        <vt:i4>0</vt:i4>
      </vt:variant>
      <vt:variant>
        <vt:i4>5</vt:i4>
      </vt:variant>
      <vt:variant>
        <vt:lpwstr/>
      </vt:variant>
      <vt:variant>
        <vt:lpwstr>_Toc384196140</vt:lpwstr>
      </vt:variant>
      <vt:variant>
        <vt:i4>1769535</vt:i4>
      </vt:variant>
      <vt:variant>
        <vt:i4>230</vt:i4>
      </vt:variant>
      <vt:variant>
        <vt:i4>0</vt:i4>
      </vt:variant>
      <vt:variant>
        <vt:i4>5</vt:i4>
      </vt:variant>
      <vt:variant>
        <vt:lpwstr/>
      </vt:variant>
      <vt:variant>
        <vt:lpwstr>_Toc384196139</vt:lpwstr>
      </vt:variant>
      <vt:variant>
        <vt:i4>1769535</vt:i4>
      </vt:variant>
      <vt:variant>
        <vt:i4>224</vt:i4>
      </vt:variant>
      <vt:variant>
        <vt:i4>0</vt:i4>
      </vt:variant>
      <vt:variant>
        <vt:i4>5</vt:i4>
      </vt:variant>
      <vt:variant>
        <vt:lpwstr/>
      </vt:variant>
      <vt:variant>
        <vt:lpwstr>_Toc384196138</vt:lpwstr>
      </vt:variant>
      <vt:variant>
        <vt:i4>1769535</vt:i4>
      </vt:variant>
      <vt:variant>
        <vt:i4>218</vt:i4>
      </vt:variant>
      <vt:variant>
        <vt:i4>0</vt:i4>
      </vt:variant>
      <vt:variant>
        <vt:i4>5</vt:i4>
      </vt:variant>
      <vt:variant>
        <vt:lpwstr/>
      </vt:variant>
      <vt:variant>
        <vt:lpwstr>_Toc384196137</vt:lpwstr>
      </vt:variant>
      <vt:variant>
        <vt:i4>1769535</vt:i4>
      </vt:variant>
      <vt:variant>
        <vt:i4>212</vt:i4>
      </vt:variant>
      <vt:variant>
        <vt:i4>0</vt:i4>
      </vt:variant>
      <vt:variant>
        <vt:i4>5</vt:i4>
      </vt:variant>
      <vt:variant>
        <vt:lpwstr/>
      </vt:variant>
      <vt:variant>
        <vt:lpwstr>_Toc384196136</vt:lpwstr>
      </vt:variant>
      <vt:variant>
        <vt:i4>1769535</vt:i4>
      </vt:variant>
      <vt:variant>
        <vt:i4>206</vt:i4>
      </vt:variant>
      <vt:variant>
        <vt:i4>0</vt:i4>
      </vt:variant>
      <vt:variant>
        <vt:i4>5</vt:i4>
      </vt:variant>
      <vt:variant>
        <vt:lpwstr/>
      </vt:variant>
      <vt:variant>
        <vt:lpwstr>_Toc384196135</vt:lpwstr>
      </vt:variant>
      <vt:variant>
        <vt:i4>1769535</vt:i4>
      </vt:variant>
      <vt:variant>
        <vt:i4>200</vt:i4>
      </vt:variant>
      <vt:variant>
        <vt:i4>0</vt:i4>
      </vt:variant>
      <vt:variant>
        <vt:i4>5</vt:i4>
      </vt:variant>
      <vt:variant>
        <vt:lpwstr/>
      </vt:variant>
      <vt:variant>
        <vt:lpwstr>_Toc384196134</vt:lpwstr>
      </vt:variant>
      <vt:variant>
        <vt:i4>1769535</vt:i4>
      </vt:variant>
      <vt:variant>
        <vt:i4>194</vt:i4>
      </vt:variant>
      <vt:variant>
        <vt:i4>0</vt:i4>
      </vt:variant>
      <vt:variant>
        <vt:i4>5</vt:i4>
      </vt:variant>
      <vt:variant>
        <vt:lpwstr/>
      </vt:variant>
      <vt:variant>
        <vt:lpwstr>_Toc384196133</vt:lpwstr>
      </vt:variant>
      <vt:variant>
        <vt:i4>1769535</vt:i4>
      </vt:variant>
      <vt:variant>
        <vt:i4>188</vt:i4>
      </vt:variant>
      <vt:variant>
        <vt:i4>0</vt:i4>
      </vt:variant>
      <vt:variant>
        <vt:i4>5</vt:i4>
      </vt:variant>
      <vt:variant>
        <vt:lpwstr/>
      </vt:variant>
      <vt:variant>
        <vt:lpwstr>_Toc384196132</vt:lpwstr>
      </vt:variant>
      <vt:variant>
        <vt:i4>1769535</vt:i4>
      </vt:variant>
      <vt:variant>
        <vt:i4>182</vt:i4>
      </vt:variant>
      <vt:variant>
        <vt:i4>0</vt:i4>
      </vt:variant>
      <vt:variant>
        <vt:i4>5</vt:i4>
      </vt:variant>
      <vt:variant>
        <vt:lpwstr/>
      </vt:variant>
      <vt:variant>
        <vt:lpwstr>_Toc384196131</vt:lpwstr>
      </vt:variant>
      <vt:variant>
        <vt:i4>1769535</vt:i4>
      </vt:variant>
      <vt:variant>
        <vt:i4>176</vt:i4>
      </vt:variant>
      <vt:variant>
        <vt:i4>0</vt:i4>
      </vt:variant>
      <vt:variant>
        <vt:i4>5</vt:i4>
      </vt:variant>
      <vt:variant>
        <vt:lpwstr/>
      </vt:variant>
      <vt:variant>
        <vt:lpwstr>_Toc384196130</vt:lpwstr>
      </vt:variant>
      <vt:variant>
        <vt:i4>1703999</vt:i4>
      </vt:variant>
      <vt:variant>
        <vt:i4>170</vt:i4>
      </vt:variant>
      <vt:variant>
        <vt:i4>0</vt:i4>
      </vt:variant>
      <vt:variant>
        <vt:i4>5</vt:i4>
      </vt:variant>
      <vt:variant>
        <vt:lpwstr/>
      </vt:variant>
      <vt:variant>
        <vt:lpwstr>_Toc384196129</vt:lpwstr>
      </vt:variant>
      <vt:variant>
        <vt:i4>1703999</vt:i4>
      </vt:variant>
      <vt:variant>
        <vt:i4>164</vt:i4>
      </vt:variant>
      <vt:variant>
        <vt:i4>0</vt:i4>
      </vt:variant>
      <vt:variant>
        <vt:i4>5</vt:i4>
      </vt:variant>
      <vt:variant>
        <vt:lpwstr/>
      </vt:variant>
      <vt:variant>
        <vt:lpwstr>_Toc384196128</vt:lpwstr>
      </vt:variant>
      <vt:variant>
        <vt:i4>1703999</vt:i4>
      </vt:variant>
      <vt:variant>
        <vt:i4>158</vt:i4>
      </vt:variant>
      <vt:variant>
        <vt:i4>0</vt:i4>
      </vt:variant>
      <vt:variant>
        <vt:i4>5</vt:i4>
      </vt:variant>
      <vt:variant>
        <vt:lpwstr/>
      </vt:variant>
      <vt:variant>
        <vt:lpwstr>_Toc384196127</vt:lpwstr>
      </vt:variant>
      <vt:variant>
        <vt:i4>1703999</vt:i4>
      </vt:variant>
      <vt:variant>
        <vt:i4>152</vt:i4>
      </vt:variant>
      <vt:variant>
        <vt:i4>0</vt:i4>
      </vt:variant>
      <vt:variant>
        <vt:i4>5</vt:i4>
      </vt:variant>
      <vt:variant>
        <vt:lpwstr/>
      </vt:variant>
      <vt:variant>
        <vt:lpwstr>_Toc384196126</vt:lpwstr>
      </vt:variant>
      <vt:variant>
        <vt:i4>1703999</vt:i4>
      </vt:variant>
      <vt:variant>
        <vt:i4>146</vt:i4>
      </vt:variant>
      <vt:variant>
        <vt:i4>0</vt:i4>
      </vt:variant>
      <vt:variant>
        <vt:i4>5</vt:i4>
      </vt:variant>
      <vt:variant>
        <vt:lpwstr/>
      </vt:variant>
      <vt:variant>
        <vt:lpwstr>_Toc384196125</vt:lpwstr>
      </vt:variant>
      <vt:variant>
        <vt:i4>1703999</vt:i4>
      </vt:variant>
      <vt:variant>
        <vt:i4>140</vt:i4>
      </vt:variant>
      <vt:variant>
        <vt:i4>0</vt:i4>
      </vt:variant>
      <vt:variant>
        <vt:i4>5</vt:i4>
      </vt:variant>
      <vt:variant>
        <vt:lpwstr/>
      </vt:variant>
      <vt:variant>
        <vt:lpwstr>_Toc384196124</vt:lpwstr>
      </vt:variant>
      <vt:variant>
        <vt:i4>1703999</vt:i4>
      </vt:variant>
      <vt:variant>
        <vt:i4>134</vt:i4>
      </vt:variant>
      <vt:variant>
        <vt:i4>0</vt:i4>
      </vt:variant>
      <vt:variant>
        <vt:i4>5</vt:i4>
      </vt:variant>
      <vt:variant>
        <vt:lpwstr/>
      </vt:variant>
      <vt:variant>
        <vt:lpwstr>_Toc384196123</vt:lpwstr>
      </vt:variant>
      <vt:variant>
        <vt:i4>1703999</vt:i4>
      </vt:variant>
      <vt:variant>
        <vt:i4>128</vt:i4>
      </vt:variant>
      <vt:variant>
        <vt:i4>0</vt:i4>
      </vt:variant>
      <vt:variant>
        <vt:i4>5</vt:i4>
      </vt:variant>
      <vt:variant>
        <vt:lpwstr/>
      </vt:variant>
      <vt:variant>
        <vt:lpwstr>_Toc384196122</vt:lpwstr>
      </vt:variant>
      <vt:variant>
        <vt:i4>1703999</vt:i4>
      </vt:variant>
      <vt:variant>
        <vt:i4>122</vt:i4>
      </vt:variant>
      <vt:variant>
        <vt:i4>0</vt:i4>
      </vt:variant>
      <vt:variant>
        <vt:i4>5</vt:i4>
      </vt:variant>
      <vt:variant>
        <vt:lpwstr/>
      </vt:variant>
      <vt:variant>
        <vt:lpwstr>_Toc384196121</vt:lpwstr>
      </vt:variant>
      <vt:variant>
        <vt:i4>1703999</vt:i4>
      </vt:variant>
      <vt:variant>
        <vt:i4>116</vt:i4>
      </vt:variant>
      <vt:variant>
        <vt:i4>0</vt:i4>
      </vt:variant>
      <vt:variant>
        <vt:i4>5</vt:i4>
      </vt:variant>
      <vt:variant>
        <vt:lpwstr/>
      </vt:variant>
      <vt:variant>
        <vt:lpwstr>_Toc384196120</vt:lpwstr>
      </vt:variant>
      <vt:variant>
        <vt:i4>1638463</vt:i4>
      </vt:variant>
      <vt:variant>
        <vt:i4>110</vt:i4>
      </vt:variant>
      <vt:variant>
        <vt:i4>0</vt:i4>
      </vt:variant>
      <vt:variant>
        <vt:i4>5</vt:i4>
      </vt:variant>
      <vt:variant>
        <vt:lpwstr/>
      </vt:variant>
      <vt:variant>
        <vt:lpwstr>_Toc384196119</vt:lpwstr>
      </vt:variant>
      <vt:variant>
        <vt:i4>1638463</vt:i4>
      </vt:variant>
      <vt:variant>
        <vt:i4>104</vt:i4>
      </vt:variant>
      <vt:variant>
        <vt:i4>0</vt:i4>
      </vt:variant>
      <vt:variant>
        <vt:i4>5</vt:i4>
      </vt:variant>
      <vt:variant>
        <vt:lpwstr/>
      </vt:variant>
      <vt:variant>
        <vt:lpwstr>_Toc384196118</vt:lpwstr>
      </vt:variant>
      <vt:variant>
        <vt:i4>1638463</vt:i4>
      </vt:variant>
      <vt:variant>
        <vt:i4>98</vt:i4>
      </vt:variant>
      <vt:variant>
        <vt:i4>0</vt:i4>
      </vt:variant>
      <vt:variant>
        <vt:i4>5</vt:i4>
      </vt:variant>
      <vt:variant>
        <vt:lpwstr/>
      </vt:variant>
      <vt:variant>
        <vt:lpwstr>_Toc384196117</vt:lpwstr>
      </vt:variant>
      <vt:variant>
        <vt:i4>1638463</vt:i4>
      </vt:variant>
      <vt:variant>
        <vt:i4>92</vt:i4>
      </vt:variant>
      <vt:variant>
        <vt:i4>0</vt:i4>
      </vt:variant>
      <vt:variant>
        <vt:i4>5</vt:i4>
      </vt:variant>
      <vt:variant>
        <vt:lpwstr/>
      </vt:variant>
      <vt:variant>
        <vt:lpwstr>_Toc384196116</vt:lpwstr>
      </vt:variant>
      <vt:variant>
        <vt:i4>1638463</vt:i4>
      </vt:variant>
      <vt:variant>
        <vt:i4>86</vt:i4>
      </vt:variant>
      <vt:variant>
        <vt:i4>0</vt:i4>
      </vt:variant>
      <vt:variant>
        <vt:i4>5</vt:i4>
      </vt:variant>
      <vt:variant>
        <vt:lpwstr/>
      </vt:variant>
      <vt:variant>
        <vt:lpwstr>_Toc384196115</vt:lpwstr>
      </vt:variant>
      <vt:variant>
        <vt:i4>1638463</vt:i4>
      </vt:variant>
      <vt:variant>
        <vt:i4>80</vt:i4>
      </vt:variant>
      <vt:variant>
        <vt:i4>0</vt:i4>
      </vt:variant>
      <vt:variant>
        <vt:i4>5</vt:i4>
      </vt:variant>
      <vt:variant>
        <vt:lpwstr/>
      </vt:variant>
      <vt:variant>
        <vt:lpwstr>_Toc384196114</vt:lpwstr>
      </vt:variant>
      <vt:variant>
        <vt:i4>1638463</vt:i4>
      </vt:variant>
      <vt:variant>
        <vt:i4>74</vt:i4>
      </vt:variant>
      <vt:variant>
        <vt:i4>0</vt:i4>
      </vt:variant>
      <vt:variant>
        <vt:i4>5</vt:i4>
      </vt:variant>
      <vt:variant>
        <vt:lpwstr/>
      </vt:variant>
      <vt:variant>
        <vt:lpwstr>_Toc384196113</vt:lpwstr>
      </vt:variant>
      <vt:variant>
        <vt:i4>1638463</vt:i4>
      </vt:variant>
      <vt:variant>
        <vt:i4>68</vt:i4>
      </vt:variant>
      <vt:variant>
        <vt:i4>0</vt:i4>
      </vt:variant>
      <vt:variant>
        <vt:i4>5</vt:i4>
      </vt:variant>
      <vt:variant>
        <vt:lpwstr/>
      </vt:variant>
      <vt:variant>
        <vt:lpwstr>_Toc384196112</vt:lpwstr>
      </vt:variant>
      <vt:variant>
        <vt:i4>1638463</vt:i4>
      </vt:variant>
      <vt:variant>
        <vt:i4>62</vt:i4>
      </vt:variant>
      <vt:variant>
        <vt:i4>0</vt:i4>
      </vt:variant>
      <vt:variant>
        <vt:i4>5</vt:i4>
      </vt:variant>
      <vt:variant>
        <vt:lpwstr/>
      </vt:variant>
      <vt:variant>
        <vt:lpwstr>_Toc384196111</vt:lpwstr>
      </vt:variant>
      <vt:variant>
        <vt:i4>1638463</vt:i4>
      </vt:variant>
      <vt:variant>
        <vt:i4>56</vt:i4>
      </vt:variant>
      <vt:variant>
        <vt:i4>0</vt:i4>
      </vt:variant>
      <vt:variant>
        <vt:i4>5</vt:i4>
      </vt:variant>
      <vt:variant>
        <vt:lpwstr/>
      </vt:variant>
      <vt:variant>
        <vt:lpwstr>_Toc384196110</vt:lpwstr>
      </vt:variant>
      <vt:variant>
        <vt:i4>1572927</vt:i4>
      </vt:variant>
      <vt:variant>
        <vt:i4>50</vt:i4>
      </vt:variant>
      <vt:variant>
        <vt:i4>0</vt:i4>
      </vt:variant>
      <vt:variant>
        <vt:i4>5</vt:i4>
      </vt:variant>
      <vt:variant>
        <vt:lpwstr/>
      </vt:variant>
      <vt:variant>
        <vt:lpwstr>_Toc384196109</vt:lpwstr>
      </vt:variant>
      <vt:variant>
        <vt:i4>1572927</vt:i4>
      </vt:variant>
      <vt:variant>
        <vt:i4>44</vt:i4>
      </vt:variant>
      <vt:variant>
        <vt:i4>0</vt:i4>
      </vt:variant>
      <vt:variant>
        <vt:i4>5</vt:i4>
      </vt:variant>
      <vt:variant>
        <vt:lpwstr/>
      </vt:variant>
      <vt:variant>
        <vt:lpwstr>_Toc384196108</vt:lpwstr>
      </vt:variant>
      <vt:variant>
        <vt:i4>1572927</vt:i4>
      </vt:variant>
      <vt:variant>
        <vt:i4>38</vt:i4>
      </vt:variant>
      <vt:variant>
        <vt:i4>0</vt:i4>
      </vt:variant>
      <vt:variant>
        <vt:i4>5</vt:i4>
      </vt:variant>
      <vt:variant>
        <vt:lpwstr/>
      </vt:variant>
      <vt:variant>
        <vt:lpwstr>_Toc384196107</vt:lpwstr>
      </vt:variant>
      <vt:variant>
        <vt:i4>1572927</vt:i4>
      </vt:variant>
      <vt:variant>
        <vt:i4>32</vt:i4>
      </vt:variant>
      <vt:variant>
        <vt:i4>0</vt:i4>
      </vt:variant>
      <vt:variant>
        <vt:i4>5</vt:i4>
      </vt:variant>
      <vt:variant>
        <vt:lpwstr/>
      </vt:variant>
      <vt:variant>
        <vt:lpwstr>_Toc384196106</vt:lpwstr>
      </vt:variant>
      <vt:variant>
        <vt:i4>1572927</vt:i4>
      </vt:variant>
      <vt:variant>
        <vt:i4>26</vt:i4>
      </vt:variant>
      <vt:variant>
        <vt:i4>0</vt:i4>
      </vt:variant>
      <vt:variant>
        <vt:i4>5</vt:i4>
      </vt:variant>
      <vt:variant>
        <vt:lpwstr/>
      </vt:variant>
      <vt:variant>
        <vt:lpwstr>_Toc384196105</vt:lpwstr>
      </vt:variant>
      <vt:variant>
        <vt:i4>1572927</vt:i4>
      </vt:variant>
      <vt:variant>
        <vt:i4>20</vt:i4>
      </vt:variant>
      <vt:variant>
        <vt:i4>0</vt:i4>
      </vt:variant>
      <vt:variant>
        <vt:i4>5</vt:i4>
      </vt:variant>
      <vt:variant>
        <vt:lpwstr/>
      </vt:variant>
      <vt:variant>
        <vt:lpwstr>_Toc384196104</vt:lpwstr>
      </vt:variant>
      <vt:variant>
        <vt:i4>1572927</vt:i4>
      </vt:variant>
      <vt:variant>
        <vt:i4>14</vt:i4>
      </vt:variant>
      <vt:variant>
        <vt:i4>0</vt:i4>
      </vt:variant>
      <vt:variant>
        <vt:i4>5</vt:i4>
      </vt:variant>
      <vt:variant>
        <vt:lpwstr/>
      </vt:variant>
      <vt:variant>
        <vt:lpwstr>_Toc384196103</vt:lpwstr>
      </vt:variant>
      <vt:variant>
        <vt:i4>1572927</vt:i4>
      </vt:variant>
      <vt:variant>
        <vt:i4>8</vt:i4>
      </vt:variant>
      <vt:variant>
        <vt:i4>0</vt:i4>
      </vt:variant>
      <vt:variant>
        <vt:i4>5</vt:i4>
      </vt:variant>
      <vt:variant>
        <vt:lpwstr/>
      </vt:variant>
      <vt:variant>
        <vt:lpwstr>_Toc384196102</vt:lpwstr>
      </vt:variant>
      <vt:variant>
        <vt:i4>1572927</vt:i4>
      </vt:variant>
      <vt:variant>
        <vt:i4>2</vt:i4>
      </vt:variant>
      <vt:variant>
        <vt:i4>0</vt:i4>
      </vt:variant>
      <vt:variant>
        <vt:i4>5</vt:i4>
      </vt:variant>
      <vt:variant>
        <vt:lpwstr/>
      </vt:variant>
      <vt:variant>
        <vt:lpwstr>_Toc384196101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Rescue MMP inshore seagrass</dc:title>
  <dc:creator>Len McKenzie</dc:creator>
  <cp:lastModifiedBy>Anthony Hele</cp:lastModifiedBy>
  <cp:revision>4</cp:revision>
  <cp:lastPrinted>2014-04-02T00:02:00Z</cp:lastPrinted>
  <dcterms:created xsi:type="dcterms:W3CDTF">2014-04-14T03:17:00Z</dcterms:created>
  <dcterms:modified xsi:type="dcterms:W3CDTF">2014-04-14T06:21:00Z</dcterms:modified>
</cp:coreProperties>
</file>